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footer22.xml" ContentType="application/vnd.openxmlformats-officedocument.wordprocessingml.footer+xml"/>
  <Override PartName="/word/header26.xml" ContentType="application/vnd.openxmlformats-officedocument.wordprocessingml.header+xml"/>
  <Override PartName="/word/footer23.xml" ContentType="application/vnd.openxmlformats-officedocument.wordprocessingml.footer+xml"/>
  <Override PartName="/word/header27.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64C4B" w14:textId="12B981AE" w:rsidR="00DA1781" w:rsidRPr="00D86314" w:rsidRDefault="00B046D9" w:rsidP="00B046D9">
      <w:pPr>
        <w:pStyle w:val="Pagedecouverture"/>
        <w:rPr>
          <w:noProof/>
        </w:rPr>
      </w:pPr>
      <w:bookmarkStart w:id="0" w:name="LW_BM_COVERPAGE"/>
      <w:r>
        <w:rPr>
          <w:noProof/>
        </w:rPr>
        <w:pict w14:anchorId="5371EA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72E117A-DD66-4AA4-B93F-26285B93F0EB" style="width:455.25pt;height:469.5pt">
            <v:imagedata r:id="rId12" o:title=""/>
          </v:shape>
        </w:pict>
      </w:r>
    </w:p>
    <w:bookmarkEnd w:id="0"/>
    <w:p w14:paraId="75877101" w14:textId="77777777" w:rsidR="00546D24" w:rsidRPr="00D86314" w:rsidRDefault="00546D24" w:rsidP="00546D24">
      <w:pPr>
        <w:rPr>
          <w:noProof/>
        </w:rPr>
        <w:sectPr w:rsidR="00546D24" w:rsidRPr="00D86314" w:rsidSect="00B046D9">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14:paraId="5B76593F" w14:textId="664AB48E" w:rsidR="00EB0572" w:rsidRPr="00D86314" w:rsidRDefault="00EB0572">
      <w:pPr>
        <w:pStyle w:val="TOCHeading"/>
        <w:rPr>
          <w:rFonts w:eastAsiaTheme="minorEastAsia"/>
          <w:b w:val="0"/>
          <w:noProof/>
          <w:szCs w:val="24"/>
        </w:rPr>
      </w:pPr>
      <w:bookmarkStart w:id="1" w:name="_GoBack"/>
      <w:bookmarkEnd w:id="1"/>
    </w:p>
    <w:sdt>
      <w:sdtPr>
        <w:rPr>
          <w:rFonts w:eastAsiaTheme="minorHAnsi"/>
          <w:b w:val="0"/>
          <w:noProof/>
          <w:szCs w:val="24"/>
        </w:rPr>
        <w:id w:val="-1557692637"/>
        <w:docPartObj>
          <w:docPartGallery w:val="Table of Contents"/>
          <w:docPartUnique/>
        </w:docPartObj>
      </w:sdtPr>
      <w:sdtEndPr>
        <w:rPr>
          <w:bCs/>
        </w:rPr>
      </w:sdtEndPr>
      <w:sdtContent>
        <w:p w14:paraId="69B9D6FB" w14:textId="2F4051F0" w:rsidR="00F57DAF" w:rsidRDefault="00F57DAF">
          <w:pPr>
            <w:pStyle w:val="TOCHeading"/>
            <w:rPr>
              <w:noProof/>
            </w:rPr>
          </w:pPr>
          <w:r>
            <w:rPr>
              <w:noProof/>
            </w:rPr>
            <w:t>Contents</w:t>
          </w:r>
        </w:p>
        <w:p w14:paraId="5129FAD2" w14:textId="1B7A5229" w:rsidR="00F57DAF" w:rsidRDefault="00F57DAF">
          <w:pPr>
            <w:pStyle w:val="TOC1"/>
            <w:rPr>
              <w:rFonts w:asciiTheme="minorHAnsi" w:eastAsiaTheme="minorEastAsia" w:hAnsiTheme="minorHAnsi" w:cstheme="minorBidi"/>
              <w:caps w:val="0"/>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19718335" w:history="1">
            <w:r w:rsidRPr="000E31D2">
              <w:rPr>
                <w:rStyle w:val="Hyperlink"/>
                <w:noProof/>
              </w:rPr>
              <w:t>Annex 1: Procedural information</w:t>
            </w:r>
            <w:r>
              <w:rPr>
                <w:noProof/>
                <w:webHidden/>
              </w:rPr>
              <w:tab/>
            </w:r>
            <w:r>
              <w:rPr>
                <w:noProof/>
                <w:webHidden/>
              </w:rPr>
              <w:fldChar w:fldCharType="begin"/>
            </w:r>
            <w:r>
              <w:rPr>
                <w:noProof/>
                <w:webHidden/>
              </w:rPr>
              <w:instrText xml:space="preserve"> PAGEREF _Toc219718335 \h </w:instrText>
            </w:r>
            <w:r>
              <w:rPr>
                <w:noProof/>
                <w:webHidden/>
              </w:rPr>
            </w:r>
            <w:r>
              <w:rPr>
                <w:noProof/>
                <w:webHidden/>
              </w:rPr>
              <w:fldChar w:fldCharType="separate"/>
            </w:r>
            <w:r>
              <w:rPr>
                <w:noProof/>
                <w:webHidden/>
              </w:rPr>
              <w:t>2</w:t>
            </w:r>
            <w:r>
              <w:rPr>
                <w:noProof/>
                <w:webHidden/>
              </w:rPr>
              <w:fldChar w:fldCharType="end"/>
            </w:r>
          </w:hyperlink>
        </w:p>
        <w:p w14:paraId="5288367C" w14:textId="4EE9C159"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36"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Lead DG, Decide Planning/CWP references</w:t>
            </w:r>
            <w:r w:rsidR="00F57DAF">
              <w:rPr>
                <w:noProof/>
                <w:webHidden/>
              </w:rPr>
              <w:tab/>
            </w:r>
            <w:r w:rsidR="00F57DAF">
              <w:rPr>
                <w:noProof/>
                <w:webHidden/>
              </w:rPr>
              <w:fldChar w:fldCharType="begin"/>
            </w:r>
            <w:r w:rsidR="00F57DAF">
              <w:rPr>
                <w:noProof/>
                <w:webHidden/>
              </w:rPr>
              <w:instrText xml:space="preserve"> PAGEREF _Toc219718336 \h </w:instrText>
            </w:r>
            <w:r w:rsidR="00F57DAF">
              <w:rPr>
                <w:noProof/>
                <w:webHidden/>
              </w:rPr>
            </w:r>
            <w:r w:rsidR="00F57DAF">
              <w:rPr>
                <w:noProof/>
                <w:webHidden/>
              </w:rPr>
              <w:fldChar w:fldCharType="separate"/>
            </w:r>
            <w:r w:rsidR="00F57DAF">
              <w:rPr>
                <w:noProof/>
                <w:webHidden/>
              </w:rPr>
              <w:t>2</w:t>
            </w:r>
            <w:r w:rsidR="00F57DAF">
              <w:rPr>
                <w:noProof/>
                <w:webHidden/>
              </w:rPr>
              <w:fldChar w:fldCharType="end"/>
            </w:r>
          </w:hyperlink>
        </w:p>
        <w:p w14:paraId="4E9F17FA" w14:textId="42E8DBD4"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37"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Organisation and timing</w:t>
            </w:r>
            <w:r w:rsidR="00F57DAF">
              <w:rPr>
                <w:noProof/>
                <w:webHidden/>
              </w:rPr>
              <w:tab/>
            </w:r>
            <w:r w:rsidR="00F57DAF">
              <w:rPr>
                <w:noProof/>
                <w:webHidden/>
              </w:rPr>
              <w:fldChar w:fldCharType="begin"/>
            </w:r>
            <w:r w:rsidR="00F57DAF">
              <w:rPr>
                <w:noProof/>
                <w:webHidden/>
              </w:rPr>
              <w:instrText xml:space="preserve"> PAGEREF _Toc219718337 \h </w:instrText>
            </w:r>
            <w:r w:rsidR="00F57DAF">
              <w:rPr>
                <w:noProof/>
                <w:webHidden/>
              </w:rPr>
            </w:r>
            <w:r w:rsidR="00F57DAF">
              <w:rPr>
                <w:noProof/>
                <w:webHidden/>
              </w:rPr>
              <w:fldChar w:fldCharType="separate"/>
            </w:r>
            <w:r w:rsidR="00F57DAF">
              <w:rPr>
                <w:noProof/>
                <w:webHidden/>
              </w:rPr>
              <w:t>2</w:t>
            </w:r>
            <w:r w:rsidR="00F57DAF">
              <w:rPr>
                <w:noProof/>
                <w:webHidden/>
              </w:rPr>
              <w:fldChar w:fldCharType="end"/>
            </w:r>
          </w:hyperlink>
        </w:p>
        <w:p w14:paraId="48679EFF" w14:textId="4430F84F"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38" w:history="1">
            <w:r w:rsidR="00F57DAF" w:rsidRPr="000E31D2">
              <w:rPr>
                <w:rStyle w:val="Hyperlink"/>
                <w:noProof/>
              </w:rPr>
              <w:t>3.</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Consultation of the RSB</w:t>
            </w:r>
            <w:r w:rsidR="00F57DAF">
              <w:rPr>
                <w:noProof/>
                <w:webHidden/>
              </w:rPr>
              <w:tab/>
            </w:r>
            <w:r w:rsidR="00F57DAF">
              <w:rPr>
                <w:noProof/>
                <w:webHidden/>
              </w:rPr>
              <w:fldChar w:fldCharType="begin"/>
            </w:r>
            <w:r w:rsidR="00F57DAF">
              <w:rPr>
                <w:noProof/>
                <w:webHidden/>
              </w:rPr>
              <w:instrText xml:space="preserve"> PAGEREF _Toc219718338 \h </w:instrText>
            </w:r>
            <w:r w:rsidR="00F57DAF">
              <w:rPr>
                <w:noProof/>
                <w:webHidden/>
              </w:rPr>
            </w:r>
            <w:r w:rsidR="00F57DAF">
              <w:rPr>
                <w:noProof/>
                <w:webHidden/>
              </w:rPr>
              <w:fldChar w:fldCharType="separate"/>
            </w:r>
            <w:r w:rsidR="00F57DAF">
              <w:rPr>
                <w:noProof/>
                <w:webHidden/>
              </w:rPr>
              <w:t>7</w:t>
            </w:r>
            <w:r w:rsidR="00F57DAF">
              <w:rPr>
                <w:noProof/>
                <w:webHidden/>
              </w:rPr>
              <w:fldChar w:fldCharType="end"/>
            </w:r>
          </w:hyperlink>
        </w:p>
        <w:p w14:paraId="4A4B79EC" w14:textId="3DF9A903"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39" w:history="1">
            <w:r w:rsidR="00F57DAF" w:rsidRPr="000E31D2">
              <w:rPr>
                <w:rStyle w:val="Hyperlink"/>
                <w:noProof/>
              </w:rPr>
              <w:t>4.</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Evidence, sources and quality</w:t>
            </w:r>
            <w:r w:rsidR="00F57DAF">
              <w:rPr>
                <w:noProof/>
                <w:webHidden/>
              </w:rPr>
              <w:tab/>
            </w:r>
            <w:r w:rsidR="00F57DAF">
              <w:rPr>
                <w:noProof/>
                <w:webHidden/>
              </w:rPr>
              <w:fldChar w:fldCharType="begin"/>
            </w:r>
            <w:r w:rsidR="00F57DAF">
              <w:rPr>
                <w:noProof/>
                <w:webHidden/>
              </w:rPr>
              <w:instrText xml:space="preserve"> PAGEREF _Toc219718339 \h </w:instrText>
            </w:r>
            <w:r w:rsidR="00F57DAF">
              <w:rPr>
                <w:noProof/>
                <w:webHidden/>
              </w:rPr>
            </w:r>
            <w:r w:rsidR="00F57DAF">
              <w:rPr>
                <w:noProof/>
                <w:webHidden/>
              </w:rPr>
              <w:fldChar w:fldCharType="separate"/>
            </w:r>
            <w:r w:rsidR="00F57DAF">
              <w:rPr>
                <w:noProof/>
                <w:webHidden/>
              </w:rPr>
              <w:t>7</w:t>
            </w:r>
            <w:r w:rsidR="00F57DAF">
              <w:rPr>
                <w:noProof/>
                <w:webHidden/>
              </w:rPr>
              <w:fldChar w:fldCharType="end"/>
            </w:r>
          </w:hyperlink>
        </w:p>
        <w:p w14:paraId="4C91320B" w14:textId="2ADEEE9A"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40" w:history="1">
            <w:r w:rsidR="00F57DAF" w:rsidRPr="000E31D2">
              <w:rPr>
                <w:rStyle w:val="Hyperlink"/>
                <w:noProof/>
              </w:rPr>
              <w:t>Annex 2: Stakeholder consultation (Synopsis report)</w:t>
            </w:r>
            <w:r w:rsidR="00F57DAF">
              <w:rPr>
                <w:noProof/>
                <w:webHidden/>
              </w:rPr>
              <w:tab/>
            </w:r>
            <w:r w:rsidR="00F57DAF">
              <w:rPr>
                <w:noProof/>
                <w:webHidden/>
              </w:rPr>
              <w:fldChar w:fldCharType="begin"/>
            </w:r>
            <w:r w:rsidR="00F57DAF">
              <w:rPr>
                <w:noProof/>
                <w:webHidden/>
              </w:rPr>
              <w:instrText xml:space="preserve"> PAGEREF _Toc219718340 \h </w:instrText>
            </w:r>
            <w:r w:rsidR="00F57DAF">
              <w:rPr>
                <w:noProof/>
                <w:webHidden/>
              </w:rPr>
            </w:r>
            <w:r w:rsidR="00F57DAF">
              <w:rPr>
                <w:noProof/>
                <w:webHidden/>
              </w:rPr>
              <w:fldChar w:fldCharType="separate"/>
            </w:r>
            <w:r w:rsidR="00F57DAF">
              <w:rPr>
                <w:noProof/>
                <w:webHidden/>
              </w:rPr>
              <w:t>9</w:t>
            </w:r>
            <w:r w:rsidR="00F57DAF">
              <w:rPr>
                <w:noProof/>
                <w:webHidden/>
              </w:rPr>
              <w:fldChar w:fldCharType="end"/>
            </w:r>
          </w:hyperlink>
        </w:p>
        <w:p w14:paraId="7939ABA1" w14:textId="49D604EE"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41"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Stakeholder consultation strategy</w:t>
            </w:r>
            <w:r w:rsidR="00F57DAF">
              <w:rPr>
                <w:noProof/>
                <w:webHidden/>
              </w:rPr>
              <w:tab/>
            </w:r>
            <w:r w:rsidR="00F57DAF">
              <w:rPr>
                <w:noProof/>
                <w:webHidden/>
              </w:rPr>
              <w:fldChar w:fldCharType="begin"/>
            </w:r>
            <w:r w:rsidR="00F57DAF">
              <w:rPr>
                <w:noProof/>
                <w:webHidden/>
              </w:rPr>
              <w:instrText xml:space="preserve"> PAGEREF _Toc219718341 \h </w:instrText>
            </w:r>
            <w:r w:rsidR="00F57DAF">
              <w:rPr>
                <w:noProof/>
                <w:webHidden/>
              </w:rPr>
            </w:r>
            <w:r w:rsidR="00F57DAF">
              <w:rPr>
                <w:noProof/>
                <w:webHidden/>
              </w:rPr>
              <w:fldChar w:fldCharType="separate"/>
            </w:r>
            <w:r w:rsidR="00F57DAF">
              <w:rPr>
                <w:noProof/>
                <w:webHidden/>
              </w:rPr>
              <w:t>9</w:t>
            </w:r>
            <w:r w:rsidR="00F57DAF">
              <w:rPr>
                <w:noProof/>
                <w:webHidden/>
              </w:rPr>
              <w:fldChar w:fldCharType="end"/>
            </w:r>
          </w:hyperlink>
        </w:p>
        <w:p w14:paraId="347A4550" w14:textId="1F23388B"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42"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Summary of the outcome of the stakeholder consultations</w:t>
            </w:r>
            <w:r w:rsidR="00F57DAF">
              <w:rPr>
                <w:noProof/>
                <w:webHidden/>
              </w:rPr>
              <w:tab/>
            </w:r>
            <w:r w:rsidR="00F57DAF">
              <w:rPr>
                <w:noProof/>
                <w:webHidden/>
              </w:rPr>
              <w:fldChar w:fldCharType="begin"/>
            </w:r>
            <w:r w:rsidR="00F57DAF">
              <w:rPr>
                <w:noProof/>
                <w:webHidden/>
              </w:rPr>
              <w:instrText xml:space="preserve"> PAGEREF _Toc219718342 \h </w:instrText>
            </w:r>
            <w:r w:rsidR="00F57DAF">
              <w:rPr>
                <w:noProof/>
                <w:webHidden/>
              </w:rPr>
            </w:r>
            <w:r w:rsidR="00F57DAF">
              <w:rPr>
                <w:noProof/>
                <w:webHidden/>
              </w:rPr>
              <w:fldChar w:fldCharType="separate"/>
            </w:r>
            <w:r w:rsidR="00F57DAF">
              <w:rPr>
                <w:noProof/>
                <w:webHidden/>
              </w:rPr>
              <w:t>10</w:t>
            </w:r>
            <w:r w:rsidR="00F57DAF">
              <w:rPr>
                <w:noProof/>
                <w:webHidden/>
              </w:rPr>
              <w:fldChar w:fldCharType="end"/>
            </w:r>
          </w:hyperlink>
        </w:p>
        <w:p w14:paraId="51C1D16C" w14:textId="0138AE5C"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43" w:history="1">
            <w:r w:rsidR="00F57DAF" w:rsidRPr="000E31D2">
              <w:rPr>
                <w:rStyle w:val="Hyperlink"/>
                <w:noProof/>
              </w:rPr>
              <w:t>Annex 3: Who is affected and how?</w:t>
            </w:r>
            <w:r w:rsidR="00F57DAF">
              <w:rPr>
                <w:noProof/>
                <w:webHidden/>
              </w:rPr>
              <w:tab/>
            </w:r>
            <w:r w:rsidR="00F57DAF">
              <w:rPr>
                <w:noProof/>
                <w:webHidden/>
              </w:rPr>
              <w:fldChar w:fldCharType="begin"/>
            </w:r>
            <w:r w:rsidR="00F57DAF">
              <w:rPr>
                <w:noProof/>
                <w:webHidden/>
              </w:rPr>
              <w:instrText xml:space="preserve"> PAGEREF _Toc219718343 \h </w:instrText>
            </w:r>
            <w:r w:rsidR="00F57DAF">
              <w:rPr>
                <w:noProof/>
                <w:webHidden/>
              </w:rPr>
            </w:r>
            <w:r w:rsidR="00F57DAF">
              <w:rPr>
                <w:noProof/>
                <w:webHidden/>
              </w:rPr>
              <w:fldChar w:fldCharType="separate"/>
            </w:r>
            <w:r w:rsidR="00F57DAF">
              <w:rPr>
                <w:noProof/>
                <w:webHidden/>
              </w:rPr>
              <w:t>18</w:t>
            </w:r>
            <w:r w:rsidR="00F57DAF">
              <w:rPr>
                <w:noProof/>
                <w:webHidden/>
              </w:rPr>
              <w:fldChar w:fldCharType="end"/>
            </w:r>
          </w:hyperlink>
        </w:p>
        <w:p w14:paraId="138C0164" w14:textId="4E8269DF"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44"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Practical implications of the initiative</w:t>
            </w:r>
            <w:r w:rsidR="00F57DAF">
              <w:rPr>
                <w:noProof/>
                <w:webHidden/>
              </w:rPr>
              <w:tab/>
            </w:r>
            <w:r w:rsidR="00F57DAF">
              <w:rPr>
                <w:noProof/>
                <w:webHidden/>
              </w:rPr>
              <w:fldChar w:fldCharType="begin"/>
            </w:r>
            <w:r w:rsidR="00F57DAF">
              <w:rPr>
                <w:noProof/>
                <w:webHidden/>
              </w:rPr>
              <w:instrText xml:space="preserve"> PAGEREF _Toc219718344 \h </w:instrText>
            </w:r>
            <w:r w:rsidR="00F57DAF">
              <w:rPr>
                <w:noProof/>
                <w:webHidden/>
              </w:rPr>
            </w:r>
            <w:r w:rsidR="00F57DAF">
              <w:rPr>
                <w:noProof/>
                <w:webHidden/>
              </w:rPr>
              <w:fldChar w:fldCharType="separate"/>
            </w:r>
            <w:r w:rsidR="00F57DAF">
              <w:rPr>
                <w:noProof/>
                <w:webHidden/>
              </w:rPr>
              <w:t>18</w:t>
            </w:r>
            <w:r w:rsidR="00F57DAF">
              <w:rPr>
                <w:noProof/>
                <w:webHidden/>
              </w:rPr>
              <w:fldChar w:fldCharType="end"/>
            </w:r>
          </w:hyperlink>
        </w:p>
        <w:p w14:paraId="7D1E150B" w14:textId="63E363A1"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45"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Summary of costs and benefits</w:t>
            </w:r>
            <w:r w:rsidR="00F57DAF">
              <w:rPr>
                <w:noProof/>
                <w:webHidden/>
              </w:rPr>
              <w:tab/>
            </w:r>
            <w:r w:rsidR="00F57DAF">
              <w:rPr>
                <w:noProof/>
                <w:webHidden/>
              </w:rPr>
              <w:fldChar w:fldCharType="begin"/>
            </w:r>
            <w:r w:rsidR="00F57DAF">
              <w:rPr>
                <w:noProof/>
                <w:webHidden/>
              </w:rPr>
              <w:instrText xml:space="preserve"> PAGEREF _Toc219718345 \h </w:instrText>
            </w:r>
            <w:r w:rsidR="00F57DAF">
              <w:rPr>
                <w:noProof/>
                <w:webHidden/>
              </w:rPr>
            </w:r>
            <w:r w:rsidR="00F57DAF">
              <w:rPr>
                <w:noProof/>
                <w:webHidden/>
              </w:rPr>
              <w:fldChar w:fldCharType="separate"/>
            </w:r>
            <w:r w:rsidR="00F57DAF">
              <w:rPr>
                <w:noProof/>
                <w:webHidden/>
              </w:rPr>
              <w:t>19</w:t>
            </w:r>
            <w:r w:rsidR="00F57DAF">
              <w:rPr>
                <w:noProof/>
                <w:webHidden/>
              </w:rPr>
              <w:fldChar w:fldCharType="end"/>
            </w:r>
          </w:hyperlink>
        </w:p>
        <w:p w14:paraId="061A3E49" w14:textId="5778D512"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346" w:history="1">
            <w:r w:rsidR="00F57DAF" w:rsidRPr="000E31D2">
              <w:rPr>
                <w:rStyle w:val="Hyperlink"/>
                <w:bCs/>
                <w:noProof/>
              </w:rPr>
              <w:t>2.1.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Transition to fibre</w:t>
            </w:r>
            <w:r w:rsidR="00F57DAF">
              <w:rPr>
                <w:noProof/>
                <w:webHidden/>
              </w:rPr>
              <w:tab/>
            </w:r>
            <w:r w:rsidR="00F57DAF">
              <w:rPr>
                <w:noProof/>
                <w:webHidden/>
              </w:rPr>
              <w:fldChar w:fldCharType="begin"/>
            </w:r>
            <w:r w:rsidR="00F57DAF">
              <w:rPr>
                <w:noProof/>
                <w:webHidden/>
              </w:rPr>
              <w:instrText xml:space="preserve"> PAGEREF _Toc219718346 \h </w:instrText>
            </w:r>
            <w:r w:rsidR="00F57DAF">
              <w:rPr>
                <w:noProof/>
                <w:webHidden/>
              </w:rPr>
            </w:r>
            <w:r w:rsidR="00F57DAF">
              <w:rPr>
                <w:noProof/>
                <w:webHidden/>
              </w:rPr>
              <w:fldChar w:fldCharType="separate"/>
            </w:r>
            <w:r w:rsidR="00F57DAF">
              <w:rPr>
                <w:noProof/>
                <w:webHidden/>
              </w:rPr>
              <w:t>24</w:t>
            </w:r>
            <w:r w:rsidR="00F57DAF">
              <w:rPr>
                <w:noProof/>
                <w:webHidden/>
              </w:rPr>
              <w:fldChar w:fldCharType="end"/>
            </w:r>
          </w:hyperlink>
        </w:p>
        <w:p w14:paraId="37D43097" w14:textId="7138CC29"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347" w:history="1">
            <w:r w:rsidR="00F57DAF" w:rsidRPr="000E31D2">
              <w:rPr>
                <w:rStyle w:val="Hyperlink"/>
                <w:bCs/>
                <w:noProof/>
              </w:rPr>
              <w:t>2.2.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Spectrum</w:t>
            </w:r>
            <w:r w:rsidR="00F57DAF">
              <w:rPr>
                <w:noProof/>
                <w:webHidden/>
              </w:rPr>
              <w:tab/>
            </w:r>
            <w:r w:rsidR="00F57DAF">
              <w:rPr>
                <w:noProof/>
                <w:webHidden/>
              </w:rPr>
              <w:fldChar w:fldCharType="begin"/>
            </w:r>
            <w:r w:rsidR="00F57DAF">
              <w:rPr>
                <w:noProof/>
                <w:webHidden/>
              </w:rPr>
              <w:instrText xml:space="preserve"> PAGEREF _Toc219718347 \h </w:instrText>
            </w:r>
            <w:r w:rsidR="00F57DAF">
              <w:rPr>
                <w:noProof/>
                <w:webHidden/>
              </w:rPr>
            </w:r>
            <w:r w:rsidR="00F57DAF">
              <w:rPr>
                <w:noProof/>
                <w:webHidden/>
              </w:rPr>
              <w:fldChar w:fldCharType="separate"/>
            </w:r>
            <w:r w:rsidR="00F57DAF">
              <w:rPr>
                <w:noProof/>
                <w:webHidden/>
              </w:rPr>
              <w:t>25</w:t>
            </w:r>
            <w:r w:rsidR="00F57DAF">
              <w:rPr>
                <w:noProof/>
                <w:webHidden/>
              </w:rPr>
              <w:fldChar w:fldCharType="end"/>
            </w:r>
          </w:hyperlink>
        </w:p>
        <w:p w14:paraId="6258E1ED" w14:textId="37F67F15"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348" w:history="1">
            <w:r w:rsidR="00F57DAF" w:rsidRPr="000E31D2">
              <w:rPr>
                <w:rStyle w:val="Hyperlink"/>
                <w:bCs/>
                <w:noProof/>
              </w:rPr>
              <w:t>2.3.</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Authorisation</w:t>
            </w:r>
            <w:r w:rsidR="00F57DAF">
              <w:rPr>
                <w:noProof/>
                <w:webHidden/>
              </w:rPr>
              <w:tab/>
            </w:r>
            <w:r w:rsidR="00F57DAF">
              <w:rPr>
                <w:noProof/>
                <w:webHidden/>
              </w:rPr>
              <w:fldChar w:fldCharType="begin"/>
            </w:r>
            <w:r w:rsidR="00F57DAF">
              <w:rPr>
                <w:noProof/>
                <w:webHidden/>
              </w:rPr>
              <w:instrText xml:space="preserve"> PAGEREF _Toc219718348 \h </w:instrText>
            </w:r>
            <w:r w:rsidR="00F57DAF">
              <w:rPr>
                <w:noProof/>
                <w:webHidden/>
              </w:rPr>
            </w:r>
            <w:r w:rsidR="00F57DAF">
              <w:rPr>
                <w:noProof/>
                <w:webHidden/>
              </w:rPr>
              <w:fldChar w:fldCharType="separate"/>
            </w:r>
            <w:r w:rsidR="00F57DAF">
              <w:rPr>
                <w:noProof/>
                <w:webHidden/>
              </w:rPr>
              <w:t>28</w:t>
            </w:r>
            <w:r w:rsidR="00F57DAF">
              <w:rPr>
                <w:noProof/>
                <w:webHidden/>
              </w:rPr>
              <w:fldChar w:fldCharType="end"/>
            </w:r>
          </w:hyperlink>
        </w:p>
        <w:p w14:paraId="06E02F79" w14:textId="6ACEFAEE"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349" w:history="1">
            <w:r w:rsidR="00F57DAF" w:rsidRPr="000E31D2">
              <w:rPr>
                <w:rStyle w:val="Hyperlink"/>
                <w:bCs/>
                <w:noProof/>
              </w:rPr>
              <w:t>2.4.</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Regulatory governance</w:t>
            </w:r>
            <w:r w:rsidR="00F57DAF">
              <w:rPr>
                <w:noProof/>
                <w:webHidden/>
              </w:rPr>
              <w:tab/>
            </w:r>
            <w:r w:rsidR="00F57DAF">
              <w:rPr>
                <w:noProof/>
                <w:webHidden/>
              </w:rPr>
              <w:fldChar w:fldCharType="begin"/>
            </w:r>
            <w:r w:rsidR="00F57DAF">
              <w:rPr>
                <w:noProof/>
                <w:webHidden/>
              </w:rPr>
              <w:instrText xml:space="preserve"> PAGEREF _Toc219718349 \h </w:instrText>
            </w:r>
            <w:r w:rsidR="00F57DAF">
              <w:rPr>
                <w:noProof/>
                <w:webHidden/>
              </w:rPr>
            </w:r>
            <w:r w:rsidR="00F57DAF">
              <w:rPr>
                <w:noProof/>
                <w:webHidden/>
              </w:rPr>
              <w:fldChar w:fldCharType="separate"/>
            </w:r>
            <w:r w:rsidR="00F57DAF">
              <w:rPr>
                <w:noProof/>
                <w:webHidden/>
              </w:rPr>
              <w:t>32</w:t>
            </w:r>
            <w:r w:rsidR="00F57DAF">
              <w:rPr>
                <w:noProof/>
                <w:webHidden/>
              </w:rPr>
              <w:fldChar w:fldCharType="end"/>
            </w:r>
          </w:hyperlink>
        </w:p>
        <w:p w14:paraId="6189D76C" w14:textId="79EFC247"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50" w:history="1">
            <w:r w:rsidR="00F57DAF" w:rsidRPr="000E31D2">
              <w:rPr>
                <w:rStyle w:val="Hyperlink"/>
                <w:noProof/>
              </w:rPr>
              <w:t>3.</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Application of ‘One In’ ‘One Out’ approach</w:t>
            </w:r>
            <w:r w:rsidR="00F57DAF">
              <w:rPr>
                <w:noProof/>
                <w:webHidden/>
              </w:rPr>
              <w:tab/>
            </w:r>
            <w:r w:rsidR="00F57DAF">
              <w:rPr>
                <w:noProof/>
                <w:webHidden/>
              </w:rPr>
              <w:fldChar w:fldCharType="begin"/>
            </w:r>
            <w:r w:rsidR="00F57DAF">
              <w:rPr>
                <w:noProof/>
                <w:webHidden/>
              </w:rPr>
              <w:instrText xml:space="preserve"> PAGEREF _Toc219718350 \h </w:instrText>
            </w:r>
            <w:r w:rsidR="00F57DAF">
              <w:rPr>
                <w:noProof/>
                <w:webHidden/>
              </w:rPr>
            </w:r>
            <w:r w:rsidR="00F57DAF">
              <w:rPr>
                <w:noProof/>
                <w:webHidden/>
              </w:rPr>
              <w:fldChar w:fldCharType="separate"/>
            </w:r>
            <w:r w:rsidR="00F57DAF">
              <w:rPr>
                <w:noProof/>
                <w:webHidden/>
              </w:rPr>
              <w:t>34</w:t>
            </w:r>
            <w:r w:rsidR="00F57DAF">
              <w:rPr>
                <w:noProof/>
                <w:webHidden/>
              </w:rPr>
              <w:fldChar w:fldCharType="end"/>
            </w:r>
          </w:hyperlink>
        </w:p>
        <w:p w14:paraId="001A395B" w14:textId="6D84E24F"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51" w:history="1">
            <w:r w:rsidR="00F57DAF" w:rsidRPr="000E31D2">
              <w:rPr>
                <w:rStyle w:val="Hyperlink"/>
                <w:noProof/>
              </w:rPr>
              <w:t>4.</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Relevant sustainable development goals</w:t>
            </w:r>
            <w:r w:rsidR="00F57DAF">
              <w:rPr>
                <w:noProof/>
                <w:webHidden/>
              </w:rPr>
              <w:tab/>
            </w:r>
            <w:r w:rsidR="00F57DAF">
              <w:rPr>
                <w:noProof/>
                <w:webHidden/>
              </w:rPr>
              <w:fldChar w:fldCharType="begin"/>
            </w:r>
            <w:r w:rsidR="00F57DAF">
              <w:rPr>
                <w:noProof/>
                <w:webHidden/>
              </w:rPr>
              <w:instrText xml:space="preserve"> PAGEREF _Toc219718351 \h </w:instrText>
            </w:r>
            <w:r w:rsidR="00F57DAF">
              <w:rPr>
                <w:noProof/>
                <w:webHidden/>
              </w:rPr>
            </w:r>
            <w:r w:rsidR="00F57DAF">
              <w:rPr>
                <w:noProof/>
                <w:webHidden/>
              </w:rPr>
              <w:fldChar w:fldCharType="separate"/>
            </w:r>
            <w:r w:rsidR="00F57DAF">
              <w:rPr>
                <w:noProof/>
                <w:webHidden/>
              </w:rPr>
              <w:t>34</w:t>
            </w:r>
            <w:r w:rsidR="00F57DAF">
              <w:rPr>
                <w:noProof/>
                <w:webHidden/>
              </w:rPr>
              <w:fldChar w:fldCharType="end"/>
            </w:r>
          </w:hyperlink>
        </w:p>
        <w:p w14:paraId="091719D9" w14:textId="4E232432"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52" w:history="1">
            <w:r w:rsidR="00F57DAF" w:rsidRPr="000E31D2">
              <w:rPr>
                <w:rStyle w:val="Hyperlink"/>
                <w:noProof/>
              </w:rPr>
              <w:t>Annex 4: Analytical methods</w:t>
            </w:r>
            <w:r w:rsidR="00F57DAF">
              <w:rPr>
                <w:noProof/>
                <w:webHidden/>
              </w:rPr>
              <w:tab/>
            </w:r>
            <w:r w:rsidR="00F57DAF">
              <w:rPr>
                <w:noProof/>
                <w:webHidden/>
              </w:rPr>
              <w:fldChar w:fldCharType="begin"/>
            </w:r>
            <w:r w:rsidR="00F57DAF">
              <w:rPr>
                <w:noProof/>
                <w:webHidden/>
              </w:rPr>
              <w:instrText xml:space="preserve"> PAGEREF _Toc219718352 \h </w:instrText>
            </w:r>
            <w:r w:rsidR="00F57DAF">
              <w:rPr>
                <w:noProof/>
                <w:webHidden/>
              </w:rPr>
            </w:r>
            <w:r w:rsidR="00F57DAF">
              <w:rPr>
                <w:noProof/>
                <w:webHidden/>
              </w:rPr>
              <w:fldChar w:fldCharType="separate"/>
            </w:r>
            <w:r w:rsidR="00F57DAF">
              <w:rPr>
                <w:noProof/>
                <w:webHidden/>
              </w:rPr>
              <w:t>36</w:t>
            </w:r>
            <w:r w:rsidR="00F57DAF">
              <w:rPr>
                <w:noProof/>
                <w:webHidden/>
              </w:rPr>
              <w:fldChar w:fldCharType="end"/>
            </w:r>
          </w:hyperlink>
        </w:p>
        <w:p w14:paraId="56475FBE" w14:textId="16067D18"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53"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Methodology for the demand modelling and quantitative Impact Assessment of the copper-Switch-off and Access options</w:t>
            </w:r>
            <w:r w:rsidR="00F57DAF">
              <w:rPr>
                <w:noProof/>
                <w:webHidden/>
              </w:rPr>
              <w:tab/>
            </w:r>
            <w:r w:rsidR="00F57DAF">
              <w:rPr>
                <w:noProof/>
                <w:webHidden/>
              </w:rPr>
              <w:fldChar w:fldCharType="begin"/>
            </w:r>
            <w:r w:rsidR="00F57DAF">
              <w:rPr>
                <w:noProof/>
                <w:webHidden/>
              </w:rPr>
              <w:instrText xml:space="preserve"> PAGEREF _Toc219718353 \h </w:instrText>
            </w:r>
            <w:r w:rsidR="00F57DAF">
              <w:rPr>
                <w:noProof/>
                <w:webHidden/>
              </w:rPr>
            </w:r>
            <w:r w:rsidR="00F57DAF">
              <w:rPr>
                <w:noProof/>
                <w:webHidden/>
              </w:rPr>
              <w:fldChar w:fldCharType="separate"/>
            </w:r>
            <w:r w:rsidR="00F57DAF">
              <w:rPr>
                <w:noProof/>
                <w:webHidden/>
              </w:rPr>
              <w:t>36</w:t>
            </w:r>
            <w:r w:rsidR="00F57DAF">
              <w:rPr>
                <w:noProof/>
                <w:webHidden/>
              </w:rPr>
              <w:fldChar w:fldCharType="end"/>
            </w:r>
          </w:hyperlink>
        </w:p>
        <w:p w14:paraId="0B30CFF0" w14:textId="7F742E47"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54" w:history="1">
            <w:r w:rsidR="00F57DAF" w:rsidRPr="000E31D2">
              <w:rPr>
                <w:rStyle w:val="Hyperlink"/>
                <w:noProof/>
              </w:rPr>
              <w:t>1.1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Analytical approach to the socio-economic and environmental Impact Assessment</w:t>
            </w:r>
            <w:r w:rsidR="00F57DAF">
              <w:rPr>
                <w:noProof/>
                <w:webHidden/>
              </w:rPr>
              <w:tab/>
            </w:r>
            <w:r w:rsidR="00F57DAF">
              <w:rPr>
                <w:noProof/>
                <w:webHidden/>
              </w:rPr>
              <w:fldChar w:fldCharType="begin"/>
            </w:r>
            <w:r w:rsidR="00F57DAF">
              <w:rPr>
                <w:noProof/>
                <w:webHidden/>
              </w:rPr>
              <w:instrText xml:space="preserve"> PAGEREF _Toc219718354 \h </w:instrText>
            </w:r>
            <w:r w:rsidR="00F57DAF">
              <w:rPr>
                <w:noProof/>
                <w:webHidden/>
              </w:rPr>
            </w:r>
            <w:r w:rsidR="00F57DAF">
              <w:rPr>
                <w:noProof/>
                <w:webHidden/>
              </w:rPr>
              <w:fldChar w:fldCharType="separate"/>
            </w:r>
            <w:r w:rsidR="00F57DAF">
              <w:rPr>
                <w:noProof/>
                <w:webHidden/>
              </w:rPr>
              <w:t>36</w:t>
            </w:r>
            <w:r w:rsidR="00F57DAF">
              <w:rPr>
                <w:noProof/>
                <w:webHidden/>
              </w:rPr>
              <w:fldChar w:fldCharType="end"/>
            </w:r>
          </w:hyperlink>
        </w:p>
        <w:p w14:paraId="6AA5DF29" w14:textId="5814EB9C"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55" w:history="1">
            <w:r w:rsidR="00F57DAF" w:rsidRPr="000E31D2">
              <w:rPr>
                <w:rStyle w:val="Hyperlink"/>
                <w:noProof/>
              </w:rPr>
              <w:t>1.2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Quantification of impact of the different options on FTTH coverage, take-up, average speeds and data consumption (all evidence combined in one document and summarised at the top)</w:t>
            </w:r>
            <w:r w:rsidR="00F57DAF">
              <w:rPr>
                <w:noProof/>
                <w:webHidden/>
              </w:rPr>
              <w:tab/>
            </w:r>
            <w:r w:rsidR="00F57DAF">
              <w:rPr>
                <w:noProof/>
                <w:webHidden/>
              </w:rPr>
              <w:fldChar w:fldCharType="begin"/>
            </w:r>
            <w:r w:rsidR="00F57DAF">
              <w:rPr>
                <w:noProof/>
                <w:webHidden/>
              </w:rPr>
              <w:instrText xml:space="preserve"> PAGEREF _Toc219718355 \h </w:instrText>
            </w:r>
            <w:r w:rsidR="00F57DAF">
              <w:rPr>
                <w:noProof/>
                <w:webHidden/>
              </w:rPr>
            </w:r>
            <w:r w:rsidR="00F57DAF">
              <w:rPr>
                <w:noProof/>
                <w:webHidden/>
              </w:rPr>
              <w:fldChar w:fldCharType="separate"/>
            </w:r>
            <w:r w:rsidR="00F57DAF">
              <w:rPr>
                <w:noProof/>
                <w:webHidden/>
              </w:rPr>
              <w:t>37</w:t>
            </w:r>
            <w:r w:rsidR="00F57DAF">
              <w:rPr>
                <w:noProof/>
                <w:webHidden/>
              </w:rPr>
              <w:fldChar w:fldCharType="end"/>
            </w:r>
          </w:hyperlink>
        </w:p>
        <w:p w14:paraId="786F11D7" w14:textId="63D25BFC"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56" w:history="1">
            <w:r w:rsidR="00F57DAF" w:rsidRPr="000E31D2">
              <w:rPr>
                <w:rStyle w:val="Hyperlink"/>
              </w:rPr>
              <w:t>1.2.1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Impact on FTTH coverage</w:t>
            </w:r>
            <w:r w:rsidR="00F57DAF">
              <w:rPr>
                <w:webHidden/>
              </w:rPr>
              <w:tab/>
            </w:r>
            <w:r w:rsidR="00F57DAF">
              <w:rPr>
                <w:webHidden/>
              </w:rPr>
              <w:fldChar w:fldCharType="begin"/>
            </w:r>
            <w:r w:rsidR="00F57DAF">
              <w:rPr>
                <w:webHidden/>
              </w:rPr>
              <w:instrText xml:space="preserve"> PAGEREF _Toc219718356 \h </w:instrText>
            </w:r>
            <w:r w:rsidR="00F57DAF">
              <w:rPr>
                <w:webHidden/>
              </w:rPr>
            </w:r>
            <w:r w:rsidR="00F57DAF">
              <w:rPr>
                <w:webHidden/>
              </w:rPr>
              <w:fldChar w:fldCharType="separate"/>
            </w:r>
            <w:r w:rsidR="00F57DAF">
              <w:rPr>
                <w:webHidden/>
              </w:rPr>
              <w:t>38</w:t>
            </w:r>
            <w:r w:rsidR="00F57DAF">
              <w:rPr>
                <w:webHidden/>
              </w:rPr>
              <w:fldChar w:fldCharType="end"/>
            </w:r>
          </w:hyperlink>
        </w:p>
        <w:p w14:paraId="580C5F2A" w14:textId="0A68E9D0"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57" w:history="1">
            <w:r w:rsidR="00F57DAF" w:rsidRPr="000E31D2">
              <w:rPr>
                <w:rStyle w:val="Hyperlink"/>
              </w:rPr>
              <w:t>1.2.2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Impact on FTTH penetration and technology mix</w:t>
            </w:r>
            <w:r w:rsidR="00F57DAF">
              <w:rPr>
                <w:webHidden/>
              </w:rPr>
              <w:tab/>
            </w:r>
            <w:r w:rsidR="00F57DAF">
              <w:rPr>
                <w:webHidden/>
              </w:rPr>
              <w:fldChar w:fldCharType="begin"/>
            </w:r>
            <w:r w:rsidR="00F57DAF">
              <w:rPr>
                <w:webHidden/>
              </w:rPr>
              <w:instrText xml:space="preserve"> PAGEREF _Toc219718357 \h </w:instrText>
            </w:r>
            <w:r w:rsidR="00F57DAF">
              <w:rPr>
                <w:webHidden/>
              </w:rPr>
            </w:r>
            <w:r w:rsidR="00F57DAF">
              <w:rPr>
                <w:webHidden/>
              </w:rPr>
              <w:fldChar w:fldCharType="separate"/>
            </w:r>
            <w:r w:rsidR="00F57DAF">
              <w:rPr>
                <w:webHidden/>
              </w:rPr>
              <w:t>40</w:t>
            </w:r>
            <w:r w:rsidR="00F57DAF">
              <w:rPr>
                <w:webHidden/>
              </w:rPr>
              <w:fldChar w:fldCharType="end"/>
            </w:r>
          </w:hyperlink>
        </w:p>
        <w:p w14:paraId="6DABA40C" w14:textId="40BD1AB3"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58" w:history="1">
            <w:r w:rsidR="00F57DAF" w:rsidRPr="000E31D2">
              <w:rPr>
                <w:rStyle w:val="Hyperlink"/>
              </w:rPr>
              <w:t>1.2.3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Impact on speed</w:t>
            </w:r>
            <w:r w:rsidR="00F57DAF">
              <w:rPr>
                <w:webHidden/>
              </w:rPr>
              <w:tab/>
            </w:r>
            <w:r w:rsidR="00F57DAF">
              <w:rPr>
                <w:webHidden/>
              </w:rPr>
              <w:fldChar w:fldCharType="begin"/>
            </w:r>
            <w:r w:rsidR="00F57DAF">
              <w:rPr>
                <w:webHidden/>
              </w:rPr>
              <w:instrText xml:space="preserve"> PAGEREF _Toc219718358 \h </w:instrText>
            </w:r>
            <w:r w:rsidR="00F57DAF">
              <w:rPr>
                <w:webHidden/>
              </w:rPr>
            </w:r>
            <w:r w:rsidR="00F57DAF">
              <w:rPr>
                <w:webHidden/>
              </w:rPr>
              <w:fldChar w:fldCharType="separate"/>
            </w:r>
            <w:r w:rsidR="00F57DAF">
              <w:rPr>
                <w:webHidden/>
              </w:rPr>
              <w:t>44</w:t>
            </w:r>
            <w:r w:rsidR="00F57DAF">
              <w:rPr>
                <w:webHidden/>
              </w:rPr>
              <w:fldChar w:fldCharType="end"/>
            </w:r>
          </w:hyperlink>
        </w:p>
        <w:p w14:paraId="6CC15FBC" w14:textId="3856B3DD"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59" w:history="1">
            <w:r w:rsidR="00F57DAF" w:rsidRPr="000E31D2">
              <w:rPr>
                <w:rStyle w:val="Hyperlink"/>
              </w:rPr>
              <w:t>1.2.4</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Impact on data consumption</w:t>
            </w:r>
            <w:r w:rsidR="00F57DAF">
              <w:rPr>
                <w:webHidden/>
              </w:rPr>
              <w:tab/>
            </w:r>
            <w:r w:rsidR="00F57DAF">
              <w:rPr>
                <w:webHidden/>
              </w:rPr>
              <w:fldChar w:fldCharType="begin"/>
            </w:r>
            <w:r w:rsidR="00F57DAF">
              <w:rPr>
                <w:webHidden/>
              </w:rPr>
              <w:instrText xml:space="preserve"> PAGEREF _Toc219718359 \h </w:instrText>
            </w:r>
            <w:r w:rsidR="00F57DAF">
              <w:rPr>
                <w:webHidden/>
              </w:rPr>
            </w:r>
            <w:r w:rsidR="00F57DAF">
              <w:rPr>
                <w:webHidden/>
              </w:rPr>
              <w:fldChar w:fldCharType="separate"/>
            </w:r>
            <w:r w:rsidR="00F57DAF">
              <w:rPr>
                <w:webHidden/>
              </w:rPr>
              <w:t>50</w:t>
            </w:r>
            <w:r w:rsidR="00F57DAF">
              <w:rPr>
                <w:webHidden/>
              </w:rPr>
              <w:fldChar w:fldCharType="end"/>
            </w:r>
          </w:hyperlink>
        </w:p>
        <w:p w14:paraId="5182A768" w14:textId="2C2F3F75"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60" w:history="1">
            <w:r w:rsidR="00F57DAF" w:rsidRPr="000E31D2">
              <w:rPr>
                <w:rStyle w:val="Hyperlink"/>
                <w:rFonts w:eastAsia="Arial"/>
                <w:noProof/>
              </w:rPr>
              <w:t>1.3</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Economic impacts</w:t>
            </w:r>
            <w:r w:rsidR="00F57DAF">
              <w:rPr>
                <w:noProof/>
                <w:webHidden/>
              </w:rPr>
              <w:tab/>
            </w:r>
            <w:r w:rsidR="00F57DAF">
              <w:rPr>
                <w:noProof/>
                <w:webHidden/>
              </w:rPr>
              <w:fldChar w:fldCharType="begin"/>
            </w:r>
            <w:r w:rsidR="00F57DAF">
              <w:rPr>
                <w:noProof/>
                <w:webHidden/>
              </w:rPr>
              <w:instrText xml:space="preserve"> PAGEREF _Toc219718360 \h </w:instrText>
            </w:r>
            <w:r w:rsidR="00F57DAF">
              <w:rPr>
                <w:noProof/>
                <w:webHidden/>
              </w:rPr>
            </w:r>
            <w:r w:rsidR="00F57DAF">
              <w:rPr>
                <w:noProof/>
                <w:webHidden/>
              </w:rPr>
              <w:fldChar w:fldCharType="separate"/>
            </w:r>
            <w:r w:rsidR="00F57DAF">
              <w:rPr>
                <w:noProof/>
                <w:webHidden/>
              </w:rPr>
              <w:t>55</w:t>
            </w:r>
            <w:r w:rsidR="00F57DAF">
              <w:rPr>
                <w:noProof/>
                <w:webHidden/>
              </w:rPr>
              <w:fldChar w:fldCharType="end"/>
            </w:r>
          </w:hyperlink>
        </w:p>
        <w:p w14:paraId="1C5D2137" w14:textId="7201ADB2"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61" w:history="1">
            <w:r w:rsidR="00F57DAF" w:rsidRPr="000E31D2">
              <w:rPr>
                <w:rStyle w:val="Hyperlink"/>
              </w:rPr>
              <w:t>1.3.1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Economic impact of fixed broadband in the literature</w:t>
            </w:r>
            <w:r w:rsidR="00F57DAF">
              <w:rPr>
                <w:webHidden/>
              </w:rPr>
              <w:tab/>
            </w:r>
            <w:r w:rsidR="00F57DAF">
              <w:rPr>
                <w:webHidden/>
              </w:rPr>
              <w:fldChar w:fldCharType="begin"/>
            </w:r>
            <w:r w:rsidR="00F57DAF">
              <w:rPr>
                <w:webHidden/>
              </w:rPr>
              <w:instrText xml:space="preserve"> PAGEREF _Toc219718361 \h </w:instrText>
            </w:r>
            <w:r w:rsidR="00F57DAF">
              <w:rPr>
                <w:webHidden/>
              </w:rPr>
            </w:r>
            <w:r w:rsidR="00F57DAF">
              <w:rPr>
                <w:webHidden/>
              </w:rPr>
              <w:fldChar w:fldCharType="separate"/>
            </w:r>
            <w:r w:rsidR="00F57DAF">
              <w:rPr>
                <w:webHidden/>
              </w:rPr>
              <w:t>55</w:t>
            </w:r>
            <w:r w:rsidR="00F57DAF">
              <w:rPr>
                <w:webHidden/>
              </w:rPr>
              <w:fldChar w:fldCharType="end"/>
            </w:r>
          </w:hyperlink>
        </w:p>
        <w:p w14:paraId="3BD00C0E" w14:textId="2237AAA9"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62" w:history="1">
            <w:r w:rsidR="00F57DAF" w:rsidRPr="000E31D2">
              <w:rPr>
                <w:rStyle w:val="Hyperlink"/>
              </w:rPr>
              <w:t>1.3.2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Theory-based modelling for the quantitative impacts</w:t>
            </w:r>
            <w:r w:rsidR="00F57DAF">
              <w:rPr>
                <w:webHidden/>
              </w:rPr>
              <w:tab/>
            </w:r>
            <w:r w:rsidR="00F57DAF">
              <w:rPr>
                <w:webHidden/>
              </w:rPr>
              <w:fldChar w:fldCharType="begin"/>
            </w:r>
            <w:r w:rsidR="00F57DAF">
              <w:rPr>
                <w:webHidden/>
              </w:rPr>
              <w:instrText xml:space="preserve"> PAGEREF _Toc219718362 \h </w:instrText>
            </w:r>
            <w:r w:rsidR="00F57DAF">
              <w:rPr>
                <w:webHidden/>
              </w:rPr>
            </w:r>
            <w:r w:rsidR="00F57DAF">
              <w:rPr>
                <w:webHidden/>
              </w:rPr>
              <w:fldChar w:fldCharType="separate"/>
            </w:r>
            <w:r w:rsidR="00F57DAF">
              <w:rPr>
                <w:webHidden/>
              </w:rPr>
              <w:t>61</w:t>
            </w:r>
            <w:r w:rsidR="00F57DAF">
              <w:rPr>
                <w:webHidden/>
              </w:rPr>
              <w:fldChar w:fldCharType="end"/>
            </w:r>
          </w:hyperlink>
        </w:p>
        <w:p w14:paraId="376B3D18" w14:textId="044E2113"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63" w:history="1">
            <w:r w:rsidR="00F57DAF" w:rsidRPr="000E31D2">
              <w:rPr>
                <w:rStyle w:val="Hyperlink"/>
                <w:smallCaps/>
                <w:noProof/>
              </w:rPr>
              <w:t>1.4</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Impacts on society</w:t>
            </w:r>
            <w:r w:rsidR="00F57DAF">
              <w:rPr>
                <w:noProof/>
                <w:webHidden/>
              </w:rPr>
              <w:tab/>
            </w:r>
            <w:r w:rsidR="00F57DAF">
              <w:rPr>
                <w:noProof/>
                <w:webHidden/>
              </w:rPr>
              <w:fldChar w:fldCharType="begin"/>
            </w:r>
            <w:r w:rsidR="00F57DAF">
              <w:rPr>
                <w:noProof/>
                <w:webHidden/>
              </w:rPr>
              <w:instrText xml:space="preserve"> PAGEREF _Toc219718363 \h </w:instrText>
            </w:r>
            <w:r w:rsidR="00F57DAF">
              <w:rPr>
                <w:noProof/>
                <w:webHidden/>
              </w:rPr>
            </w:r>
            <w:r w:rsidR="00F57DAF">
              <w:rPr>
                <w:noProof/>
                <w:webHidden/>
              </w:rPr>
              <w:fldChar w:fldCharType="separate"/>
            </w:r>
            <w:r w:rsidR="00F57DAF">
              <w:rPr>
                <w:noProof/>
                <w:webHidden/>
              </w:rPr>
              <w:t>65</w:t>
            </w:r>
            <w:r w:rsidR="00F57DAF">
              <w:rPr>
                <w:noProof/>
                <w:webHidden/>
              </w:rPr>
              <w:fldChar w:fldCharType="end"/>
            </w:r>
          </w:hyperlink>
        </w:p>
        <w:p w14:paraId="28138A8D" w14:textId="34D91E58"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64" w:history="1">
            <w:r w:rsidR="00F57DAF" w:rsidRPr="000E31D2">
              <w:rPr>
                <w:rStyle w:val="Hyperlink"/>
              </w:rPr>
              <w:t>1.4.1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Societal impact of VHCN</w:t>
            </w:r>
            <w:r w:rsidR="00F57DAF">
              <w:rPr>
                <w:webHidden/>
              </w:rPr>
              <w:tab/>
            </w:r>
            <w:r w:rsidR="00F57DAF">
              <w:rPr>
                <w:webHidden/>
              </w:rPr>
              <w:fldChar w:fldCharType="begin"/>
            </w:r>
            <w:r w:rsidR="00F57DAF">
              <w:rPr>
                <w:webHidden/>
              </w:rPr>
              <w:instrText xml:space="preserve"> PAGEREF _Toc219718364 \h </w:instrText>
            </w:r>
            <w:r w:rsidR="00F57DAF">
              <w:rPr>
                <w:webHidden/>
              </w:rPr>
            </w:r>
            <w:r w:rsidR="00F57DAF">
              <w:rPr>
                <w:webHidden/>
              </w:rPr>
              <w:fldChar w:fldCharType="separate"/>
            </w:r>
            <w:r w:rsidR="00F57DAF">
              <w:rPr>
                <w:webHidden/>
              </w:rPr>
              <w:t>65</w:t>
            </w:r>
            <w:r w:rsidR="00F57DAF">
              <w:rPr>
                <w:webHidden/>
              </w:rPr>
              <w:fldChar w:fldCharType="end"/>
            </w:r>
          </w:hyperlink>
        </w:p>
        <w:p w14:paraId="10B70BFB" w14:textId="429132CB"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65" w:history="1">
            <w:r w:rsidR="00F57DAF" w:rsidRPr="000E31D2">
              <w:rPr>
                <w:rStyle w:val="Hyperlink"/>
                <w:lang w:eastAsia="de-DE"/>
              </w:rPr>
              <w:t>1.4.2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lang w:eastAsia="de-DE"/>
              </w:rPr>
              <w:t>Societal Impact of Internet access on vulnerable consumer groups</w:t>
            </w:r>
            <w:r w:rsidR="00F57DAF">
              <w:rPr>
                <w:webHidden/>
              </w:rPr>
              <w:tab/>
            </w:r>
            <w:r w:rsidR="00F57DAF">
              <w:rPr>
                <w:webHidden/>
              </w:rPr>
              <w:fldChar w:fldCharType="begin"/>
            </w:r>
            <w:r w:rsidR="00F57DAF">
              <w:rPr>
                <w:webHidden/>
              </w:rPr>
              <w:instrText xml:space="preserve"> PAGEREF _Toc219718365 \h </w:instrText>
            </w:r>
            <w:r w:rsidR="00F57DAF">
              <w:rPr>
                <w:webHidden/>
              </w:rPr>
            </w:r>
            <w:r w:rsidR="00F57DAF">
              <w:rPr>
                <w:webHidden/>
              </w:rPr>
              <w:fldChar w:fldCharType="separate"/>
            </w:r>
            <w:r w:rsidR="00F57DAF">
              <w:rPr>
                <w:webHidden/>
              </w:rPr>
              <w:t>68</w:t>
            </w:r>
            <w:r w:rsidR="00F57DAF">
              <w:rPr>
                <w:webHidden/>
              </w:rPr>
              <w:fldChar w:fldCharType="end"/>
            </w:r>
          </w:hyperlink>
        </w:p>
        <w:p w14:paraId="59535DF8" w14:textId="2A9A0388"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66" w:history="1">
            <w:r w:rsidR="00F57DAF" w:rsidRPr="000E31D2">
              <w:rPr>
                <w:rStyle w:val="Hyperlink"/>
                <w:noProof/>
              </w:rPr>
              <w:t>1.5</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Environmental impacts</w:t>
            </w:r>
            <w:r w:rsidR="00F57DAF">
              <w:rPr>
                <w:noProof/>
                <w:webHidden/>
              </w:rPr>
              <w:tab/>
            </w:r>
            <w:r w:rsidR="00F57DAF">
              <w:rPr>
                <w:noProof/>
                <w:webHidden/>
              </w:rPr>
              <w:fldChar w:fldCharType="begin"/>
            </w:r>
            <w:r w:rsidR="00F57DAF">
              <w:rPr>
                <w:noProof/>
                <w:webHidden/>
              </w:rPr>
              <w:instrText xml:space="preserve"> PAGEREF _Toc219718366 \h </w:instrText>
            </w:r>
            <w:r w:rsidR="00F57DAF">
              <w:rPr>
                <w:noProof/>
                <w:webHidden/>
              </w:rPr>
            </w:r>
            <w:r w:rsidR="00F57DAF">
              <w:rPr>
                <w:noProof/>
                <w:webHidden/>
              </w:rPr>
              <w:fldChar w:fldCharType="separate"/>
            </w:r>
            <w:r w:rsidR="00F57DAF">
              <w:rPr>
                <w:noProof/>
                <w:webHidden/>
              </w:rPr>
              <w:t>70</w:t>
            </w:r>
            <w:r w:rsidR="00F57DAF">
              <w:rPr>
                <w:noProof/>
                <w:webHidden/>
              </w:rPr>
              <w:fldChar w:fldCharType="end"/>
            </w:r>
          </w:hyperlink>
        </w:p>
        <w:p w14:paraId="6E48DF5D" w14:textId="29C781BC"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67" w:history="1">
            <w:r w:rsidR="00F57DAF" w:rsidRPr="000E31D2">
              <w:rPr>
                <w:rStyle w:val="Hyperlink"/>
              </w:rPr>
              <w:t>1.5.1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The lifecycle of environmental impacts linked to networks</w:t>
            </w:r>
            <w:r w:rsidR="00F57DAF">
              <w:rPr>
                <w:webHidden/>
              </w:rPr>
              <w:tab/>
            </w:r>
            <w:r w:rsidR="00F57DAF">
              <w:rPr>
                <w:webHidden/>
              </w:rPr>
              <w:fldChar w:fldCharType="begin"/>
            </w:r>
            <w:r w:rsidR="00F57DAF">
              <w:rPr>
                <w:webHidden/>
              </w:rPr>
              <w:instrText xml:space="preserve"> PAGEREF _Toc219718367 \h </w:instrText>
            </w:r>
            <w:r w:rsidR="00F57DAF">
              <w:rPr>
                <w:webHidden/>
              </w:rPr>
            </w:r>
            <w:r w:rsidR="00F57DAF">
              <w:rPr>
                <w:webHidden/>
              </w:rPr>
              <w:fldChar w:fldCharType="separate"/>
            </w:r>
            <w:r w:rsidR="00F57DAF">
              <w:rPr>
                <w:webHidden/>
              </w:rPr>
              <w:t>70</w:t>
            </w:r>
            <w:r w:rsidR="00F57DAF">
              <w:rPr>
                <w:webHidden/>
              </w:rPr>
              <w:fldChar w:fldCharType="end"/>
            </w:r>
          </w:hyperlink>
        </w:p>
        <w:p w14:paraId="7CADDEAE" w14:textId="44C4FCC3"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68" w:history="1">
            <w:r w:rsidR="00F57DAF" w:rsidRPr="000E31D2">
              <w:rPr>
                <w:rStyle w:val="Hyperlink"/>
              </w:rPr>
              <w:t>1.5.2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Fixed network deployment</w:t>
            </w:r>
            <w:r w:rsidR="00F57DAF">
              <w:rPr>
                <w:webHidden/>
              </w:rPr>
              <w:tab/>
            </w:r>
            <w:r w:rsidR="00F57DAF">
              <w:rPr>
                <w:webHidden/>
              </w:rPr>
              <w:fldChar w:fldCharType="begin"/>
            </w:r>
            <w:r w:rsidR="00F57DAF">
              <w:rPr>
                <w:webHidden/>
              </w:rPr>
              <w:instrText xml:space="preserve"> PAGEREF _Toc219718368 \h </w:instrText>
            </w:r>
            <w:r w:rsidR="00F57DAF">
              <w:rPr>
                <w:webHidden/>
              </w:rPr>
            </w:r>
            <w:r w:rsidR="00F57DAF">
              <w:rPr>
                <w:webHidden/>
              </w:rPr>
              <w:fldChar w:fldCharType="separate"/>
            </w:r>
            <w:r w:rsidR="00F57DAF">
              <w:rPr>
                <w:webHidden/>
              </w:rPr>
              <w:t>72</w:t>
            </w:r>
            <w:r w:rsidR="00F57DAF">
              <w:rPr>
                <w:webHidden/>
              </w:rPr>
              <w:fldChar w:fldCharType="end"/>
            </w:r>
          </w:hyperlink>
        </w:p>
        <w:p w14:paraId="3544A8A1" w14:textId="36E8E890"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69" w:history="1">
            <w:r w:rsidR="00F57DAF" w:rsidRPr="000E31D2">
              <w:rPr>
                <w:rStyle w:val="Hyperlink"/>
              </w:rPr>
              <w:t>1.5.3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Fixed network operation</w:t>
            </w:r>
            <w:r w:rsidR="00F57DAF">
              <w:rPr>
                <w:webHidden/>
              </w:rPr>
              <w:tab/>
            </w:r>
            <w:r w:rsidR="00F57DAF">
              <w:rPr>
                <w:webHidden/>
              </w:rPr>
              <w:fldChar w:fldCharType="begin"/>
            </w:r>
            <w:r w:rsidR="00F57DAF">
              <w:rPr>
                <w:webHidden/>
              </w:rPr>
              <w:instrText xml:space="preserve"> PAGEREF _Toc219718369 \h </w:instrText>
            </w:r>
            <w:r w:rsidR="00F57DAF">
              <w:rPr>
                <w:webHidden/>
              </w:rPr>
            </w:r>
            <w:r w:rsidR="00F57DAF">
              <w:rPr>
                <w:webHidden/>
              </w:rPr>
              <w:fldChar w:fldCharType="separate"/>
            </w:r>
            <w:r w:rsidR="00F57DAF">
              <w:rPr>
                <w:webHidden/>
              </w:rPr>
              <w:t>72</w:t>
            </w:r>
            <w:r w:rsidR="00F57DAF">
              <w:rPr>
                <w:webHidden/>
              </w:rPr>
              <w:fldChar w:fldCharType="end"/>
            </w:r>
          </w:hyperlink>
        </w:p>
        <w:p w14:paraId="2606063A" w14:textId="745B3AC2"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70" w:history="1">
            <w:r w:rsidR="00F57DAF" w:rsidRPr="000E31D2">
              <w:rPr>
                <w:rStyle w:val="Hyperlink"/>
              </w:rPr>
              <w:t>1.5.4</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Fixed network end-of life</w:t>
            </w:r>
            <w:r w:rsidR="00F57DAF">
              <w:rPr>
                <w:webHidden/>
              </w:rPr>
              <w:tab/>
            </w:r>
            <w:r w:rsidR="00F57DAF">
              <w:rPr>
                <w:webHidden/>
              </w:rPr>
              <w:fldChar w:fldCharType="begin"/>
            </w:r>
            <w:r w:rsidR="00F57DAF">
              <w:rPr>
                <w:webHidden/>
              </w:rPr>
              <w:instrText xml:space="preserve"> PAGEREF _Toc219718370 \h </w:instrText>
            </w:r>
            <w:r w:rsidR="00F57DAF">
              <w:rPr>
                <w:webHidden/>
              </w:rPr>
            </w:r>
            <w:r w:rsidR="00F57DAF">
              <w:rPr>
                <w:webHidden/>
              </w:rPr>
              <w:fldChar w:fldCharType="separate"/>
            </w:r>
            <w:r w:rsidR="00F57DAF">
              <w:rPr>
                <w:webHidden/>
              </w:rPr>
              <w:t>84</w:t>
            </w:r>
            <w:r w:rsidR="00F57DAF">
              <w:rPr>
                <w:webHidden/>
              </w:rPr>
              <w:fldChar w:fldCharType="end"/>
            </w:r>
          </w:hyperlink>
        </w:p>
        <w:p w14:paraId="50299B76" w14:textId="244FE9B5"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71" w:history="1">
            <w:r w:rsidR="00F57DAF" w:rsidRPr="000E31D2">
              <w:rPr>
                <w:rStyle w:val="Hyperlink"/>
                <w:bCs/>
                <w:noProof/>
              </w:rPr>
              <w:t>1.6</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Methodology for estimation of fragmentation costs</w:t>
            </w:r>
            <w:r w:rsidR="00F57DAF">
              <w:rPr>
                <w:noProof/>
                <w:webHidden/>
              </w:rPr>
              <w:tab/>
            </w:r>
            <w:r w:rsidR="00F57DAF">
              <w:rPr>
                <w:noProof/>
                <w:webHidden/>
              </w:rPr>
              <w:fldChar w:fldCharType="begin"/>
            </w:r>
            <w:r w:rsidR="00F57DAF">
              <w:rPr>
                <w:noProof/>
                <w:webHidden/>
              </w:rPr>
              <w:instrText xml:space="preserve"> PAGEREF _Toc219718371 \h </w:instrText>
            </w:r>
            <w:r w:rsidR="00F57DAF">
              <w:rPr>
                <w:noProof/>
                <w:webHidden/>
              </w:rPr>
            </w:r>
            <w:r w:rsidR="00F57DAF">
              <w:rPr>
                <w:noProof/>
                <w:webHidden/>
              </w:rPr>
              <w:fldChar w:fldCharType="separate"/>
            </w:r>
            <w:r w:rsidR="00F57DAF">
              <w:rPr>
                <w:noProof/>
                <w:webHidden/>
              </w:rPr>
              <w:t>85</w:t>
            </w:r>
            <w:r w:rsidR="00F57DAF">
              <w:rPr>
                <w:noProof/>
                <w:webHidden/>
              </w:rPr>
              <w:fldChar w:fldCharType="end"/>
            </w:r>
          </w:hyperlink>
        </w:p>
        <w:p w14:paraId="673DE724" w14:textId="75716068"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72"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Methodology for the modelling and quantitative Impact Assessment of the Spectrum options</w:t>
            </w:r>
            <w:r w:rsidR="00F57DAF">
              <w:rPr>
                <w:noProof/>
                <w:webHidden/>
              </w:rPr>
              <w:tab/>
            </w:r>
            <w:r w:rsidR="00F57DAF">
              <w:rPr>
                <w:noProof/>
                <w:webHidden/>
              </w:rPr>
              <w:fldChar w:fldCharType="begin"/>
            </w:r>
            <w:r w:rsidR="00F57DAF">
              <w:rPr>
                <w:noProof/>
                <w:webHidden/>
              </w:rPr>
              <w:instrText xml:space="preserve"> PAGEREF _Toc219718372 \h </w:instrText>
            </w:r>
            <w:r w:rsidR="00F57DAF">
              <w:rPr>
                <w:noProof/>
                <w:webHidden/>
              </w:rPr>
            </w:r>
            <w:r w:rsidR="00F57DAF">
              <w:rPr>
                <w:noProof/>
                <w:webHidden/>
              </w:rPr>
              <w:fldChar w:fldCharType="separate"/>
            </w:r>
            <w:r w:rsidR="00F57DAF">
              <w:rPr>
                <w:noProof/>
                <w:webHidden/>
              </w:rPr>
              <w:t>88</w:t>
            </w:r>
            <w:r w:rsidR="00F57DAF">
              <w:rPr>
                <w:noProof/>
                <w:webHidden/>
              </w:rPr>
              <w:fldChar w:fldCharType="end"/>
            </w:r>
          </w:hyperlink>
        </w:p>
        <w:p w14:paraId="4CD931C9" w14:textId="03E1C591"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73" w:history="1">
            <w:r w:rsidR="00F57DAF" w:rsidRPr="000E31D2">
              <w:rPr>
                <w:rStyle w:val="Hyperlink"/>
                <w:noProof/>
              </w:rPr>
              <w:t>2.1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Overview of the methodology</w:t>
            </w:r>
            <w:r w:rsidR="00F57DAF">
              <w:rPr>
                <w:noProof/>
                <w:webHidden/>
              </w:rPr>
              <w:tab/>
            </w:r>
            <w:r w:rsidR="00F57DAF">
              <w:rPr>
                <w:noProof/>
                <w:webHidden/>
              </w:rPr>
              <w:fldChar w:fldCharType="begin"/>
            </w:r>
            <w:r w:rsidR="00F57DAF">
              <w:rPr>
                <w:noProof/>
                <w:webHidden/>
              </w:rPr>
              <w:instrText xml:space="preserve"> PAGEREF _Toc219718373 \h </w:instrText>
            </w:r>
            <w:r w:rsidR="00F57DAF">
              <w:rPr>
                <w:noProof/>
                <w:webHidden/>
              </w:rPr>
            </w:r>
            <w:r w:rsidR="00F57DAF">
              <w:rPr>
                <w:noProof/>
                <w:webHidden/>
              </w:rPr>
              <w:fldChar w:fldCharType="separate"/>
            </w:r>
            <w:r w:rsidR="00F57DAF">
              <w:rPr>
                <w:noProof/>
                <w:webHidden/>
              </w:rPr>
              <w:t>88</w:t>
            </w:r>
            <w:r w:rsidR="00F57DAF">
              <w:rPr>
                <w:noProof/>
                <w:webHidden/>
              </w:rPr>
              <w:fldChar w:fldCharType="end"/>
            </w:r>
          </w:hyperlink>
        </w:p>
        <w:p w14:paraId="4357C077" w14:textId="617F7A4E"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74" w:history="1">
            <w:r w:rsidR="00F57DAF" w:rsidRPr="000E31D2">
              <w:rPr>
                <w:rStyle w:val="Hyperlink"/>
                <w:noProof/>
              </w:rPr>
              <w:t>2.2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Options considered</w:t>
            </w:r>
            <w:r w:rsidR="00F57DAF">
              <w:rPr>
                <w:noProof/>
                <w:webHidden/>
              </w:rPr>
              <w:tab/>
            </w:r>
            <w:r w:rsidR="00F57DAF">
              <w:rPr>
                <w:noProof/>
                <w:webHidden/>
              </w:rPr>
              <w:fldChar w:fldCharType="begin"/>
            </w:r>
            <w:r w:rsidR="00F57DAF">
              <w:rPr>
                <w:noProof/>
                <w:webHidden/>
              </w:rPr>
              <w:instrText xml:space="preserve"> PAGEREF _Toc219718374 \h </w:instrText>
            </w:r>
            <w:r w:rsidR="00F57DAF">
              <w:rPr>
                <w:noProof/>
                <w:webHidden/>
              </w:rPr>
            </w:r>
            <w:r w:rsidR="00F57DAF">
              <w:rPr>
                <w:noProof/>
                <w:webHidden/>
              </w:rPr>
              <w:fldChar w:fldCharType="separate"/>
            </w:r>
            <w:r w:rsidR="00F57DAF">
              <w:rPr>
                <w:noProof/>
                <w:webHidden/>
              </w:rPr>
              <w:t>90</w:t>
            </w:r>
            <w:r w:rsidR="00F57DAF">
              <w:rPr>
                <w:noProof/>
                <w:webHidden/>
              </w:rPr>
              <w:fldChar w:fldCharType="end"/>
            </w:r>
          </w:hyperlink>
        </w:p>
        <w:p w14:paraId="187F63E8" w14:textId="432B504D"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75" w:history="1">
            <w:r w:rsidR="00F57DAF" w:rsidRPr="000E31D2">
              <w:rPr>
                <w:rStyle w:val="Hyperlink"/>
                <w:noProof/>
              </w:rPr>
              <w:t>2.3</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Assumptions concerning the effect of spectrum related policy measures on mid-banc coverage, download speeds and data consumption</w:t>
            </w:r>
            <w:r w:rsidR="00F57DAF">
              <w:rPr>
                <w:noProof/>
                <w:webHidden/>
              </w:rPr>
              <w:tab/>
            </w:r>
            <w:r w:rsidR="00F57DAF">
              <w:rPr>
                <w:noProof/>
                <w:webHidden/>
              </w:rPr>
              <w:fldChar w:fldCharType="begin"/>
            </w:r>
            <w:r w:rsidR="00F57DAF">
              <w:rPr>
                <w:noProof/>
                <w:webHidden/>
              </w:rPr>
              <w:instrText xml:space="preserve"> PAGEREF _Toc219718375 \h </w:instrText>
            </w:r>
            <w:r w:rsidR="00F57DAF">
              <w:rPr>
                <w:noProof/>
                <w:webHidden/>
              </w:rPr>
            </w:r>
            <w:r w:rsidR="00F57DAF">
              <w:rPr>
                <w:noProof/>
                <w:webHidden/>
              </w:rPr>
              <w:fldChar w:fldCharType="separate"/>
            </w:r>
            <w:r w:rsidR="00F57DAF">
              <w:rPr>
                <w:noProof/>
                <w:webHidden/>
              </w:rPr>
              <w:t>92</w:t>
            </w:r>
            <w:r w:rsidR="00F57DAF">
              <w:rPr>
                <w:noProof/>
                <w:webHidden/>
              </w:rPr>
              <w:fldChar w:fldCharType="end"/>
            </w:r>
          </w:hyperlink>
        </w:p>
        <w:p w14:paraId="6A288A7A" w14:textId="0CBBF521"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76" w:history="1">
            <w:r w:rsidR="00F57DAF" w:rsidRPr="000E31D2">
              <w:rPr>
                <w:rStyle w:val="Hyperlink"/>
              </w:rPr>
              <w:t>2.3.1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Intervention logic linking mobile policies with outputs</w:t>
            </w:r>
            <w:r w:rsidR="00F57DAF">
              <w:rPr>
                <w:webHidden/>
              </w:rPr>
              <w:tab/>
            </w:r>
            <w:r w:rsidR="00F57DAF">
              <w:rPr>
                <w:webHidden/>
              </w:rPr>
              <w:fldChar w:fldCharType="begin"/>
            </w:r>
            <w:r w:rsidR="00F57DAF">
              <w:rPr>
                <w:webHidden/>
              </w:rPr>
              <w:instrText xml:space="preserve"> PAGEREF _Toc219718376 \h </w:instrText>
            </w:r>
            <w:r w:rsidR="00F57DAF">
              <w:rPr>
                <w:webHidden/>
              </w:rPr>
            </w:r>
            <w:r w:rsidR="00F57DAF">
              <w:rPr>
                <w:webHidden/>
              </w:rPr>
              <w:fldChar w:fldCharType="separate"/>
            </w:r>
            <w:r w:rsidR="00F57DAF">
              <w:rPr>
                <w:webHidden/>
              </w:rPr>
              <w:t>92</w:t>
            </w:r>
            <w:r w:rsidR="00F57DAF">
              <w:rPr>
                <w:webHidden/>
              </w:rPr>
              <w:fldChar w:fldCharType="end"/>
            </w:r>
          </w:hyperlink>
        </w:p>
        <w:p w14:paraId="30556A4D" w14:textId="29C1A947"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77" w:history="1">
            <w:r w:rsidR="00F57DAF" w:rsidRPr="000E31D2">
              <w:rPr>
                <w:rStyle w:val="Hyperlink"/>
              </w:rPr>
              <w:t>2.3.2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Translation of directional effects into quantitative input assumptions</w:t>
            </w:r>
            <w:r w:rsidR="00F57DAF">
              <w:rPr>
                <w:webHidden/>
              </w:rPr>
              <w:tab/>
            </w:r>
            <w:r w:rsidR="00F57DAF">
              <w:rPr>
                <w:webHidden/>
              </w:rPr>
              <w:fldChar w:fldCharType="begin"/>
            </w:r>
            <w:r w:rsidR="00F57DAF">
              <w:rPr>
                <w:webHidden/>
              </w:rPr>
              <w:instrText xml:space="preserve"> PAGEREF _Toc219718377 \h </w:instrText>
            </w:r>
            <w:r w:rsidR="00F57DAF">
              <w:rPr>
                <w:webHidden/>
              </w:rPr>
            </w:r>
            <w:r w:rsidR="00F57DAF">
              <w:rPr>
                <w:webHidden/>
              </w:rPr>
              <w:fldChar w:fldCharType="separate"/>
            </w:r>
            <w:r w:rsidR="00F57DAF">
              <w:rPr>
                <w:webHidden/>
              </w:rPr>
              <w:t>95</w:t>
            </w:r>
            <w:r w:rsidR="00F57DAF">
              <w:rPr>
                <w:webHidden/>
              </w:rPr>
              <w:fldChar w:fldCharType="end"/>
            </w:r>
          </w:hyperlink>
        </w:p>
        <w:p w14:paraId="57DBC8BD" w14:textId="3751C0DC"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78" w:history="1">
            <w:r w:rsidR="00F57DAF" w:rsidRPr="000E31D2">
              <w:rPr>
                <w:rStyle w:val="Hyperlink"/>
                <w:noProof/>
              </w:rPr>
              <w:t>2.4</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Methodology for the estimation of GDP impacts resulting from increases in full 5G adoption and associated speed increases</w:t>
            </w:r>
            <w:r w:rsidR="00F57DAF">
              <w:rPr>
                <w:noProof/>
                <w:webHidden/>
              </w:rPr>
              <w:tab/>
            </w:r>
            <w:r w:rsidR="00F57DAF">
              <w:rPr>
                <w:noProof/>
                <w:webHidden/>
              </w:rPr>
              <w:fldChar w:fldCharType="begin"/>
            </w:r>
            <w:r w:rsidR="00F57DAF">
              <w:rPr>
                <w:noProof/>
                <w:webHidden/>
              </w:rPr>
              <w:instrText xml:space="preserve"> PAGEREF _Toc219718378 \h </w:instrText>
            </w:r>
            <w:r w:rsidR="00F57DAF">
              <w:rPr>
                <w:noProof/>
                <w:webHidden/>
              </w:rPr>
            </w:r>
            <w:r w:rsidR="00F57DAF">
              <w:rPr>
                <w:noProof/>
                <w:webHidden/>
              </w:rPr>
              <w:fldChar w:fldCharType="separate"/>
            </w:r>
            <w:r w:rsidR="00F57DAF">
              <w:rPr>
                <w:noProof/>
                <w:webHidden/>
              </w:rPr>
              <w:t>114</w:t>
            </w:r>
            <w:r w:rsidR="00F57DAF">
              <w:rPr>
                <w:noProof/>
                <w:webHidden/>
              </w:rPr>
              <w:fldChar w:fldCharType="end"/>
            </w:r>
          </w:hyperlink>
        </w:p>
        <w:p w14:paraId="25B0E06A" w14:textId="28D5B4E8"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79" w:history="1">
            <w:r w:rsidR="00F57DAF" w:rsidRPr="000E31D2">
              <w:rPr>
                <w:rStyle w:val="Hyperlink"/>
                <w:noProof/>
              </w:rPr>
              <w:t>2.5</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Methodology for the estimation of environmental impacts</w:t>
            </w:r>
            <w:r w:rsidR="00F57DAF">
              <w:rPr>
                <w:noProof/>
                <w:webHidden/>
              </w:rPr>
              <w:tab/>
            </w:r>
            <w:r w:rsidR="00F57DAF">
              <w:rPr>
                <w:noProof/>
                <w:webHidden/>
              </w:rPr>
              <w:fldChar w:fldCharType="begin"/>
            </w:r>
            <w:r w:rsidR="00F57DAF">
              <w:rPr>
                <w:noProof/>
                <w:webHidden/>
              </w:rPr>
              <w:instrText xml:space="preserve"> PAGEREF _Toc219718379 \h </w:instrText>
            </w:r>
            <w:r w:rsidR="00F57DAF">
              <w:rPr>
                <w:noProof/>
                <w:webHidden/>
              </w:rPr>
            </w:r>
            <w:r w:rsidR="00F57DAF">
              <w:rPr>
                <w:noProof/>
                <w:webHidden/>
              </w:rPr>
              <w:fldChar w:fldCharType="separate"/>
            </w:r>
            <w:r w:rsidR="00F57DAF">
              <w:rPr>
                <w:noProof/>
                <w:webHidden/>
              </w:rPr>
              <w:t>117</w:t>
            </w:r>
            <w:r w:rsidR="00F57DAF">
              <w:rPr>
                <w:noProof/>
                <w:webHidden/>
              </w:rPr>
              <w:fldChar w:fldCharType="end"/>
            </w:r>
          </w:hyperlink>
        </w:p>
        <w:p w14:paraId="0D9E0F9D" w14:textId="27230FD7"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80" w:history="1">
            <w:r w:rsidR="00F57DAF" w:rsidRPr="000E31D2">
              <w:rPr>
                <w:rStyle w:val="Hyperlink"/>
                <w:noProof/>
              </w:rPr>
              <w:t>2.6</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Findings</w:t>
            </w:r>
            <w:r w:rsidR="00F57DAF">
              <w:rPr>
                <w:noProof/>
                <w:webHidden/>
              </w:rPr>
              <w:tab/>
            </w:r>
            <w:r w:rsidR="00F57DAF">
              <w:rPr>
                <w:noProof/>
                <w:webHidden/>
              </w:rPr>
              <w:fldChar w:fldCharType="begin"/>
            </w:r>
            <w:r w:rsidR="00F57DAF">
              <w:rPr>
                <w:noProof/>
                <w:webHidden/>
              </w:rPr>
              <w:instrText xml:space="preserve"> PAGEREF _Toc219718380 \h </w:instrText>
            </w:r>
            <w:r w:rsidR="00F57DAF">
              <w:rPr>
                <w:noProof/>
                <w:webHidden/>
              </w:rPr>
            </w:r>
            <w:r w:rsidR="00F57DAF">
              <w:rPr>
                <w:noProof/>
                <w:webHidden/>
              </w:rPr>
              <w:fldChar w:fldCharType="separate"/>
            </w:r>
            <w:r w:rsidR="00F57DAF">
              <w:rPr>
                <w:noProof/>
                <w:webHidden/>
              </w:rPr>
              <w:t>119</w:t>
            </w:r>
            <w:r w:rsidR="00F57DAF">
              <w:rPr>
                <w:noProof/>
                <w:webHidden/>
              </w:rPr>
              <w:fldChar w:fldCharType="end"/>
            </w:r>
          </w:hyperlink>
        </w:p>
        <w:p w14:paraId="03C9A9FE" w14:textId="245E6809"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381" w:history="1">
            <w:r w:rsidR="00F57DAF" w:rsidRPr="000E31D2">
              <w:rPr>
                <w:rStyle w:val="Hyperlink"/>
                <w:noProof/>
              </w:rPr>
              <w:t>3</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Methodology for the analysis of spectrum-auction regulatory approaches and market outcomes</w:t>
            </w:r>
            <w:r w:rsidR="00F57DAF">
              <w:rPr>
                <w:noProof/>
                <w:webHidden/>
              </w:rPr>
              <w:tab/>
            </w:r>
            <w:r w:rsidR="00F57DAF">
              <w:rPr>
                <w:noProof/>
                <w:webHidden/>
              </w:rPr>
              <w:fldChar w:fldCharType="begin"/>
            </w:r>
            <w:r w:rsidR="00F57DAF">
              <w:rPr>
                <w:noProof/>
                <w:webHidden/>
              </w:rPr>
              <w:instrText xml:space="preserve"> PAGEREF _Toc219718381 \h </w:instrText>
            </w:r>
            <w:r w:rsidR="00F57DAF">
              <w:rPr>
                <w:noProof/>
                <w:webHidden/>
              </w:rPr>
            </w:r>
            <w:r w:rsidR="00F57DAF">
              <w:rPr>
                <w:noProof/>
                <w:webHidden/>
              </w:rPr>
              <w:fldChar w:fldCharType="separate"/>
            </w:r>
            <w:r w:rsidR="00F57DAF">
              <w:rPr>
                <w:noProof/>
                <w:webHidden/>
              </w:rPr>
              <w:t>121</w:t>
            </w:r>
            <w:r w:rsidR="00F57DAF">
              <w:rPr>
                <w:noProof/>
                <w:webHidden/>
              </w:rPr>
              <w:fldChar w:fldCharType="end"/>
            </w:r>
          </w:hyperlink>
        </w:p>
        <w:p w14:paraId="6A8B3256" w14:textId="72E3827A"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82" w:history="1">
            <w:r w:rsidR="00F57DAF" w:rsidRPr="000E31D2">
              <w:rPr>
                <w:rStyle w:val="Hyperlink"/>
                <w:rFonts w:eastAsia="Aptos Display"/>
                <w:noProof/>
              </w:rPr>
              <w:t>3.1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rFonts w:eastAsia="Aptos Display"/>
                <w:noProof/>
              </w:rPr>
              <w:t>Introduction</w:t>
            </w:r>
            <w:r w:rsidR="00F57DAF">
              <w:rPr>
                <w:noProof/>
                <w:webHidden/>
              </w:rPr>
              <w:tab/>
            </w:r>
            <w:r w:rsidR="00F57DAF">
              <w:rPr>
                <w:noProof/>
                <w:webHidden/>
              </w:rPr>
              <w:fldChar w:fldCharType="begin"/>
            </w:r>
            <w:r w:rsidR="00F57DAF">
              <w:rPr>
                <w:noProof/>
                <w:webHidden/>
              </w:rPr>
              <w:instrText xml:space="preserve"> PAGEREF _Toc219718382 \h </w:instrText>
            </w:r>
            <w:r w:rsidR="00F57DAF">
              <w:rPr>
                <w:noProof/>
                <w:webHidden/>
              </w:rPr>
            </w:r>
            <w:r w:rsidR="00F57DAF">
              <w:rPr>
                <w:noProof/>
                <w:webHidden/>
              </w:rPr>
              <w:fldChar w:fldCharType="separate"/>
            </w:r>
            <w:r w:rsidR="00F57DAF">
              <w:rPr>
                <w:noProof/>
                <w:webHidden/>
              </w:rPr>
              <w:t>121</w:t>
            </w:r>
            <w:r w:rsidR="00F57DAF">
              <w:rPr>
                <w:noProof/>
                <w:webHidden/>
              </w:rPr>
              <w:fldChar w:fldCharType="end"/>
            </w:r>
          </w:hyperlink>
        </w:p>
        <w:p w14:paraId="79170EDD" w14:textId="7D124425"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83" w:history="1">
            <w:r w:rsidR="00F57DAF" w:rsidRPr="000E31D2">
              <w:rPr>
                <w:rStyle w:val="Hyperlink"/>
                <w:rFonts w:eastAsia="Aptos Display"/>
                <w:noProof/>
              </w:rPr>
              <w:t>3.2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rFonts w:eastAsia="Aptos Display"/>
                <w:noProof/>
              </w:rPr>
              <w:t>Fragmented Market Outcomes</w:t>
            </w:r>
            <w:r w:rsidR="00F57DAF">
              <w:rPr>
                <w:noProof/>
                <w:webHidden/>
              </w:rPr>
              <w:tab/>
            </w:r>
            <w:r w:rsidR="00F57DAF">
              <w:rPr>
                <w:noProof/>
                <w:webHidden/>
              </w:rPr>
              <w:fldChar w:fldCharType="begin"/>
            </w:r>
            <w:r w:rsidR="00F57DAF">
              <w:rPr>
                <w:noProof/>
                <w:webHidden/>
              </w:rPr>
              <w:instrText xml:space="preserve"> PAGEREF _Toc219718383 \h </w:instrText>
            </w:r>
            <w:r w:rsidR="00F57DAF">
              <w:rPr>
                <w:noProof/>
                <w:webHidden/>
              </w:rPr>
            </w:r>
            <w:r w:rsidR="00F57DAF">
              <w:rPr>
                <w:noProof/>
                <w:webHidden/>
              </w:rPr>
              <w:fldChar w:fldCharType="separate"/>
            </w:r>
            <w:r w:rsidR="00F57DAF">
              <w:rPr>
                <w:noProof/>
                <w:webHidden/>
              </w:rPr>
              <w:t>122</w:t>
            </w:r>
            <w:r w:rsidR="00F57DAF">
              <w:rPr>
                <w:noProof/>
                <w:webHidden/>
              </w:rPr>
              <w:fldChar w:fldCharType="end"/>
            </w:r>
          </w:hyperlink>
        </w:p>
        <w:p w14:paraId="04A23DA2" w14:textId="6687BFA2"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84" w:history="1">
            <w:r w:rsidR="00F57DAF" w:rsidRPr="000E31D2">
              <w:rPr>
                <w:rStyle w:val="Hyperlink"/>
                <w:rFonts w:eastAsia="Aptos Display"/>
              </w:rPr>
              <w:t>3.2.1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Selection of market-outcome indicators</w:t>
            </w:r>
            <w:r w:rsidR="00F57DAF">
              <w:rPr>
                <w:webHidden/>
              </w:rPr>
              <w:tab/>
            </w:r>
            <w:r w:rsidR="00F57DAF">
              <w:rPr>
                <w:webHidden/>
              </w:rPr>
              <w:fldChar w:fldCharType="begin"/>
            </w:r>
            <w:r w:rsidR="00F57DAF">
              <w:rPr>
                <w:webHidden/>
              </w:rPr>
              <w:instrText xml:space="preserve"> PAGEREF _Toc219718384 \h </w:instrText>
            </w:r>
            <w:r w:rsidR="00F57DAF">
              <w:rPr>
                <w:webHidden/>
              </w:rPr>
            </w:r>
            <w:r w:rsidR="00F57DAF">
              <w:rPr>
                <w:webHidden/>
              </w:rPr>
              <w:fldChar w:fldCharType="separate"/>
            </w:r>
            <w:r w:rsidR="00F57DAF">
              <w:rPr>
                <w:webHidden/>
              </w:rPr>
              <w:t>122</w:t>
            </w:r>
            <w:r w:rsidR="00F57DAF">
              <w:rPr>
                <w:webHidden/>
              </w:rPr>
              <w:fldChar w:fldCharType="end"/>
            </w:r>
          </w:hyperlink>
        </w:p>
        <w:p w14:paraId="5F232161" w14:textId="4328018B"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85" w:history="1">
            <w:r w:rsidR="00F57DAF" w:rsidRPr="000E31D2">
              <w:rPr>
                <w:rStyle w:val="Hyperlink"/>
                <w:rFonts w:eastAsia="Aptos Display"/>
              </w:rPr>
              <w:t>3.2.2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Data sources</w:t>
            </w:r>
            <w:r w:rsidR="00F57DAF">
              <w:rPr>
                <w:webHidden/>
              </w:rPr>
              <w:tab/>
            </w:r>
            <w:r w:rsidR="00F57DAF">
              <w:rPr>
                <w:webHidden/>
              </w:rPr>
              <w:fldChar w:fldCharType="begin"/>
            </w:r>
            <w:r w:rsidR="00F57DAF">
              <w:rPr>
                <w:webHidden/>
              </w:rPr>
              <w:instrText xml:space="preserve"> PAGEREF _Toc219718385 \h </w:instrText>
            </w:r>
            <w:r w:rsidR="00F57DAF">
              <w:rPr>
                <w:webHidden/>
              </w:rPr>
            </w:r>
            <w:r w:rsidR="00F57DAF">
              <w:rPr>
                <w:webHidden/>
              </w:rPr>
              <w:fldChar w:fldCharType="separate"/>
            </w:r>
            <w:r w:rsidR="00F57DAF">
              <w:rPr>
                <w:webHidden/>
              </w:rPr>
              <w:t>122</w:t>
            </w:r>
            <w:r w:rsidR="00F57DAF">
              <w:rPr>
                <w:webHidden/>
              </w:rPr>
              <w:fldChar w:fldCharType="end"/>
            </w:r>
          </w:hyperlink>
        </w:p>
        <w:p w14:paraId="61C4628C" w14:textId="0F0F760E"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86" w:history="1">
            <w:r w:rsidR="00F57DAF" w:rsidRPr="000E31D2">
              <w:rPr>
                <w:rStyle w:val="Hyperlink"/>
                <w:rFonts w:eastAsia="Aptos Display"/>
              </w:rPr>
              <w:t>3.2.3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Member States considered in the analysis</w:t>
            </w:r>
            <w:r w:rsidR="00F57DAF">
              <w:rPr>
                <w:webHidden/>
              </w:rPr>
              <w:tab/>
            </w:r>
            <w:r w:rsidR="00F57DAF">
              <w:rPr>
                <w:webHidden/>
              </w:rPr>
              <w:fldChar w:fldCharType="begin"/>
            </w:r>
            <w:r w:rsidR="00F57DAF">
              <w:rPr>
                <w:webHidden/>
              </w:rPr>
              <w:instrText xml:space="preserve"> PAGEREF _Toc219718386 \h </w:instrText>
            </w:r>
            <w:r w:rsidR="00F57DAF">
              <w:rPr>
                <w:webHidden/>
              </w:rPr>
            </w:r>
            <w:r w:rsidR="00F57DAF">
              <w:rPr>
                <w:webHidden/>
              </w:rPr>
              <w:fldChar w:fldCharType="separate"/>
            </w:r>
            <w:r w:rsidR="00F57DAF">
              <w:rPr>
                <w:webHidden/>
              </w:rPr>
              <w:t>122</w:t>
            </w:r>
            <w:r w:rsidR="00F57DAF">
              <w:rPr>
                <w:webHidden/>
              </w:rPr>
              <w:fldChar w:fldCharType="end"/>
            </w:r>
          </w:hyperlink>
        </w:p>
        <w:p w14:paraId="46058CAB" w14:textId="5C9E7413"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87" w:history="1">
            <w:r w:rsidR="00F57DAF" w:rsidRPr="000E31D2">
              <w:rPr>
                <w:rStyle w:val="Hyperlink"/>
                <w:rFonts w:eastAsia="Aptos Display"/>
              </w:rPr>
              <w:t>3.2.4</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Observed Variation in Market Outcomes across Member States</w:t>
            </w:r>
            <w:r w:rsidR="00F57DAF">
              <w:rPr>
                <w:webHidden/>
              </w:rPr>
              <w:tab/>
            </w:r>
            <w:r w:rsidR="00F57DAF">
              <w:rPr>
                <w:webHidden/>
              </w:rPr>
              <w:fldChar w:fldCharType="begin"/>
            </w:r>
            <w:r w:rsidR="00F57DAF">
              <w:rPr>
                <w:webHidden/>
              </w:rPr>
              <w:instrText xml:space="preserve"> PAGEREF _Toc219718387 \h </w:instrText>
            </w:r>
            <w:r w:rsidR="00F57DAF">
              <w:rPr>
                <w:webHidden/>
              </w:rPr>
            </w:r>
            <w:r w:rsidR="00F57DAF">
              <w:rPr>
                <w:webHidden/>
              </w:rPr>
              <w:fldChar w:fldCharType="separate"/>
            </w:r>
            <w:r w:rsidR="00F57DAF">
              <w:rPr>
                <w:webHidden/>
              </w:rPr>
              <w:t>123</w:t>
            </w:r>
            <w:r w:rsidR="00F57DAF">
              <w:rPr>
                <w:webHidden/>
              </w:rPr>
              <w:fldChar w:fldCharType="end"/>
            </w:r>
          </w:hyperlink>
        </w:p>
        <w:p w14:paraId="5DF266F8" w14:textId="69D7BF85"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88" w:history="1">
            <w:r w:rsidR="00F57DAF" w:rsidRPr="000E31D2">
              <w:rPr>
                <w:rStyle w:val="Hyperlink"/>
                <w:rFonts w:eastAsia="Aptos Display"/>
              </w:rPr>
              <w:t>3.2.5</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Composite Measure of Market Outcomes</w:t>
            </w:r>
            <w:r w:rsidR="00F57DAF">
              <w:rPr>
                <w:webHidden/>
              </w:rPr>
              <w:tab/>
            </w:r>
            <w:r w:rsidR="00F57DAF">
              <w:rPr>
                <w:webHidden/>
              </w:rPr>
              <w:fldChar w:fldCharType="begin"/>
            </w:r>
            <w:r w:rsidR="00F57DAF">
              <w:rPr>
                <w:webHidden/>
              </w:rPr>
              <w:instrText xml:space="preserve"> PAGEREF _Toc219718388 \h </w:instrText>
            </w:r>
            <w:r w:rsidR="00F57DAF">
              <w:rPr>
                <w:webHidden/>
              </w:rPr>
            </w:r>
            <w:r w:rsidR="00F57DAF">
              <w:rPr>
                <w:webHidden/>
              </w:rPr>
              <w:fldChar w:fldCharType="separate"/>
            </w:r>
            <w:r w:rsidR="00F57DAF">
              <w:rPr>
                <w:webHidden/>
              </w:rPr>
              <w:t>124</w:t>
            </w:r>
            <w:r w:rsidR="00F57DAF">
              <w:rPr>
                <w:webHidden/>
              </w:rPr>
              <w:fldChar w:fldCharType="end"/>
            </w:r>
          </w:hyperlink>
        </w:p>
        <w:p w14:paraId="376512AF" w14:textId="170C3995"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389" w:history="1">
            <w:r w:rsidR="00F57DAF" w:rsidRPr="000E31D2">
              <w:rPr>
                <w:rStyle w:val="Hyperlink"/>
                <w:rFonts w:eastAsia="Aptos Display"/>
                <w:noProof/>
              </w:rPr>
              <w:t>3.3</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rFonts w:eastAsia="Aptos Display"/>
                <w:noProof/>
              </w:rPr>
              <w:t>Fragmented Regulatory approaches</w:t>
            </w:r>
            <w:r w:rsidR="00F57DAF">
              <w:rPr>
                <w:noProof/>
                <w:webHidden/>
              </w:rPr>
              <w:tab/>
            </w:r>
            <w:r w:rsidR="00F57DAF">
              <w:rPr>
                <w:noProof/>
                <w:webHidden/>
              </w:rPr>
              <w:fldChar w:fldCharType="begin"/>
            </w:r>
            <w:r w:rsidR="00F57DAF">
              <w:rPr>
                <w:noProof/>
                <w:webHidden/>
              </w:rPr>
              <w:instrText xml:space="preserve"> PAGEREF _Toc219718389 \h </w:instrText>
            </w:r>
            <w:r w:rsidR="00F57DAF">
              <w:rPr>
                <w:noProof/>
                <w:webHidden/>
              </w:rPr>
            </w:r>
            <w:r w:rsidR="00F57DAF">
              <w:rPr>
                <w:noProof/>
                <w:webHidden/>
              </w:rPr>
              <w:fldChar w:fldCharType="separate"/>
            </w:r>
            <w:r w:rsidR="00F57DAF">
              <w:rPr>
                <w:noProof/>
                <w:webHidden/>
              </w:rPr>
              <w:t>126</w:t>
            </w:r>
            <w:r w:rsidR="00F57DAF">
              <w:rPr>
                <w:noProof/>
                <w:webHidden/>
              </w:rPr>
              <w:fldChar w:fldCharType="end"/>
            </w:r>
          </w:hyperlink>
        </w:p>
        <w:p w14:paraId="3B8A8E34" w14:textId="5FE24006"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0" w:history="1">
            <w:r w:rsidR="00F57DAF" w:rsidRPr="000E31D2">
              <w:rPr>
                <w:rStyle w:val="Hyperlink"/>
              </w:rPr>
              <w:t>3.3.1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Selection of indicators of regulatory approaches</w:t>
            </w:r>
            <w:r w:rsidR="00F57DAF">
              <w:rPr>
                <w:webHidden/>
              </w:rPr>
              <w:tab/>
            </w:r>
            <w:r w:rsidR="00F57DAF">
              <w:rPr>
                <w:webHidden/>
              </w:rPr>
              <w:fldChar w:fldCharType="begin"/>
            </w:r>
            <w:r w:rsidR="00F57DAF">
              <w:rPr>
                <w:webHidden/>
              </w:rPr>
              <w:instrText xml:space="preserve"> PAGEREF _Toc219718390 \h </w:instrText>
            </w:r>
            <w:r w:rsidR="00F57DAF">
              <w:rPr>
                <w:webHidden/>
              </w:rPr>
            </w:r>
            <w:r w:rsidR="00F57DAF">
              <w:rPr>
                <w:webHidden/>
              </w:rPr>
              <w:fldChar w:fldCharType="separate"/>
            </w:r>
            <w:r w:rsidR="00F57DAF">
              <w:rPr>
                <w:webHidden/>
              </w:rPr>
              <w:t>127</w:t>
            </w:r>
            <w:r w:rsidR="00F57DAF">
              <w:rPr>
                <w:webHidden/>
              </w:rPr>
              <w:fldChar w:fldCharType="end"/>
            </w:r>
          </w:hyperlink>
        </w:p>
        <w:p w14:paraId="4D7E376F" w14:textId="0006B4F4"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1" w:history="1">
            <w:r w:rsidR="00F57DAF" w:rsidRPr="000E31D2">
              <w:rPr>
                <w:rStyle w:val="Hyperlink"/>
              </w:rPr>
              <w:t>3.3.2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Data sources</w:t>
            </w:r>
            <w:r w:rsidR="00F57DAF">
              <w:rPr>
                <w:webHidden/>
              </w:rPr>
              <w:tab/>
            </w:r>
            <w:r w:rsidR="00F57DAF">
              <w:rPr>
                <w:webHidden/>
              </w:rPr>
              <w:fldChar w:fldCharType="begin"/>
            </w:r>
            <w:r w:rsidR="00F57DAF">
              <w:rPr>
                <w:webHidden/>
              </w:rPr>
              <w:instrText xml:space="preserve"> PAGEREF _Toc219718391 \h </w:instrText>
            </w:r>
            <w:r w:rsidR="00F57DAF">
              <w:rPr>
                <w:webHidden/>
              </w:rPr>
            </w:r>
            <w:r w:rsidR="00F57DAF">
              <w:rPr>
                <w:webHidden/>
              </w:rPr>
              <w:fldChar w:fldCharType="separate"/>
            </w:r>
            <w:r w:rsidR="00F57DAF">
              <w:rPr>
                <w:webHidden/>
              </w:rPr>
              <w:t>127</w:t>
            </w:r>
            <w:r w:rsidR="00F57DAF">
              <w:rPr>
                <w:webHidden/>
              </w:rPr>
              <w:fldChar w:fldCharType="end"/>
            </w:r>
          </w:hyperlink>
        </w:p>
        <w:p w14:paraId="7E216F4B" w14:textId="571552B7"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2" w:history="1">
            <w:r w:rsidR="00F57DAF" w:rsidRPr="000E31D2">
              <w:rPr>
                <w:rStyle w:val="Hyperlink"/>
              </w:rPr>
              <w:t>3.3.3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Member States considered in the analysis of regulatory approaches</w:t>
            </w:r>
            <w:r w:rsidR="00F57DAF">
              <w:rPr>
                <w:webHidden/>
              </w:rPr>
              <w:tab/>
            </w:r>
            <w:r w:rsidR="00F57DAF">
              <w:rPr>
                <w:webHidden/>
              </w:rPr>
              <w:fldChar w:fldCharType="begin"/>
            </w:r>
            <w:r w:rsidR="00F57DAF">
              <w:rPr>
                <w:webHidden/>
              </w:rPr>
              <w:instrText xml:space="preserve"> PAGEREF _Toc219718392 \h </w:instrText>
            </w:r>
            <w:r w:rsidR="00F57DAF">
              <w:rPr>
                <w:webHidden/>
              </w:rPr>
            </w:r>
            <w:r w:rsidR="00F57DAF">
              <w:rPr>
                <w:webHidden/>
              </w:rPr>
              <w:fldChar w:fldCharType="separate"/>
            </w:r>
            <w:r w:rsidR="00F57DAF">
              <w:rPr>
                <w:webHidden/>
              </w:rPr>
              <w:t>127</w:t>
            </w:r>
            <w:r w:rsidR="00F57DAF">
              <w:rPr>
                <w:webHidden/>
              </w:rPr>
              <w:fldChar w:fldCharType="end"/>
            </w:r>
          </w:hyperlink>
        </w:p>
        <w:p w14:paraId="63B78582" w14:textId="0C03A039"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3" w:history="1">
            <w:r w:rsidR="00F57DAF" w:rsidRPr="000E31D2">
              <w:rPr>
                <w:rStyle w:val="Hyperlink"/>
              </w:rPr>
              <w:t>3.3.4</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Observed Variation in Regulatory Approaches across Member States</w:t>
            </w:r>
            <w:r w:rsidR="00F57DAF">
              <w:rPr>
                <w:webHidden/>
              </w:rPr>
              <w:tab/>
            </w:r>
            <w:r w:rsidR="00F57DAF">
              <w:rPr>
                <w:webHidden/>
              </w:rPr>
              <w:fldChar w:fldCharType="begin"/>
            </w:r>
            <w:r w:rsidR="00F57DAF">
              <w:rPr>
                <w:webHidden/>
              </w:rPr>
              <w:instrText xml:space="preserve"> PAGEREF _Toc219718393 \h </w:instrText>
            </w:r>
            <w:r w:rsidR="00F57DAF">
              <w:rPr>
                <w:webHidden/>
              </w:rPr>
            </w:r>
            <w:r w:rsidR="00F57DAF">
              <w:rPr>
                <w:webHidden/>
              </w:rPr>
              <w:fldChar w:fldCharType="separate"/>
            </w:r>
            <w:r w:rsidR="00F57DAF">
              <w:rPr>
                <w:webHidden/>
              </w:rPr>
              <w:t>128</w:t>
            </w:r>
            <w:r w:rsidR="00F57DAF">
              <w:rPr>
                <w:webHidden/>
              </w:rPr>
              <w:fldChar w:fldCharType="end"/>
            </w:r>
          </w:hyperlink>
        </w:p>
        <w:p w14:paraId="1289B069" w14:textId="6434227E"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4" w:history="1">
            <w:r w:rsidR="00F57DAF" w:rsidRPr="000E31D2">
              <w:rPr>
                <w:rStyle w:val="Hyperlink"/>
              </w:rPr>
              <w:t>3.3.5</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Scoring of Spectrum Caps</w:t>
            </w:r>
            <w:r w:rsidR="00F57DAF">
              <w:rPr>
                <w:webHidden/>
              </w:rPr>
              <w:tab/>
            </w:r>
            <w:r w:rsidR="00F57DAF">
              <w:rPr>
                <w:webHidden/>
              </w:rPr>
              <w:fldChar w:fldCharType="begin"/>
            </w:r>
            <w:r w:rsidR="00F57DAF">
              <w:rPr>
                <w:webHidden/>
              </w:rPr>
              <w:instrText xml:space="preserve"> PAGEREF _Toc219718394 \h </w:instrText>
            </w:r>
            <w:r w:rsidR="00F57DAF">
              <w:rPr>
                <w:webHidden/>
              </w:rPr>
            </w:r>
            <w:r w:rsidR="00F57DAF">
              <w:rPr>
                <w:webHidden/>
              </w:rPr>
              <w:fldChar w:fldCharType="separate"/>
            </w:r>
            <w:r w:rsidR="00F57DAF">
              <w:rPr>
                <w:webHidden/>
              </w:rPr>
              <w:t>128</w:t>
            </w:r>
            <w:r w:rsidR="00F57DAF">
              <w:rPr>
                <w:webHidden/>
              </w:rPr>
              <w:fldChar w:fldCharType="end"/>
            </w:r>
          </w:hyperlink>
        </w:p>
        <w:p w14:paraId="47415A00" w14:textId="1BD9C422"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5" w:history="1">
            <w:r w:rsidR="00F57DAF" w:rsidRPr="000E31D2">
              <w:rPr>
                <w:rStyle w:val="Hyperlink"/>
              </w:rPr>
              <w:t>3.3.6</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Scoring of Access Obligations</w:t>
            </w:r>
            <w:r w:rsidR="00F57DAF">
              <w:rPr>
                <w:webHidden/>
              </w:rPr>
              <w:tab/>
            </w:r>
            <w:r w:rsidR="00F57DAF">
              <w:rPr>
                <w:webHidden/>
              </w:rPr>
              <w:fldChar w:fldCharType="begin"/>
            </w:r>
            <w:r w:rsidR="00F57DAF">
              <w:rPr>
                <w:webHidden/>
              </w:rPr>
              <w:instrText xml:space="preserve"> PAGEREF _Toc219718395 \h </w:instrText>
            </w:r>
            <w:r w:rsidR="00F57DAF">
              <w:rPr>
                <w:webHidden/>
              </w:rPr>
            </w:r>
            <w:r w:rsidR="00F57DAF">
              <w:rPr>
                <w:webHidden/>
              </w:rPr>
              <w:fldChar w:fldCharType="separate"/>
            </w:r>
            <w:r w:rsidR="00F57DAF">
              <w:rPr>
                <w:webHidden/>
              </w:rPr>
              <w:t>130</w:t>
            </w:r>
            <w:r w:rsidR="00F57DAF">
              <w:rPr>
                <w:webHidden/>
              </w:rPr>
              <w:fldChar w:fldCharType="end"/>
            </w:r>
          </w:hyperlink>
        </w:p>
        <w:p w14:paraId="31269222" w14:textId="2D465F23"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6" w:history="1">
            <w:r w:rsidR="00F57DAF" w:rsidRPr="000E31D2">
              <w:rPr>
                <w:rStyle w:val="Hyperlink"/>
              </w:rPr>
              <w:t>3.3.7</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Scoring of Reservations and Set-Asides</w:t>
            </w:r>
            <w:r w:rsidR="00F57DAF">
              <w:rPr>
                <w:webHidden/>
              </w:rPr>
              <w:tab/>
            </w:r>
            <w:r w:rsidR="00F57DAF">
              <w:rPr>
                <w:webHidden/>
              </w:rPr>
              <w:fldChar w:fldCharType="begin"/>
            </w:r>
            <w:r w:rsidR="00F57DAF">
              <w:rPr>
                <w:webHidden/>
              </w:rPr>
              <w:instrText xml:space="preserve"> PAGEREF _Toc219718396 \h </w:instrText>
            </w:r>
            <w:r w:rsidR="00F57DAF">
              <w:rPr>
                <w:webHidden/>
              </w:rPr>
            </w:r>
            <w:r w:rsidR="00F57DAF">
              <w:rPr>
                <w:webHidden/>
              </w:rPr>
              <w:fldChar w:fldCharType="separate"/>
            </w:r>
            <w:r w:rsidR="00F57DAF">
              <w:rPr>
                <w:webHidden/>
              </w:rPr>
              <w:t>131</w:t>
            </w:r>
            <w:r w:rsidR="00F57DAF">
              <w:rPr>
                <w:webHidden/>
              </w:rPr>
              <w:fldChar w:fldCharType="end"/>
            </w:r>
          </w:hyperlink>
        </w:p>
        <w:p w14:paraId="2FC0FDEA" w14:textId="5AC94470"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7" w:history="1">
            <w:r w:rsidR="00F57DAF" w:rsidRPr="000E31D2">
              <w:rPr>
                <w:rStyle w:val="Hyperlink"/>
              </w:rPr>
              <w:t>3.3.8</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Scoring of Final Auction Prices (EUR/MHz/pop)</w:t>
            </w:r>
            <w:r w:rsidR="00F57DAF">
              <w:rPr>
                <w:webHidden/>
              </w:rPr>
              <w:tab/>
            </w:r>
            <w:r w:rsidR="00F57DAF">
              <w:rPr>
                <w:webHidden/>
              </w:rPr>
              <w:fldChar w:fldCharType="begin"/>
            </w:r>
            <w:r w:rsidR="00F57DAF">
              <w:rPr>
                <w:webHidden/>
              </w:rPr>
              <w:instrText xml:space="preserve"> PAGEREF _Toc219718397 \h </w:instrText>
            </w:r>
            <w:r w:rsidR="00F57DAF">
              <w:rPr>
                <w:webHidden/>
              </w:rPr>
            </w:r>
            <w:r w:rsidR="00F57DAF">
              <w:rPr>
                <w:webHidden/>
              </w:rPr>
              <w:fldChar w:fldCharType="separate"/>
            </w:r>
            <w:r w:rsidR="00F57DAF">
              <w:rPr>
                <w:webHidden/>
              </w:rPr>
              <w:t>132</w:t>
            </w:r>
            <w:r w:rsidR="00F57DAF">
              <w:rPr>
                <w:webHidden/>
              </w:rPr>
              <w:fldChar w:fldCharType="end"/>
            </w:r>
          </w:hyperlink>
        </w:p>
        <w:p w14:paraId="19D9D280" w14:textId="30623F38"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8" w:history="1">
            <w:r w:rsidR="00F57DAF" w:rsidRPr="000E31D2">
              <w:rPr>
                <w:rStyle w:val="Hyperlink"/>
                <w:rFonts w:eastAsia="Aptos Display"/>
              </w:rPr>
              <w:t>3.3.9</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Scoring of Coverage Obligations</w:t>
            </w:r>
            <w:r w:rsidR="00F57DAF">
              <w:rPr>
                <w:webHidden/>
              </w:rPr>
              <w:tab/>
            </w:r>
            <w:r w:rsidR="00F57DAF">
              <w:rPr>
                <w:webHidden/>
              </w:rPr>
              <w:fldChar w:fldCharType="begin"/>
            </w:r>
            <w:r w:rsidR="00F57DAF">
              <w:rPr>
                <w:webHidden/>
              </w:rPr>
              <w:instrText xml:space="preserve"> PAGEREF _Toc219718398 \h </w:instrText>
            </w:r>
            <w:r w:rsidR="00F57DAF">
              <w:rPr>
                <w:webHidden/>
              </w:rPr>
            </w:r>
            <w:r w:rsidR="00F57DAF">
              <w:rPr>
                <w:webHidden/>
              </w:rPr>
              <w:fldChar w:fldCharType="separate"/>
            </w:r>
            <w:r w:rsidR="00F57DAF">
              <w:rPr>
                <w:webHidden/>
              </w:rPr>
              <w:t>133</w:t>
            </w:r>
            <w:r w:rsidR="00F57DAF">
              <w:rPr>
                <w:webHidden/>
              </w:rPr>
              <w:fldChar w:fldCharType="end"/>
            </w:r>
          </w:hyperlink>
        </w:p>
        <w:p w14:paraId="546D3FD5" w14:textId="7F85A636"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399" w:history="1">
            <w:r w:rsidR="00F57DAF" w:rsidRPr="000E31D2">
              <w:rPr>
                <w:rStyle w:val="Hyperlink"/>
              </w:rPr>
              <w:t>3.3.10</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Composite measure of Regulatory approaches</w:t>
            </w:r>
            <w:r w:rsidR="00F57DAF">
              <w:rPr>
                <w:webHidden/>
              </w:rPr>
              <w:tab/>
            </w:r>
            <w:r w:rsidR="00F57DAF">
              <w:rPr>
                <w:webHidden/>
              </w:rPr>
              <w:fldChar w:fldCharType="begin"/>
            </w:r>
            <w:r w:rsidR="00F57DAF">
              <w:rPr>
                <w:webHidden/>
              </w:rPr>
              <w:instrText xml:space="preserve"> PAGEREF _Toc219718399 \h </w:instrText>
            </w:r>
            <w:r w:rsidR="00F57DAF">
              <w:rPr>
                <w:webHidden/>
              </w:rPr>
            </w:r>
            <w:r w:rsidR="00F57DAF">
              <w:rPr>
                <w:webHidden/>
              </w:rPr>
              <w:fldChar w:fldCharType="separate"/>
            </w:r>
            <w:r w:rsidR="00F57DAF">
              <w:rPr>
                <w:webHidden/>
              </w:rPr>
              <w:t>135</w:t>
            </w:r>
            <w:r w:rsidR="00F57DAF">
              <w:rPr>
                <w:webHidden/>
              </w:rPr>
              <w:fldChar w:fldCharType="end"/>
            </w:r>
          </w:hyperlink>
        </w:p>
        <w:p w14:paraId="7E36A538" w14:textId="62D225E4"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00" w:history="1">
            <w:r w:rsidR="00F57DAF" w:rsidRPr="000E31D2">
              <w:rPr>
                <w:rStyle w:val="Hyperlink"/>
                <w:rFonts w:eastAsia="Aptos"/>
                <w:noProof/>
              </w:rPr>
              <w:t>3.4</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rFonts w:eastAsia="Aptos"/>
                <w:noProof/>
              </w:rPr>
              <w:t>Visual comparison of Market outcomes and Regulatory approaches</w:t>
            </w:r>
            <w:r w:rsidR="00F57DAF">
              <w:rPr>
                <w:noProof/>
                <w:webHidden/>
              </w:rPr>
              <w:tab/>
            </w:r>
            <w:r w:rsidR="00F57DAF">
              <w:rPr>
                <w:noProof/>
                <w:webHidden/>
              </w:rPr>
              <w:fldChar w:fldCharType="begin"/>
            </w:r>
            <w:r w:rsidR="00F57DAF">
              <w:rPr>
                <w:noProof/>
                <w:webHidden/>
              </w:rPr>
              <w:instrText xml:space="preserve"> PAGEREF _Toc219718400 \h </w:instrText>
            </w:r>
            <w:r w:rsidR="00F57DAF">
              <w:rPr>
                <w:noProof/>
                <w:webHidden/>
              </w:rPr>
            </w:r>
            <w:r w:rsidR="00F57DAF">
              <w:rPr>
                <w:noProof/>
                <w:webHidden/>
              </w:rPr>
              <w:fldChar w:fldCharType="separate"/>
            </w:r>
            <w:r w:rsidR="00F57DAF">
              <w:rPr>
                <w:noProof/>
                <w:webHidden/>
              </w:rPr>
              <w:t>136</w:t>
            </w:r>
            <w:r w:rsidR="00F57DAF">
              <w:rPr>
                <w:noProof/>
                <w:webHidden/>
              </w:rPr>
              <w:fldChar w:fldCharType="end"/>
            </w:r>
          </w:hyperlink>
        </w:p>
        <w:p w14:paraId="116D4331" w14:textId="3B22B3CB"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01" w:history="1">
            <w:r w:rsidR="00F57DAF" w:rsidRPr="000E31D2">
              <w:rPr>
                <w:rStyle w:val="Hyperlink"/>
                <w:rFonts w:eastAsia="Aptos Display"/>
                <w:noProof/>
              </w:rPr>
              <w:t>3.5</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rFonts w:eastAsia="Aptos Display"/>
                <w:noProof/>
              </w:rPr>
              <w:t>Analysis of possible correlations between regulatory approaches and relevant market outcomes</w:t>
            </w:r>
            <w:r w:rsidR="00F57DAF">
              <w:rPr>
                <w:noProof/>
                <w:webHidden/>
              </w:rPr>
              <w:tab/>
            </w:r>
            <w:r w:rsidR="00F57DAF">
              <w:rPr>
                <w:noProof/>
                <w:webHidden/>
              </w:rPr>
              <w:fldChar w:fldCharType="begin"/>
            </w:r>
            <w:r w:rsidR="00F57DAF">
              <w:rPr>
                <w:noProof/>
                <w:webHidden/>
              </w:rPr>
              <w:instrText xml:space="preserve"> PAGEREF _Toc219718401 \h </w:instrText>
            </w:r>
            <w:r w:rsidR="00F57DAF">
              <w:rPr>
                <w:noProof/>
                <w:webHidden/>
              </w:rPr>
            </w:r>
            <w:r w:rsidR="00F57DAF">
              <w:rPr>
                <w:noProof/>
                <w:webHidden/>
              </w:rPr>
              <w:fldChar w:fldCharType="separate"/>
            </w:r>
            <w:r w:rsidR="00F57DAF">
              <w:rPr>
                <w:noProof/>
                <w:webHidden/>
              </w:rPr>
              <w:t>136</w:t>
            </w:r>
            <w:r w:rsidR="00F57DAF">
              <w:rPr>
                <w:noProof/>
                <w:webHidden/>
              </w:rPr>
              <w:fldChar w:fldCharType="end"/>
            </w:r>
          </w:hyperlink>
        </w:p>
        <w:p w14:paraId="27B76D5E" w14:textId="11BAE6E1"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02" w:history="1">
            <w:r w:rsidR="00F57DAF" w:rsidRPr="000E31D2">
              <w:rPr>
                <w:rStyle w:val="Hyperlink"/>
              </w:rPr>
              <w:t>3.5.1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Methodology and Tools</w:t>
            </w:r>
            <w:r w:rsidR="00F57DAF">
              <w:rPr>
                <w:webHidden/>
              </w:rPr>
              <w:tab/>
            </w:r>
            <w:r w:rsidR="00F57DAF">
              <w:rPr>
                <w:webHidden/>
              </w:rPr>
              <w:fldChar w:fldCharType="begin"/>
            </w:r>
            <w:r w:rsidR="00F57DAF">
              <w:rPr>
                <w:webHidden/>
              </w:rPr>
              <w:instrText xml:space="preserve"> PAGEREF _Toc219718402 \h </w:instrText>
            </w:r>
            <w:r w:rsidR="00F57DAF">
              <w:rPr>
                <w:webHidden/>
              </w:rPr>
            </w:r>
            <w:r w:rsidR="00F57DAF">
              <w:rPr>
                <w:webHidden/>
              </w:rPr>
              <w:fldChar w:fldCharType="separate"/>
            </w:r>
            <w:r w:rsidR="00F57DAF">
              <w:rPr>
                <w:webHidden/>
              </w:rPr>
              <w:t>136</w:t>
            </w:r>
            <w:r w:rsidR="00F57DAF">
              <w:rPr>
                <w:webHidden/>
              </w:rPr>
              <w:fldChar w:fldCharType="end"/>
            </w:r>
          </w:hyperlink>
        </w:p>
        <w:p w14:paraId="42EB7C53" w14:textId="5266AA2E"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03" w:history="1">
            <w:r w:rsidR="00F57DAF" w:rsidRPr="000E31D2">
              <w:rPr>
                <w:rStyle w:val="Hyperlink"/>
              </w:rPr>
              <w:t>3.5.2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Data and Variables</w:t>
            </w:r>
            <w:r w:rsidR="00F57DAF">
              <w:rPr>
                <w:webHidden/>
              </w:rPr>
              <w:tab/>
            </w:r>
            <w:r w:rsidR="00F57DAF">
              <w:rPr>
                <w:webHidden/>
              </w:rPr>
              <w:fldChar w:fldCharType="begin"/>
            </w:r>
            <w:r w:rsidR="00F57DAF">
              <w:rPr>
                <w:webHidden/>
              </w:rPr>
              <w:instrText xml:space="preserve"> PAGEREF _Toc219718403 \h </w:instrText>
            </w:r>
            <w:r w:rsidR="00F57DAF">
              <w:rPr>
                <w:webHidden/>
              </w:rPr>
            </w:r>
            <w:r w:rsidR="00F57DAF">
              <w:rPr>
                <w:webHidden/>
              </w:rPr>
              <w:fldChar w:fldCharType="separate"/>
            </w:r>
            <w:r w:rsidR="00F57DAF">
              <w:rPr>
                <w:webHidden/>
              </w:rPr>
              <w:t>137</w:t>
            </w:r>
            <w:r w:rsidR="00F57DAF">
              <w:rPr>
                <w:webHidden/>
              </w:rPr>
              <w:fldChar w:fldCharType="end"/>
            </w:r>
          </w:hyperlink>
        </w:p>
        <w:p w14:paraId="5F0D5970" w14:textId="32356E2A"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04" w:history="1">
            <w:r w:rsidR="00F57DAF" w:rsidRPr="000E31D2">
              <w:rPr>
                <w:rStyle w:val="Hyperlink"/>
              </w:rPr>
              <w:t>3.5.3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Summary of Results</w:t>
            </w:r>
            <w:r w:rsidR="00F57DAF">
              <w:rPr>
                <w:webHidden/>
              </w:rPr>
              <w:tab/>
            </w:r>
            <w:r w:rsidR="00F57DAF">
              <w:rPr>
                <w:webHidden/>
              </w:rPr>
              <w:fldChar w:fldCharType="begin"/>
            </w:r>
            <w:r w:rsidR="00F57DAF">
              <w:rPr>
                <w:webHidden/>
              </w:rPr>
              <w:instrText xml:space="preserve"> PAGEREF _Toc219718404 \h </w:instrText>
            </w:r>
            <w:r w:rsidR="00F57DAF">
              <w:rPr>
                <w:webHidden/>
              </w:rPr>
            </w:r>
            <w:r w:rsidR="00F57DAF">
              <w:rPr>
                <w:webHidden/>
              </w:rPr>
              <w:fldChar w:fldCharType="separate"/>
            </w:r>
            <w:r w:rsidR="00F57DAF">
              <w:rPr>
                <w:webHidden/>
              </w:rPr>
              <w:t>139</w:t>
            </w:r>
            <w:r w:rsidR="00F57DAF">
              <w:rPr>
                <w:webHidden/>
              </w:rPr>
              <w:fldChar w:fldCharType="end"/>
            </w:r>
          </w:hyperlink>
        </w:p>
        <w:p w14:paraId="1E2CFD00" w14:textId="4E51A356"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05" w:history="1">
            <w:r w:rsidR="00F57DAF" w:rsidRPr="000E31D2">
              <w:rPr>
                <w:rStyle w:val="Hyperlink"/>
              </w:rPr>
              <w:t>3.5.4</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Aptos Display"/>
              </w:rPr>
              <w:t>Limitations</w:t>
            </w:r>
            <w:r w:rsidR="00F57DAF">
              <w:rPr>
                <w:webHidden/>
              </w:rPr>
              <w:tab/>
            </w:r>
            <w:r w:rsidR="00F57DAF">
              <w:rPr>
                <w:webHidden/>
              </w:rPr>
              <w:fldChar w:fldCharType="begin"/>
            </w:r>
            <w:r w:rsidR="00F57DAF">
              <w:rPr>
                <w:webHidden/>
              </w:rPr>
              <w:instrText xml:space="preserve"> PAGEREF _Toc219718405 \h </w:instrText>
            </w:r>
            <w:r w:rsidR="00F57DAF">
              <w:rPr>
                <w:webHidden/>
              </w:rPr>
            </w:r>
            <w:r w:rsidR="00F57DAF">
              <w:rPr>
                <w:webHidden/>
              </w:rPr>
              <w:fldChar w:fldCharType="separate"/>
            </w:r>
            <w:r w:rsidR="00F57DAF">
              <w:rPr>
                <w:webHidden/>
              </w:rPr>
              <w:t>141</w:t>
            </w:r>
            <w:r w:rsidR="00F57DAF">
              <w:rPr>
                <w:webHidden/>
              </w:rPr>
              <w:fldChar w:fldCharType="end"/>
            </w:r>
          </w:hyperlink>
        </w:p>
        <w:p w14:paraId="3EF29E46" w14:textId="4343B388"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06" w:history="1">
            <w:r w:rsidR="00F57DAF" w:rsidRPr="000E31D2">
              <w:rPr>
                <w:rStyle w:val="Hyperlink"/>
                <w:noProof/>
              </w:rPr>
              <w:t>Annex 5: Competitiveness check</w:t>
            </w:r>
            <w:r w:rsidR="00F57DAF">
              <w:rPr>
                <w:noProof/>
                <w:webHidden/>
              </w:rPr>
              <w:tab/>
            </w:r>
            <w:r w:rsidR="00F57DAF">
              <w:rPr>
                <w:noProof/>
                <w:webHidden/>
              </w:rPr>
              <w:fldChar w:fldCharType="begin"/>
            </w:r>
            <w:r w:rsidR="00F57DAF">
              <w:rPr>
                <w:noProof/>
                <w:webHidden/>
              </w:rPr>
              <w:instrText xml:space="preserve"> PAGEREF _Toc219718406 \h </w:instrText>
            </w:r>
            <w:r w:rsidR="00F57DAF">
              <w:rPr>
                <w:noProof/>
                <w:webHidden/>
              </w:rPr>
            </w:r>
            <w:r w:rsidR="00F57DAF">
              <w:rPr>
                <w:noProof/>
                <w:webHidden/>
              </w:rPr>
              <w:fldChar w:fldCharType="separate"/>
            </w:r>
            <w:r w:rsidR="00F57DAF">
              <w:rPr>
                <w:noProof/>
                <w:webHidden/>
              </w:rPr>
              <w:t>142</w:t>
            </w:r>
            <w:r w:rsidR="00F57DAF">
              <w:rPr>
                <w:noProof/>
                <w:webHidden/>
              </w:rPr>
              <w:fldChar w:fldCharType="end"/>
            </w:r>
          </w:hyperlink>
        </w:p>
        <w:p w14:paraId="7CAEC2E3" w14:textId="2A24C429"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07"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Overview of impacts on competitiveness</w:t>
            </w:r>
            <w:r w:rsidR="00F57DAF">
              <w:rPr>
                <w:noProof/>
                <w:webHidden/>
              </w:rPr>
              <w:tab/>
            </w:r>
            <w:r w:rsidR="00F57DAF">
              <w:rPr>
                <w:noProof/>
                <w:webHidden/>
              </w:rPr>
              <w:fldChar w:fldCharType="begin"/>
            </w:r>
            <w:r w:rsidR="00F57DAF">
              <w:rPr>
                <w:noProof/>
                <w:webHidden/>
              </w:rPr>
              <w:instrText xml:space="preserve"> PAGEREF _Toc219718407 \h </w:instrText>
            </w:r>
            <w:r w:rsidR="00F57DAF">
              <w:rPr>
                <w:noProof/>
                <w:webHidden/>
              </w:rPr>
            </w:r>
            <w:r w:rsidR="00F57DAF">
              <w:rPr>
                <w:noProof/>
                <w:webHidden/>
              </w:rPr>
              <w:fldChar w:fldCharType="separate"/>
            </w:r>
            <w:r w:rsidR="00F57DAF">
              <w:rPr>
                <w:noProof/>
                <w:webHidden/>
              </w:rPr>
              <w:t>142</w:t>
            </w:r>
            <w:r w:rsidR="00F57DAF">
              <w:rPr>
                <w:noProof/>
                <w:webHidden/>
              </w:rPr>
              <w:fldChar w:fldCharType="end"/>
            </w:r>
          </w:hyperlink>
        </w:p>
        <w:p w14:paraId="5777680A" w14:textId="2D2FF57F"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408" w:history="1">
            <w:r w:rsidR="00F57DAF" w:rsidRPr="000E31D2">
              <w:rPr>
                <w:rStyle w:val="Hyperlink"/>
                <w:bCs/>
                <w:noProof/>
              </w:rPr>
              <w:t>1.1.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Transition to fibre</w:t>
            </w:r>
            <w:r w:rsidR="00F57DAF">
              <w:rPr>
                <w:noProof/>
                <w:webHidden/>
              </w:rPr>
              <w:tab/>
            </w:r>
            <w:r w:rsidR="00F57DAF">
              <w:rPr>
                <w:noProof/>
                <w:webHidden/>
              </w:rPr>
              <w:fldChar w:fldCharType="begin"/>
            </w:r>
            <w:r w:rsidR="00F57DAF">
              <w:rPr>
                <w:noProof/>
                <w:webHidden/>
              </w:rPr>
              <w:instrText xml:space="preserve"> PAGEREF _Toc219718408 \h </w:instrText>
            </w:r>
            <w:r w:rsidR="00F57DAF">
              <w:rPr>
                <w:noProof/>
                <w:webHidden/>
              </w:rPr>
            </w:r>
            <w:r w:rsidR="00F57DAF">
              <w:rPr>
                <w:noProof/>
                <w:webHidden/>
              </w:rPr>
              <w:fldChar w:fldCharType="separate"/>
            </w:r>
            <w:r w:rsidR="00F57DAF">
              <w:rPr>
                <w:noProof/>
                <w:webHidden/>
              </w:rPr>
              <w:t>142</w:t>
            </w:r>
            <w:r w:rsidR="00F57DAF">
              <w:rPr>
                <w:noProof/>
                <w:webHidden/>
              </w:rPr>
              <w:fldChar w:fldCharType="end"/>
            </w:r>
          </w:hyperlink>
        </w:p>
        <w:p w14:paraId="1ADF1EED" w14:textId="6A19E32F"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409" w:history="1">
            <w:r w:rsidR="00F57DAF" w:rsidRPr="000E31D2">
              <w:rPr>
                <w:rStyle w:val="Hyperlink"/>
                <w:bCs/>
                <w:noProof/>
              </w:rPr>
              <w:t>1.2.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Spectrum</w:t>
            </w:r>
            <w:r w:rsidR="00F57DAF">
              <w:rPr>
                <w:noProof/>
                <w:webHidden/>
              </w:rPr>
              <w:tab/>
            </w:r>
            <w:r w:rsidR="00F57DAF">
              <w:rPr>
                <w:noProof/>
                <w:webHidden/>
              </w:rPr>
              <w:fldChar w:fldCharType="begin"/>
            </w:r>
            <w:r w:rsidR="00F57DAF">
              <w:rPr>
                <w:noProof/>
                <w:webHidden/>
              </w:rPr>
              <w:instrText xml:space="preserve"> PAGEREF _Toc219718409 \h </w:instrText>
            </w:r>
            <w:r w:rsidR="00F57DAF">
              <w:rPr>
                <w:noProof/>
                <w:webHidden/>
              </w:rPr>
            </w:r>
            <w:r w:rsidR="00F57DAF">
              <w:rPr>
                <w:noProof/>
                <w:webHidden/>
              </w:rPr>
              <w:fldChar w:fldCharType="separate"/>
            </w:r>
            <w:r w:rsidR="00F57DAF">
              <w:rPr>
                <w:noProof/>
                <w:webHidden/>
              </w:rPr>
              <w:t>142</w:t>
            </w:r>
            <w:r w:rsidR="00F57DAF">
              <w:rPr>
                <w:noProof/>
                <w:webHidden/>
              </w:rPr>
              <w:fldChar w:fldCharType="end"/>
            </w:r>
          </w:hyperlink>
        </w:p>
        <w:p w14:paraId="7CB23506" w14:textId="506C7ACB"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410" w:history="1">
            <w:r w:rsidR="00F57DAF" w:rsidRPr="000E31D2">
              <w:rPr>
                <w:rStyle w:val="Hyperlink"/>
                <w:bCs/>
                <w:noProof/>
              </w:rPr>
              <w:t>1.3.</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Authorisation</w:t>
            </w:r>
            <w:r w:rsidR="00F57DAF">
              <w:rPr>
                <w:noProof/>
                <w:webHidden/>
              </w:rPr>
              <w:tab/>
            </w:r>
            <w:r w:rsidR="00F57DAF">
              <w:rPr>
                <w:noProof/>
                <w:webHidden/>
              </w:rPr>
              <w:fldChar w:fldCharType="begin"/>
            </w:r>
            <w:r w:rsidR="00F57DAF">
              <w:rPr>
                <w:noProof/>
                <w:webHidden/>
              </w:rPr>
              <w:instrText xml:space="preserve"> PAGEREF _Toc219718410 \h </w:instrText>
            </w:r>
            <w:r w:rsidR="00F57DAF">
              <w:rPr>
                <w:noProof/>
                <w:webHidden/>
              </w:rPr>
            </w:r>
            <w:r w:rsidR="00F57DAF">
              <w:rPr>
                <w:noProof/>
                <w:webHidden/>
              </w:rPr>
              <w:fldChar w:fldCharType="separate"/>
            </w:r>
            <w:r w:rsidR="00F57DAF">
              <w:rPr>
                <w:noProof/>
                <w:webHidden/>
              </w:rPr>
              <w:t>142</w:t>
            </w:r>
            <w:r w:rsidR="00F57DAF">
              <w:rPr>
                <w:noProof/>
                <w:webHidden/>
              </w:rPr>
              <w:fldChar w:fldCharType="end"/>
            </w:r>
          </w:hyperlink>
        </w:p>
        <w:p w14:paraId="5BA91998" w14:textId="677E200B"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411" w:history="1">
            <w:r w:rsidR="00F57DAF" w:rsidRPr="000E31D2">
              <w:rPr>
                <w:rStyle w:val="Hyperlink"/>
                <w:bCs/>
                <w:noProof/>
              </w:rPr>
              <w:t>1.4.</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Regulatory governance</w:t>
            </w:r>
            <w:r w:rsidR="00F57DAF">
              <w:rPr>
                <w:noProof/>
                <w:webHidden/>
              </w:rPr>
              <w:tab/>
            </w:r>
            <w:r w:rsidR="00F57DAF">
              <w:rPr>
                <w:noProof/>
                <w:webHidden/>
              </w:rPr>
              <w:fldChar w:fldCharType="begin"/>
            </w:r>
            <w:r w:rsidR="00F57DAF">
              <w:rPr>
                <w:noProof/>
                <w:webHidden/>
              </w:rPr>
              <w:instrText xml:space="preserve"> PAGEREF _Toc219718411 \h </w:instrText>
            </w:r>
            <w:r w:rsidR="00F57DAF">
              <w:rPr>
                <w:noProof/>
                <w:webHidden/>
              </w:rPr>
            </w:r>
            <w:r w:rsidR="00F57DAF">
              <w:rPr>
                <w:noProof/>
                <w:webHidden/>
              </w:rPr>
              <w:fldChar w:fldCharType="separate"/>
            </w:r>
            <w:r w:rsidR="00F57DAF">
              <w:rPr>
                <w:noProof/>
                <w:webHidden/>
              </w:rPr>
              <w:t>142</w:t>
            </w:r>
            <w:r w:rsidR="00F57DAF">
              <w:rPr>
                <w:noProof/>
                <w:webHidden/>
              </w:rPr>
              <w:fldChar w:fldCharType="end"/>
            </w:r>
          </w:hyperlink>
        </w:p>
        <w:p w14:paraId="0147C426" w14:textId="04298669"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12"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Synthetic assessment</w:t>
            </w:r>
            <w:r w:rsidR="00F57DAF">
              <w:rPr>
                <w:noProof/>
                <w:webHidden/>
              </w:rPr>
              <w:tab/>
            </w:r>
            <w:r w:rsidR="00F57DAF">
              <w:rPr>
                <w:noProof/>
                <w:webHidden/>
              </w:rPr>
              <w:fldChar w:fldCharType="begin"/>
            </w:r>
            <w:r w:rsidR="00F57DAF">
              <w:rPr>
                <w:noProof/>
                <w:webHidden/>
              </w:rPr>
              <w:instrText xml:space="preserve"> PAGEREF _Toc219718412 \h </w:instrText>
            </w:r>
            <w:r w:rsidR="00F57DAF">
              <w:rPr>
                <w:noProof/>
                <w:webHidden/>
              </w:rPr>
            </w:r>
            <w:r w:rsidR="00F57DAF">
              <w:rPr>
                <w:noProof/>
                <w:webHidden/>
              </w:rPr>
              <w:fldChar w:fldCharType="separate"/>
            </w:r>
            <w:r w:rsidR="00F57DAF">
              <w:rPr>
                <w:noProof/>
                <w:webHidden/>
              </w:rPr>
              <w:t>143</w:t>
            </w:r>
            <w:r w:rsidR="00F57DAF">
              <w:rPr>
                <w:noProof/>
                <w:webHidden/>
              </w:rPr>
              <w:fldChar w:fldCharType="end"/>
            </w:r>
          </w:hyperlink>
        </w:p>
        <w:p w14:paraId="393C96CF" w14:textId="545D229A"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13" w:history="1">
            <w:r w:rsidR="00F57DAF" w:rsidRPr="000E31D2">
              <w:rPr>
                <w:rStyle w:val="Hyperlink"/>
                <w:noProof/>
              </w:rPr>
              <w:t>3.</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Competitive position of the most affected sectors</w:t>
            </w:r>
            <w:r w:rsidR="00F57DAF">
              <w:rPr>
                <w:noProof/>
                <w:webHidden/>
              </w:rPr>
              <w:tab/>
            </w:r>
            <w:r w:rsidR="00F57DAF">
              <w:rPr>
                <w:noProof/>
                <w:webHidden/>
              </w:rPr>
              <w:fldChar w:fldCharType="begin"/>
            </w:r>
            <w:r w:rsidR="00F57DAF">
              <w:rPr>
                <w:noProof/>
                <w:webHidden/>
              </w:rPr>
              <w:instrText xml:space="preserve"> PAGEREF _Toc219718413 \h </w:instrText>
            </w:r>
            <w:r w:rsidR="00F57DAF">
              <w:rPr>
                <w:noProof/>
                <w:webHidden/>
              </w:rPr>
            </w:r>
            <w:r w:rsidR="00F57DAF">
              <w:rPr>
                <w:noProof/>
                <w:webHidden/>
              </w:rPr>
              <w:fldChar w:fldCharType="separate"/>
            </w:r>
            <w:r w:rsidR="00F57DAF">
              <w:rPr>
                <w:noProof/>
                <w:webHidden/>
              </w:rPr>
              <w:t>144</w:t>
            </w:r>
            <w:r w:rsidR="00F57DAF">
              <w:rPr>
                <w:noProof/>
                <w:webHidden/>
              </w:rPr>
              <w:fldChar w:fldCharType="end"/>
            </w:r>
          </w:hyperlink>
        </w:p>
        <w:p w14:paraId="64725518" w14:textId="077DAE1A"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14" w:history="1">
            <w:r w:rsidR="00F57DAF" w:rsidRPr="000E31D2">
              <w:rPr>
                <w:rStyle w:val="Hyperlink"/>
                <w:noProof/>
              </w:rPr>
              <w:t>Annex 6: SME check</w:t>
            </w:r>
            <w:r w:rsidR="00F57DAF">
              <w:rPr>
                <w:noProof/>
                <w:webHidden/>
              </w:rPr>
              <w:tab/>
            </w:r>
            <w:r w:rsidR="00F57DAF">
              <w:rPr>
                <w:noProof/>
                <w:webHidden/>
              </w:rPr>
              <w:fldChar w:fldCharType="begin"/>
            </w:r>
            <w:r w:rsidR="00F57DAF">
              <w:rPr>
                <w:noProof/>
                <w:webHidden/>
              </w:rPr>
              <w:instrText xml:space="preserve"> PAGEREF _Toc219718414 \h </w:instrText>
            </w:r>
            <w:r w:rsidR="00F57DAF">
              <w:rPr>
                <w:noProof/>
                <w:webHidden/>
              </w:rPr>
            </w:r>
            <w:r w:rsidR="00F57DAF">
              <w:rPr>
                <w:noProof/>
                <w:webHidden/>
              </w:rPr>
              <w:fldChar w:fldCharType="separate"/>
            </w:r>
            <w:r w:rsidR="00F57DAF">
              <w:rPr>
                <w:noProof/>
                <w:webHidden/>
              </w:rPr>
              <w:t>148</w:t>
            </w:r>
            <w:r w:rsidR="00F57DAF">
              <w:rPr>
                <w:noProof/>
                <w:webHidden/>
              </w:rPr>
              <w:fldChar w:fldCharType="end"/>
            </w:r>
          </w:hyperlink>
        </w:p>
        <w:p w14:paraId="1137737B" w14:textId="7B5C003B"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15" w:history="1">
            <w:r w:rsidR="00F57DAF" w:rsidRPr="000E31D2">
              <w:rPr>
                <w:rStyle w:val="Hyperlink"/>
                <w:noProof/>
              </w:rPr>
              <w:t>Annex 7: Further Evidence on the Problems and Problem Drivers</w:t>
            </w:r>
            <w:r w:rsidR="00F57DAF">
              <w:rPr>
                <w:noProof/>
                <w:webHidden/>
              </w:rPr>
              <w:tab/>
            </w:r>
            <w:r w:rsidR="00F57DAF">
              <w:rPr>
                <w:noProof/>
                <w:webHidden/>
              </w:rPr>
              <w:fldChar w:fldCharType="begin"/>
            </w:r>
            <w:r w:rsidR="00F57DAF">
              <w:rPr>
                <w:noProof/>
                <w:webHidden/>
              </w:rPr>
              <w:instrText xml:space="preserve"> PAGEREF _Toc219718415 \h </w:instrText>
            </w:r>
            <w:r w:rsidR="00F57DAF">
              <w:rPr>
                <w:noProof/>
                <w:webHidden/>
              </w:rPr>
            </w:r>
            <w:r w:rsidR="00F57DAF">
              <w:rPr>
                <w:noProof/>
                <w:webHidden/>
              </w:rPr>
              <w:fldChar w:fldCharType="separate"/>
            </w:r>
            <w:r w:rsidR="00F57DAF">
              <w:rPr>
                <w:noProof/>
                <w:webHidden/>
              </w:rPr>
              <w:t>152</w:t>
            </w:r>
            <w:r w:rsidR="00F57DAF">
              <w:rPr>
                <w:noProof/>
                <w:webHidden/>
              </w:rPr>
              <w:fldChar w:fldCharType="end"/>
            </w:r>
          </w:hyperlink>
        </w:p>
        <w:p w14:paraId="1755EF88" w14:textId="4859858C"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16"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Problems</w:t>
            </w:r>
            <w:r w:rsidR="00F57DAF">
              <w:rPr>
                <w:noProof/>
                <w:webHidden/>
              </w:rPr>
              <w:tab/>
            </w:r>
            <w:r w:rsidR="00F57DAF">
              <w:rPr>
                <w:noProof/>
                <w:webHidden/>
              </w:rPr>
              <w:fldChar w:fldCharType="begin"/>
            </w:r>
            <w:r w:rsidR="00F57DAF">
              <w:rPr>
                <w:noProof/>
                <w:webHidden/>
              </w:rPr>
              <w:instrText xml:space="preserve"> PAGEREF _Toc219718416 \h </w:instrText>
            </w:r>
            <w:r w:rsidR="00F57DAF">
              <w:rPr>
                <w:noProof/>
                <w:webHidden/>
              </w:rPr>
            </w:r>
            <w:r w:rsidR="00F57DAF">
              <w:rPr>
                <w:noProof/>
                <w:webHidden/>
              </w:rPr>
              <w:fldChar w:fldCharType="separate"/>
            </w:r>
            <w:r w:rsidR="00F57DAF">
              <w:rPr>
                <w:noProof/>
                <w:webHidden/>
              </w:rPr>
              <w:t>152</w:t>
            </w:r>
            <w:r w:rsidR="00F57DAF">
              <w:rPr>
                <w:noProof/>
                <w:webHidden/>
              </w:rPr>
              <w:fldChar w:fldCharType="end"/>
            </w:r>
          </w:hyperlink>
        </w:p>
        <w:p w14:paraId="56D2F093" w14:textId="07D2F9AB"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17" w:history="1">
            <w:r w:rsidR="00F57DAF" w:rsidRPr="000E31D2">
              <w:rPr>
                <w:rStyle w:val="Hyperlink"/>
                <w:noProof/>
              </w:rPr>
              <w:t>1.1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Fixed networks: Slow deployment and adoption of future-proof networks and services</w:t>
            </w:r>
            <w:r w:rsidR="00F57DAF">
              <w:rPr>
                <w:noProof/>
                <w:webHidden/>
              </w:rPr>
              <w:tab/>
            </w:r>
            <w:r w:rsidR="00F57DAF">
              <w:rPr>
                <w:noProof/>
                <w:webHidden/>
              </w:rPr>
              <w:fldChar w:fldCharType="begin"/>
            </w:r>
            <w:r w:rsidR="00F57DAF">
              <w:rPr>
                <w:noProof/>
                <w:webHidden/>
              </w:rPr>
              <w:instrText xml:space="preserve"> PAGEREF _Toc219718417 \h </w:instrText>
            </w:r>
            <w:r w:rsidR="00F57DAF">
              <w:rPr>
                <w:noProof/>
                <w:webHidden/>
              </w:rPr>
            </w:r>
            <w:r w:rsidR="00F57DAF">
              <w:rPr>
                <w:noProof/>
                <w:webHidden/>
              </w:rPr>
              <w:fldChar w:fldCharType="separate"/>
            </w:r>
            <w:r w:rsidR="00F57DAF">
              <w:rPr>
                <w:noProof/>
                <w:webHidden/>
              </w:rPr>
              <w:t>152</w:t>
            </w:r>
            <w:r w:rsidR="00F57DAF">
              <w:rPr>
                <w:noProof/>
                <w:webHidden/>
              </w:rPr>
              <w:fldChar w:fldCharType="end"/>
            </w:r>
          </w:hyperlink>
        </w:p>
        <w:p w14:paraId="75640BC5" w14:textId="119C0A34"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18" w:history="1">
            <w:r w:rsidR="00F57DAF" w:rsidRPr="000E31D2">
              <w:rPr>
                <w:rStyle w:val="Hyperlink"/>
                <w:noProof/>
              </w:rPr>
              <w:t>1.2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Mobile networks: lack of investment and investment needs</w:t>
            </w:r>
            <w:r w:rsidR="00F57DAF">
              <w:rPr>
                <w:noProof/>
                <w:webHidden/>
              </w:rPr>
              <w:tab/>
            </w:r>
            <w:r w:rsidR="00F57DAF">
              <w:rPr>
                <w:noProof/>
                <w:webHidden/>
              </w:rPr>
              <w:fldChar w:fldCharType="begin"/>
            </w:r>
            <w:r w:rsidR="00F57DAF">
              <w:rPr>
                <w:noProof/>
                <w:webHidden/>
              </w:rPr>
              <w:instrText xml:space="preserve"> PAGEREF _Toc219718418 \h </w:instrText>
            </w:r>
            <w:r w:rsidR="00F57DAF">
              <w:rPr>
                <w:noProof/>
                <w:webHidden/>
              </w:rPr>
            </w:r>
            <w:r w:rsidR="00F57DAF">
              <w:rPr>
                <w:noProof/>
                <w:webHidden/>
              </w:rPr>
              <w:fldChar w:fldCharType="separate"/>
            </w:r>
            <w:r w:rsidR="00F57DAF">
              <w:rPr>
                <w:noProof/>
                <w:webHidden/>
              </w:rPr>
              <w:t>153</w:t>
            </w:r>
            <w:r w:rsidR="00F57DAF">
              <w:rPr>
                <w:noProof/>
                <w:webHidden/>
              </w:rPr>
              <w:fldChar w:fldCharType="end"/>
            </w:r>
          </w:hyperlink>
        </w:p>
        <w:p w14:paraId="1A2472A4" w14:textId="720CF8A4"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19" w:history="1">
            <w:r w:rsidR="00F57DAF" w:rsidRPr="000E31D2">
              <w:rPr>
                <w:rStyle w:val="Hyperlink"/>
              </w:rPr>
              <w:t>1.2.1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Lack of investments in fully-fledged 5G networks</w:t>
            </w:r>
            <w:r w:rsidR="00F57DAF">
              <w:rPr>
                <w:webHidden/>
              </w:rPr>
              <w:tab/>
            </w:r>
            <w:r w:rsidR="00F57DAF">
              <w:rPr>
                <w:webHidden/>
              </w:rPr>
              <w:fldChar w:fldCharType="begin"/>
            </w:r>
            <w:r w:rsidR="00F57DAF">
              <w:rPr>
                <w:webHidden/>
              </w:rPr>
              <w:instrText xml:space="preserve"> PAGEREF _Toc219718419 \h </w:instrText>
            </w:r>
            <w:r w:rsidR="00F57DAF">
              <w:rPr>
                <w:webHidden/>
              </w:rPr>
            </w:r>
            <w:r w:rsidR="00F57DAF">
              <w:rPr>
                <w:webHidden/>
              </w:rPr>
              <w:fldChar w:fldCharType="separate"/>
            </w:r>
            <w:r w:rsidR="00F57DAF">
              <w:rPr>
                <w:webHidden/>
              </w:rPr>
              <w:t>153</w:t>
            </w:r>
            <w:r w:rsidR="00F57DAF">
              <w:rPr>
                <w:webHidden/>
              </w:rPr>
              <w:fldChar w:fldCharType="end"/>
            </w:r>
          </w:hyperlink>
        </w:p>
        <w:p w14:paraId="034EAA9D" w14:textId="145A1587"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20" w:history="1">
            <w:r w:rsidR="00F57DAF" w:rsidRPr="000E31D2">
              <w:rPr>
                <w:rStyle w:val="Hyperlink"/>
              </w:rPr>
              <w:t>1.2.2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Investment</w:t>
            </w:r>
            <w:r w:rsidR="00F57DAF" w:rsidRPr="000E31D2">
              <w:rPr>
                <w:rStyle w:val="Hyperlink"/>
                <w:b/>
              </w:rPr>
              <w:t xml:space="preserve"> </w:t>
            </w:r>
            <w:r w:rsidR="00F57DAF" w:rsidRPr="000E31D2">
              <w:rPr>
                <w:rStyle w:val="Hyperlink"/>
              </w:rPr>
              <w:t>needs</w:t>
            </w:r>
            <w:r w:rsidR="00F57DAF">
              <w:rPr>
                <w:webHidden/>
              </w:rPr>
              <w:tab/>
            </w:r>
            <w:r w:rsidR="00F57DAF">
              <w:rPr>
                <w:webHidden/>
              </w:rPr>
              <w:fldChar w:fldCharType="begin"/>
            </w:r>
            <w:r w:rsidR="00F57DAF">
              <w:rPr>
                <w:webHidden/>
              </w:rPr>
              <w:instrText xml:space="preserve"> PAGEREF _Toc219718420 \h </w:instrText>
            </w:r>
            <w:r w:rsidR="00F57DAF">
              <w:rPr>
                <w:webHidden/>
              </w:rPr>
            </w:r>
            <w:r w:rsidR="00F57DAF">
              <w:rPr>
                <w:webHidden/>
              </w:rPr>
              <w:fldChar w:fldCharType="separate"/>
            </w:r>
            <w:r w:rsidR="00F57DAF">
              <w:rPr>
                <w:webHidden/>
              </w:rPr>
              <w:t>158</w:t>
            </w:r>
            <w:r w:rsidR="00F57DAF">
              <w:rPr>
                <w:webHidden/>
              </w:rPr>
              <w:fldChar w:fldCharType="end"/>
            </w:r>
          </w:hyperlink>
        </w:p>
        <w:p w14:paraId="7BF402E0" w14:textId="2BB4CB8A"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21" w:history="1">
            <w:r w:rsidR="00F57DAF" w:rsidRPr="000E31D2">
              <w:rPr>
                <w:rStyle w:val="Hyperlink"/>
                <w:noProof/>
              </w:rPr>
              <w:t>1.3</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Satellite: Barriers to the development of advanced and resilient connectivity</w:t>
            </w:r>
            <w:r w:rsidR="00F57DAF">
              <w:rPr>
                <w:noProof/>
                <w:webHidden/>
              </w:rPr>
              <w:tab/>
            </w:r>
            <w:r w:rsidR="00F57DAF">
              <w:rPr>
                <w:noProof/>
                <w:webHidden/>
              </w:rPr>
              <w:fldChar w:fldCharType="begin"/>
            </w:r>
            <w:r w:rsidR="00F57DAF">
              <w:rPr>
                <w:noProof/>
                <w:webHidden/>
              </w:rPr>
              <w:instrText xml:space="preserve"> PAGEREF _Toc219718421 \h </w:instrText>
            </w:r>
            <w:r w:rsidR="00F57DAF">
              <w:rPr>
                <w:noProof/>
                <w:webHidden/>
              </w:rPr>
            </w:r>
            <w:r w:rsidR="00F57DAF">
              <w:rPr>
                <w:noProof/>
                <w:webHidden/>
              </w:rPr>
              <w:fldChar w:fldCharType="separate"/>
            </w:r>
            <w:r w:rsidR="00F57DAF">
              <w:rPr>
                <w:noProof/>
                <w:webHidden/>
              </w:rPr>
              <w:t>159</w:t>
            </w:r>
            <w:r w:rsidR="00F57DAF">
              <w:rPr>
                <w:noProof/>
                <w:webHidden/>
              </w:rPr>
              <w:fldChar w:fldCharType="end"/>
            </w:r>
          </w:hyperlink>
        </w:p>
        <w:p w14:paraId="5B1F5445" w14:textId="3A5A499A"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22" w:history="1">
            <w:r w:rsidR="00F57DAF" w:rsidRPr="000E31D2">
              <w:rPr>
                <w:rStyle w:val="Hyperlink"/>
              </w:rPr>
              <w:t>1.3.1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Theme="minorHAnsi"/>
              </w:rPr>
              <w:t>Non</w:t>
            </w:r>
            <w:r w:rsidR="00F57DAF" w:rsidRPr="000E31D2">
              <w:rPr>
                <w:rStyle w:val="Hyperlink"/>
              </w:rPr>
              <w:t>-Terrestrial Networks in 5G and 6G</w:t>
            </w:r>
            <w:r w:rsidR="00F57DAF">
              <w:rPr>
                <w:webHidden/>
              </w:rPr>
              <w:tab/>
            </w:r>
            <w:r w:rsidR="00F57DAF">
              <w:rPr>
                <w:webHidden/>
              </w:rPr>
              <w:fldChar w:fldCharType="begin"/>
            </w:r>
            <w:r w:rsidR="00F57DAF">
              <w:rPr>
                <w:webHidden/>
              </w:rPr>
              <w:instrText xml:space="preserve"> PAGEREF _Toc219718422 \h </w:instrText>
            </w:r>
            <w:r w:rsidR="00F57DAF">
              <w:rPr>
                <w:webHidden/>
              </w:rPr>
            </w:r>
            <w:r w:rsidR="00F57DAF">
              <w:rPr>
                <w:webHidden/>
              </w:rPr>
              <w:fldChar w:fldCharType="separate"/>
            </w:r>
            <w:r w:rsidR="00F57DAF">
              <w:rPr>
                <w:webHidden/>
              </w:rPr>
              <w:t>159</w:t>
            </w:r>
            <w:r w:rsidR="00F57DAF">
              <w:rPr>
                <w:webHidden/>
              </w:rPr>
              <w:fldChar w:fldCharType="end"/>
            </w:r>
          </w:hyperlink>
        </w:p>
        <w:p w14:paraId="5BF0C670" w14:textId="5B40F5C1"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23" w:history="1">
            <w:r w:rsidR="00F57DAF" w:rsidRPr="000E31D2">
              <w:rPr>
                <w:rStyle w:val="Hyperlink"/>
              </w:rPr>
              <w:t>1.3.2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Pan-European satellite services</w:t>
            </w:r>
            <w:r w:rsidR="00F57DAF">
              <w:rPr>
                <w:webHidden/>
              </w:rPr>
              <w:tab/>
            </w:r>
            <w:r w:rsidR="00F57DAF">
              <w:rPr>
                <w:webHidden/>
              </w:rPr>
              <w:fldChar w:fldCharType="begin"/>
            </w:r>
            <w:r w:rsidR="00F57DAF">
              <w:rPr>
                <w:webHidden/>
              </w:rPr>
              <w:instrText xml:space="preserve"> PAGEREF _Toc219718423 \h </w:instrText>
            </w:r>
            <w:r w:rsidR="00F57DAF">
              <w:rPr>
                <w:webHidden/>
              </w:rPr>
            </w:r>
            <w:r w:rsidR="00F57DAF">
              <w:rPr>
                <w:webHidden/>
              </w:rPr>
              <w:fldChar w:fldCharType="separate"/>
            </w:r>
            <w:r w:rsidR="00F57DAF">
              <w:rPr>
                <w:webHidden/>
              </w:rPr>
              <w:t>161</w:t>
            </w:r>
            <w:r w:rsidR="00F57DAF">
              <w:rPr>
                <w:webHidden/>
              </w:rPr>
              <w:fldChar w:fldCharType="end"/>
            </w:r>
          </w:hyperlink>
        </w:p>
        <w:p w14:paraId="3EF99BB1" w14:textId="315F3DB8"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24" w:history="1">
            <w:r w:rsidR="00F57DAF" w:rsidRPr="000E31D2">
              <w:rPr>
                <w:rStyle w:val="Hyperlink"/>
              </w:rPr>
              <w:t>1.3.3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Fragmentation in satellite authorisation</w:t>
            </w:r>
            <w:r w:rsidR="00F57DAF">
              <w:rPr>
                <w:webHidden/>
              </w:rPr>
              <w:tab/>
            </w:r>
            <w:r w:rsidR="00F57DAF">
              <w:rPr>
                <w:webHidden/>
              </w:rPr>
              <w:fldChar w:fldCharType="begin"/>
            </w:r>
            <w:r w:rsidR="00F57DAF">
              <w:rPr>
                <w:webHidden/>
              </w:rPr>
              <w:instrText xml:space="preserve"> PAGEREF _Toc219718424 \h </w:instrText>
            </w:r>
            <w:r w:rsidR="00F57DAF">
              <w:rPr>
                <w:webHidden/>
              </w:rPr>
            </w:r>
            <w:r w:rsidR="00F57DAF">
              <w:rPr>
                <w:webHidden/>
              </w:rPr>
              <w:fldChar w:fldCharType="separate"/>
            </w:r>
            <w:r w:rsidR="00F57DAF">
              <w:rPr>
                <w:webHidden/>
              </w:rPr>
              <w:t>165</w:t>
            </w:r>
            <w:r w:rsidR="00F57DAF">
              <w:rPr>
                <w:webHidden/>
              </w:rPr>
              <w:fldChar w:fldCharType="end"/>
            </w:r>
          </w:hyperlink>
        </w:p>
        <w:p w14:paraId="08D6A973" w14:textId="3BA3DD8F"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25" w:history="1">
            <w:r w:rsidR="00F57DAF" w:rsidRPr="000E31D2">
              <w:rPr>
                <w:rStyle w:val="Hyperlink"/>
              </w:rPr>
              <w:t>1.3.4</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D2D communications market potential</w:t>
            </w:r>
            <w:r w:rsidR="00F57DAF">
              <w:rPr>
                <w:webHidden/>
              </w:rPr>
              <w:tab/>
            </w:r>
            <w:r w:rsidR="00F57DAF">
              <w:rPr>
                <w:webHidden/>
              </w:rPr>
              <w:fldChar w:fldCharType="begin"/>
            </w:r>
            <w:r w:rsidR="00F57DAF">
              <w:rPr>
                <w:webHidden/>
              </w:rPr>
              <w:instrText xml:space="preserve"> PAGEREF _Toc219718425 \h </w:instrText>
            </w:r>
            <w:r w:rsidR="00F57DAF">
              <w:rPr>
                <w:webHidden/>
              </w:rPr>
            </w:r>
            <w:r w:rsidR="00F57DAF">
              <w:rPr>
                <w:webHidden/>
              </w:rPr>
              <w:fldChar w:fldCharType="separate"/>
            </w:r>
            <w:r w:rsidR="00F57DAF">
              <w:rPr>
                <w:webHidden/>
              </w:rPr>
              <w:t>167</w:t>
            </w:r>
            <w:r w:rsidR="00F57DAF">
              <w:rPr>
                <w:webHidden/>
              </w:rPr>
              <w:fldChar w:fldCharType="end"/>
            </w:r>
          </w:hyperlink>
        </w:p>
        <w:p w14:paraId="2E2F5395" w14:textId="686C34D2"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26"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Problem drivers</w:t>
            </w:r>
            <w:r w:rsidR="00F57DAF">
              <w:rPr>
                <w:noProof/>
                <w:webHidden/>
              </w:rPr>
              <w:tab/>
            </w:r>
            <w:r w:rsidR="00F57DAF">
              <w:rPr>
                <w:noProof/>
                <w:webHidden/>
              </w:rPr>
              <w:fldChar w:fldCharType="begin"/>
            </w:r>
            <w:r w:rsidR="00F57DAF">
              <w:rPr>
                <w:noProof/>
                <w:webHidden/>
              </w:rPr>
              <w:instrText xml:space="preserve"> PAGEREF _Toc219718426 \h </w:instrText>
            </w:r>
            <w:r w:rsidR="00F57DAF">
              <w:rPr>
                <w:noProof/>
                <w:webHidden/>
              </w:rPr>
            </w:r>
            <w:r w:rsidR="00F57DAF">
              <w:rPr>
                <w:noProof/>
                <w:webHidden/>
              </w:rPr>
              <w:fldChar w:fldCharType="separate"/>
            </w:r>
            <w:r w:rsidR="00F57DAF">
              <w:rPr>
                <w:noProof/>
                <w:webHidden/>
              </w:rPr>
              <w:t>169</w:t>
            </w:r>
            <w:r w:rsidR="00F57DAF">
              <w:rPr>
                <w:noProof/>
                <w:webHidden/>
              </w:rPr>
              <w:fldChar w:fldCharType="end"/>
            </w:r>
          </w:hyperlink>
        </w:p>
        <w:p w14:paraId="68A63472" w14:textId="43D7A18C"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27" w:history="1">
            <w:r w:rsidR="00F57DAF" w:rsidRPr="000E31D2">
              <w:rPr>
                <w:rStyle w:val="Hyperlink"/>
                <w:noProof/>
              </w:rPr>
              <w:t>2.1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Factors slowing down the deployment and adoption of fibre networks/services</w:t>
            </w:r>
            <w:r w:rsidR="00F57DAF">
              <w:rPr>
                <w:noProof/>
                <w:webHidden/>
              </w:rPr>
              <w:tab/>
            </w:r>
            <w:r w:rsidR="00F57DAF">
              <w:rPr>
                <w:noProof/>
                <w:webHidden/>
              </w:rPr>
              <w:fldChar w:fldCharType="begin"/>
            </w:r>
            <w:r w:rsidR="00F57DAF">
              <w:rPr>
                <w:noProof/>
                <w:webHidden/>
              </w:rPr>
              <w:instrText xml:space="preserve"> PAGEREF _Toc219718427 \h </w:instrText>
            </w:r>
            <w:r w:rsidR="00F57DAF">
              <w:rPr>
                <w:noProof/>
                <w:webHidden/>
              </w:rPr>
            </w:r>
            <w:r w:rsidR="00F57DAF">
              <w:rPr>
                <w:noProof/>
                <w:webHidden/>
              </w:rPr>
              <w:fldChar w:fldCharType="separate"/>
            </w:r>
            <w:r w:rsidR="00F57DAF">
              <w:rPr>
                <w:noProof/>
                <w:webHidden/>
              </w:rPr>
              <w:t>169</w:t>
            </w:r>
            <w:r w:rsidR="00F57DAF">
              <w:rPr>
                <w:noProof/>
                <w:webHidden/>
              </w:rPr>
              <w:fldChar w:fldCharType="end"/>
            </w:r>
          </w:hyperlink>
        </w:p>
        <w:p w14:paraId="4B36F7E5" w14:textId="78F37B1F"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28" w:history="1">
            <w:r w:rsidR="00F57DAF" w:rsidRPr="000E31D2">
              <w:rPr>
                <w:rStyle w:val="Hyperlink"/>
              </w:rPr>
              <w:t>2.1.1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Regulatory approaches, business choices and persistence of copper networks</w:t>
            </w:r>
            <w:r w:rsidR="00F57DAF">
              <w:rPr>
                <w:webHidden/>
              </w:rPr>
              <w:tab/>
            </w:r>
            <w:r w:rsidR="00F57DAF">
              <w:rPr>
                <w:webHidden/>
              </w:rPr>
              <w:fldChar w:fldCharType="begin"/>
            </w:r>
            <w:r w:rsidR="00F57DAF">
              <w:rPr>
                <w:webHidden/>
              </w:rPr>
              <w:instrText xml:space="preserve"> PAGEREF _Toc219718428 \h </w:instrText>
            </w:r>
            <w:r w:rsidR="00F57DAF">
              <w:rPr>
                <w:webHidden/>
              </w:rPr>
            </w:r>
            <w:r w:rsidR="00F57DAF">
              <w:rPr>
                <w:webHidden/>
              </w:rPr>
              <w:fldChar w:fldCharType="separate"/>
            </w:r>
            <w:r w:rsidR="00F57DAF">
              <w:rPr>
                <w:webHidden/>
              </w:rPr>
              <w:t>169</w:t>
            </w:r>
            <w:r w:rsidR="00F57DAF">
              <w:rPr>
                <w:webHidden/>
              </w:rPr>
              <w:fldChar w:fldCharType="end"/>
            </w:r>
          </w:hyperlink>
        </w:p>
        <w:p w14:paraId="16D0D70C" w14:textId="73F1DCA6"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29" w:history="1">
            <w:r w:rsidR="00F57DAF" w:rsidRPr="000E31D2">
              <w:rPr>
                <w:rStyle w:val="Hyperlink"/>
              </w:rPr>
              <w:t>2.1.2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Persistence of copper networks slows down the deployment and adoption of fibre networks/services</w:t>
            </w:r>
            <w:r w:rsidR="00F57DAF">
              <w:rPr>
                <w:webHidden/>
              </w:rPr>
              <w:tab/>
            </w:r>
            <w:r w:rsidR="00F57DAF">
              <w:rPr>
                <w:webHidden/>
              </w:rPr>
              <w:fldChar w:fldCharType="begin"/>
            </w:r>
            <w:r w:rsidR="00F57DAF">
              <w:rPr>
                <w:webHidden/>
              </w:rPr>
              <w:instrText xml:space="preserve"> PAGEREF _Toc219718429 \h </w:instrText>
            </w:r>
            <w:r w:rsidR="00F57DAF">
              <w:rPr>
                <w:webHidden/>
              </w:rPr>
            </w:r>
            <w:r w:rsidR="00F57DAF">
              <w:rPr>
                <w:webHidden/>
              </w:rPr>
              <w:fldChar w:fldCharType="separate"/>
            </w:r>
            <w:r w:rsidR="00F57DAF">
              <w:rPr>
                <w:webHidden/>
              </w:rPr>
              <w:t>181</w:t>
            </w:r>
            <w:r w:rsidR="00F57DAF">
              <w:rPr>
                <w:webHidden/>
              </w:rPr>
              <w:fldChar w:fldCharType="end"/>
            </w:r>
          </w:hyperlink>
        </w:p>
        <w:p w14:paraId="64D6AC71" w14:textId="309AA51E"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30" w:history="1">
            <w:r w:rsidR="00F57DAF" w:rsidRPr="000E31D2">
              <w:rPr>
                <w:rStyle w:val="Hyperlink"/>
                <w:noProof/>
              </w:rPr>
              <w:t>2.2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Spectrum regulation and market factors slowing down investment in high quality mobile connectivity</w:t>
            </w:r>
            <w:r w:rsidR="00F57DAF">
              <w:rPr>
                <w:noProof/>
                <w:webHidden/>
              </w:rPr>
              <w:tab/>
            </w:r>
            <w:r w:rsidR="00F57DAF">
              <w:rPr>
                <w:noProof/>
                <w:webHidden/>
              </w:rPr>
              <w:fldChar w:fldCharType="begin"/>
            </w:r>
            <w:r w:rsidR="00F57DAF">
              <w:rPr>
                <w:noProof/>
                <w:webHidden/>
              </w:rPr>
              <w:instrText xml:space="preserve"> PAGEREF _Toc219718430 \h </w:instrText>
            </w:r>
            <w:r w:rsidR="00F57DAF">
              <w:rPr>
                <w:noProof/>
                <w:webHidden/>
              </w:rPr>
            </w:r>
            <w:r w:rsidR="00F57DAF">
              <w:rPr>
                <w:noProof/>
                <w:webHidden/>
              </w:rPr>
              <w:fldChar w:fldCharType="separate"/>
            </w:r>
            <w:r w:rsidR="00F57DAF">
              <w:rPr>
                <w:noProof/>
                <w:webHidden/>
              </w:rPr>
              <w:t>183</w:t>
            </w:r>
            <w:r w:rsidR="00F57DAF">
              <w:rPr>
                <w:noProof/>
                <w:webHidden/>
              </w:rPr>
              <w:fldChar w:fldCharType="end"/>
            </w:r>
          </w:hyperlink>
        </w:p>
        <w:p w14:paraId="1AA25706" w14:textId="2E08D3CA"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31" w:history="1">
            <w:r w:rsidR="00F57DAF" w:rsidRPr="000E31D2">
              <w:rPr>
                <w:rStyle w:val="Hyperlink"/>
                <w:bCs/>
              </w:rPr>
              <w:t>2.2.1</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bCs/>
              </w:rPr>
              <w:t>Inefficient use of spectrum: difficulty to satisfy increased demand due to spectrum scarcity</w:t>
            </w:r>
            <w:r w:rsidR="00F57DAF">
              <w:rPr>
                <w:webHidden/>
              </w:rPr>
              <w:tab/>
            </w:r>
            <w:r w:rsidR="00F57DAF">
              <w:rPr>
                <w:webHidden/>
              </w:rPr>
              <w:fldChar w:fldCharType="begin"/>
            </w:r>
            <w:r w:rsidR="00F57DAF">
              <w:rPr>
                <w:webHidden/>
              </w:rPr>
              <w:instrText xml:space="preserve"> PAGEREF _Toc219718431 \h </w:instrText>
            </w:r>
            <w:r w:rsidR="00F57DAF">
              <w:rPr>
                <w:webHidden/>
              </w:rPr>
            </w:r>
            <w:r w:rsidR="00F57DAF">
              <w:rPr>
                <w:webHidden/>
              </w:rPr>
              <w:fldChar w:fldCharType="separate"/>
            </w:r>
            <w:r w:rsidR="00F57DAF">
              <w:rPr>
                <w:webHidden/>
              </w:rPr>
              <w:t>183</w:t>
            </w:r>
            <w:r w:rsidR="00F57DAF">
              <w:rPr>
                <w:webHidden/>
              </w:rPr>
              <w:fldChar w:fldCharType="end"/>
            </w:r>
          </w:hyperlink>
        </w:p>
        <w:p w14:paraId="60F15134" w14:textId="0E11241F"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32" w:history="1">
            <w:r w:rsidR="00F57DAF" w:rsidRPr="000E31D2">
              <w:rPr>
                <w:rStyle w:val="Hyperlink"/>
                <w:bCs/>
              </w:rPr>
              <w:t>2.2.2</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Fonts w:eastAsiaTheme="minorHAnsi"/>
                <w:bCs/>
              </w:rPr>
              <w:t>Insufficient flexibility for interservice and intra-service spectrum sharing</w:t>
            </w:r>
            <w:r w:rsidR="00F57DAF">
              <w:rPr>
                <w:webHidden/>
              </w:rPr>
              <w:tab/>
            </w:r>
            <w:r w:rsidR="00F57DAF">
              <w:rPr>
                <w:webHidden/>
              </w:rPr>
              <w:fldChar w:fldCharType="begin"/>
            </w:r>
            <w:r w:rsidR="00F57DAF">
              <w:rPr>
                <w:webHidden/>
              </w:rPr>
              <w:instrText xml:space="preserve"> PAGEREF _Toc219718432 \h </w:instrText>
            </w:r>
            <w:r w:rsidR="00F57DAF">
              <w:rPr>
                <w:webHidden/>
              </w:rPr>
            </w:r>
            <w:r w:rsidR="00F57DAF">
              <w:rPr>
                <w:webHidden/>
              </w:rPr>
              <w:fldChar w:fldCharType="separate"/>
            </w:r>
            <w:r w:rsidR="00F57DAF">
              <w:rPr>
                <w:webHidden/>
              </w:rPr>
              <w:t>185</w:t>
            </w:r>
            <w:r w:rsidR="00F57DAF">
              <w:rPr>
                <w:webHidden/>
              </w:rPr>
              <w:fldChar w:fldCharType="end"/>
            </w:r>
          </w:hyperlink>
        </w:p>
        <w:p w14:paraId="24C5116F" w14:textId="257B789D"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33" w:history="1">
            <w:r w:rsidR="00F57DAF" w:rsidRPr="000E31D2">
              <w:rPr>
                <w:rStyle w:val="Hyperlink"/>
              </w:rPr>
              <w:t>2.2.3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rPr>
              <w:t>EU mobile markets and number of mobile network operators</w:t>
            </w:r>
            <w:r w:rsidR="00F57DAF">
              <w:rPr>
                <w:webHidden/>
              </w:rPr>
              <w:tab/>
            </w:r>
            <w:r w:rsidR="00F57DAF">
              <w:rPr>
                <w:webHidden/>
              </w:rPr>
              <w:fldChar w:fldCharType="begin"/>
            </w:r>
            <w:r w:rsidR="00F57DAF">
              <w:rPr>
                <w:webHidden/>
              </w:rPr>
              <w:instrText xml:space="preserve"> PAGEREF _Toc219718433 \h </w:instrText>
            </w:r>
            <w:r w:rsidR="00F57DAF">
              <w:rPr>
                <w:webHidden/>
              </w:rPr>
            </w:r>
            <w:r w:rsidR="00F57DAF">
              <w:rPr>
                <w:webHidden/>
              </w:rPr>
              <w:fldChar w:fldCharType="separate"/>
            </w:r>
            <w:r w:rsidR="00F57DAF">
              <w:rPr>
                <w:webHidden/>
              </w:rPr>
              <w:t>187</w:t>
            </w:r>
            <w:r w:rsidR="00F57DAF">
              <w:rPr>
                <w:webHidden/>
              </w:rPr>
              <w:fldChar w:fldCharType="end"/>
            </w:r>
          </w:hyperlink>
        </w:p>
        <w:p w14:paraId="373A8520" w14:textId="10CD4368"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34" w:history="1">
            <w:r w:rsidR="00F57DAF" w:rsidRPr="000E31D2">
              <w:rPr>
                <w:rStyle w:val="Hyperlink"/>
                <w:noProof/>
              </w:rPr>
              <w:t>2.3</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Fragmented, complex rules, authorisation conditions</w:t>
            </w:r>
            <w:r w:rsidR="00F57DAF">
              <w:rPr>
                <w:noProof/>
                <w:webHidden/>
              </w:rPr>
              <w:tab/>
            </w:r>
            <w:r w:rsidR="00F57DAF">
              <w:rPr>
                <w:noProof/>
                <w:webHidden/>
              </w:rPr>
              <w:fldChar w:fldCharType="begin"/>
            </w:r>
            <w:r w:rsidR="00F57DAF">
              <w:rPr>
                <w:noProof/>
                <w:webHidden/>
              </w:rPr>
              <w:instrText xml:space="preserve"> PAGEREF _Toc219718434 \h </w:instrText>
            </w:r>
            <w:r w:rsidR="00F57DAF">
              <w:rPr>
                <w:noProof/>
                <w:webHidden/>
              </w:rPr>
            </w:r>
            <w:r w:rsidR="00F57DAF">
              <w:rPr>
                <w:noProof/>
                <w:webHidden/>
              </w:rPr>
              <w:fldChar w:fldCharType="separate"/>
            </w:r>
            <w:r w:rsidR="00F57DAF">
              <w:rPr>
                <w:noProof/>
                <w:webHidden/>
              </w:rPr>
              <w:t>188</w:t>
            </w:r>
            <w:r w:rsidR="00F57DAF">
              <w:rPr>
                <w:noProof/>
                <w:webHidden/>
              </w:rPr>
              <w:fldChar w:fldCharType="end"/>
            </w:r>
          </w:hyperlink>
        </w:p>
        <w:p w14:paraId="5B11E022" w14:textId="663A8F03" w:rsidR="00F57DAF" w:rsidRDefault="00B046D9">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19718435" w:history="1">
            <w:r w:rsidR="00F57DAF" w:rsidRPr="000E31D2">
              <w:rPr>
                <w:rStyle w:val="Hyperlink"/>
                <w:noProof/>
              </w:rPr>
              <w:t>2.4</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Governance problem drivers</w:t>
            </w:r>
            <w:r w:rsidR="00F57DAF">
              <w:rPr>
                <w:noProof/>
                <w:webHidden/>
              </w:rPr>
              <w:tab/>
            </w:r>
            <w:r w:rsidR="00F57DAF">
              <w:rPr>
                <w:noProof/>
                <w:webHidden/>
              </w:rPr>
              <w:fldChar w:fldCharType="begin"/>
            </w:r>
            <w:r w:rsidR="00F57DAF">
              <w:rPr>
                <w:noProof/>
                <w:webHidden/>
              </w:rPr>
              <w:instrText xml:space="preserve"> PAGEREF _Toc219718435 \h </w:instrText>
            </w:r>
            <w:r w:rsidR="00F57DAF">
              <w:rPr>
                <w:noProof/>
                <w:webHidden/>
              </w:rPr>
            </w:r>
            <w:r w:rsidR="00F57DAF">
              <w:rPr>
                <w:noProof/>
                <w:webHidden/>
              </w:rPr>
              <w:fldChar w:fldCharType="separate"/>
            </w:r>
            <w:r w:rsidR="00F57DAF">
              <w:rPr>
                <w:noProof/>
                <w:webHidden/>
              </w:rPr>
              <w:t>189</w:t>
            </w:r>
            <w:r w:rsidR="00F57DAF">
              <w:rPr>
                <w:noProof/>
                <w:webHidden/>
              </w:rPr>
              <w:fldChar w:fldCharType="end"/>
            </w:r>
          </w:hyperlink>
        </w:p>
        <w:p w14:paraId="57D06B71" w14:textId="6A96D557"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36" w:history="1">
            <w:r w:rsidR="00F57DAF" w:rsidRPr="000E31D2">
              <w:rPr>
                <w:rStyle w:val="Hyperlink"/>
                <w:noProof/>
              </w:rPr>
              <w:t>Annex 8: Details of the Policy options</w:t>
            </w:r>
            <w:r w:rsidR="00F57DAF">
              <w:rPr>
                <w:noProof/>
                <w:webHidden/>
              </w:rPr>
              <w:tab/>
            </w:r>
            <w:r w:rsidR="00F57DAF">
              <w:rPr>
                <w:noProof/>
                <w:webHidden/>
              </w:rPr>
              <w:fldChar w:fldCharType="begin"/>
            </w:r>
            <w:r w:rsidR="00F57DAF">
              <w:rPr>
                <w:noProof/>
                <w:webHidden/>
              </w:rPr>
              <w:instrText xml:space="preserve"> PAGEREF _Toc219718436 \h </w:instrText>
            </w:r>
            <w:r w:rsidR="00F57DAF">
              <w:rPr>
                <w:noProof/>
                <w:webHidden/>
              </w:rPr>
            </w:r>
            <w:r w:rsidR="00F57DAF">
              <w:rPr>
                <w:noProof/>
                <w:webHidden/>
              </w:rPr>
              <w:fldChar w:fldCharType="separate"/>
            </w:r>
            <w:r w:rsidR="00F57DAF">
              <w:rPr>
                <w:noProof/>
                <w:webHidden/>
              </w:rPr>
              <w:t>190</w:t>
            </w:r>
            <w:r w:rsidR="00F57DAF">
              <w:rPr>
                <w:noProof/>
                <w:webHidden/>
              </w:rPr>
              <w:fldChar w:fldCharType="end"/>
            </w:r>
          </w:hyperlink>
        </w:p>
        <w:p w14:paraId="71B6A7E3" w14:textId="283621BF"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37"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Transition to fibre</w:t>
            </w:r>
            <w:r w:rsidR="00F57DAF">
              <w:rPr>
                <w:noProof/>
                <w:webHidden/>
              </w:rPr>
              <w:tab/>
            </w:r>
            <w:r w:rsidR="00F57DAF">
              <w:rPr>
                <w:noProof/>
                <w:webHidden/>
              </w:rPr>
              <w:fldChar w:fldCharType="begin"/>
            </w:r>
            <w:r w:rsidR="00F57DAF">
              <w:rPr>
                <w:noProof/>
                <w:webHidden/>
              </w:rPr>
              <w:instrText xml:space="preserve"> PAGEREF _Toc219718437 \h </w:instrText>
            </w:r>
            <w:r w:rsidR="00F57DAF">
              <w:rPr>
                <w:noProof/>
                <w:webHidden/>
              </w:rPr>
            </w:r>
            <w:r w:rsidR="00F57DAF">
              <w:rPr>
                <w:noProof/>
                <w:webHidden/>
              </w:rPr>
              <w:fldChar w:fldCharType="separate"/>
            </w:r>
            <w:r w:rsidR="00F57DAF">
              <w:rPr>
                <w:noProof/>
                <w:webHidden/>
              </w:rPr>
              <w:t>190</w:t>
            </w:r>
            <w:r w:rsidR="00F57DAF">
              <w:rPr>
                <w:noProof/>
                <w:webHidden/>
              </w:rPr>
              <w:fldChar w:fldCharType="end"/>
            </w:r>
          </w:hyperlink>
        </w:p>
        <w:p w14:paraId="0753A781" w14:textId="7730B026"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38"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Spectrum</w:t>
            </w:r>
            <w:r w:rsidR="00F57DAF">
              <w:rPr>
                <w:noProof/>
                <w:webHidden/>
              </w:rPr>
              <w:tab/>
            </w:r>
            <w:r w:rsidR="00F57DAF">
              <w:rPr>
                <w:noProof/>
                <w:webHidden/>
              </w:rPr>
              <w:fldChar w:fldCharType="begin"/>
            </w:r>
            <w:r w:rsidR="00F57DAF">
              <w:rPr>
                <w:noProof/>
                <w:webHidden/>
              </w:rPr>
              <w:instrText xml:space="preserve"> PAGEREF _Toc219718438 \h </w:instrText>
            </w:r>
            <w:r w:rsidR="00F57DAF">
              <w:rPr>
                <w:noProof/>
                <w:webHidden/>
              </w:rPr>
            </w:r>
            <w:r w:rsidR="00F57DAF">
              <w:rPr>
                <w:noProof/>
                <w:webHidden/>
              </w:rPr>
              <w:fldChar w:fldCharType="separate"/>
            </w:r>
            <w:r w:rsidR="00F57DAF">
              <w:rPr>
                <w:noProof/>
                <w:webHidden/>
              </w:rPr>
              <w:t>193</w:t>
            </w:r>
            <w:r w:rsidR="00F57DAF">
              <w:rPr>
                <w:noProof/>
                <w:webHidden/>
              </w:rPr>
              <w:fldChar w:fldCharType="end"/>
            </w:r>
          </w:hyperlink>
        </w:p>
        <w:p w14:paraId="2F4DB30A" w14:textId="37A5EA26"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39" w:history="1">
            <w:r w:rsidR="00F57DAF" w:rsidRPr="000E31D2">
              <w:rPr>
                <w:rStyle w:val="Hyperlink"/>
                <w:noProof/>
              </w:rPr>
              <w:t>3</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Authorisation</w:t>
            </w:r>
            <w:r w:rsidR="00F57DAF">
              <w:rPr>
                <w:noProof/>
                <w:webHidden/>
              </w:rPr>
              <w:tab/>
            </w:r>
            <w:r w:rsidR="00F57DAF">
              <w:rPr>
                <w:noProof/>
                <w:webHidden/>
              </w:rPr>
              <w:fldChar w:fldCharType="begin"/>
            </w:r>
            <w:r w:rsidR="00F57DAF">
              <w:rPr>
                <w:noProof/>
                <w:webHidden/>
              </w:rPr>
              <w:instrText xml:space="preserve"> PAGEREF _Toc219718439 \h </w:instrText>
            </w:r>
            <w:r w:rsidR="00F57DAF">
              <w:rPr>
                <w:noProof/>
                <w:webHidden/>
              </w:rPr>
            </w:r>
            <w:r w:rsidR="00F57DAF">
              <w:rPr>
                <w:noProof/>
                <w:webHidden/>
              </w:rPr>
              <w:fldChar w:fldCharType="separate"/>
            </w:r>
            <w:r w:rsidR="00F57DAF">
              <w:rPr>
                <w:noProof/>
                <w:webHidden/>
              </w:rPr>
              <w:t>196</w:t>
            </w:r>
            <w:r w:rsidR="00F57DAF">
              <w:rPr>
                <w:noProof/>
                <w:webHidden/>
              </w:rPr>
              <w:fldChar w:fldCharType="end"/>
            </w:r>
          </w:hyperlink>
        </w:p>
        <w:p w14:paraId="52DA62CB" w14:textId="3AE4E5E4"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40" w:history="1">
            <w:r w:rsidR="00F57DAF" w:rsidRPr="000E31D2">
              <w:rPr>
                <w:rStyle w:val="Hyperlink"/>
                <w:noProof/>
              </w:rPr>
              <w:t>4</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Governance</w:t>
            </w:r>
            <w:r w:rsidR="00F57DAF">
              <w:rPr>
                <w:noProof/>
                <w:webHidden/>
              </w:rPr>
              <w:tab/>
            </w:r>
            <w:r w:rsidR="00F57DAF">
              <w:rPr>
                <w:noProof/>
                <w:webHidden/>
              </w:rPr>
              <w:fldChar w:fldCharType="begin"/>
            </w:r>
            <w:r w:rsidR="00F57DAF">
              <w:rPr>
                <w:noProof/>
                <w:webHidden/>
              </w:rPr>
              <w:instrText xml:space="preserve"> PAGEREF _Toc219718440 \h </w:instrText>
            </w:r>
            <w:r w:rsidR="00F57DAF">
              <w:rPr>
                <w:noProof/>
                <w:webHidden/>
              </w:rPr>
            </w:r>
            <w:r w:rsidR="00F57DAF">
              <w:rPr>
                <w:noProof/>
                <w:webHidden/>
              </w:rPr>
              <w:fldChar w:fldCharType="separate"/>
            </w:r>
            <w:r w:rsidR="00F57DAF">
              <w:rPr>
                <w:noProof/>
                <w:webHidden/>
              </w:rPr>
              <w:t>199</w:t>
            </w:r>
            <w:r w:rsidR="00F57DAF">
              <w:rPr>
                <w:noProof/>
                <w:webHidden/>
              </w:rPr>
              <w:fldChar w:fldCharType="end"/>
            </w:r>
          </w:hyperlink>
        </w:p>
        <w:p w14:paraId="1F0CEF9F" w14:textId="74DB9B79"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41" w:history="1">
            <w:r w:rsidR="00F57DAF" w:rsidRPr="000E31D2">
              <w:rPr>
                <w:rStyle w:val="Hyperlink"/>
                <w:noProof/>
              </w:rPr>
              <w:t>Annex 9: Analytical background for the assessment of impacts and comparison of Policy Options</w:t>
            </w:r>
            <w:r w:rsidR="00F57DAF">
              <w:rPr>
                <w:noProof/>
                <w:webHidden/>
              </w:rPr>
              <w:tab/>
            </w:r>
            <w:r w:rsidR="00F57DAF">
              <w:rPr>
                <w:noProof/>
                <w:webHidden/>
              </w:rPr>
              <w:fldChar w:fldCharType="begin"/>
            </w:r>
            <w:r w:rsidR="00F57DAF">
              <w:rPr>
                <w:noProof/>
                <w:webHidden/>
              </w:rPr>
              <w:instrText xml:space="preserve"> PAGEREF _Toc219718441 \h </w:instrText>
            </w:r>
            <w:r w:rsidR="00F57DAF">
              <w:rPr>
                <w:noProof/>
                <w:webHidden/>
              </w:rPr>
            </w:r>
            <w:r w:rsidR="00F57DAF">
              <w:rPr>
                <w:noProof/>
                <w:webHidden/>
              </w:rPr>
              <w:fldChar w:fldCharType="separate"/>
            </w:r>
            <w:r w:rsidR="00F57DAF">
              <w:rPr>
                <w:noProof/>
                <w:webHidden/>
              </w:rPr>
              <w:t>201</w:t>
            </w:r>
            <w:r w:rsidR="00F57DAF">
              <w:rPr>
                <w:noProof/>
                <w:webHidden/>
              </w:rPr>
              <w:fldChar w:fldCharType="end"/>
            </w:r>
          </w:hyperlink>
        </w:p>
        <w:p w14:paraId="4E51737D" w14:textId="6BB7D25A"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42" w:history="1">
            <w:r w:rsidR="00F57DAF" w:rsidRPr="000E31D2">
              <w:rPr>
                <w:rStyle w:val="Hyperlink"/>
                <w:noProof/>
              </w:rPr>
              <w:t>1.</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Impact and comparison of the policy options</w:t>
            </w:r>
            <w:r w:rsidR="00F57DAF">
              <w:rPr>
                <w:noProof/>
                <w:webHidden/>
              </w:rPr>
              <w:tab/>
            </w:r>
            <w:r w:rsidR="00F57DAF">
              <w:rPr>
                <w:noProof/>
                <w:webHidden/>
              </w:rPr>
              <w:fldChar w:fldCharType="begin"/>
            </w:r>
            <w:r w:rsidR="00F57DAF">
              <w:rPr>
                <w:noProof/>
                <w:webHidden/>
              </w:rPr>
              <w:instrText xml:space="preserve"> PAGEREF _Toc219718442 \h </w:instrText>
            </w:r>
            <w:r w:rsidR="00F57DAF">
              <w:rPr>
                <w:noProof/>
                <w:webHidden/>
              </w:rPr>
            </w:r>
            <w:r w:rsidR="00F57DAF">
              <w:rPr>
                <w:noProof/>
                <w:webHidden/>
              </w:rPr>
              <w:fldChar w:fldCharType="separate"/>
            </w:r>
            <w:r w:rsidR="00F57DAF">
              <w:rPr>
                <w:noProof/>
                <w:webHidden/>
              </w:rPr>
              <w:t>201</w:t>
            </w:r>
            <w:r w:rsidR="00F57DAF">
              <w:rPr>
                <w:noProof/>
                <w:webHidden/>
              </w:rPr>
              <w:fldChar w:fldCharType="end"/>
            </w:r>
          </w:hyperlink>
        </w:p>
        <w:p w14:paraId="25C85C40" w14:textId="125ACE0E"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43" w:history="1">
            <w:r w:rsidR="00F57DAF" w:rsidRPr="000E31D2">
              <w:rPr>
                <w:rStyle w:val="Hyperlink"/>
              </w:rPr>
              <w:t>1.1. Transition to fibre</w:t>
            </w:r>
            <w:r w:rsidR="00F57DAF">
              <w:rPr>
                <w:webHidden/>
              </w:rPr>
              <w:tab/>
            </w:r>
            <w:r w:rsidR="00F57DAF">
              <w:rPr>
                <w:webHidden/>
              </w:rPr>
              <w:fldChar w:fldCharType="begin"/>
            </w:r>
            <w:r w:rsidR="00F57DAF">
              <w:rPr>
                <w:webHidden/>
              </w:rPr>
              <w:instrText xml:space="preserve"> PAGEREF _Toc219718443 \h </w:instrText>
            </w:r>
            <w:r w:rsidR="00F57DAF">
              <w:rPr>
                <w:webHidden/>
              </w:rPr>
            </w:r>
            <w:r w:rsidR="00F57DAF">
              <w:rPr>
                <w:webHidden/>
              </w:rPr>
              <w:fldChar w:fldCharType="separate"/>
            </w:r>
            <w:r w:rsidR="00F57DAF">
              <w:rPr>
                <w:webHidden/>
              </w:rPr>
              <w:t>201</w:t>
            </w:r>
            <w:r w:rsidR="00F57DAF">
              <w:rPr>
                <w:webHidden/>
              </w:rPr>
              <w:fldChar w:fldCharType="end"/>
            </w:r>
          </w:hyperlink>
        </w:p>
        <w:p w14:paraId="1287D4ED" w14:textId="2F1EAE7F"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44" w:history="1">
            <w:r w:rsidR="00F57DAF" w:rsidRPr="000E31D2">
              <w:rPr>
                <w:rStyle w:val="Hyperlink"/>
              </w:rPr>
              <w:t>1.1.1. Effectiveness</w:t>
            </w:r>
            <w:r w:rsidR="00F57DAF">
              <w:rPr>
                <w:webHidden/>
              </w:rPr>
              <w:tab/>
            </w:r>
            <w:r w:rsidR="00F57DAF">
              <w:rPr>
                <w:webHidden/>
              </w:rPr>
              <w:fldChar w:fldCharType="begin"/>
            </w:r>
            <w:r w:rsidR="00F57DAF">
              <w:rPr>
                <w:webHidden/>
              </w:rPr>
              <w:instrText xml:space="preserve"> PAGEREF _Toc219718444 \h </w:instrText>
            </w:r>
            <w:r w:rsidR="00F57DAF">
              <w:rPr>
                <w:webHidden/>
              </w:rPr>
            </w:r>
            <w:r w:rsidR="00F57DAF">
              <w:rPr>
                <w:webHidden/>
              </w:rPr>
              <w:fldChar w:fldCharType="separate"/>
            </w:r>
            <w:r w:rsidR="00F57DAF">
              <w:rPr>
                <w:webHidden/>
              </w:rPr>
              <w:t>201</w:t>
            </w:r>
            <w:r w:rsidR="00F57DAF">
              <w:rPr>
                <w:webHidden/>
              </w:rPr>
              <w:fldChar w:fldCharType="end"/>
            </w:r>
          </w:hyperlink>
        </w:p>
        <w:p w14:paraId="00003B21" w14:textId="026F85EF"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45" w:history="1">
            <w:r w:rsidR="00F57DAF" w:rsidRPr="000E31D2">
              <w:rPr>
                <w:rStyle w:val="Hyperlink"/>
                <w:i/>
                <w:iCs/>
              </w:rPr>
              <w:t>1.1.1.3.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i/>
                <w:iCs/>
              </w:rPr>
              <w:t>Option 1</w:t>
            </w:r>
            <w:r w:rsidR="00F57DAF">
              <w:rPr>
                <w:webHidden/>
              </w:rPr>
              <w:tab/>
            </w:r>
            <w:r w:rsidR="00F57DAF">
              <w:rPr>
                <w:webHidden/>
              </w:rPr>
              <w:fldChar w:fldCharType="begin"/>
            </w:r>
            <w:r w:rsidR="00F57DAF">
              <w:rPr>
                <w:webHidden/>
              </w:rPr>
              <w:instrText xml:space="preserve"> PAGEREF _Toc219718445 \h </w:instrText>
            </w:r>
            <w:r w:rsidR="00F57DAF">
              <w:rPr>
                <w:webHidden/>
              </w:rPr>
            </w:r>
            <w:r w:rsidR="00F57DAF">
              <w:rPr>
                <w:webHidden/>
              </w:rPr>
              <w:fldChar w:fldCharType="separate"/>
            </w:r>
            <w:r w:rsidR="00F57DAF">
              <w:rPr>
                <w:webHidden/>
              </w:rPr>
              <w:t>204</w:t>
            </w:r>
            <w:r w:rsidR="00F57DAF">
              <w:rPr>
                <w:webHidden/>
              </w:rPr>
              <w:fldChar w:fldCharType="end"/>
            </w:r>
          </w:hyperlink>
        </w:p>
        <w:p w14:paraId="23E908DA" w14:textId="01E3BC1D"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46" w:history="1">
            <w:r w:rsidR="00F57DAF" w:rsidRPr="000E31D2">
              <w:rPr>
                <w:rStyle w:val="Hyperlink"/>
                <w:i/>
                <w:iCs/>
              </w:rPr>
              <w:t>1.1.1.4.</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i/>
                <w:iCs/>
              </w:rPr>
              <w:t>Option 3</w:t>
            </w:r>
            <w:r w:rsidR="00F57DAF">
              <w:rPr>
                <w:webHidden/>
              </w:rPr>
              <w:tab/>
            </w:r>
            <w:r w:rsidR="00F57DAF">
              <w:rPr>
                <w:webHidden/>
              </w:rPr>
              <w:fldChar w:fldCharType="begin"/>
            </w:r>
            <w:r w:rsidR="00F57DAF">
              <w:rPr>
                <w:webHidden/>
              </w:rPr>
              <w:instrText xml:space="preserve"> PAGEREF _Toc219718446 \h </w:instrText>
            </w:r>
            <w:r w:rsidR="00F57DAF">
              <w:rPr>
                <w:webHidden/>
              </w:rPr>
            </w:r>
            <w:r w:rsidR="00F57DAF">
              <w:rPr>
                <w:webHidden/>
              </w:rPr>
              <w:fldChar w:fldCharType="separate"/>
            </w:r>
            <w:r w:rsidR="00F57DAF">
              <w:rPr>
                <w:webHidden/>
              </w:rPr>
              <w:t>217</w:t>
            </w:r>
            <w:r w:rsidR="00F57DAF">
              <w:rPr>
                <w:webHidden/>
              </w:rPr>
              <w:fldChar w:fldCharType="end"/>
            </w:r>
          </w:hyperlink>
        </w:p>
        <w:p w14:paraId="3E055EF3" w14:textId="0B8A7B98"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47" w:history="1">
            <w:r w:rsidR="00F57DAF" w:rsidRPr="000E31D2">
              <w:rPr>
                <w:rStyle w:val="Hyperlink"/>
                <w:i/>
                <w:iCs/>
              </w:rPr>
              <w:t>1.1.1.5.</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i/>
                <w:iCs/>
              </w:rPr>
              <w:t>Option 4</w:t>
            </w:r>
            <w:r w:rsidR="00F57DAF">
              <w:rPr>
                <w:webHidden/>
              </w:rPr>
              <w:tab/>
            </w:r>
            <w:r w:rsidR="00F57DAF">
              <w:rPr>
                <w:webHidden/>
              </w:rPr>
              <w:fldChar w:fldCharType="begin"/>
            </w:r>
            <w:r w:rsidR="00F57DAF">
              <w:rPr>
                <w:webHidden/>
              </w:rPr>
              <w:instrText xml:space="preserve"> PAGEREF _Toc219718447 \h </w:instrText>
            </w:r>
            <w:r w:rsidR="00F57DAF">
              <w:rPr>
                <w:webHidden/>
              </w:rPr>
            </w:r>
            <w:r w:rsidR="00F57DAF">
              <w:rPr>
                <w:webHidden/>
              </w:rPr>
              <w:fldChar w:fldCharType="separate"/>
            </w:r>
            <w:r w:rsidR="00F57DAF">
              <w:rPr>
                <w:webHidden/>
              </w:rPr>
              <w:t>219</w:t>
            </w:r>
            <w:r w:rsidR="00F57DAF">
              <w:rPr>
                <w:webHidden/>
              </w:rPr>
              <w:fldChar w:fldCharType="end"/>
            </w:r>
          </w:hyperlink>
        </w:p>
        <w:p w14:paraId="6F186A0A" w14:textId="25C09687"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48" w:history="1">
            <w:r w:rsidR="00F57DAF" w:rsidRPr="000E31D2">
              <w:rPr>
                <w:rStyle w:val="Hyperlink"/>
              </w:rPr>
              <w:t>1.1.2 Efficiency</w:t>
            </w:r>
            <w:r w:rsidR="00F57DAF">
              <w:rPr>
                <w:webHidden/>
              </w:rPr>
              <w:tab/>
            </w:r>
            <w:r w:rsidR="00F57DAF">
              <w:rPr>
                <w:webHidden/>
              </w:rPr>
              <w:fldChar w:fldCharType="begin"/>
            </w:r>
            <w:r w:rsidR="00F57DAF">
              <w:rPr>
                <w:webHidden/>
              </w:rPr>
              <w:instrText xml:space="preserve"> PAGEREF _Toc219718448 \h </w:instrText>
            </w:r>
            <w:r w:rsidR="00F57DAF">
              <w:rPr>
                <w:webHidden/>
              </w:rPr>
            </w:r>
            <w:r w:rsidR="00F57DAF">
              <w:rPr>
                <w:webHidden/>
              </w:rPr>
              <w:fldChar w:fldCharType="separate"/>
            </w:r>
            <w:r w:rsidR="00F57DAF">
              <w:rPr>
                <w:webHidden/>
              </w:rPr>
              <w:t>221</w:t>
            </w:r>
            <w:r w:rsidR="00F57DAF">
              <w:rPr>
                <w:webHidden/>
              </w:rPr>
              <w:fldChar w:fldCharType="end"/>
            </w:r>
          </w:hyperlink>
        </w:p>
        <w:p w14:paraId="16A8F2B4" w14:textId="0FB843B7"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49" w:history="1">
            <w:r w:rsidR="00F57DAF" w:rsidRPr="000E31D2">
              <w:rPr>
                <w:rStyle w:val="Hyperlink"/>
                <w:i/>
                <w:iCs/>
              </w:rPr>
              <w:t>1.1.2.1. Administrative costs under the baseline</w:t>
            </w:r>
            <w:r w:rsidR="00F57DAF">
              <w:rPr>
                <w:webHidden/>
              </w:rPr>
              <w:tab/>
            </w:r>
            <w:r w:rsidR="00F57DAF">
              <w:rPr>
                <w:webHidden/>
              </w:rPr>
              <w:fldChar w:fldCharType="begin"/>
            </w:r>
            <w:r w:rsidR="00F57DAF">
              <w:rPr>
                <w:webHidden/>
              </w:rPr>
              <w:instrText xml:space="preserve"> PAGEREF _Toc219718449 \h </w:instrText>
            </w:r>
            <w:r w:rsidR="00F57DAF">
              <w:rPr>
                <w:webHidden/>
              </w:rPr>
            </w:r>
            <w:r w:rsidR="00F57DAF">
              <w:rPr>
                <w:webHidden/>
              </w:rPr>
              <w:fldChar w:fldCharType="separate"/>
            </w:r>
            <w:r w:rsidR="00F57DAF">
              <w:rPr>
                <w:webHidden/>
              </w:rPr>
              <w:t>221</w:t>
            </w:r>
            <w:r w:rsidR="00F57DAF">
              <w:rPr>
                <w:webHidden/>
              </w:rPr>
              <w:fldChar w:fldCharType="end"/>
            </w:r>
          </w:hyperlink>
        </w:p>
        <w:p w14:paraId="6A739A9C" w14:textId="38FF863B"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50" w:history="1">
            <w:r w:rsidR="00F57DAF" w:rsidRPr="000E31D2">
              <w:rPr>
                <w:rStyle w:val="Hyperlink"/>
                <w:i/>
                <w:iCs/>
              </w:rPr>
              <w:t>1.1.1.3.</w:t>
            </w:r>
            <w:r w:rsidR="00F57DAF">
              <w:rPr>
                <w:rFonts w:asciiTheme="minorHAnsi" w:eastAsiaTheme="minorEastAsia" w:hAnsiTheme="minorHAnsi" w:cstheme="minorBidi"/>
                <w:kern w:val="2"/>
                <w:sz w:val="24"/>
                <w:szCs w:val="24"/>
                <w:lang w:val="en-IE" w:eastAsia="en-IE"/>
                <w14:ligatures w14:val="standardContextual"/>
              </w:rPr>
              <w:tab/>
            </w:r>
            <w:r w:rsidR="00F57DAF" w:rsidRPr="000E31D2">
              <w:rPr>
                <w:rStyle w:val="Hyperlink"/>
                <w:i/>
                <w:iCs/>
              </w:rPr>
              <w:t>Option 2</w:t>
            </w:r>
            <w:r w:rsidR="00F57DAF">
              <w:rPr>
                <w:webHidden/>
              </w:rPr>
              <w:tab/>
            </w:r>
            <w:r w:rsidR="00F57DAF">
              <w:rPr>
                <w:webHidden/>
              </w:rPr>
              <w:fldChar w:fldCharType="begin"/>
            </w:r>
            <w:r w:rsidR="00F57DAF">
              <w:rPr>
                <w:webHidden/>
              </w:rPr>
              <w:instrText xml:space="preserve"> PAGEREF _Toc219718450 \h </w:instrText>
            </w:r>
            <w:r w:rsidR="00F57DAF">
              <w:rPr>
                <w:webHidden/>
              </w:rPr>
            </w:r>
            <w:r w:rsidR="00F57DAF">
              <w:rPr>
                <w:webHidden/>
              </w:rPr>
              <w:fldChar w:fldCharType="separate"/>
            </w:r>
            <w:r w:rsidR="00F57DAF">
              <w:rPr>
                <w:webHidden/>
              </w:rPr>
              <w:t>222</w:t>
            </w:r>
            <w:r w:rsidR="00F57DAF">
              <w:rPr>
                <w:webHidden/>
              </w:rPr>
              <w:fldChar w:fldCharType="end"/>
            </w:r>
          </w:hyperlink>
        </w:p>
        <w:p w14:paraId="6FFF4DDA" w14:textId="3607D5B3"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51" w:history="1">
            <w:r w:rsidR="00F57DAF" w:rsidRPr="000E31D2">
              <w:rPr>
                <w:rStyle w:val="Hyperlink"/>
              </w:rPr>
              <w:t>1.1.3 Impact on stakeholders</w:t>
            </w:r>
            <w:r w:rsidR="00F57DAF">
              <w:rPr>
                <w:webHidden/>
              </w:rPr>
              <w:tab/>
            </w:r>
            <w:r w:rsidR="00F57DAF">
              <w:rPr>
                <w:webHidden/>
              </w:rPr>
              <w:fldChar w:fldCharType="begin"/>
            </w:r>
            <w:r w:rsidR="00F57DAF">
              <w:rPr>
                <w:webHidden/>
              </w:rPr>
              <w:instrText xml:space="preserve"> PAGEREF _Toc219718451 \h </w:instrText>
            </w:r>
            <w:r w:rsidR="00F57DAF">
              <w:rPr>
                <w:webHidden/>
              </w:rPr>
            </w:r>
            <w:r w:rsidR="00F57DAF">
              <w:rPr>
                <w:webHidden/>
              </w:rPr>
              <w:fldChar w:fldCharType="separate"/>
            </w:r>
            <w:r w:rsidR="00F57DAF">
              <w:rPr>
                <w:webHidden/>
              </w:rPr>
              <w:t>235</w:t>
            </w:r>
            <w:r w:rsidR="00F57DAF">
              <w:rPr>
                <w:webHidden/>
              </w:rPr>
              <w:fldChar w:fldCharType="end"/>
            </w:r>
          </w:hyperlink>
        </w:p>
        <w:p w14:paraId="305A95B7" w14:textId="44939182" w:rsidR="00F57DAF" w:rsidRDefault="00B046D9">
          <w:pPr>
            <w:pStyle w:val="TOC2"/>
            <w:rPr>
              <w:rFonts w:asciiTheme="minorHAnsi" w:eastAsiaTheme="minorEastAsia" w:hAnsiTheme="minorHAnsi" w:cstheme="minorBidi"/>
              <w:noProof/>
              <w:kern w:val="2"/>
              <w:szCs w:val="24"/>
              <w:lang w:val="en-IE" w:eastAsia="en-IE"/>
              <w14:ligatures w14:val="standardContextual"/>
            </w:rPr>
          </w:pPr>
          <w:hyperlink w:anchor="_Toc219718452" w:history="1">
            <w:r w:rsidR="00F57DAF" w:rsidRPr="000E31D2">
              <w:rPr>
                <w:rStyle w:val="Hyperlink"/>
                <w:noProof/>
              </w:rPr>
              <w:t>1.2 Spectrum</w:t>
            </w:r>
            <w:r w:rsidR="00F57DAF">
              <w:rPr>
                <w:noProof/>
                <w:webHidden/>
              </w:rPr>
              <w:tab/>
            </w:r>
            <w:r w:rsidR="00F57DAF">
              <w:rPr>
                <w:noProof/>
                <w:webHidden/>
              </w:rPr>
              <w:fldChar w:fldCharType="begin"/>
            </w:r>
            <w:r w:rsidR="00F57DAF">
              <w:rPr>
                <w:noProof/>
                <w:webHidden/>
              </w:rPr>
              <w:instrText xml:space="preserve"> PAGEREF _Toc219718452 \h </w:instrText>
            </w:r>
            <w:r w:rsidR="00F57DAF">
              <w:rPr>
                <w:noProof/>
                <w:webHidden/>
              </w:rPr>
            </w:r>
            <w:r w:rsidR="00F57DAF">
              <w:rPr>
                <w:noProof/>
                <w:webHidden/>
              </w:rPr>
              <w:fldChar w:fldCharType="separate"/>
            </w:r>
            <w:r w:rsidR="00F57DAF">
              <w:rPr>
                <w:noProof/>
                <w:webHidden/>
              </w:rPr>
              <w:t>259</w:t>
            </w:r>
            <w:r w:rsidR="00F57DAF">
              <w:rPr>
                <w:noProof/>
                <w:webHidden/>
              </w:rPr>
              <w:fldChar w:fldCharType="end"/>
            </w:r>
          </w:hyperlink>
        </w:p>
        <w:p w14:paraId="1E2E4827" w14:textId="6AAC98C0"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53" w:history="1">
            <w:r w:rsidR="00F57DAF" w:rsidRPr="000E31D2">
              <w:rPr>
                <w:rStyle w:val="Hyperlink"/>
                <w:b/>
              </w:rPr>
              <w:t>Relevance</w:t>
            </w:r>
            <w:r w:rsidR="00F57DAF">
              <w:rPr>
                <w:webHidden/>
              </w:rPr>
              <w:tab/>
            </w:r>
            <w:r w:rsidR="00F57DAF">
              <w:rPr>
                <w:webHidden/>
              </w:rPr>
              <w:fldChar w:fldCharType="begin"/>
            </w:r>
            <w:r w:rsidR="00F57DAF">
              <w:rPr>
                <w:webHidden/>
              </w:rPr>
              <w:instrText xml:space="preserve"> PAGEREF _Toc219718453 \h </w:instrText>
            </w:r>
            <w:r w:rsidR="00F57DAF">
              <w:rPr>
                <w:webHidden/>
              </w:rPr>
            </w:r>
            <w:r w:rsidR="00F57DAF">
              <w:rPr>
                <w:webHidden/>
              </w:rPr>
              <w:fldChar w:fldCharType="separate"/>
            </w:r>
            <w:r w:rsidR="00F57DAF">
              <w:rPr>
                <w:webHidden/>
              </w:rPr>
              <w:t>259</w:t>
            </w:r>
            <w:r w:rsidR="00F57DAF">
              <w:rPr>
                <w:webHidden/>
              </w:rPr>
              <w:fldChar w:fldCharType="end"/>
            </w:r>
          </w:hyperlink>
        </w:p>
        <w:p w14:paraId="7092BC42" w14:textId="4BDAB501"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54" w:history="1">
            <w:r w:rsidR="00F57DAF" w:rsidRPr="000E31D2">
              <w:rPr>
                <w:rStyle w:val="Hyperlink"/>
                <w:b/>
              </w:rPr>
              <w:t>EU added value</w:t>
            </w:r>
            <w:r w:rsidR="00F57DAF">
              <w:rPr>
                <w:webHidden/>
              </w:rPr>
              <w:tab/>
            </w:r>
            <w:r w:rsidR="00F57DAF">
              <w:rPr>
                <w:webHidden/>
              </w:rPr>
              <w:fldChar w:fldCharType="begin"/>
            </w:r>
            <w:r w:rsidR="00F57DAF">
              <w:rPr>
                <w:webHidden/>
              </w:rPr>
              <w:instrText xml:space="preserve"> PAGEREF _Toc219718454 \h </w:instrText>
            </w:r>
            <w:r w:rsidR="00F57DAF">
              <w:rPr>
                <w:webHidden/>
              </w:rPr>
            </w:r>
            <w:r w:rsidR="00F57DAF">
              <w:rPr>
                <w:webHidden/>
              </w:rPr>
              <w:fldChar w:fldCharType="separate"/>
            </w:r>
            <w:r w:rsidR="00F57DAF">
              <w:rPr>
                <w:webHidden/>
              </w:rPr>
              <w:t>259</w:t>
            </w:r>
            <w:r w:rsidR="00F57DAF">
              <w:rPr>
                <w:webHidden/>
              </w:rPr>
              <w:fldChar w:fldCharType="end"/>
            </w:r>
          </w:hyperlink>
        </w:p>
        <w:p w14:paraId="484D23BE" w14:textId="6CD3AAE5" w:rsidR="00F57DAF" w:rsidRDefault="00B046D9">
          <w:pPr>
            <w:pStyle w:val="TOC2"/>
            <w:rPr>
              <w:rFonts w:asciiTheme="minorHAnsi" w:eastAsiaTheme="minorEastAsia" w:hAnsiTheme="minorHAnsi" w:cstheme="minorBidi"/>
              <w:noProof/>
              <w:kern w:val="2"/>
              <w:szCs w:val="24"/>
              <w:lang w:val="en-IE" w:eastAsia="en-IE"/>
              <w14:ligatures w14:val="standardContextual"/>
            </w:rPr>
          </w:pPr>
          <w:hyperlink w:anchor="_Toc219718455" w:history="1">
            <w:r w:rsidR="00F57DAF" w:rsidRPr="000E31D2">
              <w:rPr>
                <w:rStyle w:val="Hyperlink"/>
                <w:noProof/>
              </w:rPr>
              <w:t>1.3 Authorisation</w:t>
            </w:r>
            <w:r w:rsidR="00F57DAF">
              <w:rPr>
                <w:noProof/>
                <w:webHidden/>
              </w:rPr>
              <w:tab/>
            </w:r>
            <w:r w:rsidR="00F57DAF">
              <w:rPr>
                <w:noProof/>
                <w:webHidden/>
              </w:rPr>
              <w:fldChar w:fldCharType="begin"/>
            </w:r>
            <w:r w:rsidR="00F57DAF">
              <w:rPr>
                <w:noProof/>
                <w:webHidden/>
              </w:rPr>
              <w:instrText xml:space="preserve"> PAGEREF _Toc219718455 \h </w:instrText>
            </w:r>
            <w:r w:rsidR="00F57DAF">
              <w:rPr>
                <w:noProof/>
                <w:webHidden/>
              </w:rPr>
            </w:r>
            <w:r w:rsidR="00F57DAF">
              <w:rPr>
                <w:noProof/>
                <w:webHidden/>
              </w:rPr>
              <w:fldChar w:fldCharType="separate"/>
            </w:r>
            <w:r w:rsidR="00F57DAF">
              <w:rPr>
                <w:noProof/>
                <w:webHidden/>
              </w:rPr>
              <w:t>260</w:t>
            </w:r>
            <w:r w:rsidR="00F57DAF">
              <w:rPr>
                <w:noProof/>
                <w:webHidden/>
              </w:rPr>
              <w:fldChar w:fldCharType="end"/>
            </w:r>
          </w:hyperlink>
        </w:p>
        <w:p w14:paraId="5260FBED" w14:textId="63C7A7CA"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56" w:history="1">
            <w:r w:rsidR="00F57DAF" w:rsidRPr="000E31D2">
              <w:rPr>
                <w:rStyle w:val="Hyperlink"/>
                <w:b/>
              </w:rPr>
              <w:t>Relevance</w:t>
            </w:r>
            <w:r w:rsidR="00F57DAF">
              <w:rPr>
                <w:webHidden/>
              </w:rPr>
              <w:tab/>
            </w:r>
            <w:r w:rsidR="00F57DAF">
              <w:rPr>
                <w:webHidden/>
              </w:rPr>
              <w:fldChar w:fldCharType="begin"/>
            </w:r>
            <w:r w:rsidR="00F57DAF">
              <w:rPr>
                <w:webHidden/>
              </w:rPr>
              <w:instrText xml:space="preserve"> PAGEREF _Toc219718456 \h </w:instrText>
            </w:r>
            <w:r w:rsidR="00F57DAF">
              <w:rPr>
                <w:webHidden/>
              </w:rPr>
            </w:r>
            <w:r w:rsidR="00F57DAF">
              <w:rPr>
                <w:webHidden/>
              </w:rPr>
              <w:fldChar w:fldCharType="separate"/>
            </w:r>
            <w:r w:rsidR="00F57DAF">
              <w:rPr>
                <w:webHidden/>
              </w:rPr>
              <w:t>260</w:t>
            </w:r>
            <w:r w:rsidR="00F57DAF">
              <w:rPr>
                <w:webHidden/>
              </w:rPr>
              <w:fldChar w:fldCharType="end"/>
            </w:r>
          </w:hyperlink>
        </w:p>
        <w:p w14:paraId="6DAD8D02" w14:textId="797D4A59"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57" w:history="1">
            <w:r w:rsidR="00F57DAF" w:rsidRPr="000E31D2">
              <w:rPr>
                <w:rStyle w:val="Hyperlink"/>
                <w:b/>
              </w:rPr>
              <w:t>EU-added value</w:t>
            </w:r>
            <w:r w:rsidR="00F57DAF">
              <w:rPr>
                <w:webHidden/>
              </w:rPr>
              <w:tab/>
            </w:r>
            <w:r w:rsidR="00F57DAF">
              <w:rPr>
                <w:webHidden/>
              </w:rPr>
              <w:fldChar w:fldCharType="begin"/>
            </w:r>
            <w:r w:rsidR="00F57DAF">
              <w:rPr>
                <w:webHidden/>
              </w:rPr>
              <w:instrText xml:space="preserve"> PAGEREF _Toc219718457 \h </w:instrText>
            </w:r>
            <w:r w:rsidR="00F57DAF">
              <w:rPr>
                <w:webHidden/>
              </w:rPr>
            </w:r>
            <w:r w:rsidR="00F57DAF">
              <w:rPr>
                <w:webHidden/>
              </w:rPr>
              <w:fldChar w:fldCharType="separate"/>
            </w:r>
            <w:r w:rsidR="00F57DAF">
              <w:rPr>
                <w:webHidden/>
              </w:rPr>
              <w:t>260</w:t>
            </w:r>
            <w:r w:rsidR="00F57DAF">
              <w:rPr>
                <w:webHidden/>
              </w:rPr>
              <w:fldChar w:fldCharType="end"/>
            </w:r>
          </w:hyperlink>
        </w:p>
        <w:p w14:paraId="360784BB" w14:textId="2FB558B9" w:rsidR="00F57DAF" w:rsidRDefault="00B046D9">
          <w:pPr>
            <w:pStyle w:val="TOC2"/>
            <w:rPr>
              <w:rFonts w:asciiTheme="minorHAnsi" w:eastAsiaTheme="minorEastAsia" w:hAnsiTheme="minorHAnsi" w:cstheme="minorBidi"/>
              <w:noProof/>
              <w:kern w:val="2"/>
              <w:szCs w:val="24"/>
              <w:lang w:val="en-IE" w:eastAsia="en-IE"/>
              <w14:ligatures w14:val="standardContextual"/>
            </w:rPr>
          </w:pPr>
          <w:hyperlink w:anchor="_Toc219718458" w:history="1">
            <w:r w:rsidR="00F57DAF" w:rsidRPr="000E31D2">
              <w:rPr>
                <w:rStyle w:val="Hyperlink"/>
                <w:noProof/>
              </w:rPr>
              <w:t>1.4 Governance</w:t>
            </w:r>
            <w:r w:rsidR="00F57DAF">
              <w:rPr>
                <w:noProof/>
                <w:webHidden/>
              </w:rPr>
              <w:tab/>
            </w:r>
            <w:r w:rsidR="00F57DAF">
              <w:rPr>
                <w:noProof/>
                <w:webHidden/>
              </w:rPr>
              <w:fldChar w:fldCharType="begin"/>
            </w:r>
            <w:r w:rsidR="00F57DAF">
              <w:rPr>
                <w:noProof/>
                <w:webHidden/>
              </w:rPr>
              <w:instrText xml:space="preserve"> PAGEREF _Toc219718458 \h </w:instrText>
            </w:r>
            <w:r w:rsidR="00F57DAF">
              <w:rPr>
                <w:noProof/>
                <w:webHidden/>
              </w:rPr>
            </w:r>
            <w:r w:rsidR="00F57DAF">
              <w:rPr>
                <w:noProof/>
                <w:webHidden/>
              </w:rPr>
              <w:fldChar w:fldCharType="separate"/>
            </w:r>
            <w:r w:rsidR="00F57DAF">
              <w:rPr>
                <w:noProof/>
                <w:webHidden/>
              </w:rPr>
              <w:t>261</w:t>
            </w:r>
            <w:r w:rsidR="00F57DAF">
              <w:rPr>
                <w:noProof/>
                <w:webHidden/>
              </w:rPr>
              <w:fldChar w:fldCharType="end"/>
            </w:r>
          </w:hyperlink>
        </w:p>
        <w:p w14:paraId="597BCF47" w14:textId="34E1EDCA"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59" w:history="1">
            <w:r w:rsidR="00F57DAF" w:rsidRPr="000E31D2">
              <w:rPr>
                <w:rStyle w:val="Hyperlink"/>
                <w:rFonts w:eastAsia="Calibri"/>
                <w:b/>
              </w:rPr>
              <w:t>Relevance</w:t>
            </w:r>
            <w:r w:rsidR="00F57DAF">
              <w:rPr>
                <w:webHidden/>
              </w:rPr>
              <w:tab/>
            </w:r>
            <w:r w:rsidR="00F57DAF">
              <w:rPr>
                <w:webHidden/>
              </w:rPr>
              <w:fldChar w:fldCharType="begin"/>
            </w:r>
            <w:r w:rsidR="00F57DAF">
              <w:rPr>
                <w:webHidden/>
              </w:rPr>
              <w:instrText xml:space="preserve"> PAGEREF _Toc219718459 \h </w:instrText>
            </w:r>
            <w:r w:rsidR="00F57DAF">
              <w:rPr>
                <w:webHidden/>
              </w:rPr>
            </w:r>
            <w:r w:rsidR="00F57DAF">
              <w:rPr>
                <w:webHidden/>
              </w:rPr>
              <w:fldChar w:fldCharType="separate"/>
            </w:r>
            <w:r w:rsidR="00F57DAF">
              <w:rPr>
                <w:webHidden/>
              </w:rPr>
              <w:t>261</w:t>
            </w:r>
            <w:r w:rsidR="00F57DAF">
              <w:rPr>
                <w:webHidden/>
              </w:rPr>
              <w:fldChar w:fldCharType="end"/>
            </w:r>
          </w:hyperlink>
        </w:p>
        <w:p w14:paraId="7DCBAC5C" w14:textId="19125DF7"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60" w:history="1">
            <w:r w:rsidR="00F57DAF" w:rsidRPr="000E31D2">
              <w:rPr>
                <w:rStyle w:val="Hyperlink"/>
                <w:rFonts w:eastAsia="Calibri"/>
                <w:b/>
              </w:rPr>
              <w:t>EU added value</w:t>
            </w:r>
            <w:r w:rsidR="00F57DAF">
              <w:rPr>
                <w:webHidden/>
              </w:rPr>
              <w:tab/>
            </w:r>
            <w:r w:rsidR="00F57DAF">
              <w:rPr>
                <w:webHidden/>
              </w:rPr>
              <w:fldChar w:fldCharType="begin"/>
            </w:r>
            <w:r w:rsidR="00F57DAF">
              <w:rPr>
                <w:webHidden/>
              </w:rPr>
              <w:instrText xml:space="preserve"> PAGEREF _Toc219718460 \h </w:instrText>
            </w:r>
            <w:r w:rsidR="00F57DAF">
              <w:rPr>
                <w:webHidden/>
              </w:rPr>
            </w:r>
            <w:r w:rsidR="00F57DAF">
              <w:rPr>
                <w:webHidden/>
              </w:rPr>
              <w:fldChar w:fldCharType="separate"/>
            </w:r>
            <w:r w:rsidR="00F57DAF">
              <w:rPr>
                <w:webHidden/>
              </w:rPr>
              <w:t>262</w:t>
            </w:r>
            <w:r w:rsidR="00F57DAF">
              <w:rPr>
                <w:webHidden/>
              </w:rPr>
              <w:fldChar w:fldCharType="end"/>
            </w:r>
          </w:hyperlink>
        </w:p>
        <w:p w14:paraId="09A02FE6" w14:textId="0C28FF77"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61" w:history="1">
            <w:r w:rsidR="00F57DAF" w:rsidRPr="000E31D2">
              <w:rPr>
                <w:rStyle w:val="Hyperlink"/>
                <w:noProof/>
              </w:rPr>
              <w:t>2.</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Further background how the actual impacts will be monitored and measured</w:t>
            </w:r>
            <w:r w:rsidR="00F57DAF">
              <w:rPr>
                <w:noProof/>
                <w:webHidden/>
              </w:rPr>
              <w:tab/>
            </w:r>
            <w:r w:rsidR="00F57DAF">
              <w:rPr>
                <w:noProof/>
                <w:webHidden/>
              </w:rPr>
              <w:fldChar w:fldCharType="begin"/>
            </w:r>
            <w:r w:rsidR="00F57DAF">
              <w:rPr>
                <w:noProof/>
                <w:webHidden/>
              </w:rPr>
              <w:instrText xml:space="preserve"> PAGEREF _Toc219718461 \h </w:instrText>
            </w:r>
            <w:r w:rsidR="00F57DAF">
              <w:rPr>
                <w:noProof/>
                <w:webHidden/>
              </w:rPr>
            </w:r>
            <w:r w:rsidR="00F57DAF">
              <w:rPr>
                <w:noProof/>
                <w:webHidden/>
              </w:rPr>
              <w:fldChar w:fldCharType="separate"/>
            </w:r>
            <w:r w:rsidR="00F57DAF">
              <w:rPr>
                <w:noProof/>
                <w:webHidden/>
              </w:rPr>
              <w:t>262</w:t>
            </w:r>
            <w:r w:rsidR="00F57DAF">
              <w:rPr>
                <w:noProof/>
                <w:webHidden/>
              </w:rPr>
              <w:fldChar w:fldCharType="end"/>
            </w:r>
          </w:hyperlink>
        </w:p>
        <w:p w14:paraId="615A4260" w14:textId="24CB7EFD" w:rsidR="00F57DAF" w:rsidRDefault="00B046D9">
          <w:pPr>
            <w:pStyle w:val="TOC2"/>
            <w:rPr>
              <w:rFonts w:asciiTheme="minorHAnsi" w:eastAsiaTheme="minorEastAsia" w:hAnsiTheme="minorHAnsi" w:cstheme="minorBidi"/>
              <w:noProof/>
              <w:kern w:val="2"/>
              <w:szCs w:val="24"/>
              <w:lang w:val="en-IE" w:eastAsia="en-IE"/>
              <w14:ligatures w14:val="standardContextual"/>
            </w:rPr>
          </w:pPr>
          <w:hyperlink w:anchor="_Toc219718462" w:history="1">
            <w:r w:rsidR="00F57DAF" w:rsidRPr="000E31D2">
              <w:rPr>
                <w:rStyle w:val="Hyperlink"/>
                <w:noProof/>
              </w:rPr>
              <w:t>2.1 Transition to fibre and access regulation</w:t>
            </w:r>
            <w:r w:rsidR="00F57DAF">
              <w:rPr>
                <w:noProof/>
                <w:webHidden/>
              </w:rPr>
              <w:tab/>
            </w:r>
            <w:r w:rsidR="00F57DAF">
              <w:rPr>
                <w:noProof/>
                <w:webHidden/>
              </w:rPr>
              <w:fldChar w:fldCharType="begin"/>
            </w:r>
            <w:r w:rsidR="00F57DAF">
              <w:rPr>
                <w:noProof/>
                <w:webHidden/>
              </w:rPr>
              <w:instrText xml:space="preserve"> PAGEREF _Toc219718462 \h </w:instrText>
            </w:r>
            <w:r w:rsidR="00F57DAF">
              <w:rPr>
                <w:noProof/>
                <w:webHidden/>
              </w:rPr>
            </w:r>
            <w:r w:rsidR="00F57DAF">
              <w:rPr>
                <w:noProof/>
                <w:webHidden/>
              </w:rPr>
              <w:fldChar w:fldCharType="separate"/>
            </w:r>
            <w:r w:rsidR="00F57DAF">
              <w:rPr>
                <w:noProof/>
                <w:webHidden/>
              </w:rPr>
              <w:t>262</w:t>
            </w:r>
            <w:r w:rsidR="00F57DAF">
              <w:rPr>
                <w:noProof/>
                <w:webHidden/>
              </w:rPr>
              <w:fldChar w:fldCharType="end"/>
            </w:r>
          </w:hyperlink>
        </w:p>
        <w:p w14:paraId="5EB14313" w14:textId="3F3C5792" w:rsidR="00F57DAF" w:rsidRDefault="00B046D9">
          <w:pPr>
            <w:pStyle w:val="TOC2"/>
            <w:rPr>
              <w:rFonts w:asciiTheme="minorHAnsi" w:eastAsiaTheme="minorEastAsia" w:hAnsiTheme="minorHAnsi" w:cstheme="minorBidi"/>
              <w:noProof/>
              <w:kern w:val="2"/>
              <w:szCs w:val="24"/>
              <w:lang w:val="en-IE" w:eastAsia="en-IE"/>
              <w14:ligatures w14:val="standardContextual"/>
            </w:rPr>
          </w:pPr>
          <w:hyperlink w:anchor="_Toc219718463" w:history="1">
            <w:r w:rsidR="00F57DAF" w:rsidRPr="000E31D2">
              <w:rPr>
                <w:rStyle w:val="Hyperlink"/>
                <w:noProof/>
              </w:rPr>
              <w:t>2.2 Spectrum</w:t>
            </w:r>
            <w:r w:rsidR="00F57DAF">
              <w:rPr>
                <w:noProof/>
                <w:webHidden/>
              </w:rPr>
              <w:tab/>
            </w:r>
            <w:r w:rsidR="00F57DAF">
              <w:rPr>
                <w:noProof/>
                <w:webHidden/>
              </w:rPr>
              <w:fldChar w:fldCharType="begin"/>
            </w:r>
            <w:r w:rsidR="00F57DAF">
              <w:rPr>
                <w:noProof/>
                <w:webHidden/>
              </w:rPr>
              <w:instrText xml:space="preserve"> PAGEREF _Toc219718463 \h </w:instrText>
            </w:r>
            <w:r w:rsidR="00F57DAF">
              <w:rPr>
                <w:noProof/>
                <w:webHidden/>
              </w:rPr>
            </w:r>
            <w:r w:rsidR="00F57DAF">
              <w:rPr>
                <w:noProof/>
                <w:webHidden/>
              </w:rPr>
              <w:fldChar w:fldCharType="separate"/>
            </w:r>
            <w:r w:rsidR="00F57DAF">
              <w:rPr>
                <w:noProof/>
                <w:webHidden/>
              </w:rPr>
              <w:t>265</w:t>
            </w:r>
            <w:r w:rsidR="00F57DAF">
              <w:rPr>
                <w:noProof/>
                <w:webHidden/>
              </w:rPr>
              <w:fldChar w:fldCharType="end"/>
            </w:r>
          </w:hyperlink>
        </w:p>
        <w:p w14:paraId="516726D0" w14:textId="2DF0F942" w:rsidR="00F57DAF" w:rsidRDefault="00B046D9">
          <w:pPr>
            <w:pStyle w:val="TOC2"/>
            <w:rPr>
              <w:rFonts w:asciiTheme="minorHAnsi" w:eastAsiaTheme="minorEastAsia" w:hAnsiTheme="minorHAnsi" w:cstheme="minorBidi"/>
              <w:noProof/>
              <w:kern w:val="2"/>
              <w:szCs w:val="24"/>
              <w:lang w:val="en-IE" w:eastAsia="en-IE"/>
              <w14:ligatures w14:val="standardContextual"/>
            </w:rPr>
          </w:pPr>
          <w:hyperlink w:anchor="_Toc219718464" w:history="1">
            <w:r w:rsidR="00F57DAF" w:rsidRPr="000E31D2">
              <w:rPr>
                <w:rStyle w:val="Hyperlink"/>
                <w:noProof/>
              </w:rPr>
              <w:t>2.3 Authorisation</w:t>
            </w:r>
            <w:r w:rsidR="00F57DAF">
              <w:rPr>
                <w:noProof/>
                <w:webHidden/>
              </w:rPr>
              <w:tab/>
            </w:r>
            <w:r w:rsidR="00F57DAF">
              <w:rPr>
                <w:noProof/>
                <w:webHidden/>
              </w:rPr>
              <w:fldChar w:fldCharType="begin"/>
            </w:r>
            <w:r w:rsidR="00F57DAF">
              <w:rPr>
                <w:noProof/>
                <w:webHidden/>
              </w:rPr>
              <w:instrText xml:space="preserve"> PAGEREF _Toc219718464 \h </w:instrText>
            </w:r>
            <w:r w:rsidR="00F57DAF">
              <w:rPr>
                <w:noProof/>
                <w:webHidden/>
              </w:rPr>
            </w:r>
            <w:r w:rsidR="00F57DAF">
              <w:rPr>
                <w:noProof/>
                <w:webHidden/>
              </w:rPr>
              <w:fldChar w:fldCharType="separate"/>
            </w:r>
            <w:r w:rsidR="00F57DAF">
              <w:rPr>
                <w:noProof/>
                <w:webHidden/>
              </w:rPr>
              <w:t>266</w:t>
            </w:r>
            <w:r w:rsidR="00F57DAF">
              <w:rPr>
                <w:noProof/>
                <w:webHidden/>
              </w:rPr>
              <w:fldChar w:fldCharType="end"/>
            </w:r>
          </w:hyperlink>
        </w:p>
        <w:p w14:paraId="7D48DD83" w14:textId="1FCF4383" w:rsidR="00F57DAF" w:rsidRDefault="00B046D9">
          <w:pPr>
            <w:pStyle w:val="TOC2"/>
            <w:rPr>
              <w:rFonts w:asciiTheme="minorHAnsi" w:eastAsiaTheme="minorEastAsia" w:hAnsiTheme="minorHAnsi" w:cstheme="minorBidi"/>
              <w:noProof/>
              <w:kern w:val="2"/>
              <w:szCs w:val="24"/>
              <w:lang w:val="en-IE" w:eastAsia="en-IE"/>
              <w14:ligatures w14:val="standardContextual"/>
            </w:rPr>
          </w:pPr>
          <w:hyperlink w:anchor="_Toc219718465" w:history="1">
            <w:r w:rsidR="00F57DAF" w:rsidRPr="000E31D2">
              <w:rPr>
                <w:rStyle w:val="Hyperlink"/>
                <w:noProof/>
              </w:rPr>
              <w:t>2.4 Governance</w:t>
            </w:r>
            <w:r w:rsidR="00F57DAF">
              <w:rPr>
                <w:noProof/>
                <w:webHidden/>
              </w:rPr>
              <w:tab/>
            </w:r>
            <w:r w:rsidR="00F57DAF">
              <w:rPr>
                <w:noProof/>
                <w:webHidden/>
              </w:rPr>
              <w:fldChar w:fldCharType="begin"/>
            </w:r>
            <w:r w:rsidR="00F57DAF">
              <w:rPr>
                <w:noProof/>
                <w:webHidden/>
              </w:rPr>
              <w:instrText xml:space="preserve"> PAGEREF _Toc219718465 \h </w:instrText>
            </w:r>
            <w:r w:rsidR="00F57DAF">
              <w:rPr>
                <w:noProof/>
                <w:webHidden/>
              </w:rPr>
            </w:r>
            <w:r w:rsidR="00F57DAF">
              <w:rPr>
                <w:noProof/>
                <w:webHidden/>
              </w:rPr>
              <w:fldChar w:fldCharType="separate"/>
            </w:r>
            <w:r w:rsidR="00F57DAF">
              <w:rPr>
                <w:noProof/>
                <w:webHidden/>
              </w:rPr>
              <w:t>267</w:t>
            </w:r>
            <w:r w:rsidR="00F57DAF">
              <w:rPr>
                <w:noProof/>
                <w:webHidden/>
              </w:rPr>
              <w:fldChar w:fldCharType="end"/>
            </w:r>
          </w:hyperlink>
        </w:p>
        <w:p w14:paraId="6F66F6A1" w14:textId="27040013"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66" w:history="1">
            <w:r w:rsidR="00F57DAF" w:rsidRPr="000E31D2">
              <w:rPr>
                <w:rStyle w:val="Hyperlink"/>
                <w:noProof/>
              </w:rPr>
              <w:t>3.</w:t>
            </w:r>
            <w:r w:rsidR="00F57DAF">
              <w:rPr>
                <w:rFonts w:asciiTheme="minorHAnsi" w:eastAsiaTheme="minorEastAsia" w:hAnsiTheme="minorHAnsi" w:cstheme="minorBidi"/>
                <w:caps w:val="0"/>
                <w:noProof/>
                <w:kern w:val="2"/>
                <w:sz w:val="24"/>
                <w:szCs w:val="24"/>
                <w:lang w:val="en-IE" w:eastAsia="en-IE"/>
                <w14:ligatures w14:val="standardContextual"/>
              </w:rPr>
              <w:tab/>
            </w:r>
            <w:r w:rsidR="00F57DAF" w:rsidRPr="000E31D2">
              <w:rPr>
                <w:rStyle w:val="Hyperlink"/>
                <w:noProof/>
              </w:rPr>
              <w:t>Background on Impacts on Spectrum Including for Satellite</w:t>
            </w:r>
            <w:r w:rsidR="00F57DAF">
              <w:rPr>
                <w:noProof/>
                <w:webHidden/>
              </w:rPr>
              <w:tab/>
            </w:r>
            <w:r w:rsidR="00F57DAF">
              <w:rPr>
                <w:noProof/>
                <w:webHidden/>
              </w:rPr>
              <w:fldChar w:fldCharType="begin"/>
            </w:r>
            <w:r w:rsidR="00F57DAF">
              <w:rPr>
                <w:noProof/>
                <w:webHidden/>
              </w:rPr>
              <w:instrText xml:space="preserve"> PAGEREF _Toc219718466 \h </w:instrText>
            </w:r>
            <w:r w:rsidR="00F57DAF">
              <w:rPr>
                <w:noProof/>
                <w:webHidden/>
              </w:rPr>
            </w:r>
            <w:r w:rsidR="00F57DAF">
              <w:rPr>
                <w:noProof/>
                <w:webHidden/>
              </w:rPr>
              <w:fldChar w:fldCharType="separate"/>
            </w:r>
            <w:r w:rsidR="00F57DAF">
              <w:rPr>
                <w:noProof/>
                <w:webHidden/>
              </w:rPr>
              <w:t>269</w:t>
            </w:r>
            <w:r w:rsidR="00F57DAF">
              <w:rPr>
                <w:noProof/>
                <w:webHidden/>
              </w:rPr>
              <w:fldChar w:fldCharType="end"/>
            </w:r>
          </w:hyperlink>
        </w:p>
        <w:p w14:paraId="5C106B0F" w14:textId="30C6DC1A"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467" w:history="1">
            <w:r w:rsidR="00F57DAF" w:rsidRPr="000E31D2">
              <w:rPr>
                <w:rStyle w:val="Hyperlink"/>
                <w:noProof/>
              </w:rPr>
              <w:t>3.1.</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Spectrum measures impact based on economic, environmental and societal benefits of 5G</w:t>
            </w:r>
            <w:r w:rsidR="00F57DAF">
              <w:rPr>
                <w:noProof/>
                <w:webHidden/>
              </w:rPr>
              <w:tab/>
            </w:r>
            <w:r w:rsidR="00F57DAF">
              <w:rPr>
                <w:noProof/>
                <w:webHidden/>
              </w:rPr>
              <w:fldChar w:fldCharType="begin"/>
            </w:r>
            <w:r w:rsidR="00F57DAF">
              <w:rPr>
                <w:noProof/>
                <w:webHidden/>
              </w:rPr>
              <w:instrText xml:space="preserve"> PAGEREF _Toc219718467 \h </w:instrText>
            </w:r>
            <w:r w:rsidR="00F57DAF">
              <w:rPr>
                <w:noProof/>
                <w:webHidden/>
              </w:rPr>
            </w:r>
            <w:r w:rsidR="00F57DAF">
              <w:rPr>
                <w:noProof/>
                <w:webHidden/>
              </w:rPr>
              <w:fldChar w:fldCharType="separate"/>
            </w:r>
            <w:r w:rsidR="00F57DAF">
              <w:rPr>
                <w:noProof/>
                <w:webHidden/>
              </w:rPr>
              <w:t>269</w:t>
            </w:r>
            <w:r w:rsidR="00F57DAF">
              <w:rPr>
                <w:noProof/>
                <w:webHidden/>
              </w:rPr>
              <w:fldChar w:fldCharType="end"/>
            </w:r>
          </w:hyperlink>
        </w:p>
        <w:p w14:paraId="7CE7FFED" w14:textId="45E84B5D"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68" w:history="1">
            <w:r w:rsidR="00F57DAF" w:rsidRPr="000E31D2">
              <w:rPr>
                <w:rStyle w:val="Hyperlink"/>
                <w:bCs/>
              </w:rPr>
              <w:t>3.1.1. Economic and sectorial impacts of 5G</w:t>
            </w:r>
            <w:r w:rsidR="00F57DAF">
              <w:rPr>
                <w:webHidden/>
              </w:rPr>
              <w:tab/>
            </w:r>
            <w:r w:rsidR="00F57DAF">
              <w:rPr>
                <w:webHidden/>
              </w:rPr>
              <w:fldChar w:fldCharType="begin"/>
            </w:r>
            <w:r w:rsidR="00F57DAF">
              <w:rPr>
                <w:webHidden/>
              </w:rPr>
              <w:instrText xml:space="preserve"> PAGEREF _Toc219718468 \h </w:instrText>
            </w:r>
            <w:r w:rsidR="00F57DAF">
              <w:rPr>
                <w:webHidden/>
              </w:rPr>
            </w:r>
            <w:r w:rsidR="00F57DAF">
              <w:rPr>
                <w:webHidden/>
              </w:rPr>
              <w:fldChar w:fldCharType="separate"/>
            </w:r>
            <w:r w:rsidR="00F57DAF">
              <w:rPr>
                <w:webHidden/>
              </w:rPr>
              <w:t>269</w:t>
            </w:r>
            <w:r w:rsidR="00F57DAF">
              <w:rPr>
                <w:webHidden/>
              </w:rPr>
              <w:fldChar w:fldCharType="end"/>
            </w:r>
          </w:hyperlink>
        </w:p>
        <w:p w14:paraId="6B52335C" w14:textId="3F4F4779"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69" w:history="1">
            <w:r w:rsidR="00F57DAF" w:rsidRPr="000E31D2">
              <w:rPr>
                <w:rStyle w:val="Hyperlink"/>
              </w:rPr>
              <w:t>3</w:t>
            </w:r>
            <w:r w:rsidR="00F57DAF" w:rsidRPr="000E31D2">
              <w:rPr>
                <w:rStyle w:val="Hyperlink"/>
                <w:b/>
              </w:rPr>
              <w:t>.</w:t>
            </w:r>
            <w:r w:rsidR="00F57DAF" w:rsidRPr="000E31D2">
              <w:rPr>
                <w:rStyle w:val="Hyperlink"/>
                <w:bCs/>
              </w:rPr>
              <w:t>1.2. Economic</w:t>
            </w:r>
            <w:r w:rsidR="00F57DAF" w:rsidRPr="000E31D2">
              <w:rPr>
                <w:rStyle w:val="Hyperlink"/>
              </w:rPr>
              <w:t xml:space="preserve"> impacts of 6G deployment</w:t>
            </w:r>
            <w:r w:rsidR="00F57DAF">
              <w:rPr>
                <w:webHidden/>
              </w:rPr>
              <w:tab/>
            </w:r>
            <w:r w:rsidR="00F57DAF">
              <w:rPr>
                <w:webHidden/>
              </w:rPr>
              <w:fldChar w:fldCharType="begin"/>
            </w:r>
            <w:r w:rsidR="00F57DAF">
              <w:rPr>
                <w:webHidden/>
              </w:rPr>
              <w:instrText xml:space="preserve"> PAGEREF _Toc219718469 \h </w:instrText>
            </w:r>
            <w:r w:rsidR="00F57DAF">
              <w:rPr>
                <w:webHidden/>
              </w:rPr>
            </w:r>
            <w:r w:rsidR="00F57DAF">
              <w:rPr>
                <w:webHidden/>
              </w:rPr>
              <w:fldChar w:fldCharType="separate"/>
            </w:r>
            <w:r w:rsidR="00F57DAF">
              <w:rPr>
                <w:webHidden/>
              </w:rPr>
              <w:t>271</w:t>
            </w:r>
            <w:r w:rsidR="00F57DAF">
              <w:rPr>
                <w:webHidden/>
              </w:rPr>
              <w:fldChar w:fldCharType="end"/>
            </w:r>
          </w:hyperlink>
        </w:p>
        <w:p w14:paraId="4B8951D3" w14:textId="6BFE3246" w:rsidR="00F57DAF" w:rsidRDefault="00B046D9">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19718470" w:history="1">
            <w:r w:rsidR="00F57DAF" w:rsidRPr="000E31D2">
              <w:rPr>
                <w:rStyle w:val="Hyperlink"/>
                <w:noProof/>
              </w:rPr>
              <w:t>3.2.</w:t>
            </w:r>
            <w:r w:rsidR="00F57DAF">
              <w:rPr>
                <w:rFonts w:asciiTheme="minorHAnsi" w:eastAsiaTheme="minorEastAsia" w:hAnsiTheme="minorHAnsi" w:cstheme="minorBidi"/>
                <w:noProof/>
                <w:kern w:val="2"/>
                <w:szCs w:val="24"/>
                <w:lang w:val="en-IE" w:eastAsia="en-IE"/>
                <w14:ligatures w14:val="standardContextual"/>
              </w:rPr>
              <w:tab/>
            </w:r>
            <w:r w:rsidR="00F57DAF" w:rsidRPr="000E31D2">
              <w:rPr>
                <w:rStyle w:val="Hyperlink"/>
                <w:noProof/>
              </w:rPr>
              <w:t xml:space="preserve">Satellite: The cost of legal and regulatory fragmentation of authorisation and </w:t>
            </w:r>
            <w:r w:rsidR="00F57DAF" w:rsidRPr="000E31D2">
              <w:rPr>
                <w:rStyle w:val="Hyperlink"/>
                <w:bCs/>
                <w:noProof/>
              </w:rPr>
              <w:t xml:space="preserve">spectrum </w:t>
            </w:r>
            <w:r w:rsidR="00F57DAF" w:rsidRPr="000E31D2">
              <w:rPr>
                <w:rStyle w:val="Hyperlink"/>
                <w:noProof/>
              </w:rPr>
              <w:t>assignment</w:t>
            </w:r>
            <w:r w:rsidR="00F57DAF">
              <w:rPr>
                <w:noProof/>
                <w:webHidden/>
              </w:rPr>
              <w:tab/>
            </w:r>
            <w:r w:rsidR="00F57DAF">
              <w:rPr>
                <w:noProof/>
                <w:webHidden/>
              </w:rPr>
              <w:fldChar w:fldCharType="begin"/>
            </w:r>
            <w:r w:rsidR="00F57DAF">
              <w:rPr>
                <w:noProof/>
                <w:webHidden/>
              </w:rPr>
              <w:instrText xml:space="preserve"> PAGEREF _Toc219718470 \h </w:instrText>
            </w:r>
            <w:r w:rsidR="00F57DAF">
              <w:rPr>
                <w:noProof/>
                <w:webHidden/>
              </w:rPr>
            </w:r>
            <w:r w:rsidR="00F57DAF">
              <w:rPr>
                <w:noProof/>
                <w:webHidden/>
              </w:rPr>
              <w:fldChar w:fldCharType="separate"/>
            </w:r>
            <w:r w:rsidR="00F57DAF">
              <w:rPr>
                <w:noProof/>
                <w:webHidden/>
              </w:rPr>
              <w:t>272</w:t>
            </w:r>
            <w:r w:rsidR="00F57DAF">
              <w:rPr>
                <w:noProof/>
                <w:webHidden/>
              </w:rPr>
              <w:fldChar w:fldCharType="end"/>
            </w:r>
          </w:hyperlink>
        </w:p>
        <w:p w14:paraId="6E14D9CD" w14:textId="6DB8100E"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71" w:history="1">
            <w:r w:rsidR="00F57DAF" w:rsidRPr="000E31D2">
              <w:rPr>
                <w:rStyle w:val="Hyperlink"/>
              </w:rPr>
              <w:t>3.2.1. Satellite authorisation, licencing and monitoring efforts</w:t>
            </w:r>
            <w:r w:rsidR="00F57DAF">
              <w:rPr>
                <w:webHidden/>
              </w:rPr>
              <w:tab/>
            </w:r>
            <w:r w:rsidR="00F57DAF">
              <w:rPr>
                <w:webHidden/>
              </w:rPr>
              <w:fldChar w:fldCharType="begin"/>
            </w:r>
            <w:r w:rsidR="00F57DAF">
              <w:rPr>
                <w:webHidden/>
              </w:rPr>
              <w:instrText xml:space="preserve"> PAGEREF _Toc219718471 \h </w:instrText>
            </w:r>
            <w:r w:rsidR="00F57DAF">
              <w:rPr>
                <w:webHidden/>
              </w:rPr>
            </w:r>
            <w:r w:rsidR="00F57DAF">
              <w:rPr>
                <w:webHidden/>
              </w:rPr>
              <w:fldChar w:fldCharType="separate"/>
            </w:r>
            <w:r w:rsidR="00F57DAF">
              <w:rPr>
                <w:webHidden/>
              </w:rPr>
              <w:t>272</w:t>
            </w:r>
            <w:r w:rsidR="00F57DAF">
              <w:rPr>
                <w:webHidden/>
              </w:rPr>
              <w:fldChar w:fldCharType="end"/>
            </w:r>
          </w:hyperlink>
        </w:p>
        <w:p w14:paraId="30F4789F" w14:textId="2A80046D" w:rsidR="00F57DAF" w:rsidRDefault="00B046D9">
          <w:pPr>
            <w:pStyle w:val="TOC3"/>
            <w:rPr>
              <w:rFonts w:asciiTheme="minorHAnsi" w:eastAsiaTheme="minorEastAsia" w:hAnsiTheme="minorHAnsi" w:cstheme="minorBidi"/>
              <w:kern w:val="2"/>
              <w:sz w:val="24"/>
              <w:szCs w:val="24"/>
              <w:lang w:val="en-IE" w:eastAsia="en-IE"/>
              <w14:ligatures w14:val="standardContextual"/>
            </w:rPr>
          </w:pPr>
          <w:hyperlink w:anchor="_Toc219718472" w:history="1">
            <w:r w:rsidR="00F57DAF" w:rsidRPr="000E31D2">
              <w:rPr>
                <w:rStyle w:val="Hyperlink"/>
              </w:rPr>
              <w:t>3.2.2. Effects of Delays in Satellite Authorizations</w:t>
            </w:r>
            <w:r w:rsidR="00F57DAF">
              <w:rPr>
                <w:webHidden/>
              </w:rPr>
              <w:tab/>
            </w:r>
            <w:r w:rsidR="00F57DAF">
              <w:rPr>
                <w:webHidden/>
              </w:rPr>
              <w:fldChar w:fldCharType="begin"/>
            </w:r>
            <w:r w:rsidR="00F57DAF">
              <w:rPr>
                <w:webHidden/>
              </w:rPr>
              <w:instrText xml:space="preserve"> PAGEREF _Toc219718472 \h </w:instrText>
            </w:r>
            <w:r w:rsidR="00F57DAF">
              <w:rPr>
                <w:webHidden/>
              </w:rPr>
            </w:r>
            <w:r w:rsidR="00F57DAF">
              <w:rPr>
                <w:webHidden/>
              </w:rPr>
              <w:fldChar w:fldCharType="separate"/>
            </w:r>
            <w:r w:rsidR="00F57DAF">
              <w:rPr>
                <w:webHidden/>
              </w:rPr>
              <w:t>275</w:t>
            </w:r>
            <w:r w:rsidR="00F57DAF">
              <w:rPr>
                <w:webHidden/>
              </w:rPr>
              <w:fldChar w:fldCharType="end"/>
            </w:r>
          </w:hyperlink>
        </w:p>
        <w:p w14:paraId="2DC43C03" w14:textId="1BA3C7BD"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73" w:history="1">
            <w:r w:rsidR="00F57DAF" w:rsidRPr="000E31D2">
              <w:rPr>
                <w:rStyle w:val="Hyperlink"/>
                <w:noProof/>
              </w:rPr>
              <w:t>Annex 10: EU and International, incl. United States, Spectrum Governance</w:t>
            </w:r>
            <w:r w:rsidR="00F57DAF">
              <w:rPr>
                <w:noProof/>
                <w:webHidden/>
              </w:rPr>
              <w:tab/>
            </w:r>
            <w:r w:rsidR="00F57DAF">
              <w:rPr>
                <w:noProof/>
                <w:webHidden/>
              </w:rPr>
              <w:fldChar w:fldCharType="begin"/>
            </w:r>
            <w:r w:rsidR="00F57DAF">
              <w:rPr>
                <w:noProof/>
                <w:webHidden/>
              </w:rPr>
              <w:instrText xml:space="preserve"> PAGEREF _Toc219718473 \h </w:instrText>
            </w:r>
            <w:r w:rsidR="00F57DAF">
              <w:rPr>
                <w:noProof/>
                <w:webHidden/>
              </w:rPr>
            </w:r>
            <w:r w:rsidR="00F57DAF">
              <w:rPr>
                <w:noProof/>
                <w:webHidden/>
              </w:rPr>
              <w:fldChar w:fldCharType="separate"/>
            </w:r>
            <w:r w:rsidR="00F57DAF">
              <w:rPr>
                <w:noProof/>
                <w:webHidden/>
              </w:rPr>
              <w:t>278</w:t>
            </w:r>
            <w:r w:rsidR="00F57DAF">
              <w:rPr>
                <w:noProof/>
                <w:webHidden/>
              </w:rPr>
              <w:fldChar w:fldCharType="end"/>
            </w:r>
          </w:hyperlink>
        </w:p>
        <w:p w14:paraId="5C3F072B" w14:textId="3D733316" w:rsidR="00F57DAF" w:rsidRDefault="00B046D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474" w:history="1">
            <w:r w:rsidR="00F57DAF" w:rsidRPr="000E31D2">
              <w:rPr>
                <w:rStyle w:val="Hyperlink"/>
                <w:noProof/>
              </w:rPr>
              <w:t>Annex 11: Evaluation: Review Report on the EECC and related Acts</w:t>
            </w:r>
            <w:r w:rsidR="00F57DAF">
              <w:rPr>
                <w:noProof/>
                <w:webHidden/>
              </w:rPr>
              <w:tab/>
            </w:r>
            <w:r w:rsidR="00F57DAF">
              <w:rPr>
                <w:noProof/>
                <w:webHidden/>
              </w:rPr>
              <w:fldChar w:fldCharType="begin"/>
            </w:r>
            <w:r w:rsidR="00F57DAF">
              <w:rPr>
                <w:noProof/>
                <w:webHidden/>
              </w:rPr>
              <w:instrText xml:space="preserve"> PAGEREF _Toc219718474 \h </w:instrText>
            </w:r>
            <w:r w:rsidR="00F57DAF">
              <w:rPr>
                <w:noProof/>
                <w:webHidden/>
              </w:rPr>
            </w:r>
            <w:r w:rsidR="00F57DAF">
              <w:rPr>
                <w:noProof/>
                <w:webHidden/>
              </w:rPr>
              <w:fldChar w:fldCharType="separate"/>
            </w:r>
            <w:r w:rsidR="00F57DAF">
              <w:rPr>
                <w:noProof/>
                <w:webHidden/>
              </w:rPr>
              <w:t>285</w:t>
            </w:r>
            <w:r w:rsidR="00F57DAF">
              <w:rPr>
                <w:noProof/>
                <w:webHidden/>
              </w:rPr>
              <w:fldChar w:fldCharType="end"/>
            </w:r>
          </w:hyperlink>
        </w:p>
        <w:p w14:paraId="197951F3" w14:textId="077BB0F5" w:rsidR="00F57DAF" w:rsidRDefault="00F57DAF">
          <w:pPr>
            <w:rPr>
              <w:noProof/>
            </w:rPr>
          </w:pPr>
          <w:r>
            <w:rPr>
              <w:b/>
              <w:bCs/>
              <w:noProof/>
            </w:rPr>
            <w:fldChar w:fldCharType="end"/>
          </w:r>
        </w:p>
      </w:sdtContent>
    </w:sdt>
    <w:p w14:paraId="05D445DC" w14:textId="6CDB1423" w:rsidR="0047377C" w:rsidRPr="00D86314" w:rsidRDefault="00C267FD" w:rsidP="00F65949">
      <w:pPr>
        <w:pStyle w:val="Heading1"/>
        <w:numPr>
          <w:ilvl w:val="0"/>
          <w:numId w:val="0"/>
        </w:numPr>
        <w:rPr>
          <w:noProof/>
          <w:lang w:val="en-GB"/>
        </w:rPr>
      </w:pPr>
      <w:r w:rsidRPr="00C20A01">
        <w:rPr>
          <w:noProof/>
          <w:lang w:val="en-GB"/>
        </w:rPr>
        <w:br w:type="page"/>
      </w:r>
      <w:bookmarkStart w:id="2" w:name="_Toc208239207"/>
      <w:bookmarkStart w:id="3" w:name="_Toc219718335"/>
      <w:bookmarkStart w:id="4" w:name="_Toc471997754"/>
      <w:r w:rsidR="0047377C" w:rsidRPr="00D86314">
        <w:rPr>
          <w:noProof/>
          <w:lang w:val="en-GB"/>
        </w:rPr>
        <w:t>Annex 1: Procedural information</w:t>
      </w:r>
      <w:bookmarkEnd w:id="2"/>
      <w:bookmarkEnd w:id="3"/>
    </w:p>
    <w:p w14:paraId="5D9DF228" w14:textId="302159C1" w:rsidR="006B087E" w:rsidRPr="00D86314" w:rsidRDefault="006B087E" w:rsidP="00A00C17">
      <w:pPr>
        <w:pStyle w:val="Heading1"/>
        <w:numPr>
          <w:ilvl w:val="0"/>
          <w:numId w:val="25"/>
        </w:numPr>
        <w:rPr>
          <w:noProof/>
          <w:lang w:val="en-GB"/>
        </w:rPr>
      </w:pPr>
      <w:bookmarkStart w:id="5" w:name="_Toc208239208"/>
      <w:bookmarkStart w:id="6" w:name="_Toc219718336"/>
      <w:r w:rsidRPr="00D86314">
        <w:rPr>
          <w:noProof/>
          <w:lang w:val="en-GB"/>
        </w:rPr>
        <w:t>Lead DG, Decide Planning/CWP references</w:t>
      </w:r>
      <w:bookmarkEnd w:id="4"/>
      <w:bookmarkEnd w:id="5"/>
      <w:bookmarkEnd w:id="6"/>
    </w:p>
    <w:p w14:paraId="4300E831" w14:textId="78F482C8" w:rsidR="003C56E9" w:rsidRPr="00D86314" w:rsidRDefault="003C56E9" w:rsidP="003A0B9C">
      <w:pPr>
        <w:pStyle w:val="Text1"/>
        <w:spacing w:after="120"/>
        <w:ind w:left="0"/>
        <w:rPr>
          <w:noProof/>
        </w:rPr>
      </w:pPr>
      <w:r w:rsidRPr="00D86314">
        <w:rPr>
          <w:noProof/>
        </w:rPr>
        <w:t>This Staff Working document was prepared by Directorate B 'Electronic Communications Networks and Services' of Directorate General 'Communications Networks, Content and Technology'.</w:t>
      </w:r>
    </w:p>
    <w:p w14:paraId="14D87718" w14:textId="783E75B8" w:rsidR="003C56E9" w:rsidRPr="00D86314" w:rsidRDefault="003C56E9" w:rsidP="003A0B9C">
      <w:pPr>
        <w:pStyle w:val="Text1"/>
        <w:spacing w:after="120"/>
        <w:ind w:left="0"/>
        <w:rPr>
          <w:noProof/>
        </w:rPr>
      </w:pPr>
      <w:r w:rsidRPr="00D86314">
        <w:rPr>
          <w:noProof/>
        </w:rPr>
        <w:t>This Staff Working document is accompanied by the Review Report assessing the functioning of the EECC since its applicability as of 21 December 2020, in particular Articles</w:t>
      </w:r>
      <w:r w:rsidR="008377B1">
        <w:rPr>
          <w:noProof/>
        </w:rPr>
        <w:t> </w:t>
      </w:r>
      <w:r w:rsidRPr="00D86314">
        <w:rPr>
          <w:noProof/>
        </w:rPr>
        <w:t>61(3), 76, 78 and 79</w:t>
      </w:r>
      <w:r w:rsidR="00B57A1D" w:rsidRPr="00D86314">
        <w:rPr>
          <w:noProof/>
        </w:rPr>
        <w:t>, which you can find in Annex 1</w:t>
      </w:r>
      <w:r w:rsidR="000575B4" w:rsidRPr="00D86314">
        <w:rPr>
          <w:noProof/>
        </w:rPr>
        <w:t>1</w:t>
      </w:r>
      <w:r w:rsidR="00FB4EA9" w:rsidRPr="00D86314">
        <w:rPr>
          <w:noProof/>
        </w:rPr>
        <w:t>.</w:t>
      </w:r>
      <w:r w:rsidRPr="00D86314">
        <w:rPr>
          <w:noProof/>
        </w:rPr>
        <w:t xml:space="preserve"> </w:t>
      </w:r>
    </w:p>
    <w:p w14:paraId="68995DB5" w14:textId="77777777" w:rsidR="006B087E" w:rsidRPr="00D86314" w:rsidRDefault="006B087E" w:rsidP="00A00C17">
      <w:pPr>
        <w:pStyle w:val="Heading1"/>
        <w:numPr>
          <w:ilvl w:val="0"/>
          <w:numId w:val="25"/>
        </w:numPr>
        <w:rPr>
          <w:noProof/>
          <w:lang w:val="en-GB"/>
        </w:rPr>
      </w:pPr>
      <w:bookmarkStart w:id="7" w:name="_Toc471997755"/>
      <w:bookmarkStart w:id="8" w:name="_Toc208239209"/>
      <w:bookmarkStart w:id="9" w:name="_Toc219718337"/>
      <w:r w:rsidRPr="00D86314">
        <w:rPr>
          <w:noProof/>
          <w:lang w:val="en-GB"/>
        </w:rPr>
        <w:t>Organisation and timing</w:t>
      </w:r>
      <w:bookmarkEnd w:id="7"/>
      <w:bookmarkEnd w:id="8"/>
      <w:bookmarkEnd w:id="9"/>
    </w:p>
    <w:p w14:paraId="181E8713" w14:textId="50B5E110" w:rsidR="003C56E9" w:rsidRPr="00D86314" w:rsidRDefault="003C56E9" w:rsidP="003A0B9C">
      <w:pPr>
        <w:spacing w:after="120"/>
        <w:rPr>
          <w:noProof/>
        </w:rPr>
      </w:pPr>
      <w:r w:rsidRPr="00D86314">
        <w:rPr>
          <w:noProof/>
        </w:rPr>
        <w:t>In accordance with the Better Regulation Guidelines, an Inter-service consultation group (ISCG) was set up with representatives from various Directorates General and services of the Commission to assist DG Communication Networks, Content and Technology in the preparation of the Impact Assessment and legal proposal. The ISCG, chaired by SG, DG CNECT is supported by the representatives of the following DGs: BUDG, COMP, DEFIS, DIGIT, ECFIN, EMPL, ENV, FISMA, GROW, HOME, JRC, JUST, MOVE, REGIO, RTD, SG, SJ, TRADE</w:t>
      </w:r>
      <w:r w:rsidR="007043C8" w:rsidRPr="00D86314">
        <w:rPr>
          <w:noProof/>
        </w:rPr>
        <w:t xml:space="preserve"> and</w:t>
      </w:r>
      <w:r w:rsidRPr="00D86314">
        <w:rPr>
          <w:noProof/>
        </w:rPr>
        <w:t xml:space="preserve"> CLIMA.</w:t>
      </w:r>
    </w:p>
    <w:p w14:paraId="6630A9A9" w14:textId="2FDD3C5B" w:rsidR="003C56E9" w:rsidRPr="00D86314" w:rsidRDefault="003C56E9" w:rsidP="003A0B9C">
      <w:pPr>
        <w:spacing w:after="120"/>
        <w:rPr>
          <w:noProof/>
        </w:rPr>
      </w:pPr>
      <w:r w:rsidRPr="00D86314">
        <w:rPr>
          <w:noProof/>
        </w:rPr>
        <w:t>The ISCG met for the first on 16 May 2025, where it provided information on the background of the Digital Network Act, on the policy elements to consider, on the high-level policy options and on the summary of consultation activities, together with the planned timeline of the initiative.</w:t>
      </w:r>
    </w:p>
    <w:p w14:paraId="73E9965A" w14:textId="77777777" w:rsidR="003C56E9" w:rsidRPr="00D86314" w:rsidRDefault="003C56E9" w:rsidP="003A0B9C">
      <w:pPr>
        <w:spacing w:after="120"/>
        <w:rPr>
          <w:noProof/>
        </w:rPr>
      </w:pPr>
      <w:r w:rsidRPr="00D86314">
        <w:rPr>
          <w:noProof/>
        </w:rPr>
        <w:t>Shortly after the ISCG was consulted on the draft Call for Evidence on the Digital Networks Act looking to collect views on how to address the current and emerging challenges in the European electronic communication sector.</w:t>
      </w:r>
    </w:p>
    <w:p w14:paraId="6339F25B" w14:textId="77777777" w:rsidR="003C56E9" w:rsidRPr="00D86314" w:rsidRDefault="003C56E9" w:rsidP="003A0B9C">
      <w:pPr>
        <w:spacing w:after="120"/>
        <w:rPr>
          <w:noProof/>
        </w:rPr>
      </w:pPr>
      <w:r w:rsidRPr="00D86314">
        <w:rPr>
          <w:noProof/>
        </w:rPr>
        <w:t>On 10 July 2025, the ISCG met again and discussed state of play of the DNA package, the problem tree and intervention logic and the high-level evaluation and options for the different policy areas.</w:t>
      </w:r>
    </w:p>
    <w:p w14:paraId="41136A0B" w14:textId="55614766" w:rsidR="003C56E9" w:rsidRPr="00D86314" w:rsidRDefault="003C56E9" w:rsidP="003A0B9C">
      <w:pPr>
        <w:spacing w:after="120"/>
        <w:rPr>
          <w:noProof/>
        </w:rPr>
      </w:pPr>
      <w:r w:rsidRPr="00D86314">
        <w:rPr>
          <w:noProof/>
        </w:rPr>
        <w:t xml:space="preserve">On </w:t>
      </w:r>
      <w:r w:rsidR="000A5B13" w:rsidRPr="00D86314">
        <w:rPr>
          <w:noProof/>
        </w:rPr>
        <w:t xml:space="preserve">16 </w:t>
      </w:r>
      <w:r w:rsidRPr="00D86314">
        <w:rPr>
          <w:noProof/>
        </w:rPr>
        <w:t>September 2025, the ISCG met to discuss the draft Impact Assessment SWD, and comments received orally and in written have been duly considered for the finalisation of this Impact Assessment</w:t>
      </w:r>
      <w:r w:rsidR="00BF3C7E" w:rsidRPr="00D86314">
        <w:rPr>
          <w:noProof/>
        </w:rPr>
        <w:t>.</w:t>
      </w:r>
    </w:p>
    <w:p w14:paraId="541936BB" w14:textId="71397354" w:rsidR="00CD5885" w:rsidRPr="00D86314" w:rsidRDefault="00CD5885" w:rsidP="003A0B9C">
      <w:pPr>
        <w:spacing w:after="120"/>
        <w:rPr>
          <w:noProof/>
        </w:rPr>
      </w:pPr>
      <w:r w:rsidRPr="00C20A01">
        <w:rPr>
          <w:rFonts w:eastAsia="Times New Roman"/>
          <w:noProof/>
          <w:color w:val="000000" w:themeColor="text1"/>
        </w:rPr>
        <w:t xml:space="preserve">On 20 November, the ISCG group met </w:t>
      </w:r>
      <w:r w:rsidRPr="00D86314">
        <w:rPr>
          <w:rFonts w:eastAsia="Times New Roman"/>
          <w:noProof/>
          <w:color w:val="000000" w:themeColor="text1"/>
        </w:rPr>
        <w:t>before re</w:t>
      </w:r>
      <w:r w:rsidRPr="00C20A01">
        <w:rPr>
          <w:rFonts w:eastAsia="Times New Roman"/>
          <w:noProof/>
          <w:color w:val="000000" w:themeColor="text1"/>
        </w:rPr>
        <w:t>submission of the Staff Working Document to the Regulatory Scrutiny Board (RSB)</w:t>
      </w:r>
      <w:r w:rsidRPr="00D86314">
        <w:rPr>
          <w:rFonts w:eastAsia="Times New Roman"/>
          <w:noProof/>
          <w:color w:val="000000" w:themeColor="text1"/>
        </w:rPr>
        <w:t>.</w:t>
      </w:r>
      <w:r w:rsidRPr="00C20A01">
        <w:rPr>
          <w:rFonts w:eastAsia="Times New Roman"/>
          <w:noProof/>
          <w:color w:val="000000" w:themeColor="text1"/>
        </w:rPr>
        <w:t xml:space="preserve"> On 26 November 2025, the Impact Assessment to the revision of the Digital Networ</w:t>
      </w:r>
      <w:r w:rsidR="006575DE" w:rsidRPr="00C20A01">
        <w:rPr>
          <w:rFonts w:eastAsia="Times New Roman"/>
          <w:noProof/>
          <w:color w:val="000000" w:themeColor="text1"/>
        </w:rPr>
        <w:t>k</w:t>
      </w:r>
      <w:r w:rsidRPr="00C20A01">
        <w:rPr>
          <w:rFonts w:eastAsia="Times New Roman"/>
          <w:noProof/>
          <w:color w:val="000000" w:themeColor="text1"/>
        </w:rPr>
        <w:t>s Act was resubmitted to the RSB. On 17 December 2025, the RSB</w:t>
      </w:r>
      <w:r w:rsidRPr="00D86314">
        <w:rPr>
          <w:noProof/>
        </w:rPr>
        <w:t xml:space="preserve"> issued ‘positive opinion with reservations’. The remarks of the RSB were addressed in this Impact Assessment as follows below.</w:t>
      </w:r>
    </w:p>
    <w:p w14:paraId="274391F7" w14:textId="4ABEE45C" w:rsidR="00CD5885" w:rsidRPr="00D86314" w:rsidRDefault="00CD5885" w:rsidP="00CD5885">
      <w:pPr>
        <w:rPr>
          <w:b/>
          <w:bCs/>
          <w:noProof/>
        </w:rPr>
      </w:pPr>
      <w:r w:rsidRPr="00D86314">
        <w:rPr>
          <w:b/>
          <w:bCs/>
          <w:noProof/>
        </w:rPr>
        <w:t>Changes made in the revised version of the Impact Assessment report</w:t>
      </w:r>
    </w:p>
    <w:p w14:paraId="66436F25" w14:textId="0A216866" w:rsidR="00CD5885" w:rsidRPr="00D86314" w:rsidRDefault="00CD5885" w:rsidP="00CD5885">
      <w:pPr>
        <w:rPr>
          <w:noProof/>
        </w:rPr>
      </w:pPr>
      <w:r w:rsidRPr="00D86314">
        <w:rPr>
          <w:noProof/>
        </w:rPr>
        <w:t xml:space="preserve">The table hereafter provides an overview of the main changes made in the revised version of the Impact Assessment report in the light of the RSB recommendations accompanying its second positive opinion on the draft assessment report. In addressing these points, the lead Service has further extensively reviewed the draft impact assessment report. </w:t>
      </w:r>
    </w:p>
    <w:p w14:paraId="33C666D5" w14:textId="77777777" w:rsidR="007C5593" w:rsidRPr="00D86314" w:rsidRDefault="007C5593" w:rsidP="00CD5885">
      <w:pPr>
        <w:rPr>
          <w:noProof/>
        </w:rPr>
      </w:pPr>
    </w:p>
    <w:p w14:paraId="60986BE5" w14:textId="77777777" w:rsidR="007C5593" w:rsidRPr="00D86314" w:rsidRDefault="007C5593" w:rsidP="00CD5885">
      <w:pPr>
        <w:rPr>
          <w:noProof/>
        </w:rPr>
      </w:pPr>
    </w:p>
    <w:tbl>
      <w:tblPr>
        <w:tblStyle w:val="template1"/>
        <w:tblW w:w="5000" w:type="pct"/>
        <w:tblLook w:val="04A0" w:firstRow="1" w:lastRow="0" w:firstColumn="1" w:lastColumn="0" w:noHBand="0" w:noVBand="1"/>
      </w:tblPr>
      <w:tblGrid>
        <w:gridCol w:w="3702"/>
        <w:gridCol w:w="1932"/>
        <w:gridCol w:w="3968"/>
      </w:tblGrid>
      <w:tr w:rsidR="0059690F" w:rsidRPr="00D86314" w14:paraId="62AECE7C" w14:textId="77777777" w:rsidTr="0059690F">
        <w:trPr>
          <w:trHeight w:val="300"/>
          <w:tblHeader/>
        </w:trPr>
        <w:tc>
          <w:tcPr>
            <w:tcW w:w="1928" w:type="pct"/>
          </w:tcPr>
          <w:p w14:paraId="126CBF87" w14:textId="1199DDA5" w:rsidR="0059690F" w:rsidRPr="00D86314" w:rsidRDefault="0059690F" w:rsidP="00CD5885">
            <w:pPr>
              <w:rPr>
                <w:b/>
                <w:bCs/>
                <w:noProof/>
              </w:rPr>
            </w:pPr>
            <w:r w:rsidRPr="00D86314">
              <w:rPr>
                <w:b/>
                <w:bCs/>
                <w:noProof/>
              </w:rPr>
              <w:t xml:space="preserve">Key issue/what to improve </w:t>
            </w:r>
          </w:p>
        </w:tc>
        <w:tc>
          <w:tcPr>
            <w:tcW w:w="1006" w:type="pct"/>
          </w:tcPr>
          <w:p w14:paraId="70FC563D" w14:textId="56D8C34E" w:rsidR="0059690F" w:rsidRPr="00D86314" w:rsidRDefault="0059690F" w:rsidP="00CD5885">
            <w:pPr>
              <w:rPr>
                <w:noProof/>
              </w:rPr>
            </w:pPr>
            <w:r w:rsidRPr="00D86314">
              <w:rPr>
                <w:b/>
                <w:bCs/>
                <w:noProof/>
              </w:rPr>
              <w:t xml:space="preserve">Addressed in revised IA report: section number and annex </w:t>
            </w:r>
          </w:p>
        </w:tc>
        <w:tc>
          <w:tcPr>
            <w:tcW w:w="2066" w:type="pct"/>
          </w:tcPr>
          <w:p w14:paraId="1B8544D8" w14:textId="54C9624C" w:rsidR="0059690F" w:rsidRPr="00D86314" w:rsidRDefault="0059690F" w:rsidP="00CD5885">
            <w:pPr>
              <w:rPr>
                <w:b/>
                <w:bCs/>
                <w:noProof/>
              </w:rPr>
            </w:pPr>
            <w:r w:rsidRPr="00D86314">
              <w:rPr>
                <w:b/>
                <w:bCs/>
                <w:noProof/>
              </w:rPr>
              <w:t>How have the issues been addressed</w:t>
            </w:r>
          </w:p>
        </w:tc>
      </w:tr>
      <w:tr w:rsidR="0059690F" w:rsidRPr="00D86314" w14:paraId="4DB08E7C" w14:textId="77777777" w:rsidTr="0059690F">
        <w:trPr>
          <w:trHeight w:val="300"/>
        </w:trPr>
        <w:tc>
          <w:tcPr>
            <w:tcW w:w="1928" w:type="pct"/>
            <w:shd w:val="clear" w:color="auto" w:fill="FFFFFF" w:themeFill="background1"/>
          </w:tcPr>
          <w:p w14:paraId="44ADE071" w14:textId="3796FC85" w:rsidR="0059690F" w:rsidRPr="00D86314" w:rsidRDefault="0059690F" w:rsidP="00CD5885">
            <w:pPr>
              <w:rPr>
                <w:noProof/>
              </w:rPr>
            </w:pPr>
            <w:r w:rsidRPr="00D86314">
              <w:rPr>
                <w:noProof/>
              </w:rPr>
              <w:t>In assessment of impacts, uncertainties of key assumptions are not sufficiently addressed, hence resulting projections and comparison of options are not robust.</w:t>
            </w:r>
          </w:p>
        </w:tc>
        <w:tc>
          <w:tcPr>
            <w:tcW w:w="1006" w:type="pct"/>
            <w:shd w:val="clear" w:color="auto" w:fill="FFFFFF" w:themeFill="background1"/>
          </w:tcPr>
          <w:p w14:paraId="5D882F55" w14:textId="105E1659" w:rsidR="0059690F" w:rsidRPr="00D86314" w:rsidRDefault="0059690F" w:rsidP="00CD5885">
            <w:pPr>
              <w:rPr>
                <w:noProof/>
              </w:rPr>
            </w:pPr>
            <w:r w:rsidRPr="00D86314">
              <w:rPr>
                <w:noProof/>
              </w:rPr>
              <w:t>Throughout the IA report and annex 4</w:t>
            </w:r>
          </w:p>
        </w:tc>
        <w:tc>
          <w:tcPr>
            <w:tcW w:w="2066" w:type="pct"/>
          </w:tcPr>
          <w:p w14:paraId="4C8CB961" w14:textId="1C5C5FA6" w:rsidR="0059690F" w:rsidRPr="00D86314" w:rsidRDefault="0059690F" w:rsidP="00CD5885">
            <w:pPr>
              <w:rPr>
                <w:noProof/>
              </w:rPr>
            </w:pPr>
            <w:r w:rsidRPr="00D86314">
              <w:rPr>
                <w:noProof/>
              </w:rPr>
              <w:t>Annex 4 better explains the underlying assumptions and methodology applied. The IA now also includes a sensitivity analysis based on a range of parameters for assessing the impacts of the different options.</w:t>
            </w:r>
          </w:p>
        </w:tc>
      </w:tr>
      <w:tr w:rsidR="0059690F" w:rsidRPr="00D86314" w14:paraId="3A3E3AFD" w14:textId="77777777" w:rsidTr="0059690F">
        <w:trPr>
          <w:trHeight w:val="300"/>
        </w:trPr>
        <w:tc>
          <w:tcPr>
            <w:tcW w:w="1928" w:type="pct"/>
            <w:shd w:val="clear" w:color="auto" w:fill="FFFFFF" w:themeFill="background1"/>
          </w:tcPr>
          <w:p w14:paraId="729524BD" w14:textId="78ABE42D" w:rsidR="0059690F" w:rsidRPr="00D86314" w:rsidRDefault="0059690F" w:rsidP="00CD5885">
            <w:pPr>
              <w:rPr>
                <w:noProof/>
              </w:rPr>
            </w:pPr>
            <w:r w:rsidRPr="00D86314">
              <w:rPr>
                <w:noProof/>
              </w:rPr>
              <w:t xml:space="preserve">It is not clear what the direct and indirect costs are and how they are distributed among different stakeholder groups. Environmental impacts are not monetised. Administrative costs and cost savings are not quantified for all options. </w:t>
            </w:r>
          </w:p>
        </w:tc>
        <w:tc>
          <w:tcPr>
            <w:tcW w:w="1006" w:type="pct"/>
            <w:shd w:val="clear" w:color="auto" w:fill="FFFFFF" w:themeFill="background1"/>
          </w:tcPr>
          <w:p w14:paraId="5EAF6DE7" w14:textId="2B899FF8" w:rsidR="0059690F" w:rsidRPr="00D86314" w:rsidRDefault="0059690F" w:rsidP="00E4279F">
            <w:pPr>
              <w:rPr>
                <w:noProof/>
              </w:rPr>
            </w:pPr>
            <w:r w:rsidRPr="00D86314">
              <w:rPr>
                <w:noProof/>
              </w:rPr>
              <w:t>Section 6 and annex 3</w:t>
            </w:r>
          </w:p>
        </w:tc>
        <w:tc>
          <w:tcPr>
            <w:tcW w:w="2066" w:type="pct"/>
          </w:tcPr>
          <w:p w14:paraId="0B1831E1" w14:textId="01002E66" w:rsidR="0059690F" w:rsidRPr="00D86314" w:rsidRDefault="0059690F" w:rsidP="00CD5885">
            <w:pPr>
              <w:rPr>
                <w:noProof/>
              </w:rPr>
            </w:pPr>
            <w:r w:rsidRPr="00D86314">
              <w:rPr>
                <w:noProof/>
              </w:rPr>
              <w:t>Section 6 and annex 3 have been updated to address these comments.</w:t>
            </w:r>
          </w:p>
        </w:tc>
      </w:tr>
      <w:tr w:rsidR="0059690F" w:rsidRPr="00D86314" w14:paraId="42923683" w14:textId="77777777" w:rsidTr="0059690F">
        <w:trPr>
          <w:trHeight w:val="300"/>
        </w:trPr>
        <w:tc>
          <w:tcPr>
            <w:tcW w:w="1928" w:type="pct"/>
            <w:shd w:val="clear" w:color="auto" w:fill="FFFFFF" w:themeFill="background1"/>
          </w:tcPr>
          <w:p w14:paraId="45447AB6" w14:textId="791A188D" w:rsidR="0059690F" w:rsidRPr="00D86314" w:rsidRDefault="0059690F" w:rsidP="00CD5885">
            <w:pPr>
              <w:rPr>
                <w:noProof/>
              </w:rPr>
            </w:pPr>
            <w:r w:rsidRPr="00D86314">
              <w:rPr>
                <w:noProof/>
              </w:rPr>
              <w:t xml:space="preserve">The report should clarify the magnitude of the problem and proportionality of the copper switch off options taking into account that FTTP coverage is projected to reach 90% by 2030 according to the 2025 Digital Decade Policy Programme report, while reaching the remaining 10% would be subject to significant costs. </w:t>
            </w:r>
          </w:p>
        </w:tc>
        <w:tc>
          <w:tcPr>
            <w:tcW w:w="1006" w:type="pct"/>
            <w:shd w:val="clear" w:color="auto" w:fill="FFFFFF" w:themeFill="background1"/>
          </w:tcPr>
          <w:p w14:paraId="6C35C7FA" w14:textId="4FF5D600" w:rsidR="0059690F" w:rsidRPr="00D86314" w:rsidRDefault="0059690F" w:rsidP="00CB7164">
            <w:pPr>
              <w:rPr>
                <w:noProof/>
              </w:rPr>
            </w:pPr>
            <w:r w:rsidRPr="00D86314">
              <w:rPr>
                <w:noProof/>
              </w:rPr>
              <w:t>Section 2</w:t>
            </w:r>
          </w:p>
          <w:p w14:paraId="6F24728E" w14:textId="6D1C0F4D" w:rsidR="0059690F" w:rsidRPr="00D86314" w:rsidRDefault="0059690F" w:rsidP="00CD5885">
            <w:pPr>
              <w:rPr>
                <w:noProof/>
              </w:rPr>
            </w:pPr>
          </w:p>
        </w:tc>
        <w:tc>
          <w:tcPr>
            <w:tcW w:w="2066" w:type="pct"/>
          </w:tcPr>
          <w:p w14:paraId="644B94A4" w14:textId="76E8084C" w:rsidR="0059690F" w:rsidRPr="00D86314" w:rsidRDefault="0059690F" w:rsidP="0089756A">
            <w:pPr>
              <w:rPr>
                <w:noProof/>
              </w:rPr>
            </w:pPr>
            <w:r w:rsidRPr="00D86314">
              <w:rPr>
                <w:noProof/>
              </w:rPr>
              <w:t>Based on existing studies, the investment gap for full fibre coverage is quantified and evaluated under different scenarios of technology mix (e.g., use of FWA in remote and rural areas).</w:t>
            </w:r>
          </w:p>
        </w:tc>
      </w:tr>
      <w:tr w:rsidR="0059690F" w:rsidRPr="00D86314" w14:paraId="4699B773" w14:textId="77777777" w:rsidTr="0059690F">
        <w:trPr>
          <w:trHeight w:val="300"/>
        </w:trPr>
        <w:tc>
          <w:tcPr>
            <w:tcW w:w="1928" w:type="pct"/>
            <w:shd w:val="clear" w:color="auto" w:fill="FFFFFF" w:themeFill="background1"/>
          </w:tcPr>
          <w:p w14:paraId="7F5E496E" w14:textId="6AE6FEA6" w:rsidR="0059690F" w:rsidRPr="00D86314" w:rsidRDefault="0059690F" w:rsidP="00CD5885">
            <w:pPr>
              <w:rPr>
                <w:noProof/>
              </w:rPr>
            </w:pPr>
            <w:r w:rsidRPr="00D86314">
              <w:rPr>
                <w:noProof/>
              </w:rPr>
              <w:t xml:space="preserve">The report should more systematically justify the key assumptions underpinning the analysis of impacts. For fibre and spectrum coverage and penetration, it should explain how the projections were derived, which demand, and supply factors were considered and how. The report should provide a sensitivity analysis of the projections on the key underlying assumptions. </w:t>
            </w:r>
          </w:p>
        </w:tc>
        <w:tc>
          <w:tcPr>
            <w:tcW w:w="1006" w:type="pct"/>
            <w:shd w:val="clear" w:color="auto" w:fill="FFFFFF" w:themeFill="background1"/>
          </w:tcPr>
          <w:p w14:paraId="0D0F9424" w14:textId="32E26F32" w:rsidR="0059690F" w:rsidRPr="00D86314" w:rsidRDefault="0059690F" w:rsidP="00CD5885">
            <w:pPr>
              <w:rPr>
                <w:noProof/>
              </w:rPr>
            </w:pPr>
            <w:r w:rsidRPr="00D86314">
              <w:rPr>
                <w:noProof/>
              </w:rPr>
              <w:t>Section 6</w:t>
            </w:r>
          </w:p>
          <w:p w14:paraId="5F33FB18" w14:textId="29B2CF25" w:rsidR="0059690F" w:rsidRPr="00D86314" w:rsidRDefault="0059690F" w:rsidP="00CD5885">
            <w:pPr>
              <w:rPr>
                <w:noProof/>
              </w:rPr>
            </w:pPr>
            <w:r w:rsidRPr="00D86314">
              <w:rPr>
                <w:noProof/>
              </w:rPr>
              <w:t>And Annex 2.3.2.</w:t>
            </w:r>
          </w:p>
        </w:tc>
        <w:tc>
          <w:tcPr>
            <w:tcW w:w="2066" w:type="pct"/>
          </w:tcPr>
          <w:p w14:paraId="55321BA1" w14:textId="1688A9F7" w:rsidR="0059690F" w:rsidRPr="00D86314" w:rsidRDefault="0059690F" w:rsidP="00CD5885">
            <w:pPr>
              <w:rPr>
                <w:noProof/>
              </w:rPr>
            </w:pPr>
            <w:r w:rsidRPr="00D86314">
              <w:rPr>
                <w:b/>
                <w:bCs/>
                <w:noProof/>
              </w:rPr>
              <w:t>For spectrum,</w:t>
            </w:r>
            <w:r w:rsidRPr="00D86314">
              <w:rPr>
                <w:noProof/>
              </w:rPr>
              <w:t xml:space="preserve"> section 6 justifies the assumptions linked to 5G mid-band coverage projection, including the definition of mid-band (1-7 GHz) and the assumptions explaining why Options 2 and 3 reach the same coverage level. The Annex 4 also further clarifies average speed assumptions and projections and strengthened the explanation underpinning the projected speeds.</w:t>
            </w:r>
          </w:p>
          <w:p w14:paraId="6834A48E" w14:textId="750C7FDB" w:rsidR="0059690F" w:rsidRPr="00D86314" w:rsidRDefault="0059690F" w:rsidP="007C0508">
            <w:pPr>
              <w:rPr>
                <w:noProof/>
              </w:rPr>
            </w:pPr>
            <w:r w:rsidRPr="00D86314">
              <w:rPr>
                <w:noProof/>
              </w:rPr>
              <w:t xml:space="preserve">For </w:t>
            </w:r>
            <w:r w:rsidRPr="00D86314">
              <w:rPr>
                <w:b/>
                <w:bCs/>
                <w:noProof/>
              </w:rPr>
              <w:t>fixed</w:t>
            </w:r>
            <w:r w:rsidRPr="00D86314">
              <w:rPr>
                <w:noProof/>
              </w:rPr>
              <w:t>, also in section 6, the links between the FTTH coverage, the technological mixture in the access network, the average download speed and the impact on GDP is assessed and analysed for the different policy options. Existing studies for the relation of the broadband speed and GDP have been considered and a sensitivity analysis for different values of the related coefficient is presented. Results are quantified for the different options/ scenarios for the transition to fibre.</w:t>
            </w:r>
          </w:p>
        </w:tc>
      </w:tr>
      <w:tr w:rsidR="0059690F" w:rsidRPr="00D86314" w14:paraId="032E7027" w14:textId="77777777" w:rsidTr="0059690F">
        <w:trPr>
          <w:trHeight w:val="300"/>
        </w:trPr>
        <w:tc>
          <w:tcPr>
            <w:tcW w:w="1928" w:type="pct"/>
            <w:shd w:val="clear" w:color="auto" w:fill="FFFFFF" w:themeFill="background1"/>
          </w:tcPr>
          <w:p w14:paraId="610FEB6B" w14:textId="262AE283" w:rsidR="0059690F" w:rsidRPr="00D86314" w:rsidRDefault="0059690F" w:rsidP="00AE33DD">
            <w:pPr>
              <w:rPr>
                <w:noProof/>
              </w:rPr>
            </w:pPr>
            <w:r w:rsidRPr="00D86314">
              <w:rPr>
                <w:noProof/>
              </w:rPr>
              <w:t xml:space="preserve">The report should better justify how the key coefficient linking the speed and GDP has been established. It should better assess marginal benefits and marginal costs, including 2 based on perceptions of economic actors. The rationale for assuming linear effects on GDP even of marginal increase of speed at given overall speed levels should be substantiated and where relevant non-linear assumptions considered. Given the high variability of the estimates in literature and resulting uncertainties regarding the impact on GDP, the report should use conservative assumptions or ranges. This uncertainty should be highlighted in the summary table of the report and Annex 3. </w:t>
            </w:r>
          </w:p>
        </w:tc>
        <w:tc>
          <w:tcPr>
            <w:tcW w:w="1006" w:type="pct"/>
            <w:shd w:val="clear" w:color="auto" w:fill="FFFFFF" w:themeFill="background1"/>
          </w:tcPr>
          <w:p w14:paraId="3AC74382" w14:textId="075A0C04" w:rsidR="0059690F" w:rsidRPr="00C20A01" w:rsidRDefault="0059690F" w:rsidP="000332ED">
            <w:pPr>
              <w:rPr>
                <w:noProof/>
              </w:rPr>
            </w:pPr>
            <w:r w:rsidRPr="00D86314">
              <w:rPr>
                <w:noProof/>
              </w:rPr>
              <w:t>Section 6 and annexes 3 and 4</w:t>
            </w:r>
          </w:p>
        </w:tc>
        <w:tc>
          <w:tcPr>
            <w:tcW w:w="2066" w:type="pct"/>
          </w:tcPr>
          <w:p w14:paraId="22268C94" w14:textId="3B3A3029" w:rsidR="0059690F" w:rsidRPr="00D86314" w:rsidRDefault="0059690F" w:rsidP="00CD7237">
            <w:pPr>
              <w:rPr>
                <w:noProof/>
              </w:rPr>
            </w:pPr>
            <w:r w:rsidRPr="00D86314">
              <w:rPr>
                <w:b/>
                <w:bCs/>
                <w:noProof/>
              </w:rPr>
              <w:t>For spectrum,</w:t>
            </w:r>
            <w:r w:rsidRPr="00D86314">
              <w:rPr>
                <w:noProof/>
              </w:rPr>
              <w:t xml:space="preserve"> the coefficient and sensitivity range are discussed in Annex 4 with a reference to empirical literature. A clarification was added to explain the use of linear modelling. </w:t>
            </w:r>
          </w:p>
          <w:p w14:paraId="4EB526F9" w14:textId="3B0C0C6F" w:rsidR="0059690F" w:rsidRPr="00D86314" w:rsidRDefault="0059690F" w:rsidP="00CD7237">
            <w:pPr>
              <w:rPr>
                <w:noProof/>
              </w:rPr>
            </w:pPr>
            <w:r w:rsidRPr="00D86314">
              <w:rPr>
                <w:noProof/>
              </w:rPr>
              <w:t xml:space="preserve">For </w:t>
            </w:r>
            <w:r w:rsidRPr="00D86314">
              <w:rPr>
                <w:b/>
                <w:bCs/>
                <w:noProof/>
              </w:rPr>
              <w:t>fixed</w:t>
            </w:r>
            <w:r w:rsidRPr="00D86314">
              <w:rPr>
                <w:noProof/>
              </w:rPr>
              <w:t xml:space="preserve">, in Section 6, there is a detailed analysis of the relation between the broadband speed (in relation with FTTH coverage, technological mixture and FTTH take up) and GDP. Based on available studies, the range of the relevant coefficient is defined, and its selected value is justified. A sensitivity analysis for different values of the coefficient is presented for the available policy options. </w:t>
            </w:r>
          </w:p>
          <w:p w14:paraId="0975B1B0" w14:textId="01751362" w:rsidR="0059690F" w:rsidRPr="00D86314" w:rsidRDefault="0059690F" w:rsidP="00CD7237">
            <w:pPr>
              <w:rPr>
                <w:b/>
                <w:bCs/>
                <w:noProof/>
              </w:rPr>
            </w:pPr>
            <w:r w:rsidRPr="00D86314">
              <w:rPr>
                <w:noProof/>
              </w:rPr>
              <w:t xml:space="preserve">In Annex 4, further information and a more detailed analysis can be found. </w:t>
            </w:r>
          </w:p>
        </w:tc>
      </w:tr>
      <w:tr w:rsidR="0059690F" w:rsidRPr="00D86314" w14:paraId="33DBCE1D" w14:textId="77777777" w:rsidTr="0059690F">
        <w:trPr>
          <w:trHeight w:val="300"/>
        </w:trPr>
        <w:tc>
          <w:tcPr>
            <w:tcW w:w="1928" w:type="pct"/>
            <w:shd w:val="clear" w:color="auto" w:fill="FFFFFF" w:themeFill="background1"/>
          </w:tcPr>
          <w:p w14:paraId="6E7E72E3" w14:textId="67552FD0" w:rsidR="0059690F" w:rsidRPr="00D86314" w:rsidRDefault="0059690F" w:rsidP="00517FAC">
            <w:pPr>
              <w:rPr>
                <w:noProof/>
              </w:rPr>
            </w:pPr>
            <w:r w:rsidRPr="00D86314">
              <w:rPr>
                <w:noProof/>
              </w:rPr>
              <w:t xml:space="preserve">Given the expected highest effectiveness of spectrum Option 3, the report should substantiate or re-assess the same quantitative projection of Option 2 and Option 3 in terms of the coverage which directly drives the economic impact of the options and in turn their comparison. The assumptions, calculations and related narratives need to be fully aligned through the report and annexes. The report should explain how different levels of economies of scale of various spectrum options were accounted for in the modelling. </w:t>
            </w:r>
          </w:p>
        </w:tc>
        <w:tc>
          <w:tcPr>
            <w:tcW w:w="1006" w:type="pct"/>
            <w:shd w:val="clear" w:color="auto" w:fill="FFFFFF" w:themeFill="background1"/>
          </w:tcPr>
          <w:p w14:paraId="040A73FE" w14:textId="72ED00AC" w:rsidR="0059690F" w:rsidRPr="00D86314" w:rsidRDefault="0059690F" w:rsidP="00517FAC">
            <w:pPr>
              <w:rPr>
                <w:noProof/>
              </w:rPr>
            </w:pPr>
            <w:r w:rsidRPr="00D86314">
              <w:rPr>
                <w:noProof/>
              </w:rPr>
              <w:t>Section 6 and annex 4</w:t>
            </w:r>
          </w:p>
        </w:tc>
        <w:tc>
          <w:tcPr>
            <w:tcW w:w="2066" w:type="pct"/>
          </w:tcPr>
          <w:p w14:paraId="20107EC3" w14:textId="430AA50F" w:rsidR="0059690F" w:rsidRPr="00D86314" w:rsidRDefault="0059690F" w:rsidP="00517FAC">
            <w:pPr>
              <w:rPr>
                <w:b/>
                <w:bCs/>
                <w:noProof/>
              </w:rPr>
            </w:pPr>
            <w:r w:rsidRPr="00C20A01">
              <w:rPr>
                <w:b/>
                <w:bCs/>
                <w:noProof/>
              </w:rPr>
              <w:t>For spectrum,</w:t>
            </w:r>
            <w:r w:rsidRPr="00C20A01">
              <w:rPr>
                <w:noProof/>
              </w:rPr>
              <w:t xml:space="preserve"> further explanations are provided, including the limitations of the model used. The IA also </w:t>
            </w:r>
            <w:r w:rsidRPr="00D86314">
              <w:rPr>
                <w:noProof/>
              </w:rPr>
              <w:t>outlines how economies of scale are taken into account in the model.</w:t>
            </w:r>
          </w:p>
        </w:tc>
      </w:tr>
      <w:tr w:rsidR="0059690F" w:rsidRPr="00D86314" w14:paraId="7A17F57F" w14:textId="77777777" w:rsidTr="0059690F">
        <w:trPr>
          <w:trHeight w:val="300"/>
        </w:trPr>
        <w:tc>
          <w:tcPr>
            <w:tcW w:w="1928" w:type="pct"/>
            <w:shd w:val="clear" w:color="auto" w:fill="FFFFFF" w:themeFill="background1"/>
          </w:tcPr>
          <w:p w14:paraId="653FEE1A" w14:textId="0C596EA5" w:rsidR="0059690F" w:rsidRPr="00D86314" w:rsidRDefault="0059690F" w:rsidP="00A4215E">
            <w:pPr>
              <w:rPr>
                <w:noProof/>
              </w:rPr>
            </w:pPr>
            <w:r w:rsidRPr="00D86314">
              <w:rPr>
                <w:noProof/>
              </w:rPr>
              <w:t>The report should provide a summary table of the costs and benefits of all options, quantified and monetised to the extent possible, and establish the benefit-cost ratios. The report should be explicit regarding who will bear the costs and clearly distinguish between public authorities, businesses and citizens.</w:t>
            </w:r>
          </w:p>
        </w:tc>
        <w:tc>
          <w:tcPr>
            <w:tcW w:w="1006" w:type="pct"/>
            <w:shd w:val="clear" w:color="auto" w:fill="FFFFFF" w:themeFill="background1"/>
          </w:tcPr>
          <w:p w14:paraId="609E4BB0" w14:textId="5DF67686" w:rsidR="0059690F" w:rsidRPr="00D86314" w:rsidRDefault="0059690F" w:rsidP="00A4215E">
            <w:pPr>
              <w:rPr>
                <w:noProof/>
              </w:rPr>
            </w:pPr>
            <w:r w:rsidRPr="00D86314">
              <w:rPr>
                <w:noProof/>
              </w:rPr>
              <w:t>Annex 3</w:t>
            </w:r>
          </w:p>
        </w:tc>
        <w:tc>
          <w:tcPr>
            <w:tcW w:w="2066" w:type="pct"/>
          </w:tcPr>
          <w:p w14:paraId="33CA7C86" w14:textId="532DD090" w:rsidR="0059690F" w:rsidRPr="00D86314" w:rsidRDefault="0059690F" w:rsidP="00A4215E">
            <w:pPr>
              <w:rPr>
                <w:b/>
                <w:bCs/>
                <w:noProof/>
              </w:rPr>
            </w:pPr>
            <w:r w:rsidRPr="00D86314">
              <w:rPr>
                <w:noProof/>
              </w:rPr>
              <w:t>A summary table of the costs and benefits of all options included into the Annex, monetising the impacts to the extent possible. A description regarding who will bear the costs can be found in the details provided in Annex 3 for each 4 policy areas, plus in Annex 9.</w:t>
            </w:r>
          </w:p>
        </w:tc>
      </w:tr>
      <w:tr w:rsidR="0059690F" w:rsidRPr="00D86314" w14:paraId="4BF47BF7" w14:textId="77777777" w:rsidTr="0059690F">
        <w:trPr>
          <w:trHeight w:val="300"/>
        </w:trPr>
        <w:tc>
          <w:tcPr>
            <w:tcW w:w="1928" w:type="pct"/>
            <w:shd w:val="clear" w:color="auto" w:fill="FFFFFF" w:themeFill="background1"/>
          </w:tcPr>
          <w:p w14:paraId="2586CBB4" w14:textId="1F33C7E9" w:rsidR="0059690F" w:rsidRPr="00D86314" w:rsidRDefault="0059690F" w:rsidP="00B64079">
            <w:pPr>
              <w:rPr>
                <w:noProof/>
              </w:rPr>
            </w:pPr>
            <w:r w:rsidRPr="00D86314">
              <w:rPr>
                <w:noProof/>
              </w:rPr>
              <w:t xml:space="preserve">The estimates of administrative costs and cost-savings that are currently expressed in FTEs, should be converted into monetary values. </w:t>
            </w:r>
          </w:p>
          <w:p w14:paraId="5B2CC4A5" w14:textId="617E4059" w:rsidR="0059690F" w:rsidRPr="00D86314" w:rsidRDefault="0059690F" w:rsidP="00B64079">
            <w:pPr>
              <w:rPr>
                <w:noProof/>
              </w:rPr>
            </w:pPr>
            <w:r w:rsidRPr="00D86314">
              <w:rPr>
                <w:noProof/>
              </w:rPr>
              <w:t xml:space="preserve">The assessment and comparison of spectrum options on efficiency criteria should include a full quantification of total administrative costs over the appropriate assessment period taking into account expected smaller number of regulated entities for Option 3. </w:t>
            </w:r>
          </w:p>
        </w:tc>
        <w:tc>
          <w:tcPr>
            <w:tcW w:w="1006" w:type="pct"/>
            <w:shd w:val="clear" w:color="auto" w:fill="FFFFFF" w:themeFill="background1"/>
          </w:tcPr>
          <w:p w14:paraId="5F80C5AE" w14:textId="0C4D4108" w:rsidR="0059690F" w:rsidRPr="00D86314" w:rsidRDefault="0059690F" w:rsidP="00F178E7">
            <w:pPr>
              <w:rPr>
                <w:noProof/>
              </w:rPr>
            </w:pPr>
            <w:r w:rsidRPr="00C20A01">
              <w:rPr>
                <w:noProof/>
              </w:rPr>
              <w:t>Sections 6 and 7, and Annex 3.</w:t>
            </w:r>
          </w:p>
        </w:tc>
        <w:tc>
          <w:tcPr>
            <w:tcW w:w="2066" w:type="pct"/>
          </w:tcPr>
          <w:p w14:paraId="6B4A7727" w14:textId="77777777" w:rsidR="0059690F" w:rsidRPr="00D86314" w:rsidRDefault="0059690F" w:rsidP="00B64079">
            <w:pPr>
              <w:rPr>
                <w:noProof/>
              </w:rPr>
            </w:pPr>
            <w:r w:rsidRPr="00D86314">
              <w:rPr>
                <w:noProof/>
              </w:rPr>
              <w:t xml:space="preserve">The summary table of the costs and benefits of all options included into the Annex contains the monetary values of the FTEs expressed in later sections.  </w:t>
            </w:r>
          </w:p>
          <w:p w14:paraId="6A70F93B" w14:textId="5C4BAC6C" w:rsidR="0059690F" w:rsidRPr="00D86314" w:rsidRDefault="0059690F" w:rsidP="00B64079">
            <w:pPr>
              <w:rPr>
                <w:noProof/>
              </w:rPr>
            </w:pPr>
            <w:r w:rsidRPr="00D86314">
              <w:rPr>
                <w:noProof/>
              </w:rPr>
              <w:t xml:space="preserve">For </w:t>
            </w:r>
            <w:r w:rsidRPr="00D86314">
              <w:rPr>
                <w:b/>
                <w:bCs/>
                <w:noProof/>
              </w:rPr>
              <w:t>fixed</w:t>
            </w:r>
            <w:r w:rsidRPr="00D86314">
              <w:rPr>
                <w:noProof/>
              </w:rPr>
              <w:t>, the estimated change in one-off and recurring administrative costs in FTEs and its quantification in billion EUR is presented in section 7.</w:t>
            </w:r>
          </w:p>
          <w:p w14:paraId="52517CA6" w14:textId="67AFD5E3" w:rsidR="0059690F" w:rsidRPr="00D86314" w:rsidRDefault="0059690F" w:rsidP="00B64079">
            <w:pPr>
              <w:rPr>
                <w:noProof/>
              </w:rPr>
            </w:pPr>
            <w:r w:rsidRPr="00D86314">
              <w:rPr>
                <w:noProof/>
              </w:rPr>
              <w:t xml:space="preserve">For </w:t>
            </w:r>
            <w:r w:rsidRPr="00D86314">
              <w:rPr>
                <w:b/>
                <w:noProof/>
              </w:rPr>
              <w:t>spectrum</w:t>
            </w:r>
            <w:r w:rsidRPr="00D86314">
              <w:rPr>
                <w:noProof/>
              </w:rPr>
              <w:t xml:space="preserve"> and satellite in Annex 3, the IA clarifies the administrative costs at EU level for the preferred option for all spectrum measures (including terrestrial and satellite spectrum authorisation).</w:t>
            </w:r>
          </w:p>
          <w:p w14:paraId="6A2C98F2" w14:textId="76619F71" w:rsidR="0059690F" w:rsidRPr="00D86314" w:rsidRDefault="0059690F" w:rsidP="008058DD">
            <w:pPr>
              <w:rPr>
                <w:b/>
                <w:bCs/>
                <w:noProof/>
              </w:rPr>
            </w:pPr>
            <w:r w:rsidRPr="00D86314">
              <w:rPr>
                <w:noProof/>
              </w:rPr>
              <w:t>An explanation has been added in Section 6 indicating that the new well-resourced EU-level institutional structure with legal, economic, and technical capacity that would coexist for a relatively long transitional period with national spectrum governance structures.</w:t>
            </w:r>
          </w:p>
        </w:tc>
      </w:tr>
      <w:tr w:rsidR="0059690F" w:rsidRPr="00D86314" w14:paraId="33F3D58D" w14:textId="77777777" w:rsidTr="0059690F">
        <w:trPr>
          <w:trHeight w:val="300"/>
        </w:trPr>
        <w:tc>
          <w:tcPr>
            <w:tcW w:w="1928" w:type="pct"/>
            <w:shd w:val="clear" w:color="auto" w:fill="FFFFFF" w:themeFill="background1"/>
          </w:tcPr>
          <w:p w14:paraId="2C446289" w14:textId="1BD3DD57" w:rsidR="0059690F" w:rsidRPr="00D86314" w:rsidRDefault="0059690F" w:rsidP="00BE7E1C">
            <w:pPr>
              <w:rPr>
                <w:noProof/>
              </w:rPr>
            </w:pPr>
            <w:r w:rsidRPr="00D86314">
              <w:rPr>
                <w:noProof/>
              </w:rPr>
              <w:t>The report should strengthen the environmental impact analysis by better integrating the lifecycle findings presented in Annex 9. The resulting impacts should be monetised and included in the overall assessment of costs and benefits. The reporting of the results should clearly highlight the underlying uncertainty as the analytical Annex 4 states that reported CO₂ values should not be interpreted as measurements with high numerical precision but rather as outputs of a scenario-based estimation model.</w:t>
            </w:r>
          </w:p>
        </w:tc>
        <w:tc>
          <w:tcPr>
            <w:tcW w:w="1006" w:type="pct"/>
            <w:shd w:val="clear" w:color="auto" w:fill="FFFFFF" w:themeFill="background1"/>
          </w:tcPr>
          <w:p w14:paraId="5684E79A" w14:textId="38A62D52" w:rsidR="0059690F" w:rsidRPr="00D86314" w:rsidRDefault="0059690F" w:rsidP="00BE7E1C">
            <w:pPr>
              <w:rPr>
                <w:noProof/>
              </w:rPr>
            </w:pPr>
            <w:r w:rsidRPr="00D86314">
              <w:rPr>
                <w:noProof/>
              </w:rPr>
              <w:t>Section 6 and Annex 4.6</w:t>
            </w:r>
          </w:p>
        </w:tc>
        <w:tc>
          <w:tcPr>
            <w:tcW w:w="2066" w:type="pct"/>
          </w:tcPr>
          <w:p w14:paraId="25F5D18E" w14:textId="5D858489" w:rsidR="0059690F" w:rsidRPr="00D86314" w:rsidRDefault="0059690F" w:rsidP="00BE7E1C">
            <w:pPr>
              <w:pStyle w:val="FootnoteText"/>
              <w:rPr>
                <w:noProof/>
                <w:sz w:val="24"/>
                <w:szCs w:val="24"/>
              </w:rPr>
            </w:pPr>
            <w:r w:rsidRPr="00D86314">
              <w:rPr>
                <w:b/>
                <w:noProof/>
                <w:sz w:val="24"/>
                <w:szCs w:val="24"/>
              </w:rPr>
              <w:t xml:space="preserve">For </w:t>
            </w:r>
            <w:r w:rsidRPr="00D86314">
              <w:rPr>
                <w:b/>
                <w:bCs/>
                <w:noProof/>
                <w:sz w:val="24"/>
                <w:szCs w:val="24"/>
              </w:rPr>
              <w:t>spectrum</w:t>
            </w:r>
            <w:r w:rsidRPr="00D86314">
              <w:rPr>
                <w:b/>
                <w:noProof/>
                <w:sz w:val="24"/>
                <w:szCs w:val="24"/>
              </w:rPr>
              <w:t>,</w:t>
            </w:r>
            <w:r w:rsidRPr="00D86314">
              <w:rPr>
                <w:noProof/>
                <w:sz w:val="24"/>
                <w:szCs w:val="24"/>
              </w:rPr>
              <w:t xml:space="preserve"> environmental impacts were monetised and integrated into the assessment, with a clarification on how to interpret the CO₂ results.</w:t>
            </w:r>
          </w:p>
          <w:p w14:paraId="00E78BDD" w14:textId="77777777" w:rsidR="0059690F" w:rsidRPr="00D86314" w:rsidRDefault="0059690F" w:rsidP="00BE7E1C">
            <w:pPr>
              <w:pStyle w:val="FootnoteText"/>
              <w:rPr>
                <w:noProof/>
                <w:sz w:val="24"/>
                <w:szCs w:val="24"/>
              </w:rPr>
            </w:pPr>
          </w:p>
          <w:p w14:paraId="748D5994" w14:textId="4321ADFE" w:rsidR="0059690F" w:rsidRPr="00D86314" w:rsidRDefault="0059690F" w:rsidP="00BE7E1C">
            <w:pPr>
              <w:pStyle w:val="FootnoteText"/>
              <w:rPr>
                <w:noProof/>
                <w:sz w:val="24"/>
                <w:szCs w:val="24"/>
              </w:rPr>
            </w:pPr>
            <w:r w:rsidRPr="00D86314">
              <w:rPr>
                <w:noProof/>
                <w:sz w:val="24"/>
                <w:szCs w:val="24"/>
              </w:rPr>
              <w:t xml:space="preserve">For </w:t>
            </w:r>
            <w:r w:rsidRPr="00D86314">
              <w:rPr>
                <w:b/>
                <w:bCs/>
                <w:noProof/>
                <w:sz w:val="24"/>
                <w:szCs w:val="24"/>
              </w:rPr>
              <w:t>fixed</w:t>
            </w:r>
            <w:r w:rsidRPr="00D86314">
              <w:rPr>
                <w:noProof/>
                <w:sz w:val="24"/>
                <w:szCs w:val="24"/>
              </w:rPr>
              <w:t xml:space="preserve">, section 6 presents the analysis regarding the environmental impact of the transition to fibre, namely the CO2 emissions, as a function of the electricity consumption of the different options (which depends on the technological mixture of the access network of the different policy options). </w:t>
            </w:r>
          </w:p>
          <w:p w14:paraId="3328A729" w14:textId="77777777" w:rsidR="0059690F" w:rsidRPr="00D86314" w:rsidRDefault="0059690F" w:rsidP="00BE7E1C">
            <w:pPr>
              <w:pStyle w:val="FootnoteText"/>
              <w:rPr>
                <w:noProof/>
                <w:sz w:val="24"/>
                <w:szCs w:val="24"/>
              </w:rPr>
            </w:pPr>
          </w:p>
          <w:p w14:paraId="20904070" w14:textId="25202A5E" w:rsidR="0059690F" w:rsidRPr="00D86314" w:rsidRDefault="0059690F" w:rsidP="00BE7E1C">
            <w:pPr>
              <w:pStyle w:val="FootnoteText"/>
              <w:rPr>
                <w:noProof/>
                <w:sz w:val="24"/>
                <w:szCs w:val="24"/>
              </w:rPr>
            </w:pPr>
            <w:r w:rsidRPr="00D86314">
              <w:rPr>
                <w:noProof/>
                <w:sz w:val="24"/>
                <w:szCs w:val="24"/>
              </w:rPr>
              <w:t>Further details analysis can be found in Annex 4.</w:t>
            </w:r>
          </w:p>
          <w:p w14:paraId="43B5E3E0" w14:textId="77777777" w:rsidR="0059690F" w:rsidRPr="00D86314" w:rsidRDefault="0059690F" w:rsidP="00BE7E1C">
            <w:pPr>
              <w:rPr>
                <w:b/>
                <w:bCs/>
                <w:noProof/>
              </w:rPr>
            </w:pPr>
          </w:p>
        </w:tc>
      </w:tr>
      <w:tr w:rsidR="0059690F" w:rsidRPr="00D86314" w14:paraId="3F2717C3" w14:textId="77777777" w:rsidTr="0059690F">
        <w:trPr>
          <w:trHeight w:val="300"/>
        </w:trPr>
        <w:tc>
          <w:tcPr>
            <w:tcW w:w="1928" w:type="pct"/>
            <w:shd w:val="clear" w:color="auto" w:fill="FFFFFF" w:themeFill="background1"/>
          </w:tcPr>
          <w:p w14:paraId="6E4F6D86" w14:textId="601DEA85" w:rsidR="0059690F" w:rsidRPr="00D86314" w:rsidRDefault="0059690F" w:rsidP="00391958">
            <w:pPr>
              <w:rPr>
                <w:noProof/>
              </w:rPr>
            </w:pPr>
            <w:r w:rsidRPr="00D86314">
              <w:rPr>
                <w:noProof/>
              </w:rPr>
              <w:t xml:space="preserve">The report should present a more systematic and comprehensive sensitivity analysis across all policy options. It should identify the key parameters driving results, explain how sensitive these results are to changes in the most important assumptions and state where uncertainty remains high and reflecting this in the conclusions. </w:t>
            </w:r>
          </w:p>
        </w:tc>
        <w:tc>
          <w:tcPr>
            <w:tcW w:w="1006" w:type="pct"/>
            <w:shd w:val="clear" w:color="auto" w:fill="FFFFFF" w:themeFill="background1"/>
          </w:tcPr>
          <w:p w14:paraId="7829A6B0" w14:textId="6E40534F" w:rsidR="0059690F" w:rsidRPr="00D86314" w:rsidRDefault="0059690F" w:rsidP="00391958">
            <w:pPr>
              <w:rPr>
                <w:noProof/>
              </w:rPr>
            </w:pPr>
            <w:r w:rsidRPr="00D86314">
              <w:rPr>
                <w:noProof/>
              </w:rPr>
              <w:t>Sections 6 and 8</w:t>
            </w:r>
          </w:p>
        </w:tc>
        <w:tc>
          <w:tcPr>
            <w:tcW w:w="2066" w:type="pct"/>
          </w:tcPr>
          <w:p w14:paraId="76BACDD3" w14:textId="4061516F" w:rsidR="0059690F" w:rsidRPr="00D86314" w:rsidRDefault="0059690F" w:rsidP="00391958">
            <w:pPr>
              <w:rPr>
                <w:noProof/>
              </w:rPr>
            </w:pPr>
            <w:r w:rsidRPr="00D86314">
              <w:rPr>
                <w:b/>
                <w:bCs/>
                <w:noProof/>
              </w:rPr>
              <w:t xml:space="preserve">For satellites, </w:t>
            </w:r>
            <w:r w:rsidRPr="00D86314">
              <w:rPr>
                <w:noProof/>
              </w:rPr>
              <w:t>uncertainty around key inputs was explicitly highlighted, clarifying that simplification potential and cost reductions depend on assumptions regarding the timing and scale of future constellations, with savings therefore difficult to quantify.</w:t>
            </w:r>
          </w:p>
          <w:p w14:paraId="77770BDD" w14:textId="11F8161A" w:rsidR="0059690F" w:rsidRPr="00D86314" w:rsidRDefault="0059690F" w:rsidP="00391958">
            <w:pPr>
              <w:rPr>
                <w:noProof/>
              </w:rPr>
            </w:pPr>
            <w:r w:rsidRPr="00D86314">
              <w:rPr>
                <w:b/>
                <w:bCs/>
                <w:noProof/>
              </w:rPr>
              <w:t>For spectrum,</w:t>
            </w:r>
            <w:r w:rsidRPr="00D86314">
              <w:rPr>
                <w:noProof/>
              </w:rPr>
              <w:t xml:space="preserve"> GDP and environmental sensitivities results are presented in the main text via footnotes, and remaining uncertainty is acknowledged.</w:t>
            </w:r>
          </w:p>
          <w:p w14:paraId="2D0F1300" w14:textId="7E022732" w:rsidR="0059690F" w:rsidRPr="00D86314" w:rsidRDefault="0059690F" w:rsidP="00391958">
            <w:pPr>
              <w:rPr>
                <w:noProof/>
              </w:rPr>
            </w:pPr>
            <w:r w:rsidRPr="00D86314">
              <w:rPr>
                <w:b/>
                <w:bCs/>
                <w:noProof/>
              </w:rPr>
              <w:t>For general authorisation and introducing a Union-level passport for electronic communications networks and services</w:t>
            </w:r>
            <w:r w:rsidRPr="00D86314">
              <w:rPr>
                <w:noProof/>
              </w:rPr>
              <w:t>: The report provides data on costs and analyses the possible efficiency gains.</w:t>
            </w:r>
          </w:p>
          <w:p w14:paraId="70EC9543" w14:textId="77777777" w:rsidR="0059690F" w:rsidRPr="00D86314" w:rsidRDefault="0059690F" w:rsidP="00391958">
            <w:pPr>
              <w:rPr>
                <w:b/>
                <w:bCs/>
                <w:noProof/>
              </w:rPr>
            </w:pPr>
          </w:p>
        </w:tc>
      </w:tr>
      <w:tr w:rsidR="0059690F" w:rsidRPr="00D86314" w14:paraId="21023CB1" w14:textId="77777777" w:rsidTr="0059690F">
        <w:trPr>
          <w:trHeight w:val="300"/>
        </w:trPr>
        <w:tc>
          <w:tcPr>
            <w:tcW w:w="1928" w:type="pct"/>
            <w:shd w:val="clear" w:color="auto" w:fill="FFFFFF" w:themeFill="background1"/>
          </w:tcPr>
          <w:p w14:paraId="56002123" w14:textId="5634FD06" w:rsidR="0059690F" w:rsidRPr="00D86314" w:rsidRDefault="0059690F" w:rsidP="00467BAE">
            <w:pPr>
              <w:rPr>
                <w:noProof/>
              </w:rPr>
            </w:pPr>
            <w:r w:rsidRPr="00D86314">
              <w:rPr>
                <w:noProof/>
              </w:rPr>
              <w:t xml:space="preserve">The report should be a concise self-standing document. By removing repetitions all and inconsistencies the report should be reduced in length. All four problems and corresponding policy blocks should be analysed in a uniform way throughout all sections of the report. </w:t>
            </w:r>
          </w:p>
        </w:tc>
        <w:tc>
          <w:tcPr>
            <w:tcW w:w="1006" w:type="pct"/>
            <w:shd w:val="clear" w:color="auto" w:fill="FFFFFF" w:themeFill="background1"/>
          </w:tcPr>
          <w:p w14:paraId="5E0427D6" w14:textId="77777777" w:rsidR="0059690F" w:rsidRPr="00D86314" w:rsidRDefault="0059690F" w:rsidP="00467BAE">
            <w:pPr>
              <w:rPr>
                <w:noProof/>
              </w:rPr>
            </w:pPr>
          </w:p>
        </w:tc>
        <w:tc>
          <w:tcPr>
            <w:tcW w:w="2066" w:type="pct"/>
          </w:tcPr>
          <w:p w14:paraId="60791AB3" w14:textId="5DD8C81B" w:rsidR="0059690F" w:rsidRPr="00D86314" w:rsidRDefault="0059690F" w:rsidP="00467BAE">
            <w:pPr>
              <w:rPr>
                <w:noProof/>
              </w:rPr>
            </w:pPr>
            <w:r w:rsidRPr="00D86314">
              <w:rPr>
                <w:noProof/>
              </w:rPr>
              <w:t>The IA report and its annexes have been reviewed to address this comment.</w:t>
            </w:r>
          </w:p>
        </w:tc>
      </w:tr>
    </w:tbl>
    <w:p w14:paraId="13E4E0CC" w14:textId="77777777" w:rsidR="00CD5885" w:rsidRPr="00D86314" w:rsidRDefault="00CD5885" w:rsidP="003A0B9C">
      <w:pPr>
        <w:spacing w:after="120"/>
        <w:rPr>
          <w:noProof/>
        </w:rPr>
      </w:pPr>
    </w:p>
    <w:p w14:paraId="26589FE2" w14:textId="0FFCF3D1" w:rsidR="006B087E" w:rsidRPr="00D86314" w:rsidRDefault="006B087E" w:rsidP="00A00C17">
      <w:pPr>
        <w:pStyle w:val="Heading1"/>
        <w:numPr>
          <w:ilvl w:val="0"/>
          <w:numId w:val="25"/>
        </w:numPr>
        <w:rPr>
          <w:noProof/>
          <w:lang w:val="en-GB"/>
        </w:rPr>
      </w:pPr>
      <w:bookmarkStart w:id="10" w:name="_Toc471997757"/>
      <w:bookmarkStart w:id="11" w:name="_Toc208239210"/>
      <w:bookmarkStart w:id="12" w:name="_Toc219718338"/>
      <w:r w:rsidRPr="00D86314">
        <w:rPr>
          <w:noProof/>
          <w:lang w:val="en-GB"/>
        </w:rPr>
        <w:t>Consultation of the RSB</w:t>
      </w:r>
      <w:bookmarkEnd w:id="10"/>
      <w:bookmarkEnd w:id="11"/>
      <w:bookmarkEnd w:id="12"/>
    </w:p>
    <w:p w14:paraId="1B3A491C" w14:textId="006FB91F" w:rsidR="003C56E9" w:rsidRPr="00D86314" w:rsidRDefault="003C56E9" w:rsidP="003A0B9C">
      <w:pPr>
        <w:spacing w:after="120"/>
        <w:rPr>
          <w:noProof/>
        </w:rPr>
      </w:pPr>
      <w:r w:rsidRPr="00D86314">
        <w:rPr>
          <w:noProof/>
        </w:rPr>
        <w:t>An upstream meeting was held with the Regulatory Scrutiny Board (RSB) on 23 June regarding the impact assessment for the Digital Network Act. The points raised by the RSB members has been addressed in this document.</w:t>
      </w:r>
    </w:p>
    <w:p w14:paraId="26138865" w14:textId="223A66AA" w:rsidR="003C56E9" w:rsidRPr="00D86314" w:rsidRDefault="003C56E9" w:rsidP="003A0B9C">
      <w:pPr>
        <w:spacing w:after="120"/>
        <w:rPr>
          <w:noProof/>
        </w:rPr>
      </w:pPr>
      <w:r w:rsidRPr="00D86314">
        <w:rPr>
          <w:noProof/>
        </w:rPr>
        <w:t xml:space="preserve">This staff working document </w:t>
      </w:r>
      <w:r w:rsidR="00D02EB4" w:rsidRPr="00D86314">
        <w:rPr>
          <w:noProof/>
        </w:rPr>
        <w:t>was</w:t>
      </w:r>
      <w:r w:rsidRPr="00D86314">
        <w:rPr>
          <w:noProof/>
        </w:rPr>
        <w:t xml:space="preserve"> discussed at the </w:t>
      </w:r>
      <w:r w:rsidR="00D02EB4" w:rsidRPr="00D86314">
        <w:rPr>
          <w:noProof/>
        </w:rPr>
        <w:t>RSB</w:t>
      </w:r>
      <w:r w:rsidRPr="00D86314">
        <w:rPr>
          <w:noProof/>
        </w:rPr>
        <w:t xml:space="preserve"> meeting o</w:t>
      </w:r>
      <w:r w:rsidR="00CD088B" w:rsidRPr="00D86314">
        <w:rPr>
          <w:noProof/>
        </w:rPr>
        <w:t>n</w:t>
      </w:r>
      <w:r w:rsidRPr="00D86314">
        <w:rPr>
          <w:noProof/>
        </w:rPr>
        <w:t xml:space="preserve"> </w:t>
      </w:r>
      <w:r w:rsidR="000A5B13" w:rsidRPr="00D86314">
        <w:rPr>
          <w:noProof/>
        </w:rPr>
        <w:t xml:space="preserve">22 </w:t>
      </w:r>
      <w:r w:rsidRPr="00D86314">
        <w:rPr>
          <w:noProof/>
        </w:rPr>
        <w:t xml:space="preserve">October 2025. </w:t>
      </w:r>
    </w:p>
    <w:p w14:paraId="0FADD661" w14:textId="77777777" w:rsidR="006B087E" w:rsidRPr="00D86314" w:rsidRDefault="006B087E" w:rsidP="00A00C17">
      <w:pPr>
        <w:pStyle w:val="Heading1"/>
        <w:numPr>
          <w:ilvl w:val="0"/>
          <w:numId w:val="25"/>
        </w:numPr>
        <w:rPr>
          <w:noProof/>
          <w:lang w:val="en-GB"/>
        </w:rPr>
      </w:pPr>
      <w:bookmarkStart w:id="13" w:name="_Toc471997758"/>
      <w:bookmarkStart w:id="14" w:name="_Toc208239211"/>
      <w:bookmarkStart w:id="15" w:name="_Toc219718339"/>
      <w:r w:rsidRPr="00D86314">
        <w:rPr>
          <w:noProof/>
          <w:lang w:val="en-GB"/>
        </w:rPr>
        <w:t>Evidence, sources and quality</w:t>
      </w:r>
      <w:bookmarkEnd w:id="13"/>
      <w:bookmarkEnd w:id="14"/>
      <w:bookmarkEnd w:id="15"/>
    </w:p>
    <w:p w14:paraId="198BD498" w14:textId="172488BA" w:rsidR="00197F8E" w:rsidRPr="00D86314" w:rsidRDefault="00197F8E" w:rsidP="003B497A">
      <w:pPr>
        <w:spacing w:after="120"/>
        <w:rPr>
          <w:noProof/>
        </w:rPr>
      </w:pPr>
      <w:r w:rsidRPr="00D86314">
        <w:rPr>
          <w:noProof/>
        </w:rPr>
        <w:t>The options considered in this impact assessment were designed by taking into account the following main inputs:</w:t>
      </w:r>
    </w:p>
    <w:p w14:paraId="24678823" w14:textId="1F2719D2" w:rsidR="00197F8E" w:rsidRPr="00D86314" w:rsidRDefault="00197F8E" w:rsidP="003B497A">
      <w:pPr>
        <w:pStyle w:val="ListParagraph"/>
        <w:numPr>
          <w:ilvl w:val="5"/>
          <w:numId w:val="16"/>
        </w:numPr>
        <w:spacing w:after="120"/>
        <w:ind w:left="567"/>
        <w:rPr>
          <w:noProof/>
        </w:rPr>
      </w:pPr>
      <w:r w:rsidRPr="00D86314">
        <w:rPr>
          <w:noProof/>
        </w:rPr>
        <w:t xml:space="preserve">The contributions received to the </w:t>
      </w:r>
      <w:r w:rsidRPr="00D86314">
        <w:rPr>
          <w:b/>
          <w:bCs/>
          <w:noProof/>
        </w:rPr>
        <w:t>exploratory consultation</w:t>
      </w:r>
      <w:r w:rsidRPr="00D86314">
        <w:rPr>
          <w:noProof/>
        </w:rPr>
        <w:t xml:space="preserve"> on the future of the electronic communications sector and its infrastructure, launched in February 2023.</w:t>
      </w:r>
    </w:p>
    <w:p w14:paraId="1B168EDC" w14:textId="055A52E0" w:rsidR="00197F8E" w:rsidRPr="00D86314" w:rsidRDefault="00197F8E" w:rsidP="003B497A">
      <w:pPr>
        <w:pStyle w:val="ListParagraph"/>
        <w:numPr>
          <w:ilvl w:val="5"/>
          <w:numId w:val="16"/>
        </w:numPr>
        <w:spacing w:after="120"/>
        <w:ind w:left="567"/>
        <w:rPr>
          <w:noProof/>
        </w:rPr>
      </w:pPr>
      <w:r w:rsidRPr="00D86314">
        <w:rPr>
          <w:noProof/>
        </w:rPr>
        <w:t xml:space="preserve">The stakeholders’ feedback to the </w:t>
      </w:r>
      <w:r w:rsidRPr="00D86314">
        <w:rPr>
          <w:b/>
          <w:bCs/>
          <w:noProof/>
        </w:rPr>
        <w:t>White Paper - ‘How to master Europe’s digital infrastructure needs?</w:t>
      </w:r>
      <w:r w:rsidRPr="00D86314">
        <w:rPr>
          <w:noProof/>
        </w:rPr>
        <w:t xml:space="preserve">’ of February 2024. </w:t>
      </w:r>
    </w:p>
    <w:p w14:paraId="5C8FCB36" w14:textId="752A1165" w:rsidR="007A2008" w:rsidRPr="00D86314" w:rsidRDefault="007A2008" w:rsidP="003B497A">
      <w:pPr>
        <w:pStyle w:val="ListParagraph"/>
        <w:numPr>
          <w:ilvl w:val="5"/>
          <w:numId w:val="16"/>
        </w:numPr>
        <w:spacing w:after="120"/>
        <w:ind w:left="567"/>
        <w:rPr>
          <w:noProof/>
        </w:rPr>
      </w:pPr>
      <w:r w:rsidRPr="00D86314">
        <w:rPr>
          <w:noProof/>
        </w:rPr>
        <w:t xml:space="preserve">The stakeholders’ feedback received for the </w:t>
      </w:r>
      <w:r w:rsidRPr="00D86314">
        <w:rPr>
          <w:b/>
          <w:bCs/>
          <w:noProof/>
        </w:rPr>
        <w:t>Call for Evidence on DNA</w:t>
      </w:r>
      <w:r w:rsidRPr="00D86314">
        <w:rPr>
          <w:noProof/>
        </w:rPr>
        <w:t xml:space="preserve"> published in 2025.</w:t>
      </w:r>
    </w:p>
    <w:p w14:paraId="4B733EA0" w14:textId="69EA4E78" w:rsidR="00197F8E" w:rsidRPr="00D86314" w:rsidRDefault="00197F8E" w:rsidP="003B497A">
      <w:pPr>
        <w:spacing w:after="120"/>
        <w:rPr>
          <w:noProof/>
        </w:rPr>
      </w:pPr>
      <w:r w:rsidRPr="00D86314">
        <w:rPr>
          <w:noProof/>
        </w:rPr>
        <w:t xml:space="preserve">The three review studies that were conducted to support the preparation of this impact assessment are: </w:t>
      </w:r>
    </w:p>
    <w:p w14:paraId="1F365C84" w14:textId="6DF1BD75" w:rsidR="00197F8E" w:rsidRPr="00D86314" w:rsidRDefault="0028499A" w:rsidP="003B497A">
      <w:pPr>
        <w:pStyle w:val="ListParagraph"/>
        <w:numPr>
          <w:ilvl w:val="5"/>
          <w:numId w:val="17"/>
        </w:numPr>
        <w:spacing w:after="120"/>
        <w:ind w:left="567"/>
        <w:rPr>
          <w:noProof/>
        </w:rPr>
      </w:pPr>
      <w:r w:rsidRPr="00D86314">
        <w:rPr>
          <w:noProof/>
        </w:rPr>
        <w:t>Study 2024-025 on "Completing the</w:t>
      </w:r>
      <w:r w:rsidR="003C5F72" w:rsidRPr="00D86314">
        <w:rPr>
          <w:noProof/>
        </w:rPr>
        <w:t xml:space="preserve"> </w:t>
      </w:r>
      <w:r w:rsidRPr="00D86314">
        <w:rPr>
          <w:noProof/>
        </w:rPr>
        <w:t>Digital Single Market (DSM): Regulatory enablers for cross border networks - FWC No FW-00141705</w:t>
      </w:r>
      <w:r w:rsidR="00197F8E" w:rsidRPr="00D86314">
        <w:rPr>
          <w:noProof/>
        </w:rPr>
        <w:t>;</w:t>
      </w:r>
      <w:r w:rsidR="00871DA7" w:rsidRPr="00D86314">
        <w:rPr>
          <w:noProof/>
        </w:rPr>
        <w:t xml:space="preserve"> referred to as ‘Study on Digital Single Market’.</w:t>
      </w:r>
    </w:p>
    <w:p w14:paraId="0387E602" w14:textId="71591C4A" w:rsidR="00197F8E" w:rsidRPr="00D86314" w:rsidRDefault="00CA0423" w:rsidP="003B497A">
      <w:pPr>
        <w:pStyle w:val="ListParagraph"/>
        <w:numPr>
          <w:ilvl w:val="5"/>
          <w:numId w:val="17"/>
        </w:numPr>
        <w:spacing w:after="120"/>
        <w:ind w:left="567"/>
        <w:rPr>
          <w:noProof/>
        </w:rPr>
      </w:pPr>
      <w:r w:rsidRPr="00D86314">
        <w:rPr>
          <w:noProof/>
        </w:rPr>
        <w:t>Study 2024-026 on 'Review of Access Regulation under the European Electronic Communications Code and analysis of future Access policy in full fibre environment' - FwC No FW-00141705</w:t>
      </w:r>
      <w:r w:rsidR="00197F8E" w:rsidRPr="00D86314">
        <w:rPr>
          <w:noProof/>
        </w:rPr>
        <w:t>;</w:t>
      </w:r>
      <w:r w:rsidR="00871DA7" w:rsidRPr="00D86314">
        <w:rPr>
          <w:noProof/>
        </w:rPr>
        <w:t xml:space="preserve"> referred to as ‘</w:t>
      </w:r>
      <w:bookmarkStart w:id="16" w:name="_Hlk218030337"/>
      <w:r w:rsidR="00871DA7" w:rsidRPr="00D86314">
        <w:rPr>
          <w:noProof/>
        </w:rPr>
        <w:t>Study on Access Regulation</w:t>
      </w:r>
      <w:bookmarkEnd w:id="16"/>
      <w:r w:rsidR="00871DA7" w:rsidRPr="00D86314">
        <w:rPr>
          <w:noProof/>
        </w:rPr>
        <w:t>’.</w:t>
      </w:r>
    </w:p>
    <w:p w14:paraId="0F8F9B18" w14:textId="412954FF" w:rsidR="00197F8E" w:rsidRPr="00D86314" w:rsidRDefault="00C25A81" w:rsidP="003B497A">
      <w:pPr>
        <w:pStyle w:val="ListParagraph"/>
        <w:numPr>
          <w:ilvl w:val="5"/>
          <w:numId w:val="17"/>
        </w:numPr>
        <w:spacing w:after="120"/>
        <w:ind w:left="567"/>
        <w:rPr>
          <w:noProof/>
        </w:rPr>
      </w:pPr>
      <w:r w:rsidRPr="00D86314">
        <w:rPr>
          <w:noProof/>
        </w:rPr>
        <w:t>Study 2024-028 on 'Financial conditions, demand and investment needs and their regulatory and policy implications including on the universal service' - FwC No FW-00141705</w:t>
      </w:r>
      <w:r w:rsidR="00871DA7" w:rsidRPr="00D86314">
        <w:rPr>
          <w:noProof/>
        </w:rPr>
        <w:t xml:space="preserve">; referred to as ‘Study on Finance and USO’. </w:t>
      </w:r>
    </w:p>
    <w:p w14:paraId="133D9C52" w14:textId="333E2276" w:rsidR="00197F8E" w:rsidRPr="00D86314" w:rsidRDefault="00197F8E" w:rsidP="003B497A">
      <w:pPr>
        <w:spacing w:after="120"/>
        <w:rPr>
          <w:noProof/>
        </w:rPr>
      </w:pPr>
      <w:r w:rsidRPr="00D86314">
        <w:rPr>
          <w:noProof/>
        </w:rPr>
        <w:t>The Impact assessment was carried out on the basis of interim study results of the three review studies quoted above. Finalisation is planned at this stage by the end of January 2026.</w:t>
      </w:r>
    </w:p>
    <w:p w14:paraId="22F464F8" w14:textId="504839DD" w:rsidR="007A2008" w:rsidRPr="00D86314" w:rsidRDefault="007A2008" w:rsidP="003B497A">
      <w:pPr>
        <w:spacing w:after="120"/>
        <w:rPr>
          <w:noProof/>
        </w:rPr>
      </w:pPr>
      <w:r w:rsidRPr="00D86314">
        <w:rPr>
          <w:noProof/>
        </w:rPr>
        <w:t>The analysis of the studies is primarily based on secondary data (public reports, data and opinions published by stakeholders and unpublished sources received directly from stakeholders) and on primary data collected directly from stakeholders through the Commission’s Call for Evidence on the DNA</w:t>
      </w:r>
      <w:r w:rsidRPr="00D86314">
        <w:rPr>
          <w:noProof/>
          <w:vertAlign w:val="superscript"/>
        </w:rPr>
        <w:footnoteReference w:id="2"/>
      </w:r>
      <w:r w:rsidRPr="00D86314">
        <w:rPr>
          <w:noProof/>
        </w:rPr>
        <w:t xml:space="preserve"> and a targeted survey of stakeholders (including a dedicated survey of NRAs and NCAs). </w:t>
      </w:r>
    </w:p>
    <w:p w14:paraId="14D2443B" w14:textId="3CE8E852" w:rsidR="007A2008" w:rsidRPr="00D86314" w:rsidRDefault="007A2008" w:rsidP="003B497A">
      <w:pPr>
        <w:spacing w:after="120"/>
        <w:rPr>
          <w:noProof/>
        </w:rPr>
      </w:pPr>
      <w:r w:rsidRPr="00D86314">
        <w:rPr>
          <w:noProof/>
        </w:rPr>
        <w:t>The data from the Commission’s Call for Evidence (326 responses) was analysed and included in the studies as relevant (mainly in the sections related to feasibility). This data is of qualitative nature and not specific enough for the analysis of proposed policy options because the Call for Evidence was held fairly high-level and did not outline any policy options.</w:t>
      </w:r>
    </w:p>
    <w:p w14:paraId="1E07059B" w14:textId="0A5263EF" w:rsidR="00CE7B68" w:rsidRPr="00D86314" w:rsidRDefault="007A2008" w:rsidP="000E3086">
      <w:pPr>
        <w:rPr>
          <w:noProof/>
        </w:rPr>
      </w:pPr>
      <w:r w:rsidRPr="00D86314">
        <w:rPr>
          <w:noProof/>
        </w:rPr>
        <w:t>Additionally</w:t>
      </w:r>
      <w:r w:rsidR="00A81B66" w:rsidRPr="00D86314">
        <w:rPr>
          <w:noProof/>
        </w:rPr>
        <w:t>,</w:t>
      </w:r>
      <w:r w:rsidRPr="00D86314">
        <w:rPr>
          <w:noProof/>
        </w:rPr>
        <w:t xml:space="preserve"> a quantitative model has been also developed and used as part of the study, for which the methodology is described in detail in Annex 4.</w:t>
      </w:r>
    </w:p>
    <w:p w14:paraId="2EAFDFCC" w14:textId="0D0F4642" w:rsidR="006B087E" w:rsidRPr="00D86314" w:rsidRDefault="006B087E" w:rsidP="000E3086">
      <w:pPr>
        <w:rPr>
          <w:rFonts w:eastAsia="Times New Roman"/>
          <w:noProof/>
          <w:szCs w:val="20"/>
        </w:rPr>
      </w:pPr>
      <w:r w:rsidRPr="00D86314">
        <w:rPr>
          <w:noProof/>
        </w:rPr>
        <w:br w:type="page"/>
      </w:r>
    </w:p>
    <w:p w14:paraId="2C295793" w14:textId="359E3AF2" w:rsidR="006B087E" w:rsidRPr="00D86314" w:rsidRDefault="006B087E" w:rsidP="00703057">
      <w:pPr>
        <w:pStyle w:val="Heading1"/>
        <w:numPr>
          <w:ilvl w:val="0"/>
          <w:numId w:val="0"/>
        </w:numPr>
        <w:rPr>
          <w:noProof/>
          <w:lang w:val="en-GB"/>
        </w:rPr>
      </w:pPr>
      <w:bookmarkStart w:id="17" w:name="_Toc208239212"/>
      <w:bookmarkStart w:id="18" w:name="_Toc219718340"/>
      <w:r w:rsidRPr="00D86314">
        <w:rPr>
          <w:noProof/>
          <w:lang w:val="en-GB"/>
        </w:rPr>
        <w:t xml:space="preserve">Annex 2: Stakeholder consultation </w:t>
      </w:r>
      <w:r w:rsidR="00A84A61" w:rsidRPr="00D86314">
        <w:rPr>
          <w:noProof/>
          <w:lang w:val="en-GB"/>
        </w:rPr>
        <w:t>(Synopsis report)</w:t>
      </w:r>
      <w:bookmarkEnd w:id="17"/>
      <w:bookmarkEnd w:id="18"/>
    </w:p>
    <w:p w14:paraId="00912C89" w14:textId="54759327" w:rsidR="00BB6D5C" w:rsidRPr="00D86314" w:rsidRDefault="00BB6D5C" w:rsidP="00A00C17">
      <w:pPr>
        <w:pStyle w:val="Heading1"/>
        <w:numPr>
          <w:ilvl w:val="0"/>
          <w:numId w:val="31"/>
        </w:numPr>
        <w:rPr>
          <w:noProof/>
          <w:lang w:val="en-GB"/>
        </w:rPr>
      </w:pPr>
      <w:bookmarkStart w:id="19" w:name="_Toc219718341"/>
      <w:r w:rsidRPr="00D86314">
        <w:rPr>
          <w:noProof/>
          <w:lang w:val="en-GB"/>
        </w:rPr>
        <w:t>S</w:t>
      </w:r>
      <w:r w:rsidR="00A22207" w:rsidRPr="00D86314">
        <w:rPr>
          <w:noProof/>
          <w:lang w:val="en-GB"/>
        </w:rPr>
        <w:t>takeholder</w:t>
      </w:r>
      <w:r w:rsidRPr="00D86314">
        <w:rPr>
          <w:noProof/>
          <w:lang w:val="en-GB"/>
        </w:rPr>
        <w:t xml:space="preserve"> </w:t>
      </w:r>
      <w:r w:rsidR="00BB1191" w:rsidRPr="00D86314">
        <w:rPr>
          <w:noProof/>
          <w:lang w:val="en-GB"/>
        </w:rPr>
        <w:t>c</w:t>
      </w:r>
      <w:r w:rsidR="00A22207" w:rsidRPr="00D86314">
        <w:rPr>
          <w:noProof/>
          <w:lang w:val="en-GB"/>
        </w:rPr>
        <w:t>onsultation</w:t>
      </w:r>
      <w:r w:rsidRPr="00D86314">
        <w:rPr>
          <w:noProof/>
          <w:lang w:val="en-GB"/>
        </w:rPr>
        <w:t xml:space="preserve"> </w:t>
      </w:r>
      <w:r w:rsidR="00BB1191" w:rsidRPr="00D86314">
        <w:rPr>
          <w:noProof/>
          <w:lang w:val="en-GB"/>
        </w:rPr>
        <w:t>s</w:t>
      </w:r>
      <w:r w:rsidR="00A22207" w:rsidRPr="00D86314">
        <w:rPr>
          <w:noProof/>
          <w:lang w:val="en-GB"/>
        </w:rPr>
        <w:t>trategy</w:t>
      </w:r>
      <w:bookmarkEnd w:id="19"/>
    </w:p>
    <w:p w14:paraId="5C663140" w14:textId="7B6A3B61" w:rsidR="00BB6D5C" w:rsidRPr="00D86314" w:rsidRDefault="00BB6D5C" w:rsidP="00FB4EA9">
      <w:pPr>
        <w:spacing w:after="120"/>
        <w:rPr>
          <w:noProof/>
        </w:rPr>
      </w:pPr>
      <w:r w:rsidRPr="00D86314">
        <w:rPr>
          <w:noProof/>
        </w:rPr>
        <w:t xml:space="preserve">A derogation from the obligation to conduct a public consultation was granted as in line with the Better Regulation guidelines, </w:t>
      </w:r>
      <w:r w:rsidR="004426AB" w:rsidRPr="00D86314">
        <w:rPr>
          <w:noProof/>
        </w:rPr>
        <w:t xml:space="preserve">the Commission </w:t>
      </w:r>
      <w:r w:rsidRPr="00D86314">
        <w:rPr>
          <w:noProof/>
        </w:rPr>
        <w:t>ha</w:t>
      </w:r>
      <w:r w:rsidR="00661F63" w:rsidRPr="00D86314">
        <w:rPr>
          <w:noProof/>
        </w:rPr>
        <w:t>s</w:t>
      </w:r>
      <w:r w:rsidRPr="00D86314">
        <w:rPr>
          <w:noProof/>
        </w:rPr>
        <w:t xml:space="preserve"> been consulting widely to gather key information and ensure that the public interest is well reflected in the design of the Digital Networks Act (DNA). In particular, consultation activities regarding the topics that will be part of the future DNA and other related activities started already in 2023, with the launch of a very broad </w:t>
      </w:r>
      <w:r w:rsidRPr="00D86314">
        <w:rPr>
          <w:b/>
          <w:bCs/>
          <w:noProof/>
        </w:rPr>
        <w:t>exploratory consultation on the future of the electronic communications sector and its infrastructure</w:t>
      </w:r>
      <w:r w:rsidRPr="00D86314">
        <w:rPr>
          <w:noProof/>
        </w:rPr>
        <w:t xml:space="preserve">. With over 56 questions (many with sub-questions), requesting quantitative and qualitative information, it gathered the views of all stakeholders on the changing technological and economic trends and their current and possible future impact on the connectivity sector and its infrastructure, and required changes in the regulatory framework and overall sectoral policy. The exploratory consultation, launched via the eSurvey tool, received 437 responses and 164 position papers, fully relevant for the scope of the planned DNA initiative. The Commission also received many contributions outside the formal consultation tool. Two main takeaways of this large broad consultation - a need for innovation and efficient investment into future networks, and the need to leverage the Single Market to exploit economies of scale - are directly in line within the DNA’s scope. </w:t>
      </w:r>
    </w:p>
    <w:p w14:paraId="577C47E8" w14:textId="77777777" w:rsidR="00BB6D5C" w:rsidRPr="00D86314" w:rsidRDefault="00BB6D5C" w:rsidP="00FB4EA9">
      <w:pPr>
        <w:spacing w:after="120"/>
        <w:rPr>
          <w:noProof/>
        </w:rPr>
      </w:pPr>
      <w:r w:rsidRPr="00D86314">
        <w:rPr>
          <w:noProof/>
        </w:rPr>
        <w:t xml:space="preserve">More recently, in February 2024, the Commission opened a consultation on its </w:t>
      </w:r>
      <w:r w:rsidRPr="00D86314">
        <w:rPr>
          <w:b/>
          <w:bCs/>
          <w:noProof/>
        </w:rPr>
        <w:t>White Paper ‘How to master Europe’s digital infrastructure needs?</w:t>
      </w:r>
      <w:r w:rsidRPr="00D86314">
        <w:rPr>
          <w:noProof/>
        </w:rPr>
        <w:t>’ (White Paper). The consultation, which aimed to go more in-depth on the takeaways of the 2023 exploratory consultation, focused on three pillars (technology, single market and resilience) and proposed different scenarios to address the identified challenges. Titled ‘Completing the Digital Single Market’, Pillar II was the lengthiest and most substantial section of the White Paper. It identified challenges and discussed possible scenarios for public policy action to incentivise building the digital networks of the future with a view to meet future connectivity needs of all end-users, underpinning the competitiveness of our economy; it is thus very much aligned with the scope of the DNA. The White Paper was published on ‘Have Your Say’ for feedback for 18 weeks and received 357 feedback contributions. Pillar II attracted feedback from most stakeholders with 191 contributions providing feedback on Pillar II scenarios, which are directly linked to the DNA. The mission letter to Executive Vice-President Virkkunen explicitly indicated that the DNA should take “into account responses to the Commission’s White Paper of February 2024”.</w:t>
      </w:r>
    </w:p>
    <w:p w14:paraId="55DF648C" w14:textId="77777777" w:rsidR="00BB6D5C" w:rsidRPr="00D86314" w:rsidRDefault="00BB6D5C" w:rsidP="00FB4EA9">
      <w:pPr>
        <w:spacing w:after="120"/>
        <w:rPr>
          <w:noProof/>
        </w:rPr>
      </w:pPr>
      <w:r w:rsidRPr="00D86314">
        <w:rPr>
          <w:noProof/>
        </w:rPr>
        <w:t xml:space="preserve">Building on the significant feedback from the exploratory consultation and the White Paper, the Commission launched on 6 June 2025 a 4-week </w:t>
      </w:r>
      <w:r w:rsidRPr="00D86314">
        <w:rPr>
          <w:b/>
          <w:bCs/>
          <w:noProof/>
        </w:rPr>
        <w:t>Call for Evidence</w:t>
      </w:r>
      <w:r w:rsidRPr="00D86314">
        <w:rPr>
          <w:noProof/>
        </w:rPr>
        <w:t xml:space="preserve"> aimed to inform the public and stakeholders about the Commission's plans so they could provide feedback on the intended initiative, the problems identified, its objectives and main policy options. The Call for Evidence was published via ‘Have Your Say’ and gathered 326 contributions including 271 additional papers. </w:t>
      </w:r>
    </w:p>
    <w:p w14:paraId="762143D2" w14:textId="14004938" w:rsidR="00BB6D5C" w:rsidRPr="00D86314" w:rsidRDefault="00BB6D5C" w:rsidP="00FB4EA9">
      <w:pPr>
        <w:spacing w:after="120"/>
        <w:rPr>
          <w:noProof/>
        </w:rPr>
      </w:pPr>
      <w:r w:rsidRPr="00D86314">
        <w:rPr>
          <w:noProof/>
        </w:rPr>
        <w:t xml:space="preserve">In addition, complementing the Call for Evidence, the contractors of the three studies commissioned by the Commission for the preparation of the EECC review, the impact assessment and the legal proposal, have conducted two rounds of </w:t>
      </w:r>
      <w:r w:rsidRPr="00D86314">
        <w:rPr>
          <w:b/>
          <w:bCs/>
          <w:noProof/>
        </w:rPr>
        <w:t>targeted consultations</w:t>
      </w:r>
      <w:r w:rsidRPr="00D86314">
        <w:rPr>
          <w:noProof/>
        </w:rPr>
        <w:t xml:space="preserve"> to 134 selected stakeholders, one in January 2025, and the second one between June and July 2025 to complete the evidence gathering exercise. The targeted industry stakeholders represented different ECN and ECS providers and other service providers. The majority were fixed network operators but also included a sizable number of CAPs and broadcasters. The targeted consultations were also responded by 18 EU NRAs and 7 NCAs. </w:t>
      </w:r>
    </w:p>
    <w:p w14:paraId="35F5CC2C" w14:textId="77777777" w:rsidR="00BB6D5C" w:rsidRPr="00D86314" w:rsidRDefault="00BB6D5C" w:rsidP="00BB6D5C">
      <w:pPr>
        <w:spacing w:after="120"/>
        <w:rPr>
          <w:noProof/>
        </w:rPr>
      </w:pPr>
      <w:r w:rsidRPr="00D86314">
        <w:rPr>
          <w:noProof/>
        </w:rPr>
        <w:t xml:space="preserve">The targeted consultations provided additional insights as regards various policy options considered, complementing the high-level options illustrated in the Call for Evidence. Some insights have been added briefly in this respect in the assessment of the Call for Evidence input. </w:t>
      </w:r>
    </w:p>
    <w:p w14:paraId="5D0864D6" w14:textId="77777777" w:rsidR="00BB6D5C" w:rsidRPr="00D86314" w:rsidRDefault="00BB6D5C" w:rsidP="00BB6D5C">
      <w:pPr>
        <w:spacing w:after="120"/>
        <w:rPr>
          <w:noProof/>
        </w:rPr>
      </w:pPr>
      <w:r w:rsidRPr="00D86314">
        <w:rPr>
          <w:noProof/>
        </w:rPr>
        <w:t xml:space="preserve">In parallel, between March and July 2025, the Commission organised strategic </w:t>
      </w:r>
      <w:r w:rsidRPr="00D86314">
        <w:rPr>
          <w:b/>
          <w:bCs/>
          <w:noProof/>
        </w:rPr>
        <w:t>workshops with BEREC and the Radio Spectrum Policy Group</w:t>
      </w:r>
      <w:r w:rsidRPr="00D86314">
        <w:rPr>
          <w:b/>
          <w:noProof/>
        </w:rPr>
        <w:t xml:space="preserve"> (</w:t>
      </w:r>
      <w:r w:rsidRPr="00D86314">
        <w:rPr>
          <w:b/>
          <w:bCs/>
          <w:noProof/>
        </w:rPr>
        <w:t>RSPG)</w:t>
      </w:r>
      <w:r w:rsidRPr="00D86314">
        <w:rPr>
          <w:noProof/>
        </w:rPr>
        <w:t xml:space="preserve">, to gather the views of high-level representatives from the competent authorities of all Member States. Furthermore, a </w:t>
      </w:r>
      <w:r w:rsidRPr="00D86314">
        <w:rPr>
          <w:b/>
          <w:bCs/>
          <w:noProof/>
        </w:rPr>
        <w:t>dedicated workshop</w:t>
      </w:r>
      <w:r w:rsidRPr="00D86314">
        <w:rPr>
          <w:noProof/>
        </w:rPr>
        <w:t xml:space="preserve"> was organised</w:t>
      </w:r>
      <w:r w:rsidRPr="00D86314">
        <w:rPr>
          <w:b/>
          <w:bCs/>
          <w:noProof/>
        </w:rPr>
        <w:t xml:space="preserve"> with BEUC and the correspondent national consumer organisations</w:t>
      </w:r>
      <w:r w:rsidRPr="00D86314">
        <w:rPr>
          <w:noProof/>
        </w:rPr>
        <w:t xml:space="preserve"> on 16 July 2025 to ascertain the concerns and challenges for consumers and end-users of electronic communications. These efforts have been complemented with a high number of meetings held with industrial stakeholders active across the whole digital value chain, and their business associations. </w:t>
      </w:r>
    </w:p>
    <w:p w14:paraId="26114893" w14:textId="453B1C06" w:rsidR="00BB6D5C" w:rsidRPr="00D86314" w:rsidRDefault="00BB6D5C" w:rsidP="00A00C17">
      <w:pPr>
        <w:pStyle w:val="Heading1"/>
        <w:numPr>
          <w:ilvl w:val="0"/>
          <w:numId w:val="31"/>
        </w:numPr>
        <w:rPr>
          <w:noProof/>
          <w:lang w:val="en-GB"/>
        </w:rPr>
      </w:pPr>
      <w:bookmarkStart w:id="20" w:name="_Toc219718342"/>
      <w:r w:rsidRPr="00D86314">
        <w:rPr>
          <w:noProof/>
          <w:lang w:val="en-GB"/>
        </w:rPr>
        <w:t>S</w:t>
      </w:r>
      <w:r w:rsidR="00BB1191" w:rsidRPr="00D86314">
        <w:rPr>
          <w:noProof/>
          <w:lang w:val="en-GB"/>
        </w:rPr>
        <w:t>ummary of the outcome of the stakeholder consultations</w:t>
      </w:r>
      <w:bookmarkEnd w:id="20"/>
    </w:p>
    <w:p w14:paraId="0019F949" w14:textId="77777777" w:rsidR="00BB6D5C" w:rsidRPr="00D86314" w:rsidRDefault="00BB6D5C" w:rsidP="00BB6D5C">
      <w:pPr>
        <w:spacing w:before="240" w:after="120"/>
        <w:rPr>
          <w:b/>
          <w:bCs/>
          <w:noProof/>
        </w:rPr>
      </w:pPr>
      <w:r w:rsidRPr="00D86314">
        <w:rPr>
          <w:b/>
          <w:bCs/>
          <w:noProof/>
        </w:rPr>
        <w:t>2.1.</w:t>
      </w:r>
      <w:r w:rsidRPr="00D86314">
        <w:rPr>
          <w:b/>
          <w:bCs/>
          <w:noProof/>
        </w:rPr>
        <w:tab/>
        <w:t>Statistical summary of the consultation activities</w:t>
      </w:r>
    </w:p>
    <w:p w14:paraId="7F7D1CBD" w14:textId="77777777" w:rsidR="00BB6D5C" w:rsidRPr="00D86314" w:rsidRDefault="00BB6D5C" w:rsidP="00BB6D5C">
      <w:pPr>
        <w:spacing w:after="120"/>
        <w:rPr>
          <w:noProof/>
        </w:rPr>
      </w:pPr>
      <w:r w:rsidRPr="00D86314">
        <w:rPr>
          <w:noProof/>
        </w:rPr>
        <w:t xml:space="preserve">The </w:t>
      </w:r>
      <w:r w:rsidRPr="00D86314">
        <w:rPr>
          <w:b/>
          <w:bCs/>
          <w:noProof/>
        </w:rPr>
        <w:t>exploratory consultation</w:t>
      </w:r>
      <w:r w:rsidRPr="00D86314">
        <w:rPr>
          <w:noProof/>
        </w:rPr>
        <w:t xml:space="preserve"> received 437 responses to the consultation including 164 position papers, of which 108 contributions were submitted by companies (25%), 87 by business associations (20%), 124 by citizens (114 by EU citizens and 10 by non-EU citizens) (28%), 47 by non-governmental organisation (“NGOs”) (11%), 16 by research / academic institutions (3,7%), 14 by consumer organisations (3,2%) and 5 by trade unions (1%). In addition, 17 public authorities provided feedback (4%), representing a mix of bodies with different scope, such as European (2), national (13), and regional/local authorities (2). As regards the country of origin of the respondents, most of the replies (85%) came from EU Member States. The remaining replies came from stakeholders located outside the EU, mainly from the United States (7,7%) and the United Kingdom (2,7%).</w:t>
      </w:r>
    </w:p>
    <w:p w14:paraId="7DC479D7" w14:textId="7061FFEC" w:rsidR="00BB6D5C" w:rsidRPr="00D86314" w:rsidRDefault="00BB6D5C" w:rsidP="00BB6D5C">
      <w:pPr>
        <w:spacing w:after="120"/>
        <w:rPr>
          <w:noProof/>
        </w:rPr>
      </w:pPr>
      <w:r w:rsidRPr="00D86314">
        <w:rPr>
          <w:noProof/>
        </w:rPr>
        <w:t xml:space="preserve">The </w:t>
      </w:r>
      <w:r w:rsidRPr="00D86314">
        <w:rPr>
          <w:b/>
          <w:bCs/>
          <w:noProof/>
        </w:rPr>
        <w:t>White Paper</w:t>
      </w:r>
      <w:r w:rsidRPr="00D86314">
        <w:rPr>
          <w:noProof/>
        </w:rPr>
        <w:t xml:space="preserve"> received 357 contributions of which 116 were submitted by business associations (32%), 103 by companies (29%), 32 by public authorities (9%), 26 by NGOs (7%), 23 by citizens (21 by EU citizens and 4 by non-EU citizens), 21 by research / academic institutions, 3 by consumer organisations and 4 by trade unions. 14 Member States provided feedback via the ‘Have your Say’ platform, while 3 NRAs and 8 regional authorities sent contributions</w:t>
      </w:r>
      <w:r w:rsidR="0A9A2EC1" w:rsidRPr="00D86314">
        <w:rPr>
          <w:noProof/>
        </w:rPr>
        <w:t xml:space="preserve"> </w:t>
      </w:r>
      <w:r w:rsidRPr="00D86314">
        <w:rPr>
          <w:noProof/>
        </w:rPr>
        <w:t>outside the platform. As regards the country of origin of the respondents, most of the replies (93%) came from EU Member States. The remaining replies came from stakeholders located outside the EU, mainly from the United States (5%) and the United Kingdom (1%).</w:t>
      </w:r>
    </w:p>
    <w:p w14:paraId="75832C68" w14:textId="55C4A9C8" w:rsidR="00BB6D5C" w:rsidRPr="00D86314" w:rsidRDefault="00BB6D5C" w:rsidP="00BB6D5C">
      <w:pPr>
        <w:spacing w:after="120"/>
        <w:rPr>
          <w:noProof/>
        </w:rPr>
      </w:pPr>
      <w:r w:rsidRPr="00D86314">
        <w:rPr>
          <w:noProof/>
        </w:rPr>
        <w:t xml:space="preserve">In response to the </w:t>
      </w:r>
      <w:r w:rsidRPr="00D86314">
        <w:rPr>
          <w:b/>
          <w:bCs/>
          <w:noProof/>
        </w:rPr>
        <w:t>Call for Evidence</w:t>
      </w:r>
      <w:r w:rsidRPr="00D86314">
        <w:rPr>
          <w:noProof/>
        </w:rPr>
        <w:t xml:space="preserve">, </w:t>
      </w:r>
      <w:r w:rsidR="00542FB9" w:rsidRPr="00D86314">
        <w:rPr>
          <w:noProof/>
        </w:rPr>
        <w:t>the Commission</w:t>
      </w:r>
      <w:r w:rsidRPr="00D86314">
        <w:rPr>
          <w:noProof/>
        </w:rPr>
        <w:t xml:space="preserve"> received 326 feedback contributions, including 271 with additional papers, which provide a comprehensive evidence base for the Impact Assessment and the subsequent DNA legislative proposal. Out of those contributions, 128 were submitted by companies (39%), 98 by business associations (30%), 29 by NGOs (9%), 26 by citizens (25 by EU citizens and 1 by non-EU citizen) (8%), 10 by research / academic institutions (3%), 6 by consumer organisations (2%) and 4 by trade unions (1%). In addition, 12 public authorities, mostly regulatory or authorities with governmental competences, provided feedback (4%). Over 90 % of the contributions were submitted from EU Member States. Of the remaining contributions the majority originated from the United States.</w:t>
      </w:r>
    </w:p>
    <w:p w14:paraId="444B82FF" w14:textId="77777777" w:rsidR="00BB6D5C" w:rsidRPr="00D86314" w:rsidRDefault="00BB6D5C" w:rsidP="00BB6D5C">
      <w:pPr>
        <w:spacing w:before="240" w:after="120"/>
        <w:rPr>
          <w:b/>
          <w:bCs/>
          <w:noProof/>
        </w:rPr>
      </w:pPr>
      <w:r w:rsidRPr="00D86314">
        <w:rPr>
          <w:b/>
          <w:bCs/>
          <w:noProof/>
        </w:rPr>
        <w:t>2.2.</w:t>
      </w:r>
      <w:r w:rsidRPr="00D86314">
        <w:rPr>
          <w:b/>
          <w:bCs/>
          <w:noProof/>
        </w:rPr>
        <w:tab/>
        <w:t xml:space="preserve">Analysis of the responses to the consultations </w:t>
      </w:r>
    </w:p>
    <w:p w14:paraId="1FED5C29" w14:textId="77777777" w:rsidR="00BB6D5C" w:rsidRPr="00D86314" w:rsidRDefault="00BB6D5C" w:rsidP="00BB6D5C">
      <w:pPr>
        <w:spacing w:after="120"/>
        <w:ind w:left="720"/>
        <w:rPr>
          <w:i/>
          <w:iCs/>
          <w:noProof/>
        </w:rPr>
      </w:pPr>
      <w:r w:rsidRPr="00D86314">
        <w:rPr>
          <w:i/>
          <w:iCs/>
          <w:noProof/>
        </w:rPr>
        <w:t>2.2.1</w:t>
      </w:r>
      <w:r w:rsidRPr="00D86314">
        <w:rPr>
          <w:i/>
          <w:iCs/>
          <w:noProof/>
        </w:rPr>
        <w:tab/>
        <w:t>Exploratory Consultation</w:t>
      </w:r>
    </w:p>
    <w:p w14:paraId="6FF55D78" w14:textId="2EAB6730" w:rsidR="00BB6D5C" w:rsidRPr="00D86314" w:rsidRDefault="00BB6D5C" w:rsidP="00BB6D5C">
      <w:pPr>
        <w:spacing w:after="120"/>
        <w:rPr>
          <w:noProof/>
        </w:rPr>
      </w:pPr>
      <w:r w:rsidRPr="00D86314">
        <w:rPr>
          <w:noProof/>
        </w:rPr>
        <w:t>Respondents identified network virtualisation, open networks, and edge cloud as the technological breakthroughs that will have the largest impact in the coming years. These technologies are expected to bring about a shift from traditional electronic communications networks to cloud-based, virtualised, software-defined networks, driving down costs, improving the resilience and security of networks and introducing new, innovative services, while transforming the ecosystem and business models.</w:t>
      </w:r>
      <w:r w:rsidR="00BE641A" w:rsidRPr="00D86314">
        <w:rPr>
          <w:noProof/>
        </w:rPr>
        <w:t xml:space="preserve"> </w:t>
      </w:r>
    </w:p>
    <w:p w14:paraId="330FB6DC" w14:textId="31C71314" w:rsidR="00BB6D5C" w:rsidRPr="00D86314" w:rsidRDefault="00BB6D5C" w:rsidP="00BB6D5C">
      <w:pPr>
        <w:spacing w:after="120"/>
        <w:rPr>
          <w:noProof/>
        </w:rPr>
      </w:pPr>
      <w:r w:rsidRPr="00D86314">
        <w:rPr>
          <w:noProof/>
        </w:rPr>
        <w:t>These developments are also considered capable to promote the digital single market, whilst most of the respondents consider that full integration of the market is hampered by the sector fragmentation. The majority, mostly companies and business organisations, welcomed the idea of more integration in the spectrum market and a more harmonised approach to spectrum management across the EU, including the need of addressing harmful interference from third countries at the EU-level. The views of respondents were instead not conclusive in relation to the issues of fairness to consumers and the fair contribution by all digital players.</w:t>
      </w:r>
    </w:p>
    <w:p w14:paraId="7CE6EFE8" w14:textId="783AE470" w:rsidR="00BB6D5C" w:rsidRPr="00D86314" w:rsidRDefault="00BB6D5C" w:rsidP="00BB6D5C">
      <w:pPr>
        <w:spacing w:after="120"/>
        <w:rPr>
          <w:noProof/>
        </w:rPr>
      </w:pPr>
      <w:r w:rsidRPr="00D86314">
        <w:rPr>
          <w:noProof/>
        </w:rPr>
        <w:t>A</w:t>
      </w:r>
      <w:r w:rsidRPr="00D86314" w:rsidDel="005B3266">
        <w:rPr>
          <w:noProof/>
        </w:rPr>
        <w:t xml:space="preserve"> </w:t>
      </w:r>
      <w:r w:rsidR="005B3266" w:rsidRPr="00D86314">
        <w:rPr>
          <w:noProof/>
        </w:rPr>
        <w:t xml:space="preserve">full </w:t>
      </w:r>
      <w:r w:rsidRPr="00D86314">
        <w:rPr>
          <w:noProof/>
        </w:rPr>
        <w:t xml:space="preserve">summary report on the results of the exploratory consultation can be consulted at </w:t>
      </w:r>
      <w:hyperlink r:id="rId19" w:history="1">
        <w:r w:rsidRPr="00D86314">
          <w:rPr>
            <w:rStyle w:val="Hyperlink"/>
            <w:noProof/>
          </w:rPr>
          <w:t>https://digital-strategy.ec.europa.eu/en/library/results-exploratory-consultation-future-electronic-communications-sector-and-its-infrastructure</w:t>
        </w:r>
      </w:hyperlink>
      <w:r w:rsidRPr="00D86314">
        <w:rPr>
          <w:noProof/>
        </w:rPr>
        <w:t xml:space="preserve">. </w:t>
      </w:r>
    </w:p>
    <w:p w14:paraId="428E9D41" w14:textId="065A95B3" w:rsidR="00BB6D5C" w:rsidRPr="00D86314" w:rsidRDefault="00BB6D5C" w:rsidP="00BB6D5C">
      <w:pPr>
        <w:spacing w:after="120"/>
        <w:rPr>
          <w:noProof/>
        </w:rPr>
      </w:pPr>
      <w:r w:rsidRPr="00D86314">
        <w:rPr>
          <w:noProof/>
        </w:rPr>
        <w:t>The exploratory consultation provided a robust basis to further investigate and assess the evolution of the sector and the needs of the digital infrastructure, and to engage in a thorough reflection on scenarios for policy intervention that can unleash the Single Market for digital networks and make our connectivity more secure and future-proof.</w:t>
      </w:r>
    </w:p>
    <w:p w14:paraId="743397C2" w14:textId="77777777" w:rsidR="00BB6D5C" w:rsidRPr="00D86314" w:rsidRDefault="00BB6D5C" w:rsidP="00BB6D5C">
      <w:pPr>
        <w:spacing w:before="240" w:after="120"/>
        <w:ind w:left="720"/>
        <w:rPr>
          <w:i/>
          <w:iCs/>
          <w:noProof/>
        </w:rPr>
      </w:pPr>
      <w:r w:rsidRPr="00D86314">
        <w:rPr>
          <w:i/>
          <w:iCs/>
          <w:noProof/>
        </w:rPr>
        <w:t>2.2.2.</w:t>
      </w:r>
      <w:r w:rsidRPr="00D86314">
        <w:rPr>
          <w:i/>
          <w:iCs/>
          <w:noProof/>
        </w:rPr>
        <w:tab/>
        <w:t>White Paper</w:t>
      </w:r>
    </w:p>
    <w:p w14:paraId="7A51E2D0" w14:textId="1BDEE210" w:rsidR="00BB6D5C" w:rsidRPr="00D86314" w:rsidRDefault="00BB6D5C" w:rsidP="00BB6D5C">
      <w:pPr>
        <w:spacing w:after="120"/>
        <w:rPr>
          <w:noProof/>
        </w:rPr>
      </w:pPr>
      <w:r w:rsidRPr="00D86314">
        <w:rPr>
          <w:noProof/>
        </w:rPr>
        <w:t xml:space="preserve">The White Paper analysed the challenges Europe currently faces in the rollout of future connectivity networks and presented possible scenarios for public policy action going forward, including possible future DNA, divided in three pillars. </w:t>
      </w:r>
    </w:p>
    <w:p w14:paraId="327730C9" w14:textId="71DA3EE6" w:rsidR="00BB6D5C" w:rsidRPr="00D86314" w:rsidRDefault="000F160A" w:rsidP="00BB6D5C">
      <w:pPr>
        <w:spacing w:after="120"/>
        <w:rPr>
          <w:noProof/>
        </w:rPr>
      </w:pPr>
      <w:r w:rsidRPr="00D86314">
        <w:rPr>
          <w:b/>
          <w:bCs/>
          <w:i/>
          <w:iCs/>
          <w:noProof/>
        </w:rPr>
        <w:t xml:space="preserve">Under pillar I </w:t>
      </w:r>
      <w:r w:rsidR="0B92A4DD" w:rsidRPr="00D86314">
        <w:rPr>
          <w:b/>
          <w:bCs/>
          <w:i/>
          <w:iCs/>
          <w:noProof/>
        </w:rPr>
        <w:t>(Creating the 3C Network – Connected Collaborative Computing)</w:t>
      </w:r>
      <w:r w:rsidRPr="00D86314">
        <w:rPr>
          <w:b/>
          <w:i/>
          <w:noProof/>
        </w:rPr>
        <w:t xml:space="preserve"> o</w:t>
      </w:r>
      <w:r w:rsidR="00BB6D5C" w:rsidRPr="00D86314">
        <w:rPr>
          <w:b/>
          <w:i/>
          <w:noProof/>
        </w:rPr>
        <w:t xml:space="preserve">n the </w:t>
      </w:r>
      <w:r w:rsidR="00BB6D5C" w:rsidRPr="00D86314">
        <w:rPr>
          <w:i/>
          <w:noProof/>
        </w:rPr>
        <w:t>trends and challenges in the digital infrastructure,</w:t>
      </w:r>
      <w:r w:rsidR="00BB6D5C" w:rsidRPr="00D86314">
        <w:rPr>
          <w:noProof/>
        </w:rPr>
        <w:t xml:space="preserve"> stakeholders agreed on the importance of modern, secure and resilient digital infrastructures for EU competitiveness and recognised the trend towards cloud- and software-based infrastructures and the need to significantly upgrade the network infrastructures. Many stakeholders also referred to the evolving geopolitical context, which reinforces the need for competitiveness in this field.</w:t>
      </w:r>
      <w:r w:rsidR="00BE641A" w:rsidRPr="00D86314">
        <w:rPr>
          <w:noProof/>
        </w:rPr>
        <w:t xml:space="preserve"> </w:t>
      </w:r>
    </w:p>
    <w:p w14:paraId="2197662A" w14:textId="5C2DB4FD" w:rsidR="00BB6D5C" w:rsidRPr="00D86314" w:rsidRDefault="00BB6D5C" w:rsidP="00BB6D5C">
      <w:pPr>
        <w:spacing w:after="120"/>
        <w:rPr>
          <w:noProof/>
        </w:rPr>
      </w:pPr>
      <w:r w:rsidRPr="00D86314">
        <w:rPr>
          <w:noProof/>
        </w:rPr>
        <w:t>The</w:t>
      </w:r>
      <w:r w:rsidRPr="00D86314" w:rsidDel="00FA4442">
        <w:rPr>
          <w:noProof/>
        </w:rPr>
        <w:t xml:space="preserve"> </w:t>
      </w:r>
      <w:r w:rsidR="00FA4442" w:rsidRPr="00D86314">
        <w:rPr>
          <w:noProof/>
        </w:rPr>
        <w:t xml:space="preserve">broad </w:t>
      </w:r>
      <w:r w:rsidRPr="00D86314">
        <w:rPr>
          <w:noProof/>
        </w:rPr>
        <w:t xml:space="preserve">range and convergence of players in the broader ecosystem around digital networks is widely recognised, illustrated by partnerships between telecom suppliers and operators with cloud providers and CAPs. However, Internet and cloud players underlined that general cloud services and telecom services remain distinct. </w:t>
      </w:r>
    </w:p>
    <w:p w14:paraId="48371640" w14:textId="60853A41" w:rsidR="00BB6D5C" w:rsidRPr="00D86314" w:rsidRDefault="00BB6D5C" w:rsidP="00BB6D5C">
      <w:pPr>
        <w:spacing w:after="120"/>
        <w:rPr>
          <w:noProof/>
        </w:rPr>
      </w:pPr>
      <w:r w:rsidRPr="00D86314">
        <w:rPr>
          <w:noProof/>
        </w:rPr>
        <w:t>Most players involved in network roll-out agreed with the Commission’s diagnosis of the sector and the challenging investment environment. Players less focussed on infrastructure rollout, e.g. access seekers, some Internet players, and some other players, did not see the financial situation of telecom operators as particularly problematic.</w:t>
      </w:r>
    </w:p>
    <w:p w14:paraId="045D698C" w14:textId="7218C27A" w:rsidR="00BB6D5C" w:rsidRPr="00D86314" w:rsidRDefault="00BB6D5C" w:rsidP="00BB6D5C">
      <w:pPr>
        <w:spacing w:after="120"/>
        <w:rPr>
          <w:noProof/>
        </w:rPr>
      </w:pPr>
      <w:r w:rsidRPr="00D86314">
        <w:rPr>
          <w:noProof/>
        </w:rPr>
        <w:t>Consumer groups were concerned about the focus on infrastructure and would have welcomed a clearer recognition of consumer issues. Whereas the need for higher quality of services was acknowledged, price and choice for consumers were underlined as remaining important.</w:t>
      </w:r>
    </w:p>
    <w:p w14:paraId="0EA6E09A" w14:textId="3AE9AD9E" w:rsidR="00BB6D5C" w:rsidRPr="00D86314" w:rsidRDefault="00BB6D5C" w:rsidP="00BB6D5C">
      <w:pPr>
        <w:spacing w:after="120"/>
        <w:rPr>
          <w:noProof/>
        </w:rPr>
      </w:pPr>
      <w:r w:rsidRPr="00D86314">
        <w:rPr>
          <w:noProof/>
        </w:rPr>
        <w:t>Regarding the several possible scenarios proposed to address those challenges, attract investments, foster innovation, increase security, and achieve a true Digital Single Market in the context of a proposal for a future DNA, input received on the relevant scenarios is provided below:</w:t>
      </w:r>
    </w:p>
    <w:p w14:paraId="33032506" w14:textId="507E1E7C" w:rsidR="00BB6D5C" w:rsidRPr="00D86314" w:rsidRDefault="00BB6D5C" w:rsidP="00BB6D5C">
      <w:pPr>
        <w:spacing w:after="120"/>
        <w:rPr>
          <w:i/>
          <w:noProof/>
        </w:rPr>
      </w:pPr>
      <w:r w:rsidRPr="00D86314">
        <w:rPr>
          <w:noProof/>
        </w:rPr>
        <w:t xml:space="preserve">On </w:t>
      </w:r>
      <w:r w:rsidRPr="00D86314">
        <w:rPr>
          <w:b/>
          <w:i/>
          <w:noProof/>
        </w:rPr>
        <w:t>Completing the Single Market (Pillar II)</w:t>
      </w:r>
      <w:r w:rsidRPr="00D86314">
        <w:rPr>
          <w:noProof/>
        </w:rPr>
        <w:t>,</w:t>
      </w:r>
      <w:r w:rsidRPr="00D86314">
        <w:rPr>
          <w:i/>
          <w:noProof/>
        </w:rPr>
        <w:t xml:space="preserve"> </w:t>
      </w:r>
      <w:r w:rsidRPr="00D86314">
        <w:rPr>
          <w:noProof/>
        </w:rPr>
        <w:t>the objective of achieving a true digital single market was widely supported.</w:t>
      </w:r>
      <w:r w:rsidR="00BE641A" w:rsidRPr="00D86314">
        <w:rPr>
          <w:noProof/>
        </w:rPr>
        <w:t xml:space="preserve"> </w:t>
      </w:r>
      <w:r w:rsidRPr="00D86314">
        <w:rPr>
          <w:noProof/>
        </w:rPr>
        <w:t>Improvements towards a Single Market for telecom services were also seen as an opportunity by many, although rather in the long term in view of the considerable obstacles identified.</w:t>
      </w:r>
      <w:r w:rsidR="00052AF8" w:rsidRPr="00D86314">
        <w:rPr>
          <w:noProof/>
        </w:rPr>
        <w:t xml:space="preserve"> </w:t>
      </w:r>
      <w:r w:rsidRPr="00D86314">
        <w:rPr>
          <w:noProof/>
        </w:rPr>
        <w:t>The need for scale across borders was in particular recognised by stakeholders considering cross-border network operations or services provision. Setting a regulatory environment enabling centralisation of networks and services was welcomed by many, in particular larger players, while smaller and local players raised the risk of consolidation and less competition. The broader ISP community was positive on the prospect of simplification and harmonisation of rules. However, some concerns were raised as regards additional complexity in incentivising cross-border operations/services. Several respondents pointed to important barriers which are considered challenging to remove, e.g. security and law enforcement.</w:t>
      </w:r>
    </w:p>
    <w:p w14:paraId="1AB0300C" w14:textId="61D6DA85" w:rsidR="00BB6D5C" w:rsidRPr="00D86314" w:rsidRDefault="00BB6D5C" w:rsidP="00BB6D5C">
      <w:pPr>
        <w:spacing w:after="120"/>
        <w:rPr>
          <w:noProof/>
        </w:rPr>
      </w:pPr>
      <w:r w:rsidRPr="00D86314">
        <w:rPr>
          <w:noProof/>
        </w:rPr>
        <w:t xml:space="preserve">In relation to the proposal to </w:t>
      </w:r>
      <w:r w:rsidRPr="00D86314">
        <w:rPr>
          <w:i/>
          <w:noProof/>
        </w:rPr>
        <w:t>remove ex ante access regulation</w:t>
      </w:r>
      <w:r w:rsidRPr="00D86314">
        <w:rPr>
          <w:noProof/>
        </w:rPr>
        <w:t>, AltNets and access seekers showed concerns to lose current conditions that are a basis for their infrastructure and business model (e.g. ducts, bitstream). The proposal for a harmonised access product was not fully understood by market players and NRAs and telcos raised the concern that such a product could ease the entry of non-EU players who do not invest in infrastructure. The business association of large ECNs showed a preference for a voluntary market solution under fair and reasonable terms, rather than a regulatory remedy with price obligations.</w:t>
      </w:r>
    </w:p>
    <w:p w14:paraId="7430002B" w14:textId="0A8A1056" w:rsidR="00BB6D5C" w:rsidRPr="00D86314" w:rsidRDefault="00BB6D5C" w:rsidP="00BB6D5C">
      <w:pPr>
        <w:spacing w:after="120"/>
        <w:rPr>
          <w:noProof/>
        </w:rPr>
      </w:pPr>
      <w:r w:rsidRPr="00D86314">
        <w:rPr>
          <w:noProof/>
        </w:rPr>
        <w:t xml:space="preserve">The measures proposed to </w:t>
      </w:r>
      <w:r w:rsidRPr="00D86314">
        <w:rPr>
          <w:i/>
          <w:noProof/>
        </w:rPr>
        <w:t>accelerate copper switch-off</w:t>
      </w:r>
      <w:r w:rsidRPr="00D86314">
        <w:rPr>
          <w:noProof/>
        </w:rPr>
        <w:t xml:space="preserve"> were</w:t>
      </w:r>
      <w:r w:rsidRPr="00D86314">
        <w:rPr>
          <w:b/>
          <w:noProof/>
        </w:rPr>
        <w:t xml:space="preserve"> </w:t>
      </w:r>
      <w:r w:rsidRPr="00D86314">
        <w:rPr>
          <w:noProof/>
        </w:rPr>
        <w:t>welcomed by some AltNets as a means to end the (former) incumbents’ copper dominance but had a cautious reception by incumbents as it risks undermining their position, if conditions are not appropriate.</w:t>
      </w:r>
    </w:p>
    <w:p w14:paraId="70835A38" w14:textId="6DA17BEC" w:rsidR="00BB6D5C" w:rsidRPr="00D86314" w:rsidRDefault="00BB6D5C" w:rsidP="00BB6D5C">
      <w:pPr>
        <w:spacing w:after="120"/>
        <w:rPr>
          <w:noProof/>
        </w:rPr>
      </w:pPr>
      <w:r w:rsidRPr="00D86314">
        <w:rPr>
          <w:i/>
          <w:noProof/>
        </w:rPr>
        <w:t xml:space="preserve">On spectrum, </w:t>
      </w:r>
      <w:r w:rsidRPr="00D86314">
        <w:rPr>
          <w:noProof/>
        </w:rPr>
        <w:t>on the scenario suggesting a more integrated spectrum governance at EU level, Member States and NRAs considered the existing spectrum governance model appropriate and signalled opposition to centralising competences at EU level, or to modifying the current institutional set-up regarding cooperation with the CEPT. However, they were open to discuss improvements to the peer review process. On common deadlines for the availability of bands, some raised concerns as regards the need to consider national particularities.</w:t>
      </w:r>
    </w:p>
    <w:p w14:paraId="7A29060F" w14:textId="65D3346C" w:rsidR="00BB6D5C" w:rsidRPr="00D86314" w:rsidRDefault="00BB6D5C" w:rsidP="00BB6D5C">
      <w:pPr>
        <w:spacing w:after="120"/>
        <w:rPr>
          <w:noProof/>
        </w:rPr>
      </w:pPr>
      <w:r w:rsidRPr="00D86314">
        <w:rPr>
          <w:noProof/>
        </w:rPr>
        <w:t>The telco community was positive on the prospect of more coordinated assignment procedures and conditions (e.g. increased licence duration, auctions more focused on investments, a notification mechanism to enhance consistency) across the EU, but did no</w:t>
      </w:r>
      <w:r w:rsidR="36EE64DB" w:rsidRPr="00D86314">
        <w:rPr>
          <w:noProof/>
        </w:rPr>
        <w:t>t</w:t>
      </w:r>
      <w:r w:rsidRPr="00D86314">
        <w:rPr>
          <w:noProof/>
        </w:rPr>
        <w:t xml:space="preserve"> support a centralised EU-level assignment process or full harmonisation, and was sceptical on synchronisation of timing of assignment procedures. However, telcos were generally positive about a spectrum roadmap, and more EU harmonisation on spectrum allocation, fees, reporting obligations, technology standards. </w:t>
      </w:r>
    </w:p>
    <w:p w14:paraId="12DA6710" w14:textId="18493957" w:rsidR="00BB6D5C" w:rsidRPr="00D86314" w:rsidRDefault="00BB6D5C" w:rsidP="00BB6D5C">
      <w:pPr>
        <w:spacing w:after="120"/>
        <w:rPr>
          <w:noProof/>
        </w:rPr>
      </w:pPr>
      <w:r w:rsidRPr="00D86314">
        <w:rPr>
          <w:noProof/>
        </w:rPr>
        <w:t xml:space="preserve">There was overall support for maintaining the current cooperation framework with the CEPT. Although the telcos were also open to having an </w:t>
      </w:r>
      <w:r w:rsidRPr="00D86314">
        <w:rPr>
          <w:i/>
          <w:noProof/>
        </w:rPr>
        <w:t>ad-hoc</w:t>
      </w:r>
      <w:r w:rsidRPr="00D86314">
        <w:rPr>
          <w:noProof/>
        </w:rPr>
        <w:t xml:space="preserve"> cooperation group, alternative to CEPT, for clearly defined cases impacting security and resilience.</w:t>
      </w:r>
    </w:p>
    <w:p w14:paraId="5FB07CCB" w14:textId="671BEDEA" w:rsidR="00BB6D5C" w:rsidRPr="00D86314" w:rsidRDefault="00BB6D5C" w:rsidP="00BB6D5C">
      <w:pPr>
        <w:spacing w:after="120"/>
        <w:rPr>
          <w:noProof/>
        </w:rPr>
      </w:pPr>
      <w:r w:rsidRPr="00D86314">
        <w:rPr>
          <w:noProof/>
        </w:rPr>
        <w:t>Other stakeholders from the broader digital supply chain had mixed positions, some positive towards an increased level of spectrum harmonisation.</w:t>
      </w:r>
    </w:p>
    <w:p w14:paraId="10B0697E" w14:textId="35831A7A" w:rsidR="00BB6D5C" w:rsidRPr="00D86314" w:rsidRDefault="00BB6D5C" w:rsidP="00BB6D5C">
      <w:pPr>
        <w:spacing w:after="120"/>
        <w:rPr>
          <w:noProof/>
        </w:rPr>
      </w:pPr>
      <w:r w:rsidRPr="00D86314">
        <w:rPr>
          <w:noProof/>
        </w:rPr>
        <w:t xml:space="preserve">On a </w:t>
      </w:r>
      <w:r w:rsidRPr="00D86314">
        <w:rPr>
          <w:i/>
          <w:noProof/>
        </w:rPr>
        <w:t>more harmonised approach to general authorisation and the possible application of the CoO principle</w:t>
      </w:r>
      <w:r w:rsidRPr="00D86314">
        <w:rPr>
          <w:noProof/>
        </w:rPr>
        <w:t xml:space="preserve"> to activities less connected to consumer retail markets and local access networks, the telco community was generally positive on the idea of harmonising and easing applicable conditions attached to authorisation. They agreed with the reinforcement and, if possible, harmonisation of security requirements, but were cautious about mandating any changes in the implementation of legal requirements which come with significant costs and efforts (e.g. complex systems for lawful intercept or data retention). They</w:t>
      </w:r>
      <w:r w:rsidR="1DE85BE3" w:rsidRPr="00D86314">
        <w:rPr>
          <w:noProof/>
        </w:rPr>
        <w:t xml:space="preserve"> </w:t>
      </w:r>
      <w:r w:rsidRPr="00D86314">
        <w:rPr>
          <w:noProof/>
        </w:rPr>
        <w:t>also raised concerns regarding the risks of non-telco entrants that do not invest in infrastructure to benefit from a CoO-based authorisation regime combined with a standard wholesale access product.</w:t>
      </w:r>
    </w:p>
    <w:p w14:paraId="5ACBAFE8" w14:textId="019B8674" w:rsidR="00BB6D5C" w:rsidRPr="00D86314" w:rsidRDefault="00BB6D5C" w:rsidP="00BB6D5C">
      <w:pPr>
        <w:spacing w:after="120"/>
        <w:rPr>
          <w:noProof/>
        </w:rPr>
      </w:pPr>
      <w:r w:rsidRPr="00D86314">
        <w:rPr>
          <w:noProof/>
        </w:rPr>
        <w:t>Member States and NRAs did not see scope for the application of the CoO principle indicating that a significant set of national rules would remain. Consequently, they considered a two-layer authorisation/governance as unnecessary complex, not working in practice and bearing risks of “forum shopping”.</w:t>
      </w:r>
    </w:p>
    <w:p w14:paraId="53284CC5" w14:textId="4681B23C" w:rsidR="00BB6D5C" w:rsidRPr="00D86314" w:rsidRDefault="00BB6D5C" w:rsidP="00BB6D5C">
      <w:pPr>
        <w:spacing w:after="120"/>
        <w:rPr>
          <w:rFonts w:eastAsia="Aptos"/>
          <w:noProof/>
        </w:rPr>
      </w:pPr>
      <w:r w:rsidRPr="00D86314">
        <w:rPr>
          <w:noProof/>
        </w:rPr>
        <w:t>On</w:t>
      </w:r>
      <w:r w:rsidRPr="00D86314">
        <w:rPr>
          <w:i/>
          <w:noProof/>
        </w:rPr>
        <w:t xml:space="preserve"> ensuring a Level Playing Field, </w:t>
      </w:r>
      <w:r w:rsidRPr="00D86314">
        <w:rPr>
          <w:noProof/>
        </w:rPr>
        <w:t>the large telco incumbents were positive to the idea of the regulatory level playing field but raised questions about the regulatory solution. Cloud providers were concerned about being included in the scope of telco-specific regulation. Cloud operators consider themselves as core network operators, use peering or transit, and regulation was considered unjustified and counterproductive. Some smaller telcos were sceptical about the requirement to centralise core networks and its real benefit. Member States and NRAs questioned the idea of core networks as basis for the level playing field and related legal rights and obligations.</w:t>
      </w:r>
    </w:p>
    <w:p w14:paraId="574BB422" w14:textId="789F7412" w:rsidR="00BB6D5C" w:rsidRPr="00D86314" w:rsidRDefault="00BB6D5C" w:rsidP="2A7B3FFA">
      <w:pPr>
        <w:spacing w:after="120"/>
        <w:rPr>
          <w:noProof/>
        </w:rPr>
      </w:pPr>
      <w:r w:rsidRPr="00D86314">
        <w:rPr>
          <w:noProof/>
        </w:rPr>
        <w:t>On</w:t>
      </w:r>
      <w:r w:rsidRPr="00D86314">
        <w:rPr>
          <w:b/>
          <w:bCs/>
          <w:i/>
          <w:iCs/>
          <w:noProof/>
        </w:rPr>
        <w:t xml:space="preserve"> </w:t>
      </w:r>
      <w:r w:rsidR="36958021" w:rsidRPr="00D86314">
        <w:rPr>
          <w:b/>
          <w:bCs/>
          <w:i/>
          <w:iCs/>
          <w:noProof/>
        </w:rPr>
        <w:t>Secure and resilient digital infrastructures in Europe (</w:t>
      </w:r>
      <w:r w:rsidR="0DB0ADEE" w:rsidRPr="00D86314">
        <w:rPr>
          <w:b/>
          <w:bCs/>
          <w:i/>
          <w:iCs/>
          <w:noProof/>
        </w:rPr>
        <w:t>Pillar III</w:t>
      </w:r>
      <w:r w:rsidR="4E2B73EB" w:rsidRPr="00D86314">
        <w:rPr>
          <w:b/>
          <w:bCs/>
          <w:i/>
          <w:iCs/>
          <w:noProof/>
        </w:rPr>
        <w:t>)</w:t>
      </w:r>
      <w:r w:rsidRPr="00D86314">
        <w:rPr>
          <w:b/>
          <w:bCs/>
          <w:i/>
          <w:iCs/>
          <w:noProof/>
        </w:rPr>
        <w:t xml:space="preserve">, </w:t>
      </w:r>
      <w:r w:rsidRPr="00D86314">
        <w:rPr>
          <w:noProof/>
        </w:rPr>
        <w:t>stakeholders broadly welcomed the focus on security and resilience in general, and on submarine cable infrastructures specifically, highlighting the importance of cybersecurity and the EU initiatives and funding. There was substantive support across stakeholders for the measures envisaged on cables such as the Cable Projects of European Interest. A few non-EU stakeholders were critical towards restricting access to funding or markets for companies based on geographical / security grounds, in particular regarding high-risk vendors.</w:t>
      </w:r>
    </w:p>
    <w:p w14:paraId="0146A2DF" w14:textId="1834DEC3" w:rsidR="00BB6D5C" w:rsidRPr="00D86314" w:rsidRDefault="00BB6D5C" w:rsidP="00BB6D5C">
      <w:pPr>
        <w:spacing w:after="120"/>
        <w:rPr>
          <w:noProof/>
        </w:rPr>
      </w:pPr>
      <w:r w:rsidRPr="00D86314">
        <w:rPr>
          <w:noProof/>
        </w:rPr>
        <w:t>The feedback to the White Paper was crucial to conclude that a new regulatory framework is needed to overcome the barriers to and complete the digital single market and ensure the security and resilience of our networks, as well as contribute to the competitiveness and digital sovereignty of the Union.</w:t>
      </w:r>
    </w:p>
    <w:p w14:paraId="0DE30408" w14:textId="77777777" w:rsidR="00BB6D5C" w:rsidRPr="00D86314" w:rsidRDefault="00BB6D5C" w:rsidP="00BB6D5C">
      <w:pPr>
        <w:keepNext/>
        <w:spacing w:before="240" w:after="120"/>
        <w:ind w:left="720"/>
        <w:rPr>
          <w:i/>
          <w:iCs/>
          <w:noProof/>
        </w:rPr>
      </w:pPr>
      <w:r w:rsidRPr="00D86314">
        <w:rPr>
          <w:i/>
          <w:iCs/>
          <w:noProof/>
        </w:rPr>
        <w:t>2.2.3.</w:t>
      </w:r>
      <w:r w:rsidRPr="00D86314">
        <w:rPr>
          <w:i/>
          <w:iCs/>
          <w:noProof/>
        </w:rPr>
        <w:tab/>
        <w:t>Call for Evidence</w:t>
      </w:r>
    </w:p>
    <w:p w14:paraId="591E512A" w14:textId="3F529B02" w:rsidR="00BB6D5C" w:rsidRPr="00D86314" w:rsidRDefault="00BB6D5C" w:rsidP="00BB6D5C">
      <w:pPr>
        <w:spacing w:after="120"/>
        <w:rPr>
          <w:noProof/>
        </w:rPr>
      </w:pPr>
      <w:r w:rsidRPr="00D86314">
        <w:rPr>
          <w:noProof/>
        </w:rPr>
        <w:t>The feedback received is described below following the objectives and policy options set out in the Call for Evidence, complemented when appropriate with feedback obtained from the targeted consultations and the workshops organised with BEREC and the RSPG, as well as with BEUC and national consumer organisations.</w:t>
      </w:r>
    </w:p>
    <w:p w14:paraId="7B1CAEAE" w14:textId="509344E5" w:rsidR="00BB6D5C" w:rsidRPr="00D86314" w:rsidRDefault="00BB6D5C" w:rsidP="17B36FC0">
      <w:pPr>
        <w:spacing w:after="120"/>
        <w:rPr>
          <w:i/>
          <w:iCs/>
          <w:noProof/>
          <w:u w:val="single"/>
        </w:rPr>
      </w:pPr>
      <w:r w:rsidRPr="00D86314">
        <w:rPr>
          <w:i/>
          <w:iCs/>
          <w:noProof/>
          <w:u w:val="single"/>
        </w:rPr>
        <w:t>Simplification</w:t>
      </w:r>
    </w:p>
    <w:p w14:paraId="16663975" w14:textId="08CC2F51" w:rsidR="00BB6D5C" w:rsidRPr="00D86314" w:rsidRDefault="00BB6D5C" w:rsidP="00BB6D5C">
      <w:pPr>
        <w:spacing w:after="120"/>
        <w:rPr>
          <w:noProof/>
        </w:rPr>
      </w:pPr>
      <w:r w:rsidRPr="00D86314">
        <w:rPr>
          <w:noProof/>
        </w:rPr>
        <w:t>Most stakeholders supported broadly the objective of reducing reporting obligations and removing unnecessary regulatory burdens, with some business associations emphasi</w:t>
      </w:r>
      <w:r w:rsidR="00514455" w:rsidRPr="00D86314">
        <w:rPr>
          <w:noProof/>
        </w:rPr>
        <w:t>s</w:t>
      </w:r>
      <w:r w:rsidRPr="00D86314">
        <w:rPr>
          <w:noProof/>
        </w:rPr>
        <w:t>ing</w:t>
      </w:r>
      <w:r w:rsidR="16F348E6" w:rsidRPr="00D86314">
        <w:rPr>
          <w:noProof/>
        </w:rPr>
        <w:t xml:space="preserve"> </w:t>
      </w:r>
      <w:r w:rsidRPr="00D86314">
        <w:rPr>
          <w:noProof/>
        </w:rPr>
        <w:t>the need to avoid duplication in data collection. A national association of ECNs and a broadcaster noted that, while the objective is shared, the benefits would depend on the specific regulatory design. A business association of mobile network operators expressly welcomed the objective advocating for excluding business customers from consumer protection rules and for re-focusing of Universal Service obligations on affordability. One non-European ECN welcomed removing excessive compliance burdens for cross-border operators and</w:t>
      </w:r>
      <w:r w:rsidR="77C0BE36" w:rsidRPr="00D86314">
        <w:rPr>
          <w:noProof/>
        </w:rPr>
        <w:t xml:space="preserve"> </w:t>
      </w:r>
      <w:r w:rsidRPr="00D86314">
        <w:rPr>
          <w:noProof/>
        </w:rPr>
        <w:t>a provider of IoT solutions noted that this would benefit entry of operators in new markets across the EU. Some NRAs were however more reticent. On the reduction of reporting obligations, one NRA submitted that national regulators need market data to adopt well founded measures, and another NRA warned against equating simplification with de-regulation.</w:t>
      </w:r>
    </w:p>
    <w:p w14:paraId="6AB6F4E0" w14:textId="1C3FF179" w:rsidR="00BB6D5C" w:rsidRPr="00D86314" w:rsidRDefault="00BB6D5C" w:rsidP="00BB6D5C">
      <w:pPr>
        <w:spacing w:after="120"/>
        <w:rPr>
          <w:noProof/>
        </w:rPr>
      </w:pPr>
      <w:r w:rsidRPr="00D86314">
        <w:rPr>
          <w:noProof/>
        </w:rPr>
        <w:t xml:space="preserve">On the </w:t>
      </w:r>
      <w:r w:rsidRPr="00D86314">
        <w:rPr>
          <w:i/>
          <w:noProof/>
        </w:rPr>
        <w:t>general authorisation regime</w:t>
      </w:r>
      <w:r w:rsidRPr="00D86314">
        <w:rPr>
          <w:noProof/>
        </w:rPr>
        <w:t xml:space="preserve">, while some of the respondents (namely public authorities and some companies) stated that no or limited changes to the general authorisation regime are warranted and stressed the </w:t>
      </w:r>
      <w:r w:rsidRPr="00D86314">
        <w:rPr>
          <w:rFonts w:eastAsia="Times New Roman"/>
          <w:noProof/>
          <w:lang w:eastAsia="de-DE"/>
        </w:rPr>
        <w:t>importance of national contexts</w:t>
      </w:r>
      <w:r w:rsidRPr="00D86314">
        <w:rPr>
          <w:noProof/>
        </w:rPr>
        <w:t>, many companies and industry associations pointed however that the divergent conditions of the general authorisation applied across Member States create obstacles to cross-border operations and deters new entry. They mostly advocated for more harmonisation of the general authorisation conditions</w:t>
      </w:r>
      <w:r w:rsidRPr="00D86314">
        <w:rPr>
          <w:rFonts w:eastAsia="Times New Roman"/>
          <w:noProof/>
          <w:lang w:eastAsia="de-DE"/>
        </w:rPr>
        <w:t xml:space="preserve"> and </w:t>
      </w:r>
      <w:r w:rsidRPr="00D86314">
        <w:rPr>
          <w:noProof/>
        </w:rPr>
        <w:t xml:space="preserve">streamlining practices </w:t>
      </w:r>
      <w:r w:rsidRPr="00D86314">
        <w:rPr>
          <w:rFonts w:eastAsia="Times New Roman"/>
          <w:noProof/>
          <w:lang w:eastAsia="de-DE"/>
        </w:rPr>
        <w:t xml:space="preserve">with a single Member State notification for cross-border providers and BEREC with a possible coordination role, </w:t>
      </w:r>
      <w:r w:rsidRPr="00D86314">
        <w:rPr>
          <w:noProof/>
        </w:rPr>
        <w:t xml:space="preserve">to reduce </w:t>
      </w:r>
      <w:r w:rsidRPr="00D86314">
        <w:rPr>
          <w:rFonts w:eastAsia="Times New Roman"/>
          <w:noProof/>
          <w:lang w:eastAsia="de-DE"/>
        </w:rPr>
        <w:t xml:space="preserve">fragmentation </w:t>
      </w:r>
      <w:r w:rsidRPr="00D86314">
        <w:rPr>
          <w:noProof/>
        </w:rPr>
        <w:t>and allow for network centralisation and coherent service provision across Members States.</w:t>
      </w:r>
    </w:p>
    <w:p w14:paraId="07DD1822" w14:textId="77777777" w:rsidR="00BB6D5C" w:rsidRPr="00D86314" w:rsidRDefault="00BB6D5C" w:rsidP="00BB6D5C">
      <w:pPr>
        <w:spacing w:after="120"/>
        <w:rPr>
          <w:noProof/>
        </w:rPr>
      </w:pPr>
      <w:r w:rsidRPr="00D86314">
        <w:rPr>
          <w:noProof/>
        </w:rPr>
        <w:t xml:space="preserve">In particular, ECNs generally called for simplification of the general authorisation regime, ensuring that it is proportionate and aligned with technological advancements. This included reducing unnecessary regulatory barriers that can hinder the deployment of new technologies and services. They also emphasised the need for improved coordination among NRAs to ensure consistent application of rules and obligations, which would further facilitate the business environment for in particular telecom operators, currently subject to the obligations. Industry associations </w:t>
      </w:r>
      <w:r w:rsidRPr="00D86314">
        <w:rPr>
          <w:rFonts w:eastAsia="Times New Roman"/>
          <w:noProof/>
          <w:lang w:eastAsia="de-DE"/>
        </w:rPr>
        <w:t>acknowledged however the need for some national flexibility to address country-specific security or spectrum concerns.</w:t>
      </w:r>
    </w:p>
    <w:p w14:paraId="47F39343" w14:textId="77777777" w:rsidR="00BB6D5C" w:rsidRPr="00D86314" w:rsidRDefault="00BB6D5C" w:rsidP="00BB6D5C">
      <w:pPr>
        <w:spacing w:after="120"/>
        <w:rPr>
          <w:noProof/>
        </w:rPr>
      </w:pPr>
      <w:r w:rsidRPr="00D86314">
        <w:rPr>
          <w:noProof/>
        </w:rPr>
        <w:t xml:space="preserve">Other stakeholders, including namely NGOs and some companies and industry associations, supported a partial harmonisation of the general authorisation regime applicable to e.g., satellite and B2B providers, based on the application of the conditions of the Member State of main establishment (“CoO” principle) and the mutual recognition in all other Member States where networks and services are provided. On the specific application of the CoO principle, some ECNs raised the risk that non-telco new entrants that do not invest in network infrastructure could benefit “unfairly” from such regime, in particular if this was combined with the introduction of a standard EU wholesale access product. </w:t>
      </w:r>
    </w:p>
    <w:p w14:paraId="6665530B" w14:textId="77777777" w:rsidR="00BB6D5C" w:rsidRPr="00D86314" w:rsidRDefault="00BB6D5C" w:rsidP="00BB6D5C">
      <w:pPr>
        <w:spacing w:after="120"/>
        <w:rPr>
          <w:noProof/>
        </w:rPr>
      </w:pPr>
      <w:r w:rsidRPr="00D86314">
        <w:rPr>
          <w:noProof/>
        </w:rPr>
        <w:t xml:space="preserve">Responding Member States and NRAs however did not see scope for a fully-fledged CoO regime for electronic communication services because a significant set of national rules would remain. In their view, the application of the CoO principle would lead to a two-layer authorisation/governance that would be unnecessary complex, not working in practice and raising risks of “forum shopping”. </w:t>
      </w:r>
    </w:p>
    <w:p w14:paraId="582FC7CD" w14:textId="6496D532" w:rsidR="00BB6D5C" w:rsidRPr="00D86314" w:rsidRDefault="00BB6D5C" w:rsidP="00BB6D5C">
      <w:pPr>
        <w:spacing w:after="120"/>
        <w:rPr>
          <w:rFonts w:eastAsia="Times New Roman"/>
          <w:noProof/>
          <w:lang w:eastAsia="de-DE"/>
        </w:rPr>
      </w:pPr>
      <w:r w:rsidRPr="00D86314">
        <w:rPr>
          <w:noProof/>
        </w:rPr>
        <w:t xml:space="preserve">Consumer organisations </w:t>
      </w:r>
      <w:r w:rsidRPr="00D86314">
        <w:rPr>
          <w:rFonts w:eastAsia="Times New Roman"/>
          <w:noProof/>
          <w:lang w:eastAsia="de-DE"/>
        </w:rPr>
        <w:t>acknowledged the benefits of harmonisation,</w:t>
      </w:r>
      <w:r w:rsidR="00A920D9" w:rsidRPr="00D86314">
        <w:rPr>
          <w:rFonts w:eastAsia="Times New Roman"/>
          <w:noProof/>
          <w:lang w:eastAsia="de-DE"/>
        </w:rPr>
        <w:t xml:space="preserve"> </w:t>
      </w:r>
      <w:r w:rsidRPr="00D86314">
        <w:rPr>
          <w:rFonts w:eastAsia="Times New Roman"/>
          <w:noProof/>
          <w:lang w:eastAsia="de-DE"/>
        </w:rPr>
        <w:t>but were concerned that de-regulation lowers consumer protection and thus stressed the need to safeguard national consumer protection measures.</w:t>
      </w:r>
    </w:p>
    <w:p w14:paraId="721A88C9" w14:textId="77777777" w:rsidR="00BB6D5C" w:rsidRPr="00D86314" w:rsidRDefault="00BB6D5C" w:rsidP="00BB6D5C">
      <w:pPr>
        <w:spacing w:after="120"/>
        <w:rPr>
          <w:noProof/>
        </w:rPr>
      </w:pPr>
      <w:r w:rsidRPr="00D86314">
        <w:rPr>
          <w:noProof/>
        </w:rPr>
        <w:t xml:space="preserve">As regards </w:t>
      </w:r>
      <w:r w:rsidRPr="00D86314">
        <w:rPr>
          <w:i/>
          <w:noProof/>
        </w:rPr>
        <w:t>universal service</w:t>
      </w:r>
      <w:r w:rsidRPr="00D86314">
        <w:rPr>
          <w:noProof/>
        </w:rPr>
        <w:t xml:space="preserve">, most stakeholders acknowledged the need for the USO framework to flexibly accommodate varying regional needs and market conditions across Member States. Member States, NRAs and consumer organisations advocated for an inclusive and future-proof USO framework that supports digital inclusion, ensuring all citizens, particularly those in rural or underserved areas, have access to high-quality internet services. Most telecom operators argued that the market now provides a wide variety of offers to meet the needs of consumers, and suggested that USO could be phased out. Public intervention, for example through voucher schemes, would be a more efficient way to address the needs of vulnerable and low-income consumers. A smaller number of companies and associations welcomed the possibility to re-focus USO on affordability, while others emphasised the need to focus on stimulating demand. </w:t>
      </w:r>
    </w:p>
    <w:p w14:paraId="7EFE86FE" w14:textId="77777777" w:rsidR="00BB6D5C" w:rsidRPr="00D86314" w:rsidRDefault="00BB6D5C" w:rsidP="00BB6D5C">
      <w:pPr>
        <w:spacing w:after="120"/>
        <w:rPr>
          <w:noProof/>
        </w:rPr>
      </w:pPr>
      <w:r w:rsidRPr="00D86314">
        <w:rPr>
          <w:noProof/>
        </w:rPr>
        <w:t>There was a call from internet service companies to leverage technological advancements and cost-effective solutions to meet universal service goals without imposing significant financial strains on the sector, emphasising the importance of a technologically neutral approach.</w:t>
      </w:r>
    </w:p>
    <w:p w14:paraId="2B359008" w14:textId="77777777" w:rsidR="00BB6D5C" w:rsidRPr="00D86314" w:rsidRDefault="00BB6D5C" w:rsidP="00BB6D5C">
      <w:pPr>
        <w:spacing w:after="120"/>
        <w:rPr>
          <w:noProof/>
        </w:rPr>
      </w:pPr>
      <w:r w:rsidRPr="00D86314">
        <w:rPr>
          <w:noProof/>
        </w:rPr>
        <w:t xml:space="preserve">Regarding </w:t>
      </w:r>
      <w:r w:rsidRPr="00D86314">
        <w:rPr>
          <w:i/>
          <w:noProof/>
        </w:rPr>
        <w:t>end-users protection</w:t>
      </w:r>
      <w:r w:rsidRPr="00D86314">
        <w:rPr>
          <w:noProof/>
        </w:rPr>
        <w:t>, Member States, NRAs and consumer organisations emphasised that robust consumer protection must be maintained, but supported simplification of end-user rules where possible, for example regarding enhanced transparency and clearer information for consumers. These stakeholders highlighted the importance of sector-specific end-user protection. Consumer organisations, in particular, pointed to the necessity of rules concerning contract terms, pricing transparency, and quality of service, amongst others. Moreover, these stakeholders, as well as several companies and business associations acknowledged the need for sector-specific rules on number portability and switching. These rules empower consumers through improved rights to switch providers, facilitating competitive markets and better service offerings, while preventing unfair lock-in practices by operators.</w:t>
      </w:r>
    </w:p>
    <w:p w14:paraId="40E356FA" w14:textId="77777777" w:rsidR="00BB6D5C" w:rsidRPr="00D86314" w:rsidRDefault="00BB6D5C" w:rsidP="00BB6D5C">
      <w:pPr>
        <w:spacing w:after="120"/>
        <w:rPr>
          <w:noProof/>
        </w:rPr>
      </w:pPr>
      <w:r w:rsidRPr="00D86314">
        <w:rPr>
          <w:noProof/>
        </w:rPr>
        <w:t xml:space="preserve">More broadly, most telecom operators and service providers called for simplification and the removal of sector-specific rules in cases where it is not, in their view, justified, considering the high level of protection already afforded by horizontal consumer law. Many companies and business associations also called for removing end-user protections in the case of business-to-business transactions. Some companies and one Member State suggested that an EU approach to anti-fraud prevention would be welcome. Moreover, as digital services proliferate, stakeholders, in particular those representing telecoms providers, emphasised the need for regulatory frameworks to expand beyond traditional telecommunications, encompassing digital service providers to ensure consistent protection across all digital platforms. Other business associations did not see the need for extending the rules to different business models. </w:t>
      </w:r>
    </w:p>
    <w:p w14:paraId="6C8C8704" w14:textId="77777777" w:rsidR="00BB6D5C" w:rsidRPr="00D86314" w:rsidRDefault="00BB6D5C" w:rsidP="00BB6D5C">
      <w:pPr>
        <w:spacing w:after="120"/>
        <w:rPr>
          <w:noProof/>
        </w:rPr>
      </w:pPr>
      <w:r w:rsidRPr="00D86314">
        <w:rPr>
          <w:noProof/>
        </w:rPr>
        <w:t>In the dedicated workshop with consumer organisations (BEUC and national organisations), held on 16 July 2025, consumers notably advocated for maintaining competition in the electronic communications market and not weakening overall current levels of consumer protection across national retail markets. They further supported reinforcing, at EU level, the cross-border implementation and enforcement of consumer rules.</w:t>
      </w:r>
    </w:p>
    <w:p w14:paraId="228C23B8" w14:textId="77777777" w:rsidR="00BB6D5C" w:rsidRPr="00D86314" w:rsidRDefault="00BB6D5C" w:rsidP="00BB6D5C">
      <w:pPr>
        <w:spacing w:after="120"/>
        <w:rPr>
          <w:i/>
          <w:iCs/>
          <w:noProof/>
          <w:u w:val="single"/>
        </w:rPr>
      </w:pPr>
      <w:r w:rsidRPr="00D86314">
        <w:rPr>
          <w:i/>
          <w:iCs/>
          <w:noProof/>
          <w:u w:val="single"/>
        </w:rPr>
        <w:t>Spectrum</w:t>
      </w:r>
    </w:p>
    <w:p w14:paraId="75431837" w14:textId="2024F07E" w:rsidR="00BB6D5C" w:rsidRPr="00D86314" w:rsidRDefault="00BB6D5C" w:rsidP="00BB6D5C">
      <w:pPr>
        <w:spacing w:after="120"/>
        <w:rPr>
          <w:noProof/>
        </w:rPr>
      </w:pPr>
      <w:r w:rsidRPr="00D86314">
        <w:rPr>
          <w:noProof/>
        </w:rPr>
        <w:t>Overall, most stakeholders advocated for investment-friendly spectrum policy that enhances legal certainty and efficiency in spectrum use, while Member States and NRAs stressed the need to maintain national discretion over the assignment process to match local market demands and argued against longer license duration. There was considerable support,</w:t>
      </w:r>
      <w:r w:rsidRPr="00D86314">
        <w:rPr>
          <w:noProof/>
          <w:color w:val="CC3595"/>
        </w:rPr>
        <w:t xml:space="preserve"> </w:t>
      </w:r>
      <w:r w:rsidRPr="00D86314">
        <w:rPr>
          <w:noProof/>
        </w:rPr>
        <w:t>especially from the industry, for reducing market fragmentation, strengthening ex ante scrutiny at EU level, including making it mandatory, acknowledging that the system so far has not been effective in ensuring consistency in market shaping measures, supporting investment and sustainable competition. Industry supported coordination of national authorisation procedures and conditions as well as of the timing of assignment through national roadmaps coordinated with an EU roadmap. The vast majority of telecom operators supported extended license durations to foster investment; some however cautioned against rigid timelines for spectrum awards. Additionally, several stakeholders, in particular alternative operators endorsed policies like "use it or trade it or lose it" to prevent spectrum hoarding and promote innovative spectrum use, while opposing centralised EU control and emphasising the importance of spectrum sharing and cooperation among Member States to address cross-border interference and enhance network efficiency. The need to facilitate spectrum sharing as well as pro-investment spectrum authorisation conditions was very prominent also at the RSPG workshop of 16 June 2025 and at the targeted consultation confirming expected effectiveness of enhanced spectrum sharing and trading and of pro-investment conditions as coverage and quality of service commitments. The RSPG also acknowledged that there is room to improve the current peer review procedure. Member States showed openness to improve coordination in spectrum management, while underlining the national competences in this field and the need to maintain national procedures and current governance.</w:t>
      </w:r>
    </w:p>
    <w:p w14:paraId="2A04F609" w14:textId="77777777" w:rsidR="00BB6D5C" w:rsidRPr="00D86314" w:rsidRDefault="00BB6D5C" w:rsidP="00BB6D5C">
      <w:pPr>
        <w:spacing w:after="120"/>
        <w:rPr>
          <w:noProof/>
          <w:u w:val="single"/>
        </w:rPr>
      </w:pPr>
      <w:r w:rsidRPr="00D86314">
        <w:rPr>
          <w:noProof/>
        </w:rPr>
        <w:t xml:space="preserve">A harmonised, pan-European approach to satellite market access was considered essential to unlock the full potential of satellite connectivity across the EU by a number of satellite operators who noted that the growing demand for satellite access, combined with fragmented and non-harmonised authorisation procedures, may lead to discriminatory outcomes, encourage ‘forum shopping’, and raise barriers to cross-border satellite service development. </w:t>
      </w:r>
      <w:r w:rsidRPr="00D86314">
        <w:rPr>
          <w:rFonts w:eastAsia="Times New Roman"/>
          <w:noProof/>
          <w:color w:val="000000" w:themeColor="text1"/>
        </w:rPr>
        <w:t xml:space="preserve">Satellite operators called in particular for regulatory simplification (e.g. of existing reporting obligations) and the elimination of unnecessary regulatory burdens, for instance through greater consistency regarding requirements for satellite authorization, compliance and enforcement frameworks and reduced overlaps in EU regulations. An EU-level mechanism for selection of satellite operators (e.g. based on MSS decision), and a common satellite authorisation at EU level were also supported by some operators. </w:t>
      </w:r>
      <w:r w:rsidRPr="00D86314">
        <w:rPr>
          <w:noProof/>
        </w:rPr>
        <w:t>Stakeholders also highlighted the need to ensure long-term spectrum predictability through flexible and transparent assignment conditions. Furthermore, stakeholders stressed the need for a level playing field between satellite constellations accessing the EU market and terrestrial mobile networks, and to address the potential interference risks that Direct-to-Device satellite services may pose to existing terrestrial systems.</w:t>
      </w:r>
    </w:p>
    <w:p w14:paraId="1B5F7B15" w14:textId="77777777" w:rsidR="00BB6D5C" w:rsidRPr="00D86314" w:rsidRDefault="00BB6D5C" w:rsidP="00BB6D5C">
      <w:pPr>
        <w:spacing w:after="120"/>
        <w:rPr>
          <w:noProof/>
        </w:rPr>
      </w:pPr>
      <w:r w:rsidRPr="00D86314">
        <w:rPr>
          <w:noProof/>
        </w:rPr>
        <w:t xml:space="preserve">The need for a level playing field, including common authorisation requirements, was unanimously acknowledged by the RSPG. The RSPG’s Opinion on the EU-level policy approach to satellite Direct-to-Device connectivity and related Single Market issue (RSPG25-020 Final) also includes this recommendation. Moreover, during the discussion on different aspects of satellites connectivity at the TTE (Telecom) Council of 6 June 2025, Member States were very supportive of stronger coordination in the satellite field, including common authorisation requirements and common enforcement mechanisms. </w:t>
      </w:r>
    </w:p>
    <w:p w14:paraId="0D058C02" w14:textId="77777777" w:rsidR="00BB6D5C" w:rsidRPr="00D86314" w:rsidRDefault="00BB6D5C" w:rsidP="00BB6D5C">
      <w:pPr>
        <w:spacing w:after="120"/>
        <w:rPr>
          <w:i/>
          <w:iCs/>
          <w:noProof/>
          <w:u w:val="single"/>
        </w:rPr>
      </w:pPr>
      <w:r w:rsidRPr="00D86314">
        <w:rPr>
          <w:i/>
          <w:iCs/>
          <w:noProof/>
          <w:u w:val="single"/>
        </w:rPr>
        <w:t xml:space="preserve">Level Playing Field </w:t>
      </w:r>
    </w:p>
    <w:p w14:paraId="28D8D589" w14:textId="442AD090" w:rsidR="00BB6D5C" w:rsidRPr="00D86314" w:rsidRDefault="00BB6D5C" w:rsidP="00BB6D5C">
      <w:pPr>
        <w:spacing w:after="120"/>
        <w:rPr>
          <w:noProof/>
        </w:rPr>
      </w:pPr>
      <w:r w:rsidRPr="00D86314">
        <w:rPr>
          <w:noProof/>
        </w:rPr>
        <w:t>Traditional telecom operators called for a recalibration of the regulatory framework that currently places them at a disadvantage compared to CAPs. They advocated for the principle “same service – same rules” and for a fair regulatory environment when it comes to issues related to IP interconnection. The key arguments of telecom operators were that the majority of data traffic on telecom networks comes from a small number of very large CAPs, which creates a disproportionate burden on telecom networks, while most of the investment burden falls on telecom operators. Also, during commercial negotiations on peering, telecom operators claim CAPs have strong bargaining power and impose peering conditions on telcos, while telcos lack leverage to demand compensation.</w:t>
      </w:r>
    </w:p>
    <w:p w14:paraId="2184B413" w14:textId="77777777" w:rsidR="00BB6D5C" w:rsidRPr="00D86314" w:rsidRDefault="00BB6D5C" w:rsidP="00BB6D5C">
      <w:pPr>
        <w:spacing w:after="120"/>
        <w:rPr>
          <w:noProof/>
        </w:rPr>
      </w:pPr>
      <w:r w:rsidRPr="00D86314">
        <w:rPr>
          <w:noProof/>
        </w:rPr>
        <w:t xml:space="preserve">However, a significant number of respondents, i.e. CAPs, consumer associations, Internet-related associations and some individual contributors, opposed any dispute resolution mechanism in the IP-interconnection system that would introduce any type of “network compensation” mechanism from content providers to network providers. In their view, such regulation could undermine the principle of Open Internet, increase costs for end-users, restrict competition and strengthen the market power of large operators, without a justified need for regulatory intervention. Member States and NRAs opposed regulatory intervention in the interconnection market unless market failure is clearly demonstrated. </w:t>
      </w:r>
    </w:p>
    <w:p w14:paraId="7AFD056E" w14:textId="77777777" w:rsidR="00BB6D5C" w:rsidRPr="00D86314" w:rsidRDefault="00BB6D5C" w:rsidP="00BB6D5C">
      <w:pPr>
        <w:spacing w:after="120"/>
        <w:rPr>
          <w:noProof/>
        </w:rPr>
      </w:pPr>
      <w:r w:rsidRPr="00D86314">
        <w:rPr>
          <w:noProof/>
        </w:rPr>
        <w:t xml:space="preserve">Cloud providers rose concerns over being included in telco sector-specific regulation. European small cloud operators were concerned that they would be burdened by “telco-style regulation”. </w:t>
      </w:r>
    </w:p>
    <w:p w14:paraId="57C64692" w14:textId="01D29056" w:rsidR="00BB6D5C" w:rsidRPr="00D86314" w:rsidRDefault="00BB6D5C" w:rsidP="00BB6D5C">
      <w:pPr>
        <w:spacing w:after="120"/>
        <w:rPr>
          <w:rFonts w:eastAsia="Aptos"/>
          <w:noProof/>
        </w:rPr>
      </w:pPr>
      <w:r w:rsidRPr="00D86314">
        <w:rPr>
          <w:noProof/>
        </w:rPr>
        <w:t xml:space="preserve">However, quite a few contributions coming from a wide spectrum of stakeholders (cloud, CAPs, smaller ECNs) supported the idea of creating effective cooperation among the actors of the broader connectivity ecosystem in e.g. traffic management, forecasting and analysis, </w:t>
      </w:r>
      <w:r w:rsidRPr="00D86314">
        <w:rPr>
          <w:rFonts w:eastAsia="Aptos"/>
          <w:noProof/>
        </w:rPr>
        <w:t>enhancing network performance, reliability, efficiency, energy efficiency and enhancing innovation.</w:t>
      </w:r>
    </w:p>
    <w:p w14:paraId="6C8E2162" w14:textId="167C761C" w:rsidR="00BB6D5C" w:rsidRPr="00D86314" w:rsidRDefault="00BB6D5C" w:rsidP="00BB6D5C">
      <w:pPr>
        <w:spacing w:after="120"/>
        <w:rPr>
          <w:noProof/>
        </w:rPr>
      </w:pPr>
      <w:r w:rsidRPr="00D86314">
        <w:rPr>
          <w:noProof/>
        </w:rPr>
        <w:t xml:space="preserve">On </w:t>
      </w:r>
      <w:r w:rsidRPr="00D86314">
        <w:rPr>
          <w:i/>
          <w:noProof/>
        </w:rPr>
        <w:t>Open Internet</w:t>
      </w:r>
      <w:r w:rsidRPr="00D86314">
        <w:rPr>
          <w:noProof/>
        </w:rPr>
        <w:t>, many connectivity providers pointed that under the Open Internet rules the treatment of specialised services lacks clarity and requested further guidance. However, the Internet community and consumer groups opposed changes to the Open Internet rules that would, in their view, create a privileged tier for so-called "innovative services". In their view, this could contravene the core principles of Open Internet, and for the Internet community could also lead to discriminatory practices by telcos that would tilt the competitive balance unfavourably, creating entry barriers, particularly disadvantageous for smaller and newer market entrants.</w:t>
      </w:r>
    </w:p>
    <w:p w14:paraId="56FE659E" w14:textId="77777777" w:rsidR="00BB6D5C" w:rsidRPr="00D86314" w:rsidRDefault="00BB6D5C" w:rsidP="00BB6D5C">
      <w:pPr>
        <w:spacing w:after="120"/>
        <w:rPr>
          <w:i/>
          <w:iCs/>
          <w:noProof/>
          <w:u w:val="single"/>
        </w:rPr>
      </w:pPr>
      <w:r w:rsidRPr="00D86314">
        <w:rPr>
          <w:i/>
          <w:iCs/>
          <w:noProof/>
          <w:u w:val="single"/>
        </w:rPr>
        <w:t>Access Policy including copper switch-off</w:t>
      </w:r>
    </w:p>
    <w:p w14:paraId="788D3B75" w14:textId="4EE5C644" w:rsidR="00BB6D5C" w:rsidRPr="00D86314" w:rsidRDefault="00BB6D5C" w:rsidP="00BB6D5C">
      <w:pPr>
        <w:spacing w:after="120"/>
        <w:rPr>
          <w:noProof/>
        </w:rPr>
      </w:pPr>
      <w:r w:rsidRPr="00D86314">
        <w:rPr>
          <w:noProof/>
        </w:rPr>
        <w:t xml:space="preserve">Whereas incumbent operators called largely for removing </w:t>
      </w:r>
      <w:r w:rsidRPr="00D86314">
        <w:rPr>
          <w:i/>
          <w:iCs/>
          <w:noProof/>
        </w:rPr>
        <w:t>ex ante</w:t>
      </w:r>
      <w:r w:rsidRPr="00D86314">
        <w:rPr>
          <w:noProof/>
        </w:rPr>
        <w:t xml:space="preserve"> regulation in case of sustainable competition and to focus on limited bottlenecks, access seekers and consumer associations had more cautious stance on deregulation, warning against prematurely relaxing SMP obligations, which might jeopardise smaller players and stunt </w:t>
      </w:r>
      <w:r w:rsidR="006046BB" w:rsidRPr="00D86314">
        <w:rPr>
          <w:noProof/>
        </w:rPr>
        <w:t>fibre</w:t>
      </w:r>
      <w:r w:rsidRPr="00D86314">
        <w:rPr>
          <w:noProof/>
        </w:rPr>
        <w:t xml:space="preserve"> network investment. Access seekers and consumer associations praised the current system for its ability to accommodate market-specific conditions and encourage competition and investment in broadband infrastructure. while incumbent operators considered that regulation is not needed due to the changing competitive environment and that it hampers investments in networks.</w:t>
      </w:r>
    </w:p>
    <w:p w14:paraId="5D2EE845" w14:textId="3D3C4961" w:rsidR="00BB6D5C" w:rsidRPr="00D86314" w:rsidRDefault="00BB6D5C" w:rsidP="00BB6D5C">
      <w:pPr>
        <w:spacing w:after="120"/>
        <w:rPr>
          <w:noProof/>
        </w:rPr>
      </w:pPr>
      <w:r w:rsidRPr="00D86314">
        <w:rPr>
          <w:noProof/>
        </w:rPr>
        <w:t xml:space="preserve">NGOs, consumer associations and academic and research associations largely mirror the arguments of access seekers and consumer associations supporting </w:t>
      </w:r>
      <w:r w:rsidRPr="00D86314">
        <w:rPr>
          <w:i/>
          <w:iCs/>
          <w:noProof/>
        </w:rPr>
        <w:t>ex ante</w:t>
      </w:r>
      <w:r w:rsidRPr="00D86314">
        <w:rPr>
          <w:noProof/>
        </w:rPr>
        <w:t xml:space="preserve"> regulation, based on the existing regulatory framework (built on the </w:t>
      </w:r>
      <w:r w:rsidRPr="00D86314" w:rsidDel="00BB6D5C">
        <w:rPr>
          <w:noProof/>
        </w:rPr>
        <w:t>well</w:t>
      </w:r>
      <w:r w:rsidR="4612BFAF" w:rsidRPr="00D86314">
        <w:rPr>
          <w:noProof/>
        </w:rPr>
        <w:t>-established</w:t>
      </w:r>
      <w:r w:rsidRPr="00D86314">
        <w:rPr>
          <w:noProof/>
        </w:rPr>
        <w:t xml:space="preserve"> concepts of “Significant Market Power” and “Three Criteria Test”) Most public authorities also argued for maintaining the existing EU regulatory framework. </w:t>
      </w:r>
    </w:p>
    <w:p w14:paraId="6B918724" w14:textId="77777777" w:rsidR="00BB6D5C" w:rsidRPr="00D86314" w:rsidRDefault="00BB6D5C" w:rsidP="00BB6D5C">
      <w:pPr>
        <w:spacing w:after="120"/>
        <w:rPr>
          <w:noProof/>
        </w:rPr>
      </w:pPr>
      <w:r w:rsidRPr="00D86314">
        <w:rPr>
          <w:noProof/>
        </w:rPr>
        <w:t xml:space="preserve">Most companies and business associations expressed concerns over a </w:t>
      </w:r>
      <w:r w:rsidRPr="00D86314">
        <w:rPr>
          <w:i/>
          <w:noProof/>
        </w:rPr>
        <w:t>pan-EU harmonised wholesale access product</w:t>
      </w:r>
      <w:r w:rsidRPr="00D86314">
        <w:rPr>
          <w:noProof/>
        </w:rPr>
        <w:t xml:space="preserve">, arguing that such a uniform product might not meet the nuanced demands of varying national market conditions and could place disproportionate burdens on operators. </w:t>
      </w:r>
    </w:p>
    <w:p w14:paraId="48FA5562" w14:textId="648D86BF" w:rsidR="00BB6D5C" w:rsidRPr="00D86314" w:rsidRDefault="00BB6D5C" w:rsidP="00BB6D5C">
      <w:pPr>
        <w:spacing w:after="120"/>
        <w:rPr>
          <w:noProof/>
        </w:rPr>
      </w:pPr>
      <w:r w:rsidRPr="00D86314">
        <w:rPr>
          <w:noProof/>
        </w:rPr>
        <w:t xml:space="preserve">As regards </w:t>
      </w:r>
      <w:r w:rsidRPr="00D86314">
        <w:rPr>
          <w:i/>
          <w:noProof/>
        </w:rPr>
        <w:t>copper switch-off</w:t>
      </w:r>
      <w:r w:rsidRPr="00D86314">
        <w:rPr>
          <w:noProof/>
        </w:rPr>
        <w:t xml:space="preserve">, some ECNs (AltNets) advocated for setting a specific EU-wide target date to encourage </w:t>
      </w:r>
      <w:r w:rsidR="006046BB" w:rsidRPr="00D86314">
        <w:rPr>
          <w:noProof/>
        </w:rPr>
        <w:t>fibre</w:t>
      </w:r>
      <w:r w:rsidRPr="00D86314">
        <w:rPr>
          <w:noProof/>
        </w:rPr>
        <w:t xml:space="preserve"> adoption and environmental benefits. Others stressed the need for transition plans based on actual </w:t>
      </w:r>
      <w:r w:rsidR="006046BB" w:rsidRPr="00D86314">
        <w:rPr>
          <w:noProof/>
        </w:rPr>
        <w:t>fibre</w:t>
      </w:r>
      <w:r w:rsidRPr="00D86314">
        <w:rPr>
          <w:noProof/>
        </w:rPr>
        <w:t xml:space="preserve"> coverage instead of rigid deadlines. Concerns were raised about potential digital exclusion and market distortions if the switch-off is premature. Many stakeholders favoured voluntary mechanisms with derogations to protect underserved areas, urging for policy support to address infrastructure challenges and ensure competition neutrality during the transition to future-proof </w:t>
      </w:r>
      <w:r w:rsidR="006046BB" w:rsidRPr="00D86314">
        <w:rPr>
          <w:noProof/>
        </w:rPr>
        <w:t>fibre</w:t>
      </w:r>
      <w:r w:rsidRPr="00D86314">
        <w:rPr>
          <w:noProof/>
        </w:rPr>
        <w:t xml:space="preserve"> networks.</w:t>
      </w:r>
    </w:p>
    <w:p w14:paraId="46AA5A42" w14:textId="4CD7DB6A" w:rsidR="00BB6D5C" w:rsidRPr="00D86314" w:rsidRDefault="00BB6D5C" w:rsidP="00BB6D5C">
      <w:pPr>
        <w:spacing w:after="120"/>
        <w:rPr>
          <w:noProof/>
        </w:rPr>
      </w:pPr>
      <w:r w:rsidRPr="00D86314">
        <w:rPr>
          <w:noProof/>
        </w:rPr>
        <w:t xml:space="preserve">The Commission takes the diverse viewpoints into account and intends to propose an access framework that fosters sustainable competition and investment incentives towards advanced networks. As regards the access framework, the Commission will work towards a targeted improvement and simplification of the existing framework that will still be based on </w:t>
      </w:r>
      <w:r w:rsidRPr="00D86314" w:rsidDel="00BB6D5C">
        <w:rPr>
          <w:noProof/>
        </w:rPr>
        <w:t>well</w:t>
      </w:r>
      <w:r w:rsidR="05B1B9BD" w:rsidRPr="00D86314">
        <w:rPr>
          <w:noProof/>
        </w:rPr>
        <w:t>-established</w:t>
      </w:r>
      <w:r w:rsidRPr="00D86314">
        <w:rPr>
          <w:noProof/>
        </w:rPr>
        <w:t xml:space="preserve"> concepts of competition law. Targeted modifications (such as rendering the recommended markets optional or more focus on the survey of geographical market) could be introduced to enable the Commission and NRAs to better reflect market developments. </w:t>
      </w:r>
    </w:p>
    <w:p w14:paraId="361D3437" w14:textId="77777777" w:rsidR="00BB6D5C" w:rsidRPr="00D86314" w:rsidRDefault="00BB6D5C" w:rsidP="006046BB">
      <w:pPr>
        <w:keepNext/>
        <w:keepLines/>
        <w:spacing w:after="120"/>
        <w:rPr>
          <w:i/>
          <w:iCs/>
          <w:noProof/>
        </w:rPr>
      </w:pPr>
      <w:r w:rsidRPr="00D86314">
        <w:rPr>
          <w:i/>
          <w:iCs/>
          <w:noProof/>
          <w:u w:val="single"/>
        </w:rPr>
        <w:t>Governance</w:t>
      </w:r>
    </w:p>
    <w:p w14:paraId="1968EC03" w14:textId="77777777" w:rsidR="00BB6D5C" w:rsidRPr="00D86314" w:rsidRDefault="00BB6D5C" w:rsidP="00BB6D5C">
      <w:pPr>
        <w:spacing w:after="120"/>
        <w:rPr>
          <w:noProof/>
        </w:rPr>
      </w:pPr>
      <w:r w:rsidRPr="00D86314">
        <w:rPr>
          <w:noProof/>
        </w:rPr>
        <w:t>Respondents emphasised the importance of clear and consistent governance structures to ensure that regulatory decisions are predictable and conducive to long-term planning for telecommunications operators. The majority of respondents (operators, business associations, public authorities) supported preserving the independence of national regulatory authorities, ensuring they have the autonomy and resources necessary to address specific national and regional market conditions effectively.</w:t>
      </w:r>
    </w:p>
    <w:p w14:paraId="6932F43F" w14:textId="77777777" w:rsidR="00BB6D5C" w:rsidRPr="00D86314" w:rsidRDefault="00BB6D5C" w:rsidP="00BB6D5C">
      <w:pPr>
        <w:spacing w:after="120"/>
        <w:rPr>
          <w:noProof/>
        </w:rPr>
      </w:pPr>
      <w:r w:rsidRPr="00D86314">
        <w:rPr>
          <w:noProof/>
        </w:rPr>
        <w:t xml:space="preserve">Many stakeholders, namely large operators and EU-wide business associations, called for improved coordination between NRAs and EU-level bodies to avoid regulatory fragmentation and conflicting policies that could hinder market efficiency, This included enhancing mechanisms for cooperation and information sharing among Member States to ensure coherent implementation of regulations across the EU, although it was underlined the need to maintain the current balance of powers with NRAs keeping decision-making powers. </w:t>
      </w:r>
    </w:p>
    <w:p w14:paraId="62D107D3" w14:textId="77777777" w:rsidR="00BB6D5C" w:rsidRPr="00D86314" w:rsidRDefault="00BB6D5C" w:rsidP="00BB6D5C">
      <w:pPr>
        <w:spacing w:after="120"/>
        <w:rPr>
          <w:noProof/>
        </w:rPr>
      </w:pPr>
      <w:r w:rsidRPr="00D86314">
        <w:rPr>
          <w:noProof/>
        </w:rPr>
        <w:t xml:space="preserve">There was also a focus on the need for adaptive governance frameworks that can respond to the rapid pace of technological advancements and market changes, ensuring that regulations remain relevant and supportive of innovation. </w:t>
      </w:r>
    </w:p>
    <w:p w14:paraId="52656A25" w14:textId="77777777" w:rsidR="00CF5C52" w:rsidRPr="00D86314" w:rsidRDefault="00CF5C52">
      <w:pPr>
        <w:spacing w:after="200" w:line="276" w:lineRule="auto"/>
        <w:jc w:val="left"/>
        <w:rPr>
          <w:rFonts w:eastAsia="Times New Roman"/>
          <w:b/>
          <w:smallCaps/>
          <w:noProof/>
          <w:sz w:val="32"/>
          <w:szCs w:val="20"/>
        </w:rPr>
      </w:pPr>
      <w:r w:rsidRPr="00D86314">
        <w:rPr>
          <w:noProof/>
        </w:rPr>
        <w:br w:type="page"/>
      </w:r>
    </w:p>
    <w:p w14:paraId="39C202C8" w14:textId="324D1683" w:rsidR="006B087E" w:rsidRPr="00D86314" w:rsidRDefault="006B087E" w:rsidP="00703057">
      <w:pPr>
        <w:pStyle w:val="Heading1"/>
        <w:numPr>
          <w:ilvl w:val="0"/>
          <w:numId w:val="0"/>
        </w:numPr>
        <w:rPr>
          <w:noProof/>
          <w:lang w:val="en-GB"/>
        </w:rPr>
      </w:pPr>
      <w:bookmarkStart w:id="21" w:name="_Toc208239213"/>
      <w:bookmarkStart w:id="22" w:name="_Toc219718343"/>
      <w:r w:rsidRPr="00D86314">
        <w:rPr>
          <w:noProof/>
          <w:lang w:val="en-GB"/>
        </w:rPr>
        <w:t>Annex 3: Who is affected and how?</w:t>
      </w:r>
      <w:bookmarkEnd w:id="21"/>
      <w:bookmarkEnd w:id="22"/>
    </w:p>
    <w:p w14:paraId="62F17F15" w14:textId="77777777" w:rsidR="006B087E" w:rsidRPr="00D86314" w:rsidRDefault="006B087E" w:rsidP="00A00C17">
      <w:pPr>
        <w:pStyle w:val="Heading1"/>
        <w:numPr>
          <w:ilvl w:val="0"/>
          <w:numId w:val="9"/>
        </w:numPr>
        <w:rPr>
          <w:noProof/>
          <w:lang w:val="en-GB"/>
        </w:rPr>
      </w:pPr>
      <w:bookmarkStart w:id="23" w:name="_Toc208239214"/>
      <w:bookmarkStart w:id="24" w:name="_Toc219718344"/>
      <w:r w:rsidRPr="00D86314">
        <w:rPr>
          <w:noProof/>
          <w:lang w:val="en-GB"/>
        </w:rPr>
        <w:t>Practical implications of the initiative</w:t>
      </w:r>
      <w:bookmarkEnd w:id="23"/>
      <w:bookmarkEnd w:id="24"/>
    </w:p>
    <w:p w14:paraId="7F41223C" w14:textId="2D5FEF51" w:rsidR="00224F1D" w:rsidRPr="00D86314" w:rsidRDefault="00224F1D" w:rsidP="00AA6AB6">
      <w:pPr>
        <w:pStyle w:val="Text2"/>
        <w:spacing w:after="120"/>
        <w:ind w:left="0"/>
        <w:rPr>
          <w:b/>
          <w:noProof/>
        </w:rPr>
      </w:pPr>
      <w:r w:rsidRPr="00D86314">
        <w:rPr>
          <w:b/>
          <w:noProof/>
        </w:rPr>
        <w:t>Copper switch-off and access regulation</w:t>
      </w:r>
      <w:r w:rsidR="00EF6A8A" w:rsidRPr="00D86314">
        <w:rPr>
          <w:b/>
          <w:noProof/>
        </w:rPr>
        <w:t xml:space="preserve"> </w:t>
      </w:r>
      <w:r w:rsidRPr="00D86314">
        <w:rPr>
          <w:b/>
          <w:noProof/>
        </w:rPr>
        <w:t>measures: practical implications for:</w:t>
      </w:r>
    </w:p>
    <w:p w14:paraId="25FEAC8B" w14:textId="78EB3B0A" w:rsidR="00D475F2" w:rsidRPr="00D86314" w:rsidRDefault="00AB414B" w:rsidP="001942EB">
      <w:pPr>
        <w:pStyle w:val="Text2"/>
        <w:numPr>
          <w:ilvl w:val="0"/>
          <w:numId w:val="35"/>
        </w:numPr>
        <w:spacing w:after="120"/>
        <w:rPr>
          <w:noProof/>
        </w:rPr>
      </w:pPr>
      <w:r w:rsidRPr="00D86314">
        <w:rPr>
          <w:b/>
          <w:noProof/>
        </w:rPr>
        <w:t>O</w:t>
      </w:r>
      <w:r w:rsidR="00B96A7E" w:rsidRPr="00D86314">
        <w:rPr>
          <w:b/>
          <w:noProof/>
        </w:rPr>
        <w:t>perators</w:t>
      </w:r>
      <w:r w:rsidR="004D50B4" w:rsidRPr="00D86314">
        <w:rPr>
          <w:b/>
          <w:noProof/>
        </w:rPr>
        <w:t>:</w:t>
      </w:r>
      <w:r w:rsidR="00C706BC" w:rsidRPr="00D86314">
        <w:rPr>
          <w:noProof/>
        </w:rPr>
        <w:t xml:space="preserve"> </w:t>
      </w:r>
      <w:r w:rsidR="00E71900" w:rsidRPr="00D86314">
        <w:rPr>
          <w:noProof/>
        </w:rPr>
        <w:t>Copper network operators</w:t>
      </w:r>
      <w:r w:rsidR="00B96A7E" w:rsidRPr="00D86314">
        <w:rPr>
          <w:noProof/>
        </w:rPr>
        <w:t xml:space="preserve"> </w:t>
      </w:r>
      <w:r w:rsidR="006810EF" w:rsidRPr="00D86314">
        <w:rPr>
          <w:noProof/>
        </w:rPr>
        <w:t>would</w:t>
      </w:r>
      <w:r w:rsidR="00C706BC" w:rsidRPr="00D86314">
        <w:rPr>
          <w:noProof/>
        </w:rPr>
        <w:t xml:space="preserve"> be obliged to switch-off their </w:t>
      </w:r>
      <w:r w:rsidR="00C95377" w:rsidRPr="00D86314">
        <w:rPr>
          <w:noProof/>
        </w:rPr>
        <w:t>copper network</w:t>
      </w:r>
      <w:r w:rsidR="009F1C1A" w:rsidRPr="00D86314">
        <w:rPr>
          <w:noProof/>
        </w:rPr>
        <w:t>s</w:t>
      </w:r>
      <w:r w:rsidR="00C95377" w:rsidRPr="00D86314">
        <w:rPr>
          <w:noProof/>
        </w:rPr>
        <w:t xml:space="preserve"> by the end of 2030</w:t>
      </w:r>
      <w:r w:rsidR="0016194C" w:rsidRPr="00D86314">
        <w:rPr>
          <w:noProof/>
        </w:rPr>
        <w:t xml:space="preserve"> but</w:t>
      </w:r>
      <w:r w:rsidR="00BD48D2" w:rsidRPr="00D86314">
        <w:rPr>
          <w:noProof/>
        </w:rPr>
        <w:t xml:space="preserve"> may </w:t>
      </w:r>
      <w:r w:rsidR="00956659" w:rsidRPr="00D86314">
        <w:rPr>
          <w:noProof/>
        </w:rPr>
        <w:t>continue</w:t>
      </w:r>
      <w:r w:rsidR="00D32475" w:rsidRPr="00D86314">
        <w:rPr>
          <w:noProof/>
        </w:rPr>
        <w:t xml:space="preserve"> operating</w:t>
      </w:r>
      <w:r w:rsidR="005646AC" w:rsidRPr="00D86314">
        <w:rPr>
          <w:noProof/>
        </w:rPr>
        <w:t xml:space="preserve"> them</w:t>
      </w:r>
      <w:r w:rsidR="00BD48D2" w:rsidRPr="00D86314">
        <w:rPr>
          <w:noProof/>
        </w:rPr>
        <w:t xml:space="preserve"> </w:t>
      </w:r>
      <w:r w:rsidR="00CA59F1" w:rsidRPr="00D86314">
        <w:rPr>
          <w:noProof/>
        </w:rPr>
        <w:t>longer</w:t>
      </w:r>
      <w:r w:rsidR="00BD48D2" w:rsidRPr="00D86314">
        <w:rPr>
          <w:noProof/>
        </w:rPr>
        <w:t xml:space="preserve"> under the sustai</w:t>
      </w:r>
      <w:r w:rsidR="00181A31" w:rsidRPr="00D86314">
        <w:rPr>
          <w:noProof/>
        </w:rPr>
        <w:t>nability clause</w:t>
      </w:r>
      <w:r w:rsidR="00735DD5" w:rsidRPr="00D86314">
        <w:rPr>
          <w:noProof/>
        </w:rPr>
        <w:t>.</w:t>
      </w:r>
      <w:r w:rsidR="00D475F2" w:rsidRPr="00D86314">
        <w:rPr>
          <w:noProof/>
        </w:rPr>
        <w:t xml:space="preserve"> </w:t>
      </w:r>
      <w:r w:rsidR="006810EF" w:rsidRPr="00D86314">
        <w:rPr>
          <w:noProof/>
        </w:rPr>
        <w:t>O</w:t>
      </w:r>
      <w:r w:rsidR="00D475F2" w:rsidRPr="00D86314">
        <w:rPr>
          <w:noProof/>
        </w:rPr>
        <w:t>perators would be required</w:t>
      </w:r>
      <w:r w:rsidR="00181A31" w:rsidRPr="00D86314">
        <w:rPr>
          <w:noProof/>
        </w:rPr>
        <w:t xml:space="preserve"> </w:t>
      </w:r>
      <w:r w:rsidR="00735DD5" w:rsidRPr="00D86314">
        <w:rPr>
          <w:noProof/>
        </w:rPr>
        <w:t xml:space="preserve">to </w:t>
      </w:r>
      <w:r w:rsidR="00D475F2" w:rsidRPr="00D86314">
        <w:rPr>
          <w:noProof/>
        </w:rPr>
        <w:t xml:space="preserve">provide more granular geographic data to the NRA or other competent authority regarding the location and nature (technology) of network infrastructure </w:t>
      </w:r>
    </w:p>
    <w:p w14:paraId="5CC863D9" w14:textId="5F10A810" w:rsidR="007819B7" w:rsidRPr="00D86314" w:rsidRDefault="007819B7" w:rsidP="001942EB">
      <w:pPr>
        <w:pStyle w:val="Text2"/>
        <w:numPr>
          <w:ilvl w:val="0"/>
          <w:numId w:val="35"/>
        </w:numPr>
        <w:spacing w:after="120"/>
        <w:rPr>
          <w:noProof/>
        </w:rPr>
      </w:pPr>
      <w:r w:rsidRPr="00D86314">
        <w:rPr>
          <w:b/>
          <w:noProof/>
        </w:rPr>
        <w:t>NRAs</w:t>
      </w:r>
      <w:r w:rsidR="0059106D" w:rsidRPr="00D86314">
        <w:rPr>
          <w:b/>
          <w:bCs/>
          <w:noProof/>
        </w:rPr>
        <w:t xml:space="preserve"> </w:t>
      </w:r>
      <w:r w:rsidR="0059106D" w:rsidRPr="00D86314">
        <w:rPr>
          <w:noProof/>
        </w:rPr>
        <w:t>(or competent authorities)</w:t>
      </w:r>
      <w:r w:rsidR="00E04D67" w:rsidRPr="00D86314">
        <w:rPr>
          <w:noProof/>
        </w:rPr>
        <w:t>:</w:t>
      </w:r>
      <w:r w:rsidRPr="00D86314">
        <w:rPr>
          <w:noProof/>
        </w:rPr>
        <w:t xml:space="preserve"> Requirement to assess copper switch-off plans and to ensure that the process is handled effectively and in a manner that protects consumer welfare and preserves competition. </w:t>
      </w:r>
      <w:r w:rsidR="00DF3B58" w:rsidRPr="00D86314">
        <w:rPr>
          <w:noProof/>
        </w:rPr>
        <w:t>C</w:t>
      </w:r>
      <w:r w:rsidRPr="00D86314">
        <w:rPr>
          <w:noProof/>
        </w:rPr>
        <w:t xml:space="preserve">ollect geographic data and assess progress regarding FTTH deployment and copper switch-off. </w:t>
      </w:r>
    </w:p>
    <w:p w14:paraId="13EA1979" w14:textId="1160FD67" w:rsidR="00CB23A1" w:rsidRPr="00D86314" w:rsidRDefault="006D70AA" w:rsidP="001942EB">
      <w:pPr>
        <w:pStyle w:val="ListParagraph"/>
        <w:numPr>
          <w:ilvl w:val="0"/>
          <w:numId w:val="35"/>
        </w:numPr>
        <w:spacing w:after="120"/>
        <w:contextualSpacing w:val="0"/>
        <w:rPr>
          <w:rFonts w:eastAsia="Times New Roman"/>
          <w:noProof/>
          <w:szCs w:val="20"/>
        </w:rPr>
      </w:pPr>
      <w:r w:rsidRPr="00D86314">
        <w:rPr>
          <w:rFonts w:eastAsia="Times New Roman"/>
          <w:b/>
          <w:bCs/>
          <w:noProof/>
          <w:szCs w:val="20"/>
        </w:rPr>
        <w:t xml:space="preserve">EC and </w:t>
      </w:r>
      <w:r w:rsidR="00D845F9" w:rsidRPr="00D86314">
        <w:rPr>
          <w:rFonts w:eastAsia="Times New Roman"/>
          <w:b/>
          <w:noProof/>
          <w:szCs w:val="20"/>
        </w:rPr>
        <w:t>BEREC</w:t>
      </w:r>
      <w:r w:rsidR="00D845F9" w:rsidRPr="00D86314">
        <w:rPr>
          <w:rFonts w:eastAsia="Times New Roman"/>
          <w:noProof/>
          <w:szCs w:val="20"/>
        </w:rPr>
        <w:t xml:space="preserve">: </w:t>
      </w:r>
      <w:r w:rsidR="00DD2F49" w:rsidRPr="00D86314">
        <w:rPr>
          <w:rFonts w:eastAsia="Times New Roman"/>
          <w:noProof/>
          <w:szCs w:val="20"/>
        </w:rPr>
        <w:t xml:space="preserve">Establish best practice specifications for wholesale access products </w:t>
      </w:r>
      <w:r w:rsidR="00C57AC0" w:rsidRPr="00D86314">
        <w:rPr>
          <w:rFonts w:eastAsia="Times New Roman"/>
          <w:noProof/>
          <w:szCs w:val="20"/>
        </w:rPr>
        <w:t>and</w:t>
      </w:r>
      <w:r w:rsidR="00CB23A1" w:rsidRPr="00D86314">
        <w:rPr>
          <w:rFonts w:eastAsia="Times New Roman"/>
          <w:noProof/>
          <w:szCs w:val="20"/>
        </w:rPr>
        <w:t xml:space="preserve"> adopt an Implementing Act</w:t>
      </w:r>
      <w:r w:rsidR="004B0DC9" w:rsidRPr="00D86314">
        <w:rPr>
          <w:rFonts w:eastAsia="Times New Roman"/>
          <w:noProof/>
          <w:szCs w:val="20"/>
        </w:rPr>
        <w:t>.</w:t>
      </w:r>
    </w:p>
    <w:p w14:paraId="4136BC21" w14:textId="228C16BB" w:rsidR="00C66583" w:rsidRPr="00D86314" w:rsidRDefault="00C66583" w:rsidP="00AA6AB6">
      <w:pPr>
        <w:pStyle w:val="Text2"/>
        <w:spacing w:after="120"/>
        <w:ind w:left="0"/>
        <w:rPr>
          <w:b/>
          <w:noProof/>
        </w:rPr>
      </w:pPr>
      <w:r w:rsidRPr="00D86314">
        <w:rPr>
          <w:b/>
          <w:noProof/>
        </w:rPr>
        <w:t>Spectrum measures: practical implications for:</w:t>
      </w:r>
    </w:p>
    <w:p w14:paraId="23E951CA" w14:textId="775C3B86" w:rsidR="0013110C" w:rsidRPr="00D86314" w:rsidRDefault="00CD7976" w:rsidP="00A00C17">
      <w:pPr>
        <w:pStyle w:val="Text2"/>
        <w:numPr>
          <w:ilvl w:val="0"/>
          <w:numId w:val="35"/>
        </w:numPr>
        <w:spacing w:after="120"/>
        <w:ind w:left="714" w:hanging="357"/>
        <w:rPr>
          <w:b/>
          <w:noProof/>
        </w:rPr>
      </w:pPr>
      <w:r w:rsidRPr="00D86314">
        <w:rPr>
          <w:b/>
          <w:noProof/>
        </w:rPr>
        <w:t xml:space="preserve">EU level (EC, </w:t>
      </w:r>
      <w:r w:rsidR="00B27F66" w:rsidRPr="00D86314">
        <w:rPr>
          <w:b/>
          <w:noProof/>
        </w:rPr>
        <w:t xml:space="preserve">BEREC </w:t>
      </w:r>
      <w:r w:rsidRPr="00D86314">
        <w:rPr>
          <w:b/>
          <w:noProof/>
        </w:rPr>
        <w:t>Office)</w:t>
      </w:r>
      <w:r w:rsidR="003F1B9E" w:rsidRPr="00D86314">
        <w:rPr>
          <w:b/>
          <w:noProof/>
        </w:rPr>
        <w:t xml:space="preserve">: </w:t>
      </w:r>
      <w:r w:rsidR="003F1B9E" w:rsidRPr="00D86314">
        <w:rPr>
          <w:noProof/>
        </w:rPr>
        <w:t xml:space="preserve">The Commission </w:t>
      </w:r>
      <w:r w:rsidR="00FA0D13" w:rsidRPr="00D86314">
        <w:rPr>
          <w:noProof/>
        </w:rPr>
        <w:t xml:space="preserve">will </w:t>
      </w:r>
      <w:r w:rsidR="00670CF9" w:rsidRPr="00D86314">
        <w:rPr>
          <w:noProof/>
        </w:rPr>
        <w:t xml:space="preserve">harmonise </w:t>
      </w:r>
      <w:r w:rsidR="005032F6" w:rsidRPr="00D86314">
        <w:rPr>
          <w:noProof/>
        </w:rPr>
        <w:t xml:space="preserve">certain </w:t>
      </w:r>
      <w:r w:rsidR="002227A9" w:rsidRPr="00D86314">
        <w:rPr>
          <w:noProof/>
        </w:rPr>
        <w:t xml:space="preserve">licencing </w:t>
      </w:r>
      <w:r w:rsidR="002F77D3" w:rsidRPr="00D86314">
        <w:rPr>
          <w:noProof/>
        </w:rPr>
        <w:t xml:space="preserve">processes and </w:t>
      </w:r>
      <w:r w:rsidR="007115B4" w:rsidRPr="00D86314">
        <w:rPr>
          <w:noProof/>
        </w:rPr>
        <w:t>conditions and</w:t>
      </w:r>
      <w:r w:rsidR="00A96059" w:rsidRPr="00D86314">
        <w:rPr>
          <w:noProof/>
        </w:rPr>
        <w:t xml:space="preserve"> </w:t>
      </w:r>
      <w:r w:rsidR="00D16307" w:rsidRPr="00D86314">
        <w:rPr>
          <w:noProof/>
        </w:rPr>
        <w:t xml:space="preserve">establish </w:t>
      </w:r>
      <w:r w:rsidR="006804B8" w:rsidRPr="00D86314">
        <w:rPr>
          <w:noProof/>
        </w:rPr>
        <w:t xml:space="preserve">the </w:t>
      </w:r>
      <w:r w:rsidR="0001758A" w:rsidRPr="00D86314">
        <w:rPr>
          <w:noProof/>
        </w:rPr>
        <w:t xml:space="preserve">EU spectrum </w:t>
      </w:r>
      <w:r w:rsidR="00862994" w:rsidRPr="00D86314">
        <w:rPr>
          <w:noProof/>
        </w:rPr>
        <w:t xml:space="preserve">strategy and </w:t>
      </w:r>
      <w:r w:rsidR="0001758A" w:rsidRPr="00D86314">
        <w:rPr>
          <w:noProof/>
        </w:rPr>
        <w:t>roadmap</w:t>
      </w:r>
      <w:r w:rsidR="00862994" w:rsidRPr="00D86314">
        <w:rPr>
          <w:noProof/>
        </w:rPr>
        <w:t>s</w:t>
      </w:r>
      <w:r w:rsidR="0001758A" w:rsidRPr="00D86314">
        <w:rPr>
          <w:noProof/>
        </w:rPr>
        <w:t xml:space="preserve"> </w:t>
      </w:r>
      <w:r w:rsidR="00E52281" w:rsidRPr="00D86314">
        <w:rPr>
          <w:noProof/>
        </w:rPr>
        <w:t xml:space="preserve">and monitor </w:t>
      </w:r>
      <w:r w:rsidR="00877BE2" w:rsidRPr="00D86314">
        <w:rPr>
          <w:noProof/>
        </w:rPr>
        <w:t>their</w:t>
      </w:r>
      <w:r w:rsidR="00E52281" w:rsidRPr="00D86314">
        <w:rPr>
          <w:noProof/>
        </w:rPr>
        <w:t xml:space="preserve"> implementation</w:t>
      </w:r>
      <w:r w:rsidR="008D3850" w:rsidRPr="00D86314">
        <w:rPr>
          <w:noProof/>
        </w:rPr>
        <w:t xml:space="preserve">, taking into account RSPG </w:t>
      </w:r>
      <w:r w:rsidR="007F41AF" w:rsidRPr="00D86314">
        <w:rPr>
          <w:noProof/>
        </w:rPr>
        <w:t>advice</w:t>
      </w:r>
      <w:r w:rsidR="008D3850" w:rsidRPr="00D86314">
        <w:rPr>
          <w:noProof/>
        </w:rPr>
        <w:t xml:space="preserve">. </w:t>
      </w:r>
      <w:r w:rsidR="00C4633A" w:rsidRPr="00D86314">
        <w:rPr>
          <w:noProof/>
        </w:rPr>
        <w:t>RSPG will be able to</w:t>
      </w:r>
      <w:r w:rsidR="00857258" w:rsidRPr="00D86314">
        <w:rPr>
          <w:noProof/>
        </w:rPr>
        <w:t xml:space="preserve"> </w:t>
      </w:r>
      <w:r w:rsidR="00E83F80" w:rsidRPr="00D86314">
        <w:rPr>
          <w:noProof/>
        </w:rPr>
        <w:t xml:space="preserve">take </w:t>
      </w:r>
      <w:r w:rsidR="00CA3898" w:rsidRPr="00D86314">
        <w:rPr>
          <w:noProof/>
        </w:rPr>
        <w:t>on</w:t>
      </w:r>
      <w:r w:rsidR="00E83F80" w:rsidRPr="00D86314">
        <w:rPr>
          <w:noProof/>
        </w:rPr>
        <w:t xml:space="preserve"> </w:t>
      </w:r>
      <w:r w:rsidR="00717624" w:rsidRPr="00D86314">
        <w:rPr>
          <w:noProof/>
        </w:rPr>
        <w:t xml:space="preserve">activities </w:t>
      </w:r>
      <w:r w:rsidR="00DF6BA6" w:rsidRPr="00D86314">
        <w:rPr>
          <w:noProof/>
        </w:rPr>
        <w:t>easier</w:t>
      </w:r>
      <w:r w:rsidR="00717624" w:rsidRPr="00D86314">
        <w:rPr>
          <w:noProof/>
        </w:rPr>
        <w:t xml:space="preserve"> as it will be supported </w:t>
      </w:r>
      <w:r w:rsidR="00C162EE" w:rsidRPr="00D86314">
        <w:rPr>
          <w:noProof/>
        </w:rPr>
        <w:t>by t</w:t>
      </w:r>
      <w:r w:rsidR="005D2F31" w:rsidRPr="00D86314">
        <w:rPr>
          <w:noProof/>
        </w:rPr>
        <w:t xml:space="preserve">he reinforced BEREC </w:t>
      </w:r>
      <w:r w:rsidR="00E0784B" w:rsidRPr="00D86314">
        <w:rPr>
          <w:noProof/>
        </w:rPr>
        <w:t>O</w:t>
      </w:r>
      <w:r w:rsidR="005D2F31" w:rsidRPr="00D86314">
        <w:rPr>
          <w:noProof/>
        </w:rPr>
        <w:t>ffice</w:t>
      </w:r>
      <w:r w:rsidR="00954F04" w:rsidRPr="00D86314">
        <w:rPr>
          <w:noProof/>
        </w:rPr>
        <w:t xml:space="preserve"> that </w:t>
      </w:r>
      <w:r w:rsidR="00E1615C" w:rsidRPr="00D86314">
        <w:rPr>
          <w:noProof/>
        </w:rPr>
        <w:t xml:space="preserve">will </w:t>
      </w:r>
      <w:r w:rsidR="00CC21AE" w:rsidRPr="00D86314">
        <w:rPr>
          <w:noProof/>
        </w:rPr>
        <w:t xml:space="preserve">help not just </w:t>
      </w:r>
      <w:r w:rsidR="00F532B0" w:rsidRPr="00D86314">
        <w:rPr>
          <w:noProof/>
        </w:rPr>
        <w:t>in</w:t>
      </w:r>
      <w:r w:rsidR="00CC21AE" w:rsidRPr="00D86314">
        <w:rPr>
          <w:noProof/>
        </w:rPr>
        <w:t xml:space="preserve"> </w:t>
      </w:r>
      <w:r w:rsidR="00D26398" w:rsidRPr="00D86314">
        <w:rPr>
          <w:noProof/>
        </w:rPr>
        <w:t xml:space="preserve">meeting organisation </w:t>
      </w:r>
      <w:r w:rsidR="008143DF" w:rsidRPr="00D86314">
        <w:rPr>
          <w:noProof/>
        </w:rPr>
        <w:t xml:space="preserve">but </w:t>
      </w:r>
      <w:r w:rsidR="00D04909" w:rsidRPr="00D86314">
        <w:rPr>
          <w:noProof/>
        </w:rPr>
        <w:t xml:space="preserve">will be able </w:t>
      </w:r>
      <w:r w:rsidR="001853A0" w:rsidRPr="00D86314">
        <w:rPr>
          <w:noProof/>
        </w:rPr>
        <w:t xml:space="preserve">take over </w:t>
      </w:r>
      <w:r w:rsidR="00707357" w:rsidRPr="00D86314">
        <w:rPr>
          <w:noProof/>
        </w:rPr>
        <w:t>some preparatory wo</w:t>
      </w:r>
      <w:r w:rsidR="009F7E9E" w:rsidRPr="00D86314">
        <w:rPr>
          <w:noProof/>
        </w:rPr>
        <w:t>rk</w:t>
      </w:r>
      <w:r w:rsidR="00004266" w:rsidRPr="00D86314">
        <w:rPr>
          <w:noProof/>
        </w:rPr>
        <w:t xml:space="preserve">, like </w:t>
      </w:r>
      <w:r w:rsidR="00D91749" w:rsidRPr="00D86314">
        <w:rPr>
          <w:noProof/>
        </w:rPr>
        <w:t>preparing</w:t>
      </w:r>
      <w:r w:rsidR="008D0DD7" w:rsidRPr="00D86314">
        <w:rPr>
          <w:noProof/>
        </w:rPr>
        <w:t xml:space="preserve"> first draft</w:t>
      </w:r>
      <w:r w:rsidR="004D3F8D" w:rsidRPr="00D86314">
        <w:rPr>
          <w:noProof/>
        </w:rPr>
        <w:t>s or summarising comments</w:t>
      </w:r>
      <w:r w:rsidR="00D1677C" w:rsidRPr="00D86314">
        <w:rPr>
          <w:noProof/>
        </w:rPr>
        <w:t>.</w:t>
      </w:r>
    </w:p>
    <w:p w14:paraId="50466D5E" w14:textId="4B2803EC" w:rsidR="00FE66E5" w:rsidRPr="00D86314" w:rsidRDefault="00096BEF" w:rsidP="001942EB">
      <w:pPr>
        <w:pStyle w:val="Text2"/>
        <w:numPr>
          <w:ilvl w:val="0"/>
          <w:numId w:val="35"/>
        </w:numPr>
        <w:spacing w:after="120"/>
        <w:rPr>
          <w:b/>
          <w:noProof/>
        </w:rPr>
      </w:pPr>
      <w:r w:rsidRPr="00D86314">
        <w:rPr>
          <w:noProof/>
        </w:rPr>
        <w:t xml:space="preserve">The </w:t>
      </w:r>
      <w:r w:rsidR="00586B42" w:rsidRPr="00D86314">
        <w:rPr>
          <w:noProof/>
        </w:rPr>
        <w:t xml:space="preserve">Commission as well as </w:t>
      </w:r>
      <w:r w:rsidR="006C532F" w:rsidRPr="00D86314">
        <w:rPr>
          <w:noProof/>
        </w:rPr>
        <w:t>RSPG</w:t>
      </w:r>
      <w:r w:rsidR="008167F7" w:rsidRPr="00D86314">
        <w:rPr>
          <w:noProof/>
        </w:rPr>
        <w:t xml:space="preserve"> and BEREC</w:t>
      </w:r>
      <w:r w:rsidR="002B4CAA" w:rsidRPr="00D86314">
        <w:rPr>
          <w:noProof/>
        </w:rPr>
        <w:t>, supported by the BEREC Office,</w:t>
      </w:r>
      <w:r w:rsidR="006C532F" w:rsidRPr="00D86314">
        <w:rPr>
          <w:noProof/>
        </w:rPr>
        <w:t xml:space="preserve"> will have to </w:t>
      </w:r>
      <w:r w:rsidR="00942E41" w:rsidRPr="00D86314">
        <w:rPr>
          <w:noProof/>
        </w:rPr>
        <w:t>analyse</w:t>
      </w:r>
      <w:r w:rsidR="00A320A8" w:rsidRPr="00D86314">
        <w:rPr>
          <w:noProof/>
        </w:rPr>
        <w:t xml:space="preserve"> </w:t>
      </w:r>
      <w:r w:rsidR="00D42D11" w:rsidRPr="00D86314">
        <w:rPr>
          <w:noProof/>
        </w:rPr>
        <w:t xml:space="preserve">draft </w:t>
      </w:r>
      <w:r w:rsidR="00A320A8" w:rsidRPr="00D86314">
        <w:rPr>
          <w:noProof/>
        </w:rPr>
        <w:t>measure</w:t>
      </w:r>
      <w:r w:rsidR="1B4BEFC6" w:rsidRPr="00D86314">
        <w:rPr>
          <w:noProof/>
        </w:rPr>
        <w:t>s</w:t>
      </w:r>
      <w:r w:rsidR="00A320A8" w:rsidRPr="00D86314">
        <w:rPr>
          <w:noProof/>
        </w:rPr>
        <w:t xml:space="preserve"> </w:t>
      </w:r>
      <w:r w:rsidR="00945DE5" w:rsidRPr="00D86314">
        <w:rPr>
          <w:noProof/>
        </w:rPr>
        <w:t xml:space="preserve">on auction designs </w:t>
      </w:r>
      <w:r w:rsidR="00A77BF9" w:rsidRPr="00D86314">
        <w:rPr>
          <w:noProof/>
        </w:rPr>
        <w:t xml:space="preserve">and conditions </w:t>
      </w:r>
      <w:r w:rsidR="00DE05DE" w:rsidRPr="00D86314">
        <w:rPr>
          <w:noProof/>
        </w:rPr>
        <w:t>and the</w:t>
      </w:r>
      <w:r w:rsidR="00D76F78" w:rsidRPr="00D86314">
        <w:rPr>
          <w:noProof/>
        </w:rPr>
        <w:t xml:space="preserve"> Commission </w:t>
      </w:r>
      <w:r w:rsidR="000B0252" w:rsidRPr="00D86314">
        <w:rPr>
          <w:noProof/>
        </w:rPr>
        <w:t xml:space="preserve">will </w:t>
      </w:r>
      <w:r w:rsidR="00DE05DE" w:rsidRPr="00D86314">
        <w:rPr>
          <w:noProof/>
        </w:rPr>
        <w:t xml:space="preserve">have the right to ask </w:t>
      </w:r>
      <w:r w:rsidR="5F8688DA" w:rsidRPr="00D86314">
        <w:rPr>
          <w:noProof/>
        </w:rPr>
        <w:t>the</w:t>
      </w:r>
      <w:r w:rsidR="00DE05DE" w:rsidRPr="00D86314">
        <w:rPr>
          <w:noProof/>
        </w:rPr>
        <w:t xml:space="preserve"> relevant </w:t>
      </w:r>
      <w:r w:rsidR="00D5131D" w:rsidRPr="00D86314">
        <w:rPr>
          <w:noProof/>
        </w:rPr>
        <w:t xml:space="preserve">competent authority to </w:t>
      </w:r>
      <w:r w:rsidR="005C6C38" w:rsidRPr="00D86314">
        <w:rPr>
          <w:noProof/>
        </w:rPr>
        <w:t xml:space="preserve">amend the </w:t>
      </w:r>
      <w:r w:rsidR="00A85D21" w:rsidRPr="00D86314">
        <w:rPr>
          <w:noProof/>
        </w:rPr>
        <w:t xml:space="preserve">draft </w:t>
      </w:r>
      <w:r w:rsidR="005C6C38" w:rsidRPr="00D86314">
        <w:rPr>
          <w:noProof/>
        </w:rPr>
        <w:t xml:space="preserve">measure </w:t>
      </w:r>
      <w:r w:rsidR="00B67595" w:rsidRPr="00D86314">
        <w:rPr>
          <w:noProof/>
        </w:rPr>
        <w:t xml:space="preserve">if </w:t>
      </w:r>
      <w:r w:rsidR="00B6389F" w:rsidRPr="00D86314">
        <w:rPr>
          <w:noProof/>
        </w:rPr>
        <w:t>it con</w:t>
      </w:r>
      <w:r w:rsidR="00A85D21" w:rsidRPr="00D86314">
        <w:rPr>
          <w:noProof/>
        </w:rPr>
        <w:t xml:space="preserve">tains </w:t>
      </w:r>
      <w:r w:rsidR="00BF0DF8" w:rsidRPr="00D86314">
        <w:rPr>
          <w:noProof/>
        </w:rPr>
        <w:t xml:space="preserve">elements </w:t>
      </w:r>
      <w:r w:rsidR="003A008F" w:rsidRPr="00D86314">
        <w:rPr>
          <w:noProof/>
        </w:rPr>
        <w:t xml:space="preserve">that </w:t>
      </w:r>
      <w:r w:rsidR="0011716B" w:rsidRPr="00D86314">
        <w:rPr>
          <w:noProof/>
        </w:rPr>
        <w:t>could be detrimental to a long</w:t>
      </w:r>
      <w:r w:rsidR="007154CD" w:rsidRPr="00D86314">
        <w:rPr>
          <w:noProof/>
        </w:rPr>
        <w:t>-</w:t>
      </w:r>
      <w:r w:rsidR="0011716B" w:rsidRPr="00D86314">
        <w:rPr>
          <w:noProof/>
        </w:rPr>
        <w:t xml:space="preserve">term sustainability of the </w:t>
      </w:r>
      <w:r w:rsidR="00C36884" w:rsidRPr="00D86314">
        <w:rPr>
          <w:noProof/>
        </w:rPr>
        <w:t>market</w:t>
      </w:r>
      <w:r w:rsidR="00FE7B83" w:rsidRPr="00D86314">
        <w:rPr>
          <w:noProof/>
        </w:rPr>
        <w:t xml:space="preserve"> or </w:t>
      </w:r>
      <w:r w:rsidR="00DC2440" w:rsidRPr="00D86314">
        <w:rPr>
          <w:noProof/>
        </w:rPr>
        <w:t xml:space="preserve">if the duration of rights would not guarantee </w:t>
      </w:r>
      <w:r w:rsidR="0042413D" w:rsidRPr="00D86314">
        <w:rPr>
          <w:noProof/>
        </w:rPr>
        <w:t>proper return on investments</w:t>
      </w:r>
      <w:r w:rsidR="00C36884" w:rsidRPr="00D86314">
        <w:rPr>
          <w:noProof/>
        </w:rPr>
        <w:t>.</w:t>
      </w:r>
      <w:r w:rsidR="005F79D3" w:rsidRPr="00D86314">
        <w:rPr>
          <w:noProof/>
        </w:rPr>
        <w:t xml:space="preserve"> </w:t>
      </w:r>
    </w:p>
    <w:p w14:paraId="7AE3EA24" w14:textId="16B4045F" w:rsidR="000B0250" w:rsidRPr="00D86314" w:rsidRDefault="000B0250" w:rsidP="001942EB">
      <w:pPr>
        <w:pStyle w:val="Text2"/>
        <w:numPr>
          <w:ilvl w:val="0"/>
          <w:numId w:val="35"/>
        </w:numPr>
        <w:spacing w:after="120"/>
        <w:rPr>
          <w:b/>
          <w:noProof/>
        </w:rPr>
      </w:pPr>
      <w:r w:rsidRPr="00D86314">
        <w:rPr>
          <w:b/>
          <w:noProof/>
        </w:rPr>
        <w:t>M</w:t>
      </w:r>
      <w:r w:rsidR="002976C2" w:rsidRPr="00D86314">
        <w:rPr>
          <w:b/>
          <w:noProof/>
        </w:rPr>
        <w:t xml:space="preserve">ember </w:t>
      </w:r>
      <w:r w:rsidRPr="00D86314">
        <w:rPr>
          <w:b/>
          <w:noProof/>
        </w:rPr>
        <w:t>S</w:t>
      </w:r>
      <w:r w:rsidR="002976C2" w:rsidRPr="00D86314">
        <w:rPr>
          <w:b/>
          <w:noProof/>
        </w:rPr>
        <w:t>tates’</w:t>
      </w:r>
      <w:r w:rsidRPr="00D86314">
        <w:rPr>
          <w:b/>
          <w:noProof/>
        </w:rPr>
        <w:t xml:space="preserve"> authorities: </w:t>
      </w:r>
      <w:r w:rsidRPr="00D86314">
        <w:rPr>
          <w:noProof/>
        </w:rPr>
        <w:t xml:space="preserve">For each planned auction, the </w:t>
      </w:r>
      <w:r w:rsidR="00C6750C" w:rsidRPr="00D86314">
        <w:rPr>
          <w:noProof/>
        </w:rPr>
        <w:t>competent authorities (</w:t>
      </w:r>
      <w:r w:rsidRPr="00D86314">
        <w:rPr>
          <w:noProof/>
        </w:rPr>
        <w:t>CAs</w:t>
      </w:r>
      <w:r w:rsidR="00C6750C" w:rsidRPr="00D86314">
        <w:rPr>
          <w:noProof/>
        </w:rPr>
        <w:t>)</w:t>
      </w:r>
      <w:r w:rsidRPr="00D86314">
        <w:rPr>
          <w:noProof/>
        </w:rPr>
        <w:t xml:space="preserve"> will need </w:t>
      </w:r>
      <w:r w:rsidR="00B347EB" w:rsidRPr="00D86314">
        <w:rPr>
          <w:noProof/>
        </w:rPr>
        <w:t>to submit</w:t>
      </w:r>
      <w:r w:rsidRPr="00D86314">
        <w:rPr>
          <w:noProof/>
        </w:rPr>
        <w:t xml:space="preserve"> a draft measure to the Commission</w:t>
      </w:r>
      <w:r w:rsidR="00B93861" w:rsidRPr="00D86314">
        <w:rPr>
          <w:noProof/>
        </w:rPr>
        <w:t>, BEREC</w:t>
      </w:r>
      <w:r w:rsidRPr="00D86314">
        <w:rPr>
          <w:noProof/>
        </w:rPr>
        <w:t xml:space="preserve"> and RSPG </w:t>
      </w:r>
      <w:r w:rsidR="00502BA2" w:rsidRPr="00D86314">
        <w:rPr>
          <w:noProof/>
        </w:rPr>
        <w:t>checking</w:t>
      </w:r>
      <w:r w:rsidRPr="00D86314">
        <w:rPr>
          <w:noProof/>
        </w:rPr>
        <w:t xml:space="preserve"> via BEREC Office, and they will need to change it if asked by the Commission. The CAs will need to follow the guidance given by the </w:t>
      </w:r>
      <w:r w:rsidR="00820B2B" w:rsidRPr="00D86314">
        <w:rPr>
          <w:noProof/>
        </w:rPr>
        <w:t xml:space="preserve">Commission </w:t>
      </w:r>
      <w:r w:rsidRPr="00D86314">
        <w:rPr>
          <w:noProof/>
        </w:rPr>
        <w:t xml:space="preserve">harmonisation </w:t>
      </w:r>
      <w:r w:rsidR="00F073D7" w:rsidRPr="00D86314">
        <w:rPr>
          <w:noProof/>
        </w:rPr>
        <w:t xml:space="preserve">acts </w:t>
      </w:r>
      <w:r w:rsidRPr="00D86314">
        <w:rPr>
          <w:noProof/>
        </w:rPr>
        <w:t>in designing authorisation processes and conditions. They will prepare national spectrum roadmaps implementing the EU roadmap</w:t>
      </w:r>
      <w:r w:rsidR="003B5D0E" w:rsidRPr="00D86314">
        <w:rPr>
          <w:noProof/>
        </w:rPr>
        <w:t>s</w:t>
      </w:r>
      <w:r w:rsidRPr="00D86314">
        <w:rPr>
          <w:noProof/>
        </w:rPr>
        <w:t xml:space="preserve"> and they will need to assign spectrum within defined timeframes. </w:t>
      </w:r>
      <w:r w:rsidR="00272DEC" w:rsidRPr="00D86314">
        <w:rPr>
          <w:noProof/>
        </w:rPr>
        <w:t>A</w:t>
      </w:r>
      <w:r w:rsidRPr="00D86314">
        <w:rPr>
          <w:noProof/>
        </w:rPr>
        <w:t xml:space="preserve"> Member State will be able to ask for RSPG assistance in cases of harmful interference from other Member State, and for support from the Commission and other Member States if the harmful interference is caused by a non-EU country. Member State will have to endeavour to stop or mitigate harmful interference to other Member States</w:t>
      </w:r>
      <w:r w:rsidR="0086336B" w:rsidRPr="00D86314">
        <w:rPr>
          <w:noProof/>
        </w:rPr>
        <w:t xml:space="preserve"> in </w:t>
      </w:r>
      <w:r w:rsidR="005F1319" w:rsidRPr="00D86314">
        <w:rPr>
          <w:noProof/>
        </w:rPr>
        <w:t>set deadlines</w:t>
      </w:r>
      <w:r w:rsidRPr="00D86314">
        <w:rPr>
          <w:noProof/>
        </w:rPr>
        <w:t xml:space="preserve">. </w:t>
      </w:r>
    </w:p>
    <w:p w14:paraId="6BDC071E" w14:textId="261987C8" w:rsidR="00C66583" w:rsidRPr="00D86314" w:rsidRDefault="00C66583" w:rsidP="001942EB">
      <w:pPr>
        <w:pStyle w:val="Text2"/>
        <w:numPr>
          <w:ilvl w:val="0"/>
          <w:numId w:val="35"/>
        </w:numPr>
        <w:spacing w:after="120"/>
        <w:rPr>
          <w:b/>
          <w:noProof/>
        </w:rPr>
      </w:pPr>
      <w:r w:rsidRPr="00D86314">
        <w:rPr>
          <w:b/>
          <w:noProof/>
        </w:rPr>
        <w:t>Operators</w:t>
      </w:r>
      <w:r w:rsidR="00820A6B" w:rsidRPr="00D86314">
        <w:rPr>
          <w:b/>
          <w:noProof/>
        </w:rPr>
        <w:t xml:space="preserve"> </w:t>
      </w:r>
      <w:r w:rsidR="00820A6B" w:rsidRPr="00D86314">
        <w:rPr>
          <w:noProof/>
        </w:rPr>
        <w:t xml:space="preserve">will </w:t>
      </w:r>
      <w:r w:rsidR="00C97A46" w:rsidRPr="00D86314">
        <w:rPr>
          <w:noProof/>
        </w:rPr>
        <w:t xml:space="preserve">benefit </w:t>
      </w:r>
      <w:r w:rsidR="00ED58E5" w:rsidRPr="00D86314">
        <w:rPr>
          <w:noProof/>
        </w:rPr>
        <w:t xml:space="preserve">from </w:t>
      </w:r>
      <w:r w:rsidR="00E97A1A" w:rsidRPr="00D86314">
        <w:rPr>
          <w:noProof/>
        </w:rPr>
        <w:t xml:space="preserve">more harmonised </w:t>
      </w:r>
      <w:r w:rsidR="00BE2E34" w:rsidRPr="00D86314">
        <w:rPr>
          <w:noProof/>
        </w:rPr>
        <w:t xml:space="preserve">spectrum </w:t>
      </w:r>
      <w:r w:rsidR="00F03CF9" w:rsidRPr="00D86314">
        <w:rPr>
          <w:noProof/>
        </w:rPr>
        <w:t xml:space="preserve">conditions </w:t>
      </w:r>
      <w:r w:rsidR="63C85AA6" w:rsidRPr="00D86314">
        <w:rPr>
          <w:noProof/>
        </w:rPr>
        <w:t>and</w:t>
      </w:r>
      <w:r w:rsidR="00D705DE" w:rsidRPr="00D86314">
        <w:rPr>
          <w:noProof/>
        </w:rPr>
        <w:t xml:space="preserve"> will be able to </w:t>
      </w:r>
      <w:r w:rsidR="004F3DEE" w:rsidRPr="00D86314">
        <w:rPr>
          <w:noProof/>
        </w:rPr>
        <w:t xml:space="preserve">scale up and provide their services </w:t>
      </w:r>
      <w:r w:rsidR="00331DAF" w:rsidRPr="00D86314">
        <w:rPr>
          <w:noProof/>
        </w:rPr>
        <w:t xml:space="preserve">in </w:t>
      </w:r>
      <w:r w:rsidR="2E04E787" w:rsidRPr="00D86314">
        <w:rPr>
          <w:noProof/>
        </w:rPr>
        <w:t>other Member States</w:t>
      </w:r>
      <w:r w:rsidR="0036114E" w:rsidRPr="00D86314">
        <w:rPr>
          <w:noProof/>
        </w:rPr>
        <w:t xml:space="preserve">. </w:t>
      </w:r>
      <w:r w:rsidR="005F1319" w:rsidRPr="00D86314">
        <w:rPr>
          <w:noProof/>
        </w:rPr>
        <w:t xml:space="preserve">Unlimited </w:t>
      </w:r>
      <w:r w:rsidR="00A877A6" w:rsidRPr="00D86314">
        <w:rPr>
          <w:noProof/>
        </w:rPr>
        <w:t>licence</w:t>
      </w:r>
      <w:r w:rsidR="00966BC6" w:rsidRPr="00D86314">
        <w:rPr>
          <w:noProof/>
        </w:rPr>
        <w:t xml:space="preserve"> </w:t>
      </w:r>
      <w:r w:rsidR="00AF1DF9" w:rsidRPr="00D86314">
        <w:rPr>
          <w:noProof/>
        </w:rPr>
        <w:t xml:space="preserve">duration </w:t>
      </w:r>
      <w:r w:rsidR="00A877A6" w:rsidRPr="00D86314">
        <w:rPr>
          <w:noProof/>
        </w:rPr>
        <w:t>or l</w:t>
      </w:r>
      <w:r w:rsidR="00E01EF4" w:rsidRPr="00D86314">
        <w:rPr>
          <w:noProof/>
        </w:rPr>
        <w:t>onger</w:t>
      </w:r>
      <w:r w:rsidR="00966BC6" w:rsidRPr="00D86314">
        <w:rPr>
          <w:noProof/>
        </w:rPr>
        <w:t xml:space="preserve"> </w:t>
      </w:r>
      <w:r w:rsidR="008C4B0A" w:rsidRPr="00D86314">
        <w:rPr>
          <w:noProof/>
        </w:rPr>
        <w:t xml:space="preserve">licence </w:t>
      </w:r>
      <w:r w:rsidR="00AF1DF9" w:rsidRPr="00D86314">
        <w:rPr>
          <w:noProof/>
        </w:rPr>
        <w:t>duration</w:t>
      </w:r>
      <w:r w:rsidR="00C572A7" w:rsidRPr="00D86314">
        <w:rPr>
          <w:noProof/>
        </w:rPr>
        <w:t xml:space="preserve"> with easier </w:t>
      </w:r>
      <w:r w:rsidR="006B0631" w:rsidRPr="00D86314">
        <w:rPr>
          <w:noProof/>
        </w:rPr>
        <w:t>renew</w:t>
      </w:r>
      <w:r w:rsidR="00607D26" w:rsidRPr="00D86314">
        <w:rPr>
          <w:noProof/>
        </w:rPr>
        <w:t>al</w:t>
      </w:r>
      <w:r w:rsidR="00FF0DAD" w:rsidRPr="00D86314">
        <w:rPr>
          <w:noProof/>
        </w:rPr>
        <w:t xml:space="preserve"> possibility</w:t>
      </w:r>
      <w:r w:rsidR="006B0631" w:rsidRPr="00D86314">
        <w:rPr>
          <w:noProof/>
        </w:rPr>
        <w:t xml:space="preserve"> </w:t>
      </w:r>
      <w:r w:rsidR="00AD3FD7" w:rsidRPr="00D86314">
        <w:rPr>
          <w:noProof/>
        </w:rPr>
        <w:t xml:space="preserve">will give </w:t>
      </w:r>
      <w:r w:rsidR="004149F4" w:rsidRPr="00D86314">
        <w:rPr>
          <w:noProof/>
        </w:rPr>
        <w:t>operators</w:t>
      </w:r>
      <w:r w:rsidR="00AD3FD7" w:rsidRPr="00D86314">
        <w:rPr>
          <w:noProof/>
        </w:rPr>
        <w:t xml:space="preserve"> certainty </w:t>
      </w:r>
      <w:r w:rsidR="00913F5C" w:rsidRPr="00D86314">
        <w:rPr>
          <w:noProof/>
        </w:rPr>
        <w:t xml:space="preserve">and stability </w:t>
      </w:r>
      <w:r w:rsidR="00020F17" w:rsidRPr="00D86314">
        <w:rPr>
          <w:noProof/>
        </w:rPr>
        <w:t xml:space="preserve">for long-term </w:t>
      </w:r>
      <w:r w:rsidR="00AD3DB2" w:rsidRPr="00D86314">
        <w:rPr>
          <w:noProof/>
        </w:rPr>
        <w:t xml:space="preserve">investment planning </w:t>
      </w:r>
      <w:r w:rsidR="007A32C1" w:rsidRPr="00D86314">
        <w:rPr>
          <w:noProof/>
        </w:rPr>
        <w:t xml:space="preserve">without </w:t>
      </w:r>
      <w:r w:rsidR="0023116D" w:rsidRPr="00D86314">
        <w:rPr>
          <w:noProof/>
        </w:rPr>
        <w:t xml:space="preserve">uncertainty </w:t>
      </w:r>
      <w:r w:rsidR="00786585" w:rsidRPr="00D86314">
        <w:rPr>
          <w:noProof/>
        </w:rPr>
        <w:t>brought by</w:t>
      </w:r>
      <w:r w:rsidR="00B90B4A" w:rsidRPr="00D86314">
        <w:rPr>
          <w:noProof/>
        </w:rPr>
        <w:t xml:space="preserve"> periodical</w:t>
      </w:r>
      <w:r w:rsidR="00B37C8B" w:rsidRPr="00D86314">
        <w:rPr>
          <w:noProof/>
        </w:rPr>
        <w:t xml:space="preserve"> </w:t>
      </w:r>
      <w:r w:rsidR="00B90B4A" w:rsidRPr="00D86314">
        <w:rPr>
          <w:noProof/>
        </w:rPr>
        <w:t>reauct</w:t>
      </w:r>
      <w:r w:rsidR="00B37C8B" w:rsidRPr="00D86314">
        <w:rPr>
          <w:noProof/>
        </w:rPr>
        <w:t xml:space="preserve">ioning </w:t>
      </w:r>
      <w:r w:rsidR="0015478D" w:rsidRPr="00D86314">
        <w:rPr>
          <w:noProof/>
        </w:rPr>
        <w:t>of spectrum</w:t>
      </w:r>
      <w:r w:rsidR="00CC410F" w:rsidRPr="00D86314">
        <w:rPr>
          <w:noProof/>
        </w:rPr>
        <w:t xml:space="preserve">. </w:t>
      </w:r>
      <w:r w:rsidR="008D5043" w:rsidRPr="00D86314">
        <w:rPr>
          <w:noProof/>
        </w:rPr>
        <w:t>Operators</w:t>
      </w:r>
      <w:r w:rsidR="003E2FFD" w:rsidRPr="00D86314">
        <w:rPr>
          <w:noProof/>
        </w:rPr>
        <w:t xml:space="preserve"> will </w:t>
      </w:r>
      <w:r w:rsidR="00CE2852" w:rsidRPr="00D86314">
        <w:rPr>
          <w:noProof/>
        </w:rPr>
        <w:t xml:space="preserve">not </w:t>
      </w:r>
      <w:r w:rsidR="003E6970" w:rsidRPr="00D86314">
        <w:rPr>
          <w:noProof/>
        </w:rPr>
        <w:t>be</w:t>
      </w:r>
      <w:r w:rsidR="00CE2852" w:rsidRPr="00D86314">
        <w:rPr>
          <w:noProof/>
        </w:rPr>
        <w:t xml:space="preserve"> obliged to</w:t>
      </w:r>
      <w:r w:rsidR="003E2FFD" w:rsidRPr="00D86314">
        <w:rPr>
          <w:noProof/>
        </w:rPr>
        <w:t xml:space="preserve"> </w:t>
      </w:r>
      <w:r w:rsidR="00CE1BBB" w:rsidRPr="00D86314">
        <w:rPr>
          <w:noProof/>
        </w:rPr>
        <w:t xml:space="preserve">pay </w:t>
      </w:r>
      <w:r w:rsidR="00380D93" w:rsidRPr="00D86314">
        <w:rPr>
          <w:noProof/>
        </w:rPr>
        <w:t xml:space="preserve">exorbitant prices </w:t>
      </w:r>
      <w:r w:rsidR="007573E8" w:rsidRPr="00D86314">
        <w:rPr>
          <w:noProof/>
        </w:rPr>
        <w:t xml:space="preserve">for new spectrum </w:t>
      </w:r>
      <w:r w:rsidR="001F555E" w:rsidRPr="00D86314">
        <w:rPr>
          <w:noProof/>
        </w:rPr>
        <w:t xml:space="preserve">as </w:t>
      </w:r>
      <w:r w:rsidR="004D2B51" w:rsidRPr="00D86314">
        <w:rPr>
          <w:noProof/>
        </w:rPr>
        <w:t xml:space="preserve">pro-investment </w:t>
      </w:r>
      <w:r w:rsidR="00BC5F2C" w:rsidRPr="00D86314">
        <w:rPr>
          <w:noProof/>
        </w:rPr>
        <w:t xml:space="preserve">auction design and </w:t>
      </w:r>
      <w:r w:rsidR="001E488C" w:rsidRPr="00D86314">
        <w:rPr>
          <w:noProof/>
        </w:rPr>
        <w:t xml:space="preserve">conditions </w:t>
      </w:r>
      <w:r w:rsidR="006359D6" w:rsidRPr="00D86314">
        <w:rPr>
          <w:noProof/>
        </w:rPr>
        <w:t xml:space="preserve">will </w:t>
      </w:r>
      <w:r w:rsidR="00A1579B" w:rsidRPr="00D86314">
        <w:rPr>
          <w:noProof/>
        </w:rPr>
        <w:t>apply</w:t>
      </w:r>
      <w:r w:rsidR="008C4172" w:rsidRPr="00D86314">
        <w:rPr>
          <w:noProof/>
        </w:rPr>
        <w:t xml:space="preserve"> and be</w:t>
      </w:r>
      <w:r w:rsidR="757CB964" w:rsidRPr="00D86314">
        <w:rPr>
          <w:noProof/>
        </w:rPr>
        <w:t xml:space="preserve"> </w:t>
      </w:r>
      <w:r w:rsidR="00F30F3B" w:rsidRPr="00D86314">
        <w:rPr>
          <w:noProof/>
        </w:rPr>
        <w:t xml:space="preserve">ex ante </w:t>
      </w:r>
      <w:r w:rsidR="00D5786F" w:rsidRPr="00D86314">
        <w:rPr>
          <w:noProof/>
        </w:rPr>
        <w:t>chec</w:t>
      </w:r>
      <w:r w:rsidR="0007281B" w:rsidRPr="00D86314">
        <w:rPr>
          <w:noProof/>
        </w:rPr>
        <w:t>ked</w:t>
      </w:r>
      <w:r w:rsidR="00F30F3B" w:rsidRPr="00D86314">
        <w:rPr>
          <w:noProof/>
        </w:rPr>
        <w:t xml:space="preserve"> by the Commission</w:t>
      </w:r>
      <w:r w:rsidR="0007281B" w:rsidRPr="00D86314">
        <w:rPr>
          <w:noProof/>
        </w:rPr>
        <w:t>,</w:t>
      </w:r>
      <w:r w:rsidR="00F30F3B" w:rsidRPr="00D86314">
        <w:rPr>
          <w:noProof/>
        </w:rPr>
        <w:t xml:space="preserve"> </w:t>
      </w:r>
      <w:r w:rsidR="00CA7CC3" w:rsidRPr="00D86314">
        <w:rPr>
          <w:noProof/>
        </w:rPr>
        <w:t>RSPG</w:t>
      </w:r>
      <w:r w:rsidR="00F30F3B" w:rsidRPr="00D86314">
        <w:rPr>
          <w:noProof/>
        </w:rPr>
        <w:t xml:space="preserve"> and </w:t>
      </w:r>
      <w:r w:rsidR="0007281B" w:rsidRPr="00D86314">
        <w:rPr>
          <w:noProof/>
        </w:rPr>
        <w:t>BEREC</w:t>
      </w:r>
      <w:r w:rsidR="00CA7CC3" w:rsidRPr="00D86314">
        <w:rPr>
          <w:noProof/>
        </w:rPr>
        <w:t>.</w:t>
      </w:r>
      <w:r w:rsidR="00A83955" w:rsidRPr="00D86314">
        <w:rPr>
          <w:noProof/>
        </w:rPr>
        <w:t xml:space="preserve"> </w:t>
      </w:r>
      <w:r w:rsidR="005B0B93" w:rsidRPr="00D86314">
        <w:rPr>
          <w:noProof/>
        </w:rPr>
        <w:t>T</w:t>
      </w:r>
      <w:r w:rsidR="00D12111" w:rsidRPr="00D86314">
        <w:rPr>
          <w:noProof/>
        </w:rPr>
        <w:t>he spectrum roadmaps</w:t>
      </w:r>
      <w:r w:rsidR="009B6305" w:rsidRPr="00D86314">
        <w:rPr>
          <w:noProof/>
        </w:rPr>
        <w:t xml:space="preserve"> </w:t>
      </w:r>
      <w:r w:rsidR="00A66621" w:rsidRPr="00D86314">
        <w:rPr>
          <w:noProof/>
        </w:rPr>
        <w:t xml:space="preserve">will provide </w:t>
      </w:r>
      <w:r w:rsidR="00200F11" w:rsidRPr="00D86314">
        <w:rPr>
          <w:noProof/>
        </w:rPr>
        <w:t xml:space="preserve">operators with </w:t>
      </w:r>
      <w:r w:rsidR="00982F0D" w:rsidRPr="00D86314">
        <w:rPr>
          <w:noProof/>
        </w:rPr>
        <w:t xml:space="preserve">information </w:t>
      </w:r>
      <w:r w:rsidR="00F66F0F" w:rsidRPr="00D86314">
        <w:rPr>
          <w:noProof/>
        </w:rPr>
        <w:t xml:space="preserve">when a particular band </w:t>
      </w:r>
      <w:r w:rsidR="00BB4630" w:rsidRPr="00D86314">
        <w:rPr>
          <w:noProof/>
        </w:rPr>
        <w:t>becomes</w:t>
      </w:r>
      <w:r w:rsidR="00F66F0F" w:rsidRPr="00D86314">
        <w:rPr>
          <w:noProof/>
        </w:rPr>
        <w:t xml:space="preserve"> available </w:t>
      </w:r>
      <w:r w:rsidR="00053DB5" w:rsidRPr="00D86314">
        <w:rPr>
          <w:noProof/>
        </w:rPr>
        <w:t xml:space="preserve">so </w:t>
      </w:r>
      <w:r w:rsidR="00F910B4" w:rsidRPr="00D86314">
        <w:rPr>
          <w:noProof/>
        </w:rPr>
        <w:t xml:space="preserve">they </w:t>
      </w:r>
      <w:r w:rsidR="0059514E" w:rsidRPr="00D86314">
        <w:rPr>
          <w:noProof/>
        </w:rPr>
        <w:t xml:space="preserve">could easier plan </w:t>
      </w:r>
      <w:r w:rsidR="002B58D9" w:rsidRPr="00D86314">
        <w:rPr>
          <w:noProof/>
        </w:rPr>
        <w:t>the</w:t>
      </w:r>
      <w:r w:rsidR="00303A59" w:rsidRPr="00D86314">
        <w:rPr>
          <w:noProof/>
        </w:rPr>
        <w:t>ir</w:t>
      </w:r>
      <w:r w:rsidR="002B58D9" w:rsidRPr="00D86314">
        <w:rPr>
          <w:noProof/>
        </w:rPr>
        <w:t xml:space="preserve"> investments.</w:t>
      </w:r>
      <w:r w:rsidR="00A66621" w:rsidRPr="00D86314">
        <w:rPr>
          <w:noProof/>
        </w:rPr>
        <w:t xml:space="preserve"> </w:t>
      </w:r>
      <w:r w:rsidR="00CB4FEB" w:rsidRPr="00D86314">
        <w:rPr>
          <w:noProof/>
        </w:rPr>
        <w:t xml:space="preserve">Operators and other </w:t>
      </w:r>
      <w:r w:rsidR="00287A52" w:rsidRPr="00D86314">
        <w:rPr>
          <w:noProof/>
        </w:rPr>
        <w:t>spectrum user</w:t>
      </w:r>
      <w:r w:rsidR="008941C3" w:rsidRPr="00D86314">
        <w:rPr>
          <w:noProof/>
        </w:rPr>
        <w:t xml:space="preserve">s will </w:t>
      </w:r>
      <w:r w:rsidR="00027349" w:rsidRPr="00D86314">
        <w:rPr>
          <w:noProof/>
        </w:rPr>
        <w:t>timely</w:t>
      </w:r>
      <w:r w:rsidR="000804E1" w:rsidRPr="00D86314">
        <w:rPr>
          <w:noProof/>
        </w:rPr>
        <w:t xml:space="preserve"> benefit </w:t>
      </w:r>
      <w:r w:rsidR="00897124" w:rsidRPr="00D86314">
        <w:rPr>
          <w:noProof/>
        </w:rPr>
        <w:t>from interfere</w:t>
      </w:r>
      <w:r w:rsidR="004C7A90" w:rsidRPr="00D86314">
        <w:rPr>
          <w:noProof/>
        </w:rPr>
        <w:t xml:space="preserve">nce </w:t>
      </w:r>
      <w:r w:rsidR="009745DA" w:rsidRPr="00D86314">
        <w:rPr>
          <w:noProof/>
        </w:rPr>
        <w:t xml:space="preserve">free environment </w:t>
      </w:r>
      <w:r w:rsidR="00053814" w:rsidRPr="00D86314">
        <w:rPr>
          <w:noProof/>
        </w:rPr>
        <w:t>alo</w:t>
      </w:r>
      <w:r w:rsidR="008D4544" w:rsidRPr="00D86314">
        <w:rPr>
          <w:noProof/>
        </w:rPr>
        <w:t>n</w:t>
      </w:r>
      <w:r w:rsidR="00053814" w:rsidRPr="00D86314">
        <w:rPr>
          <w:noProof/>
        </w:rPr>
        <w:t xml:space="preserve">g the </w:t>
      </w:r>
      <w:r w:rsidR="008A4CB6" w:rsidRPr="00D86314">
        <w:rPr>
          <w:noProof/>
        </w:rPr>
        <w:t xml:space="preserve">Member States’ borders. </w:t>
      </w:r>
    </w:p>
    <w:p w14:paraId="0890EC8C" w14:textId="584809D2" w:rsidR="002C3FD3" w:rsidRPr="00D86314" w:rsidRDefault="002C3FD3" w:rsidP="001942EB">
      <w:pPr>
        <w:pStyle w:val="Text2"/>
        <w:numPr>
          <w:ilvl w:val="0"/>
          <w:numId w:val="35"/>
        </w:numPr>
        <w:spacing w:after="120"/>
        <w:rPr>
          <w:noProof/>
        </w:rPr>
      </w:pPr>
      <w:r w:rsidRPr="00D86314">
        <w:rPr>
          <w:b/>
          <w:noProof/>
        </w:rPr>
        <w:t>Innovators</w:t>
      </w:r>
      <w:r w:rsidR="00B670A3" w:rsidRPr="00D86314">
        <w:rPr>
          <w:b/>
          <w:noProof/>
        </w:rPr>
        <w:t xml:space="preserve"> </w:t>
      </w:r>
      <w:r w:rsidR="00CB1A8E" w:rsidRPr="00D86314">
        <w:rPr>
          <w:noProof/>
        </w:rPr>
        <w:t xml:space="preserve">will </w:t>
      </w:r>
      <w:r w:rsidR="00260BF5" w:rsidRPr="00D86314">
        <w:rPr>
          <w:noProof/>
        </w:rPr>
        <w:t xml:space="preserve">be able to </w:t>
      </w:r>
      <w:r w:rsidR="00F1342B" w:rsidRPr="00D86314">
        <w:rPr>
          <w:noProof/>
        </w:rPr>
        <w:t>obtain</w:t>
      </w:r>
      <w:r w:rsidR="00AE1F72" w:rsidRPr="00D86314">
        <w:rPr>
          <w:noProof/>
        </w:rPr>
        <w:t xml:space="preserve"> </w:t>
      </w:r>
      <w:r w:rsidR="00E3178C" w:rsidRPr="00D86314">
        <w:rPr>
          <w:noProof/>
        </w:rPr>
        <w:t xml:space="preserve">access to </w:t>
      </w:r>
      <w:r w:rsidR="00057B93" w:rsidRPr="00D86314">
        <w:rPr>
          <w:noProof/>
        </w:rPr>
        <w:t xml:space="preserve">spectrum easier </w:t>
      </w:r>
      <w:r w:rsidR="00A16D9D" w:rsidRPr="00D86314">
        <w:rPr>
          <w:noProof/>
        </w:rPr>
        <w:t xml:space="preserve">and for the </w:t>
      </w:r>
      <w:r w:rsidR="00562C5A" w:rsidRPr="00D86314">
        <w:rPr>
          <w:noProof/>
        </w:rPr>
        <w:t xml:space="preserve">time </w:t>
      </w:r>
      <w:r w:rsidR="00B37DA9" w:rsidRPr="00D86314">
        <w:rPr>
          <w:noProof/>
        </w:rPr>
        <w:t xml:space="preserve">they need it. </w:t>
      </w:r>
      <w:r w:rsidR="008A78F1" w:rsidRPr="00D86314">
        <w:rPr>
          <w:noProof/>
        </w:rPr>
        <w:t xml:space="preserve">They will be able to initiate </w:t>
      </w:r>
      <w:r w:rsidR="00E61333" w:rsidRPr="00D86314">
        <w:rPr>
          <w:noProof/>
        </w:rPr>
        <w:t xml:space="preserve">the </w:t>
      </w:r>
      <w:r w:rsidR="00C962CD" w:rsidRPr="00D86314">
        <w:rPr>
          <w:noProof/>
        </w:rPr>
        <w:t xml:space="preserve">process </w:t>
      </w:r>
      <w:r w:rsidR="00974C2C" w:rsidRPr="00D86314">
        <w:rPr>
          <w:noProof/>
        </w:rPr>
        <w:t xml:space="preserve">under which the current </w:t>
      </w:r>
      <w:r w:rsidR="00426A6A" w:rsidRPr="00D86314">
        <w:rPr>
          <w:noProof/>
        </w:rPr>
        <w:t xml:space="preserve">use of </w:t>
      </w:r>
      <w:r w:rsidR="00CB50A2" w:rsidRPr="00D86314">
        <w:rPr>
          <w:noProof/>
        </w:rPr>
        <w:t xml:space="preserve">particular </w:t>
      </w:r>
      <w:r w:rsidR="002177DD" w:rsidRPr="00D86314">
        <w:rPr>
          <w:noProof/>
        </w:rPr>
        <w:t xml:space="preserve">spectrum </w:t>
      </w:r>
      <w:r w:rsidR="00CB50A2" w:rsidRPr="00D86314">
        <w:rPr>
          <w:noProof/>
        </w:rPr>
        <w:t xml:space="preserve">band </w:t>
      </w:r>
      <w:r w:rsidR="00974C2C" w:rsidRPr="00D86314">
        <w:rPr>
          <w:noProof/>
        </w:rPr>
        <w:t xml:space="preserve">could be </w:t>
      </w:r>
      <w:r w:rsidR="004D4F24" w:rsidRPr="00D86314">
        <w:rPr>
          <w:noProof/>
        </w:rPr>
        <w:t>reconsidered</w:t>
      </w:r>
      <w:r w:rsidR="00D82109" w:rsidRPr="00D86314">
        <w:rPr>
          <w:noProof/>
        </w:rPr>
        <w:t xml:space="preserve"> and if relevant changed</w:t>
      </w:r>
      <w:r w:rsidR="00426A6A" w:rsidRPr="00D86314">
        <w:rPr>
          <w:noProof/>
        </w:rPr>
        <w:t>.</w:t>
      </w:r>
    </w:p>
    <w:p w14:paraId="2947BD41" w14:textId="77777777" w:rsidR="00C66583" w:rsidRPr="00D86314" w:rsidRDefault="00C66583" w:rsidP="00AA6AB6">
      <w:pPr>
        <w:pStyle w:val="Text2"/>
        <w:spacing w:after="120"/>
        <w:ind w:left="0"/>
        <w:rPr>
          <w:b/>
          <w:noProof/>
        </w:rPr>
      </w:pPr>
      <w:r w:rsidRPr="00D86314">
        <w:rPr>
          <w:b/>
          <w:noProof/>
        </w:rPr>
        <w:t>Satellite measures: practical implications for:</w:t>
      </w:r>
    </w:p>
    <w:p w14:paraId="0852BBD1" w14:textId="643C48B8" w:rsidR="00185D0E" w:rsidRPr="00D86314" w:rsidRDefault="00611CC9" w:rsidP="001942EB">
      <w:pPr>
        <w:pStyle w:val="Text2"/>
        <w:numPr>
          <w:ilvl w:val="0"/>
          <w:numId w:val="40"/>
        </w:numPr>
        <w:spacing w:after="120"/>
        <w:rPr>
          <w:noProof/>
        </w:rPr>
      </w:pPr>
      <w:r w:rsidRPr="00D86314">
        <w:rPr>
          <w:b/>
          <w:noProof/>
        </w:rPr>
        <w:t xml:space="preserve">Satellite </w:t>
      </w:r>
      <w:r w:rsidR="00C66583" w:rsidRPr="00D86314">
        <w:rPr>
          <w:b/>
          <w:noProof/>
        </w:rPr>
        <w:t>Operators</w:t>
      </w:r>
      <w:r w:rsidR="00E70245" w:rsidRPr="00D86314">
        <w:rPr>
          <w:b/>
          <w:noProof/>
        </w:rPr>
        <w:t xml:space="preserve"> </w:t>
      </w:r>
      <w:r w:rsidR="00416AA9" w:rsidRPr="00D86314">
        <w:rPr>
          <w:noProof/>
        </w:rPr>
        <w:t xml:space="preserve">will </w:t>
      </w:r>
      <w:r w:rsidR="002A7E7D" w:rsidRPr="00D86314">
        <w:rPr>
          <w:noProof/>
        </w:rPr>
        <w:t xml:space="preserve">face </w:t>
      </w:r>
      <w:r w:rsidR="0025243E" w:rsidRPr="00D86314">
        <w:rPr>
          <w:noProof/>
        </w:rPr>
        <w:t>reduced</w:t>
      </w:r>
      <w:r w:rsidR="002A7E7D" w:rsidRPr="00D86314">
        <w:rPr>
          <w:noProof/>
        </w:rPr>
        <w:t xml:space="preserve"> regulatory burden to access satellite spectrum</w:t>
      </w:r>
      <w:r w:rsidR="00523305" w:rsidRPr="00D86314">
        <w:rPr>
          <w:noProof/>
        </w:rPr>
        <w:t xml:space="preserve"> as a single authorisation </w:t>
      </w:r>
      <w:r w:rsidR="000E1DAB" w:rsidRPr="00D86314">
        <w:rPr>
          <w:noProof/>
        </w:rPr>
        <w:t xml:space="preserve">will be granted by </w:t>
      </w:r>
      <w:r w:rsidR="005E4E9B" w:rsidRPr="00D86314">
        <w:rPr>
          <w:noProof/>
        </w:rPr>
        <w:t>a</w:t>
      </w:r>
      <w:r w:rsidR="00AE1967" w:rsidRPr="00D86314">
        <w:rPr>
          <w:noProof/>
        </w:rPr>
        <w:t xml:space="preserve"> </w:t>
      </w:r>
      <w:r w:rsidR="005E4E9B" w:rsidRPr="00D86314">
        <w:rPr>
          <w:noProof/>
        </w:rPr>
        <w:t>single</w:t>
      </w:r>
      <w:r w:rsidR="008E411C" w:rsidRPr="00D86314">
        <w:rPr>
          <w:noProof/>
        </w:rPr>
        <w:t xml:space="preserve"> </w:t>
      </w:r>
      <w:r w:rsidR="000E1DAB" w:rsidRPr="00D86314">
        <w:rPr>
          <w:noProof/>
        </w:rPr>
        <w:t>European authority</w:t>
      </w:r>
      <w:r w:rsidR="002A7E7D" w:rsidRPr="00D86314">
        <w:rPr>
          <w:noProof/>
        </w:rPr>
        <w:t>.</w:t>
      </w:r>
      <w:r w:rsidR="002A7E7D" w:rsidRPr="00D86314">
        <w:rPr>
          <w:b/>
          <w:noProof/>
        </w:rPr>
        <w:t xml:space="preserve"> </w:t>
      </w:r>
      <w:r w:rsidR="002251A5" w:rsidRPr="00D86314">
        <w:rPr>
          <w:noProof/>
        </w:rPr>
        <w:t>This consistent</w:t>
      </w:r>
      <w:r w:rsidR="002251A5" w:rsidRPr="00D86314">
        <w:rPr>
          <w:b/>
          <w:noProof/>
        </w:rPr>
        <w:t xml:space="preserve"> </w:t>
      </w:r>
      <w:r w:rsidR="000D61D1" w:rsidRPr="00D86314">
        <w:rPr>
          <w:noProof/>
        </w:rPr>
        <w:t xml:space="preserve">and harmonised regulatory framework </w:t>
      </w:r>
      <w:r w:rsidR="000E78C7" w:rsidRPr="00D86314">
        <w:rPr>
          <w:noProof/>
        </w:rPr>
        <w:t>in</w:t>
      </w:r>
      <w:r w:rsidR="00884DF2" w:rsidRPr="00D86314">
        <w:rPr>
          <w:noProof/>
        </w:rPr>
        <w:t xml:space="preserve"> space communi</w:t>
      </w:r>
      <w:r w:rsidR="00C82FEE" w:rsidRPr="00D86314">
        <w:rPr>
          <w:noProof/>
        </w:rPr>
        <w:t xml:space="preserve">cations </w:t>
      </w:r>
      <w:r w:rsidR="007E6383" w:rsidRPr="00D86314">
        <w:rPr>
          <w:noProof/>
        </w:rPr>
        <w:t xml:space="preserve">across the EU </w:t>
      </w:r>
      <w:r w:rsidR="00745796" w:rsidRPr="00D86314">
        <w:rPr>
          <w:noProof/>
        </w:rPr>
        <w:t>will</w:t>
      </w:r>
      <w:r w:rsidR="00EF5F8D" w:rsidRPr="00D86314">
        <w:rPr>
          <w:noProof/>
        </w:rPr>
        <w:t>, together with the EU Space Act,</w:t>
      </w:r>
      <w:r w:rsidR="00745796" w:rsidRPr="00D86314">
        <w:rPr>
          <w:b/>
          <w:noProof/>
        </w:rPr>
        <w:t xml:space="preserve"> </w:t>
      </w:r>
      <w:r w:rsidR="00234B9B" w:rsidRPr="00D86314">
        <w:rPr>
          <w:noProof/>
        </w:rPr>
        <w:t>facilitate</w:t>
      </w:r>
      <w:r w:rsidR="00234B9B" w:rsidRPr="00D86314">
        <w:rPr>
          <w:b/>
          <w:noProof/>
        </w:rPr>
        <w:t xml:space="preserve"> </w:t>
      </w:r>
      <w:r w:rsidR="00272236" w:rsidRPr="00D86314">
        <w:rPr>
          <w:noProof/>
        </w:rPr>
        <w:t>the deployment of European</w:t>
      </w:r>
      <w:r w:rsidR="00272236" w:rsidRPr="00D86314">
        <w:rPr>
          <w:b/>
          <w:noProof/>
        </w:rPr>
        <w:t xml:space="preserve"> </w:t>
      </w:r>
      <w:r w:rsidR="00E70245" w:rsidRPr="00D86314">
        <w:rPr>
          <w:noProof/>
        </w:rPr>
        <w:t xml:space="preserve">LEO </w:t>
      </w:r>
      <w:r w:rsidR="00B11413" w:rsidRPr="00D86314">
        <w:rPr>
          <w:noProof/>
        </w:rPr>
        <w:t>(</w:t>
      </w:r>
      <w:r w:rsidR="00A75015" w:rsidRPr="00D86314">
        <w:rPr>
          <w:noProof/>
        </w:rPr>
        <w:t>Low-Earth Orbit)</w:t>
      </w:r>
      <w:r w:rsidR="00E70245" w:rsidRPr="00D86314">
        <w:rPr>
          <w:noProof/>
        </w:rPr>
        <w:t xml:space="preserve"> mega-constellations</w:t>
      </w:r>
      <w:r w:rsidR="00AB4DDB" w:rsidRPr="00D86314">
        <w:rPr>
          <w:noProof/>
        </w:rPr>
        <w:t>,</w:t>
      </w:r>
      <w:r w:rsidR="00E70245" w:rsidRPr="00D86314">
        <w:rPr>
          <w:noProof/>
        </w:rPr>
        <w:t xml:space="preserve"> </w:t>
      </w:r>
      <w:r w:rsidR="0051088E" w:rsidRPr="00D86314">
        <w:rPr>
          <w:noProof/>
        </w:rPr>
        <w:t>and</w:t>
      </w:r>
      <w:r w:rsidR="00AB4DDB" w:rsidRPr="00D86314">
        <w:rPr>
          <w:noProof/>
        </w:rPr>
        <w:t>,</w:t>
      </w:r>
      <w:r w:rsidR="0051088E" w:rsidRPr="00D86314">
        <w:rPr>
          <w:noProof/>
        </w:rPr>
        <w:t xml:space="preserve"> </w:t>
      </w:r>
      <w:r w:rsidR="005222F6" w:rsidRPr="00D86314">
        <w:rPr>
          <w:noProof/>
        </w:rPr>
        <w:t>ultimately</w:t>
      </w:r>
      <w:r w:rsidR="00AB4DDB" w:rsidRPr="00D86314">
        <w:rPr>
          <w:noProof/>
        </w:rPr>
        <w:t>,</w:t>
      </w:r>
      <w:r w:rsidR="005222F6" w:rsidRPr="00D86314">
        <w:rPr>
          <w:noProof/>
        </w:rPr>
        <w:t xml:space="preserve"> enhance </w:t>
      </w:r>
      <w:r w:rsidR="005F2ADB" w:rsidRPr="00D86314">
        <w:rPr>
          <w:noProof/>
        </w:rPr>
        <w:t xml:space="preserve">EU space </w:t>
      </w:r>
      <w:r w:rsidR="001349E5" w:rsidRPr="00D86314">
        <w:rPr>
          <w:noProof/>
        </w:rPr>
        <w:t xml:space="preserve">competitiveness </w:t>
      </w:r>
      <w:r w:rsidR="00DA603D" w:rsidRPr="00D86314">
        <w:rPr>
          <w:noProof/>
        </w:rPr>
        <w:t xml:space="preserve">in </w:t>
      </w:r>
      <w:r w:rsidR="00B74B4E" w:rsidRPr="00D86314">
        <w:rPr>
          <w:noProof/>
        </w:rPr>
        <w:t xml:space="preserve">the </w:t>
      </w:r>
      <w:r w:rsidR="008A48D2" w:rsidRPr="00D86314">
        <w:rPr>
          <w:noProof/>
        </w:rPr>
        <w:t>g</w:t>
      </w:r>
      <w:r w:rsidR="00E21D61" w:rsidRPr="00D86314">
        <w:rPr>
          <w:noProof/>
        </w:rPr>
        <w:t xml:space="preserve">lobal </w:t>
      </w:r>
      <w:r w:rsidR="00136FF3" w:rsidRPr="00D86314">
        <w:rPr>
          <w:noProof/>
        </w:rPr>
        <w:t>m</w:t>
      </w:r>
      <w:r w:rsidR="00E21D61" w:rsidRPr="00D86314">
        <w:rPr>
          <w:noProof/>
        </w:rPr>
        <w:t xml:space="preserve">arket. </w:t>
      </w:r>
    </w:p>
    <w:p w14:paraId="3607BCDA" w14:textId="4BEC7783" w:rsidR="00645716" w:rsidRPr="00D86314" w:rsidRDefault="00A86152" w:rsidP="001942EB">
      <w:pPr>
        <w:pStyle w:val="Text2"/>
        <w:numPr>
          <w:ilvl w:val="0"/>
          <w:numId w:val="40"/>
        </w:numPr>
        <w:spacing w:after="120"/>
        <w:rPr>
          <w:noProof/>
        </w:rPr>
      </w:pPr>
      <w:r w:rsidRPr="00D86314">
        <w:rPr>
          <w:b/>
          <w:noProof/>
        </w:rPr>
        <w:t>M</w:t>
      </w:r>
      <w:r w:rsidR="00C20EF8" w:rsidRPr="00D86314">
        <w:rPr>
          <w:b/>
          <w:noProof/>
        </w:rPr>
        <w:t xml:space="preserve">ember </w:t>
      </w:r>
      <w:r w:rsidRPr="00D86314">
        <w:rPr>
          <w:b/>
          <w:noProof/>
        </w:rPr>
        <w:t>S</w:t>
      </w:r>
      <w:r w:rsidR="00C20EF8" w:rsidRPr="00D86314">
        <w:rPr>
          <w:b/>
          <w:noProof/>
        </w:rPr>
        <w:t>tates’</w:t>
      </w:r>
      <w:r w:rsidRPr="00D86314">
        <w:rPr>
          <w:b/>
          <w:noProof/>
        </w:rPr>
        <w:t xml:space="preserve"> </w:t>
      </w:r>
      <w:r w:rsidR="00C475A9" w:rsidRPr="00D86314">
        <w:rPr>
          <w:b/>
          <w:noProof/>
        </w:rPr>
        <w:t>authorities</w:t>
      </w:r>
      <w:r w:rsidR="00D4490A" w:rsidRPr="00D86314">
        <w:rPr>
          <w:b/>
          <w:noProof/>
        </w:rPr>
        <w:t>:</w:t>
      </w:r>
      <w:r w:rsidRPr="00D86314">
        <w:rPr>
          <w:noProof/>
        </w:rPr>
        <w:t xml:space="preserve"> the transfer of responsibility for satellite authori</w:t>
      </w:r>
      <w:r w:rsidR="5EFC0559" w:rsidRPr="00D86314">
        <w:rPr>
          <w:noProof/>
        </w:rPr>
        <w:t>s</w:t>
      </w:r>
      <w:r w:rsidRPr="00D86314">
        <w:rPr>
          <w:noProof/>
        </w:rPr>
        <w:t>ation</w:t>
      </w:r>
      <w:r w:rsidR="00AB4DDB" w:rsidRPr="00D86314">
        <w:rPr>
          <w:noProof/>
        </w:rPr>
        <w:t>s</w:t>
      </w:r>
      <w:r w:rsidRPr="00D86314">
        <w:rPr>
          <w:noProof/>
        </w:rPr>
        <w:t>, spectrum assignment, monitoring and enforcement from Member State institutions to the Commission will have a clear impact on staffing needs: Member States will require fewer resources</w:t>
      </w:r>
      <w:r w:rsidR="00C72D2C" w:rsidRPr="00D86314">
        <w:rPr>
          <w:noProof/>
        </w:rPr>
        <w:t xml:space="preserve">. </w:t>
      </w:r>
      <w:r w:rsidRPr="00D86314">
        <w:rPr>
          <w:noProof/>
        </w:rPr>
        <w:t>Finally, deadlocks and conflicts among M</w:t>
      </w:r>
      <w:r w:rsidR="003F6D2D" w:rsidRPr="00D86314">
        <w:rPr>
          <w:noProof/>
        </w:rPr>
        <w:t xml:space="preserve">ember </w:t>
      </w:r>
      <w:r w:rsidRPr="00D86314">
        <w:rPr>
          <w:noProof/>
        </w:rPr>
        <w:t>S</w:t>
      </w:r>
      <w:r w:rsidR="003F6D2D" w:rsidRPr="00D86314">
        <w:rPr>
          <w:noProof/>
        </w:rPr>
        <w:t>tate</w:t>
      </w:r>
      <w:r w:rsidRPr="00D86314">
        <w:rPr>
          <w:noProof/>
        </w:rPr>
        <w:t>s are expected to be avoided or significantly reduced.</w:t>
      </w:r>
      <w:r w:rsidR="0016607C" w:rsidRPr="00D86314">
        <w:rPr>
          <w:noProof/>
        </w:rPr>
        <w:t xml:space="preserve"> </w:t>
      </w:r>
    </w:p>
    <w:p w14:paraId="57DF89C4" w14:textId="14FC20D4" w:rsidR="00796FED" w:rsidRPr="00D86314" w:rsidRDefault="00C66583" w:rsidP="001942EB">
      <w:pPr>
        <w:pStyle w:val="Text2"/>
        <w:numPr>
          <w:ilvl w:val="0"/>
          <w:numId w:val="40"/>
        </w:numPr>
        <w:spacing w:after="120"/>
        <w:rPr>
          <w:noProof/>
        </w:rPr>
      </w:pPr>
      <w:r w:rsidRPr="00D86314">
        <w:rPr>
          <w:b/>
          <w:noProof/>
        </w:rPr>
        <w:t>EU level</w:t>
      </w:r>
      <w:r w:rsidR="00611CC9" w:rsidRPr="00D86314">
        <w:rPr>
          <w:b/>
          <w:noProof/>
        </w:rPr>
        <w:t xml:space="preserve"> (EC, </w:t>
      </w:r>
      <w:r w:rsidR="00194FCA" w:rsidRPr="00D86314">
        <w:rPr>
          <w:b/>
          <w:noProof/>
        </w:rPr>
        <w:t xml:space="preserve">BEREC </w:t>
      </w:r>
      <w:r w:rsidR="00611CC9" w:rsidRPr="00D86314">
        <w:rPr>
          <w:b/>
          <w:noProof/>
        </w:rPr>
        <w:t>Office)</w:t>
      </w:r>
      <w:r w:rsidR="00C84E16" w:rsidRPr="00D86314">
        <w:rPr>
          <w:b/>
          <w:noProof/>
        </w:rPr>
        <w:t xml:space="preserve">: </w:t>
      </w:r>
      <w:r w:rsidR="006A5418" w:rsidRPr="00D86314">
        <w:rPr>
          <w:bCs/>
          <w:noProof/>
        </w:rPr>
        <w:t xml:space="preserve">EU satellite authorisations will be issued </w:t>
      </w:r>
      <w:r w:rsidR="007322CF" w:rsidRPr="00D86314">
        <w:rPr>
          <w:bCs/>
          <w:noProof/>
        </w:rPr>
        <w:t xml:space="preserve">by </w:t>
      </w:r>
      <w:r w:rsidR="00C475A9" w:rsidRPr="00D86314">
        <w:rPr>
          <w:noProof/>
        </w:rPr>
        <w:t>Commission</w:t>
      </w:r>
      <w:r w:rsidR="007322CF" w:rsidRPr="00D86314">
        <w:rPr>
          <w:noProof/>
        </w:rPr>
        <w:t>, assisted by</w:t>
      </w:r>
      <w:r w:rsidR="007A23DB" w:rsidRPr="00D86314">
        <w:rPr>
          <w:noProof/>
        </w:rPr>
        <w:t xml:space="preserve"> the</w:t>
      </w:r>
      <w:r w:rsidR="00C475A9" w:rsidRPr="00D86314">
        <w:rPr>
          <w:noProof/>
        </w:rPr>
        <w:t xml:space="preserve"> </w:t>
      </w:r>
      <w:r w:rsidR="00645716" w:rsidRPr="00D86314">
        <w:rPr>
          <w:noProof/>
        </w:rPr>
        <w:t xml:space="preserve">BEREC </w:t>
      </w:r>
      <w:r w:rsidR="00C475A9" w:rsidRPr="00D86314">
        <w:rPr>
          <w:noProof/>
        </w:rPr>
        <w:t>Office</w:t>
      </w:r>
      <w:r w:rsidR="00F64084" w:rsidRPr="00D86314">
        <w:rPr>
          <w:noProof/>
        </w:rPr>
        <w:t>. The</w:t>
      </w:r>
      <w:r w:rsidR="00F43DC2" w:rsidRPr="00D86314">
        <w:rPr>
          <w:noProof/>
        </w:rPr>
        <w:t xml:space="preserve">y </w:t>
      </w:r>
      <w:r w:rsidR="002436AD" w:rsidRPr="00D86314">
        <w:rPr>
          <w:noProof/>
        </w:rPr>
        <w:t xml:space="preserve">will also </w:t>
      </w:r>
      <w:r w:rsidR="00F64084" w:rsidRPr="00D86314">
        <w:rPr>
          <w:noProof/>
        </w:rPr>
        <w:t xml:space="preserve">carry out </w:t>
      </w:r>
      <w:r w:rsidR="002436AD" w:rsidRPr="00D86314">
        <w:rPr>
          <w:noProof/>
        </w:rPr>
        <w:t xml:space="preserve">selection </w:t>
      </w:r>
      <w:r w:rsidR="003F7687" w:rsidRPr="00D86314">
        <w:rPr>
          <w:noProof/>
        </w:rPr>
        <w:t>procedure in case of scarcity of satellite spectrum</w:t>
      </w:r>
      <w:r w:rsidR="00BF4B5E" w:rsidRPr="00D86314">
        <w:rPr>
          <w:noProof/>
        </w:rPr>
        <w:t xml:space="preserve">. </w:t>
      </w:r>
      <w:r w:rsidR="00C205DB" w:rsidRPr="00D86314">
        <w:rPr>
          <w:noProof/>
        </w:rPr>
        <w:t>This</w:t>
      </w:r>
      <w:r w:rsidR="00C475A9" w:rsidRPr="00D86314">
        <w:rPr>
          <w:noProof/>
        </w:rPr>
        <w:t xml:space="preserve"> </w:t>
      </w:r>
      <w:r w:rsidR="0016607C" w:rsidRPr="00D86314">
        <w:rPr>
          <w:noProof/>
        </w:rPr>
        <w:t>will need to</w:t>
      </w:r>
      <w:r w:rsidR="00C475A9" w:rsidRPr="00D86314">
        <w:rPr>
          <w:noProof/>
        </w:rPr>
        <w:t xml:space="preserve"> significantly</w:t>
      </w:r>
      <w:r w:rsidR="0016607C" w:rsidRPr="00D86314">
        <w:rPr>
          <w:noProof/>
        </w:rPr>
        <w:t xml:space="preserve"> increase </w:t>
      </w:r>
      <w:r w:rsidR="3FD680DC" w:rsidRPr="00D86314">
        <w:rPr>
          <w:noProof/>
        </w:rPr>
        <w:t xml:space="preserve">their </w:t>
      </w:r>
      <w:r w:rsidR="00C475A9" w:rsidRPr="00D86314">
        <w:rPr>
          <w:noProof/>
        </w:rPr>
        <w:t xml:space="preserve">staffing </w:t>
      </w:r>
      <w:r w:rsidR="0016607C" w:rsidRPr="00D86314">
        <w:rPr>
          <w:noProof/>
        </w:rPr>
        <w:t>(see section 2.4. of this Annex</w:t>
      </w:r>
      <w:r w:rsidR="00C475A9" w:rsidRPr="00D86314">
        <w:rPr>
          <w:noProof/>
        </w:rPr>
        <w:t>)</w:t>
      </w:r>
      <w:r w:rsidR="00537D35" w:rsidRPr="00D86314">
        <w:rPr>
          <w:noProof/>
        </w:rPr>
        <w:t>.</w:t>
      </w:r>
    </w:p>
    <w:p w14:paraId="0CBA952A" w14:textId="77777777" w:rsidR="006B087E" w:rsidRPr="00D86314" w:rsidRDefault="006B087E" w:rsidP="00A00C17">
      <w:pPr>
        <w:pStyle w:val="Heading1"/>
        <w:numPr>
          <w:ilvl w:val="0"/>
          <w:numId w:val="9"/>
        </w:numPr>
        <w:spacing w:before="360"/>
        <w:ind w:left="482" w:hanging="482"/>
        <w:rPr>
          <w:noProof/>
          <w:lang w:val="en-GB"/>
        </w:rPr>
      </w:pPr>
      <w:bookmarkStart w:id="25" w:name="_Toc208239215"/>
      <w:bookmarkStart w:id="26" w:name="_Toc219718345"/>
      <w:r w:rsidRPr="00D86314">
        <w:rPr>
          <w:noProof/>
          <w:lang w:val="en-GB"/>
        </w:rPr>
        <w:t>Summary of costs and benefits</w:t>
      </w:r>
      <w:bookmarkEnd w:id="25"/>
      <w:bookmarkEnd w:id="26"/>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359"/>
        <w:gridCol w:w="3796"/>
        <w:gridCol w:w="3427"/>
      </w:tblGrid>
      <w:tr w:rsidR="00A747AD" w:rsidRPr="00D86314" w14:paraId="320A2785" w14:textId="77777777" w:rsidTr="005B1B50">
        <w:trPr>
          <w:tblHeader/>
        </w:trPr>
        <w:tc>
          <w:tcPr>
            <w:tcW w:w="5000" w:type="pct"/>
            <w:gridSpan w:val="3"/>
            <w:tcBorders>
              <w:top w:val="double" w:sz="4" w:space="0" w:color="auto"/>
              <w:bottom w:val="single" w:sz="4" w:space="0" w:color="auto"/>
            </w:tcBorders>
            <w:shd w:val="clear" w:color="auto" w:fill="C6D9F1" w:themeFill="text2" w:themeFillTint="33"/>
          </w:tcPr>
          <w:p w14:paraId="5F4D42D7" w14:textId="77777777" w:rsidR="00A747AD" w:rsidRPr="00D86314" w:rsidRDefault="00A747AD">
            <w:pPr>
              <w:spacing w:after="0"/>
              <w:rPr>
                <w:b/>
                <w:noProof/>
                <w:sz w:val="20"/>
              </w:rPr>
            </w:pPr>
            <w:r w:rsidRPr="00D86314">
              <w:rPr>
                <w:b/>
                <w:noProof/>
                <w:sz w:val="20"/>
              </w:rPr>
              <w:t>I. Overview of Benefits (total for all provisions) – Preferred Option</w:t>
            </w:r>
          </w:p>
        </w:tc>
      </w:tr>
      <w:tr w:rsidR="00A747AD" w:rsidRPr="00D86314" w14:paraId="33CC050F" w14:textId="77777777" w:rsidTr="005B1B50">
        <w:trPr>
          <w:tblHeader/>
        </w:trPr>
        <w:tc>
          <w:tcPr>
            <w:tcW w:w="1231" w:type="pct"/>
            <w:tcBorders>
              <w:top w:val="single" w:sz="4" w:space="0" w:color="auto"/>
            </w:tcBorders>
            <w:shd w:val="clear" w:color="auto" w:fill="C6D9F1" w:themeFill="text2" w:themeFillTint="33"/>
          </w:tcPr>
          <w:p w14:paraId="4A9AE4FE" w14:textId="77777777" w:rsidR="00A747AD" w:rsidRPr="00D86314" w:rsidRDefault="00A747AD">
            <w:pPr>
              <w:spacing w:after="0"/>
              <w:jc w:val="center"/>
              <w:rPr>
                <w:b/>
                <w:i/>
                <w:noProof/>
                <w:sz w:val="20"/>
              </w:rPr>
            </w:pPr>
            <w:r w:rsidRPr="00D86314">
              <w:rPr>
                <w:b/>
                <w:i/>
                <w:noProof/>
                <w:sz w:val="20"/>
              </w:rPr>
              <w:t>Description</w:t>
            </w:r>
          </w:p>
        </w:tc>
        <w:tc>
          <w:tcPr>
            <w:tcW w:w="1981" w:type="pct"/>
            <w:tcBorders>
              <w:top w:val="single" w:sz="4" w:space="0" w:color="auto"/>
            </w:tcBorders>
            <w:shd w:val="clear" w:color="auto" w:fill="C6D9F1" w:themeFill="text2" w:themeFillTint="33"/>
          </w:tcPr>
          <w:p w14:paraId="334FCFA6" w14:textId="77777777" w:rsidR="00A747AD" w:rsidRPr="00D86314" w:rsidRDefault="00A747AD">
            <w:pPr>
              <w:spacing w:after="0"/>
              <w:jc w:val="center"/>
              <w:rPr>
                <w:b/>
                <w:i/>
                <w:noProof/>
                <w:sz w:val="20"/>
              </w:rPr>
            </w:pPr>
            <w:r w:rsidRPr="00D86314">
              <w:rPr>
                <w:b/>
                <w:i/>
                <w:noProof/>
                <w:sz w:val="20"/>
              </w:rPr>
              <w:t>Amount</w:t>
            </w:r>
          </w:p>
        </w:tc>
        <w:tc>
          <w:tcPr>
            <w:tcW w:w="1788" w:type="pct"/>
            <w:tcBorders>
              <w:top w:val="single" w:sz="4" w:space="0" w:color="auto"/>
            </w:tcBorders>
            <w:shd w:val="clear" w:color="auto" w:fill="C6D9F1" w:themeFill="text2" w:themeFillTint="33"/>
            <w:tcMar>
              <w:top w:w="57" w:type="dxa"/>
              <w:left w:w="57" w:type="dxa"/>
              <w:bottom w:w="57" w:type="dxa"/>
              <w:right w:w="57" w:type="dxa"/>
            </w:tcMar>
          </w:tcPr>
          <w:p w14:paraId="17DDD1F3" w14:textId="77777777" w:rsidR="00A747AD" w:rsidRPr="00D86314" w:rsidRDefault="00A747AD">
            <w:pPr>
              <w:spacing w:after="0"/>
              <w:jc w:val="center"/>
              <w:rPr>
                <w:b/>
                <w:i/>
                <w:noProof/>
                <w:sz w:val="20"/>
              </w:rPr>
            </w:pPr>
            <w:r w:rsidRPr="00D86314">
              <w:rPr>
                <w:b/>
                <w:i/>
                <w:noProof/>
                <w:sz w:val="20"/>
              </w:rPr>
              <w:t>Comments</w:t>
            </w:r>
          </w:p>
        </w:tc>
      </w:tr>
      <w:tr w:rsidR="00A747AD" w:rsidRPr="00D86314" w14:paraId="33110BB8" w14:textId="77777777">
        <w:tc>
          <w:tcPr>
            <w:tcW w:w="5000" w:type="pct"/>
            <w:gridSpan w:val="3"/>
            <w:tcBorders>
              <w:top w:val="double" w:sz="4" w:space="0" w:color="auto"/>
            </w:tcBorders>
            <w:shd w:val="clear" w:color="auto" w:fill="F2F2F2" w:themeFill="background1" w:themeFillShade="F2"/>
          </w:tcPr>
          <w:p w14:paraId="34EAE99D" w14:textId="77777777" w:rsidR="00A747AD" w:rsidRPr="00D86314" w:rsidRDefault="00A747AD">
            <w:pPr>
              <w:spacing w:after="0"/>
              <w:jc w:val="center"/>
              <w:rPr>
                <w:b/>
                <w:i/>
                <w:noProof/>
                <w:sz w:val="20"/>
              </w:rPr>
            </w:pPr>
            <w:r w:rsidRPr="00D86314">
              <w:rPr>
                <w:b/>
                <w:i/>
                <w:noProof/>
                <w:sz w:val="20"/>
              </w:rPr>
              <w:t>Direct benefits</w:t>
            </w:r>
          </w:p>
        </w:tc>
      </w:tr>
      <w:tr w:rsidR="00A747AD" w:rsidRPr="00D86314" w14:paraId="35245781" w14:textId="77777777" w:rsidTr="004C323D">
        <w:tc>
          <w:tcPr>
            <w:tcW w:w="1231" w:type="pct"/>
            <w:tcBorders>
              <w:bottom w:val="double" w:sz="4" w:space="0" w:color="auto"/>
            </w:tcBorders>
          </w:tcPr>
          <w:p w14:paraId="11D74829" w14:textId="77777777" w:rsidR="00A747AD" w:rsidRPr="00D86314" w:rsidRDefault="00A747AD">
            <w:pPr>
              <w:spacing w:after="0"/>
              <w:rPr>
                <w:noProof/>
                <w:sz w:val="20"/>
              </w:rPr>
            </w:pPr>
            <w:r w:rsidRPr="00D86314">
              <w:rPr>
                <w:noProof/>
                <w:sz w:val="20"/>
                <w:szCs w:val="20"/>
              </w:rPr>
              <w:t>Reduction in CO</w:t>
            </w:r>
            <w:r w:rsidRPr="00D86314">
              <w:rPr>
                <w:noProof/>
                <w:sz w:val="20"/>
                <w:szCs w:val="20"/>
                <w:vertAlign w:val="subscript"/>
              </w:rPr>
              <w:t xml:space="preserve">2 </w:t>
            </w:r>
            <w:r w:rsidRPr="00D86314">
              <w:rPr>
                <w:noProof/>
                <w:sz w:val="20"/>
                <w:szCs w:val="20"/>
              </w:rPr>
              <w:t>emissions</w:t>
            </w:r>
          </w:p>
        </w:tc>
        <w:tc>
          <w:tcPr>
            <w:tcW w:w="1981" w:type="pct"/>
            <w:tcBorders>
              <w:bottom w:val="double" w:sz="4" w:space="0" w:color="auto"/>
            </w:tcBorders>
            <w:tcMar>
              <w:top w:w="57" w:type="dxa"/>
              <w:left w:w="57" w:type="dxa"/>
              <w:bottom w:w="57" w:type="dxa"/>
              <w:right w:w="57" w:type="dxa"/>
            </w:tcMar>
          </w:tcPr>
          <w:p w14:paraId="0AF8070B" w14:textId="380E74B4" w:rsidR="00A747AD" w:rsidRPr="00C20A01" w:rsidRDefault="00A747AD">
            <w:pPr>
              <w:spacing w:after="0"/>
              <w:rPr>
                <w:noProof/>
                <w:sz w:val="20"/>
                <w:szCs w:val="20"/>
              </w:rPr>
            </w:pPr>
            <w:bookmarkStart w:id="27" w:name="_Hlk219136386"/>
            <w:r w:rsidRPr="00C20A01">
              <w:rPr>
                <w:noProof/>
                <w:sz w:val="20"/>
                <w:szCs w:val="20"/>
              </w:rPr>
              <w:t>0.</w:t>
            </w:r>
            <w:r w:rsidR="00F56822" w:rsidRPr="00C20A01">
              <w:rPr>
                <w:noProof/>
                <w:sz w:val="20"/>
                <w:szCs w:val="20"/>
              </w:rPr>
              <w:t>7</w:t>
            </w:r>
            <w:r w:rsidRPr="00C20A01">
              <w:rPr>
                <w:noProof/>
                <w:sz w:val="20"/>
                <w:szCs w:val="20"/>
              </w:rPr>
              <w:t xml:space="preserve"> million tonnes</w:t>
            </w:r>
          </w:p>
          <w:p w14:paraId="4B9857C1" w14:textId="1D9FFFA0" w:rsidR="00A747AD" w:rsidRPr="00D86314" w:rsidRDefault="00A747AD">
            <w:pPr>
              <w:spacing w:after="0"/>
              <w:rPr>
                <w:noProof/>
                <w:sz w:val="20"/>
                <w:szCs w:val="20"/>
              </w:rPr>
            </w:pPr>
            <w:r w:rsidRPr="00D86314">
              <w:rPr>
                <w:noProof/>
                <w:sz w:val="20"/>
                <w:szCs w:val="20"/>
              </w:rPr>
              <w:t>EUR</w:t>
            </w:r>
            <w:r w:rsidR="00204FD8" w:rsidRPr="00D86314">
              <w:rPr>
                <w:noProof/>
                <w:sz w:val="20"/>
                <w:szCs w:val="20"/>
              </w:rPr>
              <w:t> </w:t>
            </w:r>
            <w:r w:rsidRPr="00D86314">
              <w:rPr>
                <w:noProof/>
                <w:sz w:val="20"/>
                <w:szCs w:val="20"/>
              </w:rPr>
              <w:t>~ 0.5</w:t>
            </w:r>
            <w:r w:rsidR="00F56822" w:rsidRPr="00D86314">
              <w:rPr>
                <w:noProof/>
                <w:sz w:val="20"/>
                <w:szCs w:val="20"/>
              </w:rPr>
              <w:t>6</w:t>
            </w:r>
            <w:r w:rsidRPr="00D86314">
              <w:rPr>
                <w:noProof/>
                <w:sz w:val="20"/>
                <w:szCs w:val="20"/>
              </w:rPr>
              <w:t xml:space="preserve"> billion</w:t>
            </w:r>
            <w:r w:rsidR="00B73E39" w:rsidRPr="00D86314">
              <w:rPr>
                <w:noProof/>
                <w:sz w:val="20"/>
                <w:szCs w:val="20"/>
              </w:rPr>
              <w:t xml:space="preserve"> for fix</w:t>
            </w:r>
          </w:p>
          <w:p w14:paraId="6832E2AC" w14:textId="1E1E55A0" w:rsidR="006A4F82" w:rsidRPr="00C20A01" w:rsidRDefault="00B73E39">
            <w:pPr>
              <w:spacing w:after="0"/>
              <w:rPr>
                <w:noProof/>
                <w:sz w:val="20"/>
                <w:szCs w:val="20"/>
              </w:rPr>
            </w:pPr>
            <w:r w:rsidRPr="00D86314">
              <w:rPr>
                <w:noProof/>
                <w:sz w:val="20"/>
                <w:szCs w:val="20"/>
              </w:rPr>
              <w:t>and EUR</w:t>
            </w:r>
            <w:r w:rsidR="00204FD8" w:rsidRPr="00D86314">
              <w:rPr>
                <w:noProof/>
                <w:sz w:val="20"/>
                <w:szCs w:val="20"/>
              </w:rPr>
              <w:t> </w:t>
            </w:r>
            <w:r w:rsidRPr="00D86314">
              <w:rPr>
                <w:noProof/>
                <w:sz w:val="20"/>
                <w:szCs w:val="20"/>
              </w:rPr>
              <w:t>0.01 billion reduction from mobile</w:t>
            </w:r>
            <w:bookmarkEnd w:id="27"/>
          </w:p>
        </w:tc>
        <w:tc>
          <w:tcPr>
            <w:tcW w:w="1788" w:type="pct"/>
            <w:tcBorders>
              <w:bottom w:val="double" w:sz="4" w:space="0" w:color="auto"/>
            </w:tcBorders>
            <w:tcMar>
              <w:top w:w="57" w:type="dxa"/>
              <w:left w:w="57" w:type="dxa"/>
              <w:bottom w:w="57" w:type="dxa"/>
              <w:right w:w="57" w:type="dxa"/>
            </w:tcMar>
          </w:tcPr>
          <w:p w14:paraId="032ECABD" w14:textId="77777777" w:rsidR="00A747AD" w:rsidRPr="00D86314" w:rsidRDefault="00A747AD">
            <w:pPr>
              <w:spacing w:after="0"/>
              <w:rPr>
                <w:noProof/>
                <w:sz w:val="20"/>
              </w:rPr>
            </w:pPr>
            <w:r w:rsidRPr="00D86314">
              <w:rPr>
                <w:noProof/>
                <w:sz w:val="20"/>
                <w:szCs w:val="20"/>
              </w:rPr>
              <w:t>Accumulated impact for the period 2025-2035</w:t>
            </w:r>
          </w:p>
        </w:tc>
      </w:tr>
      <w:tr w:rsidR="004C323D" w:rsidRPr="00D86314" w14:paraId="676890AF" w14:textId="77777777" w:rsidTr="004C323D">
        <w:tc>
          <w:tcPr>
            <w:tcW w:w="1231" w:type="pct"/>
            <w:tcBorders>
              <w:bottom w:val="double" w:sz="4" w:space="0" w:color="auto"/>
            </w:tcBorders>
          </w:tcPr>
          <w:p w14:paraId="05FFA057" w14:textId="67C9E8BD" w:rsidR="004C323D" w:rsidRPr="00D86314" w:rsidRDefault="004C323D" w:rsidP="004C323D">
            <w:pPr>
              <w:spacing w:after="0"/>
              <w:rPr>
                <w:noProof/>
                <w:sz w:val="20"/>
                <w:szCs w:val="20"/>
              </w:rPr>
            </w:pPr>
            <w:r w:rsidRPr="00D86314">
              <w:rPr>
                <w:noProof/>
                <w:sz w:val="20"/>
                <w:szCs w:val="20"/>
              </w:rPr>
              <w:t>Streamlined and harmonised system for general authorisation (single ‘passport’) and EU authorisation for satellite spectrum assignment across the EU</w:t>
            </w:r>
          </w:p>
        </w:tc>
        <w:tc>
          <w:tcPr>
            <w:tcW w:w="1981" w:type="pct"/>
            <w:tcBorders>
              <w:bottom w:val="double" w:sz="4" w:space="0" w:color="auto"/>
            </w:tcBorders>
            <w:tcMar>
              <w:top w:w="57" w:type="dxa"/>
              <w:left w:w="57" w:type="dxa"/>
              <w:bottom w:w="57" w:type="dxa"/>
              <w:right w:w="57" w:type="dxa"/>
            </w:tcMar>
          </w:tcPr>
          <w:p w14:paraId="47F2873B" w14:textId="77777777" w:rsidR="004C323D" w:rsidRPr="00D86314" w:rsidRDefault="004C323D" w:rsidP="004C323D">
            <w:pPr>
              <w:spacing w:after="0"/>
              <w:rPr>
                <w:noProof/>
                <w:sz w:val="20"/>
                <w:szCs w:val="20"/>
              </w:rPr>
            </w:pPr>
            <w:r w:rsidRPr="00D86314">
              <w:rPr>
                <w:noProof/>
                <w:sz w:val="20"/>
                <w:szCs w:val="20"/>
              </w:rPr>
              <w:t xml:space="preserve">Providers benefit from single passport/ declaration (authorising the provision of networks and services, which is valid in all 27 Member States). </w:t>
            </w:r>
          </w:p>
          <w:p w14:paraId="3E3AC3D7" w14:textId="77777777" w:rsidR="004C323D" w:rsidRPr="00D86314" w:rsidRDefault="004C323D" w:rsidP="004C323D">
            <w:pPr>
              <w:spacing w:after="0"/>
              <w:rPr>
                <w:noProof/>
                <w:sz w:val="20"/>
                <w:szCs w:val="20"/>
              </w:rPr>
            </w:pPr>
          </w:p>
          <w:p w14:paraId="6F77EE09" w14:textId="77777777" w:rsidR="004C323D" w:rsidRPr="00D86314" w:rsidRDefault="004C323D" w:rsidP="004C323D">
            <w:pPr>
              <w:spacing w:after="0"/>
              <w:rPr>
                <w:noProof/>
                <w:sz w:val="20"/>
                <w:szCs w:val="20"/>
              </w:rPr>
            </w:pPr>
            <w:r w:rsidRPr="00D86314">
              <w:rPr>
                <w:noProof/>
                <w:sz w:val="20"/>
                <w:szCs w:val="20"/>
              </w:rPr>
              <w:t>Those providing pan-European or global constellations transitioning from 27 separate authorisations to a single one.</w:t>
            </w:r>
          </w:p>
          <w:p w14:paraId="66F3D4CA" w14:textId="77777777" w:rsidR="004C323D" w:rsidRPr="00D86314" w:rsidRDefault="004C323D" w:rsidP="004C323D">
            <w:pPr>
              <w:pStyle w:val="ListParagraph"/>
              <w:numPr>
                <w:ilvl w:val="0"/>
                <w:numId w:val="36"/>
              </w:numPr>
              <w:spacing w:after="0"/>
              <w:rPr>
                <w:noProof/>
                <w:sz w:val="20"/>
                <w:szCs w:val="20"/>
              </w:rPr>
            </w:pPr>
            <w:r w:rsidRPr="00D86314">
              <w:rPr>
                <w:noProof/>
                <w:sz w:val="20"/>
                <w:szCs w:val="20"/>
              </w:rPr>
              <w:t>Savings linked to complying with one single set of authorisation conditions and avoided duplication (1 procedure instead of 27)</w:t>
            </w:r>
          </w:p>
          <w:p w14:paraId="33373D99" w14:textId="77777777" w:rsidR="004C323D" w:rsidRPr="00D86314" w:rsidRDefault="004C323D" w:rsidP="004C323D">
            <w:pPr>
              <w:pStyle w:val="ListParagraph"/>
              <w:numPr>
                <w:ilvl w:val="0"/>
                <w:numId w:val="36"/>
              </w:numPr>
              <w:spacing w:after="0"/>
              <w:rPr>
                <w:noProof/>
                <w:sz w:val="20"/>
              </w:rPr>
            </w:pPr>
            <w:r w:rsidRPr="00D86314">
              <w:rPr>
                <w:noProof/>
                <w:sz w:val="20"/>
              </w:rPr>
              <w:t>Avoided lost revenues due to possible delays in authorisation in some MS (examples of possible savings)</w:t>
            </w:r>
          </w:p>
          <w:p w14:paraId="6942E5DB" w14:textId="77777777" w:rsidR="004C323D" w:rsidRPr="00D86314" w:rsidRDefault="004C323D" w:rsidP="004C323D">
            <w:pPr>
              <w:pStyle w:val="ListParagraph"/>
              <w:numPr>
                <w:ilvl w:val="0"/>
                <w:numId w:val="36"/>
              </w:numPr>
              <w:spacing w:after="0"/>
              <w:rPr>
                <w:noProof/>
                <w:sz w:val="20"/>
              </w:rPr>
            </w:pPr>
            <w:r w:rsidRPr="00D86314">
              <w:rPr>
                <w:noProof/>
                <w:sz w:val="20"/>
              </w:rPr>
              <w:t>Increased consumer benefit</w:t>
            </w:r>
          </w:p>
          <w:p w14:paraId="5C1A56CC" w14:textId="77777777" w:rsidR="004C323D" w:rsidRPr="00D86314" w:rsidRDefault="004C323D" w:rsidP="004C323D">
            <w:pPr>
              <w:spacing w:after="0"/>
              <w:rPr>
                <w:noProof/>
                <w:sz w:val="20"/>
                <w:szCs w:val="20"/>
              </w:rPr>
            </w:pPr>
            <w:r w:rsidRPr="00D86314">
              <w:rPr>
                <w:noProof/>
                <w:sz w:val="20"/>
                <w:szCs w:val="20"/>
              </w:rPr>
              <w:t>No coverage gaps (EU continuous connectivity) because of lack of authorisation in some MS.</w:t>
            </w:r>
          </w:p>
          <w:p w14:paraId="5E5429D7" w14:textId="77777777" w:rsidR="004C323D" w:rsidRPr="00D86314" w:rsidRDefault="004C323D" w:rsidP="004C323D">
            <w:pPr>
              <w:spacing w:after="0"/>
              <w:rPr>
                <w:noProof/>
                <w:color w:val="000000" w:themeColor="text1"/>
                <w:sz w:val="20"/>
                <w:szCs w:val="20"/>
              </w:rPr>
            </w:pPr>
          </w:p>
          <w:p w14:paraId="41C984A8" w14:textId="4B4A7AB2" w:rsidR="004C323D" w:rsidRPr="00D86314" w:rsidRDefault="004C323D" w:rsidP="004C323D">
            <w:pPr>
              <w:spacing w:after="0"/>
              <w:rPr>
                <w:noProof/>
                <w:sz w:val="20"/>
                <w:szCs w:val="20"/>
              </w:rPr>
            </w:pPr>
            <w:r w:rsidRPr="00D86314">
              <w:rPr>
                <w:noProof/>
                <w:color w:val="000000" w:themeColor="text1"/>
                <w:sz w:val="20"/>
                <w:szCs w:val="20"/>
              </w:rPr>
              <w:t>Estimated c</w:t>
            </w:r>
            <w:r w:rsidRPr="00D86314">
              <w:rPr>
                <w:noProof/>
                <w:sz w:val="20"/>
                <w:szCs w:val="20"/>
              </w:rPr>
              <w:t xml:space="preserve">ost savings due to reduction of admin. burden and compliance costs </w:t>
            </w:r>
            <w:r w:rsidR="436EAB32" w:rsidRPr="00D86314">
              <w:rPr>
                <w:noProof/>
                <w:sz w:val="20"/>
                <w:szCs w:val="20"/>
              </w:rPr>
              <w:t>from EUR</w:t>
            </w:r>
            <w:r w:rsidR="007E6A08" w:rsidRPr="00D86314">
              <w:rPr>
                <w:noProof/>
                <w:sz w:val="20"/>
                <w:szCs w:val="20"/>
              </w:rPr>
              <w:t> </w:t>
            </w:r>
            <w:r w:rsidR="436EAB32" w:rsidRPr="00D86314">
              <w:rPr>
                <w:noProof/>
                <w:sz w:val="20"/>
                <w:szCs w:val="20"/>
              </w:rPr>
              <w:t>15-25 m</w:t>
            </w:r>
            <w:r w:rsidR="00C158A2" w:rsidRPr="00D86314">
              <w:rPr>
                <w:noProof/>
                <w:sz w:val="20"/>
                <w:szCs w:val="20"/>
              </w:rPr>
              <w:t>illion</w:t>
            </w:r>
            <w:r w:rsidR="3D338D13" w:rsidRPr="00D86314">
              <w:rPr>
                <w:noProof/>
                <w:sz w:val="20"/>
                <w:szCs w:val="20"/>
              </w:rPr>
              <w:t xml:space="preserve"> </w:t>
            </w:r>
            <w:r w:rsidR="4CEF257F" w:rsidRPr="00D86314">
              <w:rPr>
                <w:noProof/>
                <w:sz w:val="20"/>
                <w:szCs w:val="20"/>
              </w:rPr>
              <w:t xml:space="preserve">to </w:t>
            </w:r>
            <w:r w:rsidRPr="00D86314">
              <w:rPr>
                <w:noProof/>
                <w:sz w:val="20"/>
                <w:szCs w:val="20"/>
              </w:rPr>
              <w:t>between</w:t>
            </w:r>
            <w:r w:rsidRPr="00D86314">
              <w:rPr>
                <w:b/>
                <w:bCs/>
                <w:noProof/>
                <w:sz w:val="20"/>
                <w:szCs w:val="20"/>
              </w:rPr>
              <w:t xml:space="preserve"> EUR 6-11 m</w:t>
            </w:r>
            <w:r w:rsidR="00C158A2" w:rsidRPr="00D86314">
              <w:rPr>
                <w:b/>
                <w:bCs/>
                <w:noProof/>
                <w:sz w:val="20"/>
                <w:szCs w:val="20"/>
              </w:rPr>
              <w:t>illion</w:t>
            </w:r>
            <w:r w:rsidRPr="00D86314">
              <w:rPr>
                <w:b/>
                <w:bCs/>
                <w:noProof/>
                <w:sz w:val="20"/>
                <w:szCs w:val="20"/>
              </w:rPr>
              <w:t xml:space="preserve"> yearly </w:t>
            </w:r>
            <w:r w:rsidRPr="00D86314">
              <w:rPr>
                <w:noProof/>
                <w:sz w:val="20"/>
                <w:szCs w:val="20"/>
              </w:rPr>
              <w:t>per operator</w:t>
            </w:r>
            <w:r w:rsidR="045D3ACC" w:rsidRPr="00D86314">
              <w:rPr>
                <w:noProof/>
                <w:sz w:val="20"/>
                <w:szCs w:val="20"/>
              </w:rPr>
              <w:t xml:space="preserve"> (40-44% reduction)</w:t>
            </w:r>
            <w:r w:rsidR="3D338D13" w:rsidRPr="00D86314">
              <w:rPr>
                <w:noProof/>
                <w:sz w:val="20"/>
                <w:szCs w:val="20"/>
              </w:rPr>
              <w:t>.</w:t>
            </w:r>
          </w:p>
          <w:p w14:paraId="326D15FD" w14:textId="710E6973" w:rsidR="004C323D" w:rsidRPr="00D86314" w:rsidRDefault="004C323D" w:rsidP="004C323D">
            <w:pPr>
              <w:spacing w:after="0"/>
              <w:rPr>
                <w:noProof/>
                <w:sz w:val="20"/>
                <w:szCs w:val="20"/>
              </w:rPr>
            </w:pPr>
          </w:p>
          <w:p w14:paraId="21ECC84C" w14:textId="70136095" w:rsidR="004C323D" w:rsidRPr="00D86314" w:rsidRDefault="004C323D" w:rsidP="004C323D">
            <w:pPr>
              <w:spacing w:after="0"/>
              <w:rPr>
                <w:noProof/>
                <w:sz w:val="20"/>
                <w:szCs w:val="20"/>
              </w:rPr>
            </w:pPr>
            <w:r w:rsidRPr="00D86314">
              <w:rPr>
                <w:noProof/>
                <w:sz w:val="20"/>
                <w:szCs w:val="20"/>
              </w:rPr>
              <w:t xml:space="preserve">Satellite: </w:t>
            </w:r>
          </w:p>
          <w:p w14:paraId="319D5739" w14:textId="5F3E14C3" w:rsidR="004C323D" w:rsidRPr="00D86314" w:rsidRDefault="004C3310" w:rsidP="004C323D">
            <w:pPr>
              <w:spacing w:after="0"/>
              <w:rPr>
                <w:noProof/>
                <w:sz w:val="20"/>
                <w:szCs w:val="20"/>
              </w:rPr>
            </w:pPr>
            <w:r w:rsidRPr="00D86314">
              <w:rPr>
                <w:noProof/>
                <w:sz w:val="20"/>
                <w:szCs w:val="20"/>
              </w:rPr>
              <w:t>One-off a</w:t>
            </w:r>
            <w:r w:rsidR="004C323D" w:rsidRPr="00D86314">
              <w:rPr>
                <w:noProof/>
                <w:sz w:val="20"/>
                <w:szCs w:val="20"/>
              </w:rPr>
              <w:t xml:space="preserve">dministrative costs </w:t>
            </w:r>
            <w:r w:rsidRPr="00D86314">
              <w:rPr>
                <w:noProof/>
                <w:sz w:val="20"/>
                <w:szCs w:val="20"/>
              </w:rPr>
              <w:t xml:space="preserve">related to </w:t>
            </w:r>
            <w:r w:rsidR="00C91EFE" w:rsidRPr="00D86314">
              <w:rPr>
                <w:noProof/>
                <w:sz w:val="20"/>
                <w:szCs w:val="20"/>
              </w:rPr>
              <w:t>in country requirements for a new</w:t>
            </w:r>
            <w:r w:rsidRPr="00D86314">
              <w:rPr>
                <w:noProof/>
                <w:sz w:val="20"/>
                <w:szCs w:val="20"/>
              </w:rPr>
              <w:t xml:space="preserve"> satellite </w:t>
            </w:r>
            <w:r w:rsidR="00C91EFE" w:rsidRPr="00D86314">
              <w:rPr>
                <w:noProof/>
                <w:sz w:val="20"/>
                <w:szCs w:val="20"/>
              </w:rPr>
              <w:t xml:space="preserve">service </w:t>
            </w:r>
            <w:r w:rsidRPr="00D86314">
              <w:rPr>
                <w:noProof/>
                <w:sz w:val="20"/>
                <w:szCs w:val="20"/>
              </w:rPr>
              <w:t>t</w:t>
            </w:r>
            <w:r w:rsidR="00C91EFE" w:rsidRPr="00D86314">
              <w:rPr>
                <w:noProof/>
                <w:sz w:val="20"/>
                <w:szCs w:val="20"/>
              </w:rPr>
              <w:t>in MSs</w:t>
            </w:r>
            <w:r w:rsidRPr="00D86314">
              <w:rPr>
                <w:noProof/>
                <w:sz w:val="20"/>
                <w:szCs w:val="20"/>
              </w:rPr>
              <w:t xml:space="preserve"> </w:t>
            </w:r>
            <w:r w:rsidR="004C323D" w:rsidRPr="00D86314">
              <w:rPr>
                <w:noProof/>
                <w:sz w:val="20"/>
                <w:szCs w:val="20"/>
              </w:rPr>
              <w:t xml:space="preserve">will be indicatively reduced around </w:t>
            </w:r>
            <w:r w:rsidR="004C323D" w:rsidRPr="00D86314">
              <w:rPr>
                <w:b/>
                <w:noProof/>
                <w:sz w:val="20"/>
                <w:szCs w:val="20"/>
              </w:rPr>
              <w:t>EUR</w:t>
            </w:r>
            <w:r w:rsidR="00B133D5" w:rsidRPr="00D86314">
              <w:rPr>
                <w:b/>
                <w:noProof/>
                <w:sz w:val="20"/>
                <w:szCs w:val="20"/>
              </w:rPr>
              <w:t> </w:t>
            </w:r>
            <w:r w:rsidR="004C323D" w:rsidRPr="00D86314">
              <w:rPr>
                <w:b/>
                <w:noProof/>
                <w:sz w:val="20"/>
                <w:szCs w:val="20"/>
              </w:rPr>
              <w:t>3.2</w:t>
            </w:r>
            <w:r w:rsidR="00B133D5" w:rsidRPr="00D86314">
              <w:rPr>
                <w:b/>
                <w:noProof/>
                <w:sz w:val="20"/>
                <w:szCs w:val="20"/>
              </w:rPr>
              <w:t xml:space="preserve"> m</w:t>
            </w:r>
            <w:r w:rsidR="00C158A2" w:rsidRPr="00D86314">
              <w:rPr>
                <w:b/>
                <w:noProof/>
                <w:sz w:val="20"/>
                <w:szCs w:val="20"/>
              </w:rPr>
              <w:t>illion</w:t>
            </w:r>
            <w:r w:rsidR="004C323D" w:rsidRPr="00D86314">
              <w:rPr>
                <w:noProof/>
                <w:sz w:val="20"/>
                <w:szCs w:val="20"/>
              </w:rPr>
              <w:t xml:space="preserve"> across all MS. </w:t>
            </w:r>
          </w:p>
          <w:p w14:paraId="3AB6EF5D" w14:textId="4678E324" w:rsidR="004C323D" w:rsidRPr="00D86314" w:rsidRDefault="004C323D" w:rsidP="004C323D">
            <w:pPr>
              <w:spacing w:after="0"/>
              <w:rPr>
                <w:noProof/>
                <w:sz w:val="20"/>
                <w:szCs w:val="20"/>
              </w:rPr>
            </w:pPr>
          </w:p>
        </w:tc>
        <w:tc>
          <w:tcPr>
            <w:tcW w:w="1788" w:type="pct"/>
            <w:tcBorders>
              <w:bottom w:val="double" w:sz="4" w:space="0" w:color="auto"/>
            </w:tcBorders>
            <w:tcMar>
              <w:top w:w="57" w:type="dxa"/>
              <w:left w:w="57" w:type="dxa"/>
              <w:bottom w:w="57" w:type="dxa"/>
              <w:right w:w="57" w:type="dxa"/>
            </w:tcMar>
          </w:tcPr>
          <w:p w14:paraId="26AEBB17" w14:textId="77777777" w:rsidR="004C323D" w:rsidRPr="00D86314" w:rsidRDefault="004C323D" w:rsidP="004C323D">
            <w:pPr>
              <w:spacing w:after="0"/>
              <w:rPr>
                <w:noProof/>
                <w:sz w:val="20"/>
                <w:szCs w:val="20"/>
              </w:rPr>
            </w:pPr>
            <w:r w:rsidRPr="00D86314">
              <w:rPr>
                <w:noProof/>
                <w:sz w:val="20"/>
                <w:szCs w:val="20"/>
              </w:rPr>
              <w:t>EU selection for satellite services in cases of spectrum scarcity (access under EU general authorisation in case of no scarcity).</w:t>
            </w:r>
          </w:p>
          <w:p w14:paraId="184C211F" w14:textId="77777777" w:rsidR="004C323D" w:rsidRPr="00D86314" w:rsidRDefault="004C323D" w:rsidP="004C323D">
            <w:pPr>
              <w:spacing w:after="0"/>
              <w:rPr>
                <w:noProof/>
                <w:sz w:val="20"/>
              </w:rPr>
            </w:pPr>
          </w:p>
          <w:p w14:paraId="3B9F6BD8" w14:textId="77777777" w:rsidR="004C323D" w:rsidRPr="00D86314" w:rsidRDefault="004C323D" w:rsidP="004C323D">
            <w:pPr>
              <w:spacing w:after="0"/>
              <w:rPr>
                <w:noProof/>
                <w:sz w:val="20"/>
                <w:szCs w:val="20"/>
              </w:rPr>
            </w:pPr>
            <w:r w:rsidRPr="00D86314">
              <w:rPr>
                <w:noProof/>
                <w:sz w:val="20"/>
                <w:szCs w:val="20"/>
              </w:rPr>
              <w:t>EU assignment of satellite spectrum management will also address the regulatory fragmentation that has been acute in the MSS 2 GHz band.</w:t>
            </w:r>
          </w:p>
          <w:p w14:paraId="6DF8FF2E" w14:textId="77777777" w:rsidR="004C323D" w:rsidRPr="00D86314" w:rsidRDefault="004C323D" w:rsidP="004C323D">
            <w:pPr>
              <w:spacing w:after="0"/>
              <w:rPr>
                <w:noProof/>
                <w:sz w:val="20"/>
              </w:rPr>
            </w:pPr>
          </w:p>
          <w:p w14:paraId="04626D05" w14:textId="77777777" w:rsidR="004C323D" w:rsidRPr="00D86314" w:rsidRDefault="004C323D" w:rsidP="004C323D">
            <w:pPr>
              <w:spacing w:after="0"/>
              <w:rPr>
                <w:noProof/>
                <w:sz w:val="20"/>
              </w:rPr>
            </w:pPr>
          </w:p>
          <w:p w14:paraId="1709A0C0" w14:textId="4EFCFC1B" w:rsidR="004C323D" w:rsidRPr="00D86314" w:rsidRDefault="004C323D" w:rsidP="004C323D">
            <w:pPr>
              <w:spacing w:after="0"/>
              <w:rPr>
                <w:noProof/>
                <w:sz w:val="20"/>
                <w:szCs w:val="20"/>
              </w:rPr>
            </w:pPr>
            <w:r w:rsidRPr="00D86314">
              <w:rPr>
                <w:noProof/>
                <w:sz w:val="20"/>
              </w:rPr>
              <w:t>Easier access to satellite spectrum will be of value not only for new market entrants, who need to face complex and lengthy requirement in some MS, but also for established firms</w:t>
            </w:r>
          </w:p>
        </w:tc>
      </w:tr>
      <w:tr w:rsidR="004C323D" w:rsidRPr="00D86314" w14:paraId="665BEAB2" w14:textId="77777777" w:rsidTr="004C323D">
        <w:tc>
          <w:tcPr>
            <w:tcW w:w="1231" w:type="pct"/>
            <w:tcBorders>
              <w:bottom w:val="double" w:sz="4" w:space="0" w:color="auto"/>
            </w:tcBorders>
          </w:tcPr>
          <w:p w14:paraId="51576C0E" w14:textId="5A6086DA" w:rsidR="004C323D" w:rsidRPr="00D86314" w:rsidRDefault="004C323D" w:rsidP="004C323D">
            <w:pPr>
              <w:spacing w:after="0"/>
              <w:rPr>
                <w:noProof/>
                <w:sz w:val="20"/>
                <w:szCs w:val="20"/>
              </w:rPr>
            </w:pPr>
            <w:r w:rsidRPr="00D86314">
              <w:rPr>
                <w:noProof/>
                <w:sz w:val="20"/>
                <w:szCs w:val="20"/>
              </w:rPr>
              <w:t>More effective enforcement of satellite rules for all players</w:t>
            </w:r>
          </w:p>
        </w:tc>
        <w:tc>
          <w:tcPr>
            <w:tcW w:w="1981" w:type="pct"/>
            <w:tcBorders>
              <w:bottom w:val="double" w:sz="4" w:space="0" w:color="auto"/>
            </w:tcBorders>
            <w:tcMar>
              <w:top w:w="57" w:type="dxa"/>
              <w:left w:w="57" w:type="dxa"/>
              <w:bottom w:w="57" w:type="dxa"/>
              <w:right w:w="57" w:type="dxa"/>
            </w:tcMar>
          </w:tcPr>
          <w:p w14:paraId="3D2B7FF6" w14:textId="77777777" w:rsidR="004C323D" w:rsidRPr="00D86314" w:rsidRDefault="004C323D" w:rsidP="004C323D">
            <w:pPr>
              <w:spacing w:after="0"/>
              <w:rPr>
                <w:noProof/>
                <w:sz w:val="20"/>
                <w:szCs w:val="20"/>
              </w:rPr>
            </w:pPr>
            <w:r w:rsidRPr="00D86314">
              <w:rPr>
                <w:noProof/>
                <w:sz w:val="20"/>
                <w:szCs w:val="20"/>
              </w:rPr>
              <w:t>Providers benefit from a level playing field where all providers respect rules (e.g. ITU rules on interferences)</w:t>
            </w:r>
          </w:p>
          <w:p w14:paraId="21D9403C" w14:textId="107397B3" w:rsidR="004C323D" w:rsidRPr="00D86314" w:rsidRDefault="004C323D" w:rsidP="004C323D">
            <w:pPr>
              <w:spacing w:after="0"/>
              <w:rPr>
                <w:noProof/>
                <w:sz w:val="20"/>
                <w:szCs w:val="20"/>
              </w:rPr>
            </w:pPr>
            <w:r w:rsidRPr="00D86314">
              <w:rPr>
                <w:noProof/>
                <w:sz w:val="20"/>
                <w:szCs w:val="20"/>
              </w:rPr>
              <w:t xml:space="preserve">Avoided revenue losses due to delayed market entry. </w:t>
            </w:r>
          </w:p>
        </w:tc>
        <w:tc>
          <w:tcPr>
            <w:tcW w:w="1788" w:type="pct"/>
            <w:tcBorders>
              <w:bottom w:val="double" w:sz="4" w:space="0" w:color="auto"/>
            </w:tcBorders>
            <w:tcMar>
              <w:top w:w="57" w:type="dxa"/>
              <w:left w:w="57" w:type="dxa"/>
              <w:bottom w:w="57" w:type="dxa"/>
              <w:right w:w="57" w:type="dxa"/>
            </w:tcMar>
          </w:tcPr>
          <w:p w14:paraId="26820DE6" w14:textId="70266544" w:rsidR="004C323D" w:rsidRPr="00D86314" w:rsidRDefault="004C323D" w:rsidP="004C323D">
            <w:pPr>
              <w:spacing w:after="0"/>
              <w:rPr>
                <w:noProof/>
                <w:sz w:val="20"/>
                <w:szCs w:val="20"/>
              </w:rPr>
            </w:pPr>
            <w:r w:rsidRPr="00D86314">
              <w:rPr>
                <w:noProof/>
                <w:sz w:val="20"/>
              </w:rPr>
              <w:t>The coordinated enforcement mechanism of satellite rules ensures stronger enforcement and quicker solutions of harmful interferences issues.</w:t>
            </w:r>
          </w:p>
        </w:tc>
      </w:tr>
      <w:tr w:rsidR="004C323D" w:rsidRPr="00D86314" w14:paraId="7CAA73E2" w14:textId="77777777" w:rsidTr="004C323D">
        <w:tc>
          <w:tcPr>
            <w:tcW w:w="1231" w:type="pct"/>
            <w:tcBorders>
              <w:bottom w:val="double" w:sz="4" w:space="0" w:color="auto"/>
            </w:tcBorders>
          </w:tcPr>
          <w:p w14:paraId="3854A7BB" w14:textId="2277F62C" w:rsidR="004C323D" w:rsidRPr="00D86314" w:rsidRDefault="004C323D" w:rsidP="004C323D">
            <w:pPr>
              <w:spacing w:after="0"/>
              <w:rPr>
                <w:noProof/>
                <w:sz w:val="20"/>
                <w:szCs w:val="20"/>
              </w:rPr>
            </w:pPr>
            <w:r w:rsidRPr="00D86314">
              <w:rPr>
                <w:noProof/>
                <w:sz w:val="20"/>
              </w:rPr>
              <w:t>Costs savings for EU budget</w:t>
            </w:r>
          </w:p>
        </w:tc>
        <w:tc>
          <w:tcPr>
            <w:tcW w:w="1981" w:type="pct"/>
            <w:tcBorders>
              <w:bottom w:val="double" w:sz="4" w:space="0" w:color="auto"/>
            </w:tcBorders>
            <w:tcMar>
              <w:top w:w="57" w:type="dxa"/>
              <w:left w:w="57" w:type="dxa"/>
              <w:bottom w:w="57" w:type="dxa"/>
              <w:right w:w="57" w:type="dxa"/>
            </w:tcMar>
          </w:tcPr>
          <w:p w14:paraId="6F2BACD4" w14:textId="77777777" w:rsidR="004C323D" w:rsidRPr="00D86314" w:rsidRDefault="004C323D" w:rsidP="004C323D">
            <w:pPr>
              <w:spacing w:after="0"/>
              <w:rPr>
                <w:noProof/>
                <w:sz w:val="20"/>
                <w:szCs w:val="20"/>
              </w:rPr>
            </w:pPr>
            <w:r w:rsidRPr="00D86314">
              <w:rPr>
                <w:noProof/>
                <w:sz w:val="20"/>
                <w:szCs w:val="20"/>
              </w:rPr>
              <w:t xml:space="preserve">Costs savings / increased efficiency by transfer of administrative and substantive responsibilities to BEREC Office and RSPG. </w:t>
            </w:r>
          </w:p>
          <w:p w14:paraId="22B377E5" w14:textId="79923FB7" w:rsidR="004C323D" w:rsidRPr="00D86314" w:rsidRDefault="004C323D" w:rsidP="004C323D">
            <w:pPr>
              <w:spacing w:after="0"/>
              <w:rPr>
                <w:noProof/>
                <w:sz w:val="20"/>
                <w:szCs w:val="20"/>
              </w:rPr>
            </w:pPr>
            <w:r w:rsidRPr="00D86314">
              <w:rPr>
                <w:noProof/>
                <w:sz w:val="20"/>
                <w:szCs w:val="20"/>
              </w:rPr>
              <w:t>This Option would also reduce direct costs for the Commission (albeit with limited effect on the EU budget).</w:t>
            </w:r>
          </w:p>
        </w:tc>
        <w:tc>
          <w:tcPr>
            <w:tcW w:w="1788" w:type="pct"/>
            <w:tcBorders>
              <w:bottom w:val="double" w:sz="4" w:space="0" w:color="auto"/>
            </w:tcBorders>
            <w:tcMar>
              <w:top w:w="57" w:type="dxa"/>
              <w:left w:w="57" w:type="dxa"/>
              <w:bottom w:w="57" w:type="dxa"/>
              <w:right w:w="57" w:type="dxa"/>
            </w:tcMar>
          </w:tcPr>
          <w:p w14:paraId="5A0B4031" w14:textId="7AA355AC" w:rsidR="004C323D" w:rsidRPr="00D86314" w:rsidRDefault="004C323D" w:rsidP="004C323D">
            <w:pPr>
              <w:spacing w:after="0"/>
              <w:rPr>
                <w:noProof/>
                <w:sz w:val="20"/>
              </w:rPr>
            </w:pPr>
            <w:r w:rsidRPr="00D86314">
              <w:rPr>
                <w:noProof/>
                <w:sz w:val="20"/>
              </w:rPr>
              <w:t>Expected direct cost savings are moderate, but could be amplified by increase in task linked to DNA</w:t>
            </w:r>
          </w:p>
        </w:tc>
      </w:tr>
      <w:tr w:rsidR="004C323D" w:rsidRPr="00D86314" w14:paraId="5CE3999A" w14:textId="77777777" w:rsidTr="004C323D">
        <w:tc>
          <w:tcPr>
            <w:tcW w:w="1231" w:type="pct"/>
            <w:tcBorders>
              <w:bottom w:val="double" w:sz="4" w:space="0" w:color="auto"/>
            </w:tcBorders>
          </w:tcPr>
          <w:p w14:paraId="748B7B34" w14:textId="671AB3F9" w:rsidR="004C323D" w:rsidRPr="00D86314" w:rsidRDefault="004C323D" w:rsidP="004C323D">
            <w:pPr>
              <w:spacing w:after="0"/>
              <w:rPr>
                <w:noProof/>
                <w:sz w:val="20"/>
                <w:szCs w:val="20"/>
              </w:rPr>
            </w:pPr>
            <w:r w:rsidRPr="00D86314">
              <w:rPr>
                <w:noProof/>
                <w:sz w:val="20"/>
              </w:rPr>
              <w:t>Costs savings for MS budget</w:t>
            </w:r>
          </w:p>
        </w:tc>
        <w:tc>
          <w:tcPr>
            <w:tcW w:w="1981" w:type="pct"/>
            <w:tcBorders>
              <w:bottom w:val="double" w:sz="4" w:space="0" w:color="auto"/>
            </w:tcBorders>
            <w:tcMar>
              <w:top w:w="57" w:type="dxa"/>
              <w:left w:w="57" w:type="dxa"/>
              <w:bottom w:w="57" w:type="dxa"/>
              <w:right w:w="57" w:type="dxa"/>
            </w:tcMar>
          </w:tcPr>
          <w:p w14:paraId="0677477B" w14:textId="77777777" w:rsidR="004C323D" w:rsidRPr="00D86314" w:rsidRDefault="004C323D" w:rsidP="004C323D">
            <w:pPr>
              <w:spacing w:after="0"/>
              <w:rPr>
                <w:noProof/>
                <w:sz w:val="20"/>
                <w:szCs w:val="20"/>
              </w:rPr>
            </w:pPr>
            <w:r w:rsidRPr="00D86314">
              <w:rPr>
                <w:noProof/>
                <w:sz w:val="20"/>
                <w:szCs w:val="20"/>
              </w:rPr>
              <w:t>Cost savings due to transfer to certain cross-border decisions to the EU level.</w:t>
            </w:r>
          </w:p>
          <w:p w14:paraId="28FDDC01" w14:textId="77777777" w:rsidR="004C323D" w:rsidRPr="00D86314" w:rsidRDefault="004C323D" w:rsidP="004C323D">
            <w:pPr>
              <w:spacing w:after="0"/>
              <w:rPr>
                <w:noProof/>
                <w:sz w:val="20"/>
                <w:szCs w:val="20"/>
              </w:rPr>
            </w:pPr>
          </w:p>
          <w:p w14:paraId="26027094" w14:textId="2DEDCD2F" w:rsidR="004C323D" w:rsidRPr="00D86314" w:rsidRDefault="004C323D" w:rsidP="004C323D">
            <w:pPr>
              <w:spacing w:after="0"/>
              <w:rPr>
                <w:noProof/>
                <w:sz w:val="20"/>
                <w:szCs w:val="20"/>
              </w:rPr>
            </w:pPr>
            <w:r w:rsidRPr="00D86314">
              <w:rPr>
                <w:noProof/>
                <w:sz w:val="20"/>
                <w:szCs w:val="20"/>
              </w:rPr>
              <w:t xml:space="preserve">The BEREC Office would take on more ‘substance-related’ responsibilities and this would relieve some of the pressure on NRAs. In view of the above, it is estimated that in preferred Option, NRAs’ costs would increase only incrementally, notwithstanding the need for their increased collaboration in BEREC. </w:t>
            </w:r>
          </w:p>
        </w:tc>
        <w:tc>
          <w:tcPr>
            <w:tcW w:w="1788" w:type="pct"/>
            <w:tcBorders>
              <w:bottom w:val="double" w:sz="4" w:space="0" w:color="auto"/>
            </w:tcBorders>
            <w:tcMar>
              <w:top w:w="57" w:type="dxa"/>
              <w:left w:w="57" w:type="dxa"/>
              <w:bottom w:w="57" w:type="dxa"/>
              <w:right w:w="57" w:type="dxa"/>
            </w:tcMar>
          </w:tcPr>
          <w:p w14:paraId="46A5ACD1" w14:textId="16E54E1B" w:rsidR="004C323D" w:rsidRPr="00D86314" w:rsidRDefault="004C323D" w:rsidP="004C323D">
            <w:pPr>
              <w:spacing w:after="0"/>
              <w:rPr>
                <w:noProof/>
                <w:sz w:val="20"/>
              </w:rPr>
            </w:pPr>
            <w:r w:rsidRPr="00D86314">
              <w:rPr>
                <w:noProof/>
                <w:sz w:val="20"/>
              </w:rPr>
              <w:t>Expected direct cost savings are moderate, but could be amplified by increase in task linked to DNA</w:t>
            </w:r>
          </w:p>
        </w:tc>
      </w:tr>
      <w:tr w:rsidR="004C323D" w:rsidRPr="00D86314" w14:paraId="30596AA2" w14:textId="77777777">
        <w:tc>
          <w:tcPr>
            <w:tcW w:w="5000" w:type="pct"/>
            <w:gridSpan w:val="3"/>
            <w:shd w:val="clear" w:color="auto" w:fill="F2F2F2" w:themeFill="background1" w:themeFillShade="F2"/>
          </w:tcPr>
          <w:p w14:paraId="4E3DB519" w14:textId="77777777" w:rsidR="004C323D" w:rsidRPr="00D86314" w:rsidRDefault="004C323D" w:rsidP="004C323D">
            <w:pPr>
              <w:spacing w:after="0"/>
              <w:jc w:val="center"/>
              <w:rPr>
                <w:b/>
                <w:i/>
                <w:noProof/>
                <w:sz w:val="20"/>
              </w:rPr>
            </w:pPr>
            <w:r w:rsidRPr="00D86314">
              <w:rPr>
                <w:b/>
                <w:i/>
                <w:noProof/>
                <w:sz w:val="20"/>
              </w:rPr>
              <w:t>Indirect benefits</w:t>
            </w:r>
          </w:p>
        </w:tc>
      </w:tr>
      <w:tr w:rsidR="004C3310" w:rsidRPr="00D86314" w14:paraId="14B2898C" w14:textId="77777777" w:rsidTr="004C323D">
        <w:tc>
          <w:tcPr>
            <w:tcW w:w="1231" w:type="pct"/>
            <w:tcBorders>
              <w:top w:val="double" w:sz="4" w:space="0" w:color="auto"/>
            </w:tcBorders>
          </w:tcPr>
          <w:p w14:paraId="4B105ECE" w14:textId="77777777" w:rsidR="004C3310" w:rsidRPr="00D86314" w:rsidRDefault="004C3310" w:rsidP="004C3310">
            <w:pPr>
              <w:spacing w:after="0"/>
              <w:rPr>
                <w:noProof/>
                <w:sz w:val="20"/>
                <w:szCs w:val="20"/>
              </w:rPr>
            </w:pPr>
            <w:r w:rsidRPr="00D86314">
              <w:rPr>
                <w:noProof/>
                <w:sz w:val="20"/>
                <w:szCs w:val="20"/>
              </w:rPr>
              <w:t xml:space="preserve">Increase in GDP due to increase in fibre and mid band 5G coverage and take up, as well as average speeds </w:t>
            </w:r>
          </w:p>
          <w:p w14:paraId="4E11F0A8" w14:textId="77777777" w:rsidR="004C3310" w:rsidRPr="00D86314" w:rsidRDefault="004C3310" w:rsidP="004C3310">
            <w:pPr>
              <w:spacing w:after="0"/>
              <w:rPr>
                <w:noProof/>
                <w:sz w:val="20"/>
                <w:szCs w:val="20"/>
              </w:rPr>
            </w:pPr>
          </w:p>
          <w:p w14:paraId="077D8730" w14:textId="77777777" w:rsidR="004C3310" w:rsidRPr="00D86314" w:rsidRDefault="004C3310" w:rsidP="004C3310">
            <w:pPr>
              <w:spacing w:after="0"/>
              <w:rPr>
                <w:noProof/>
                <w:sz w:val="20"/>
              </w:rPr>
            </w:pPr>
          </w:p>
        </w:tc>
        <w:tc>
          <w:tcPr>
            <w:tcW w:w="1981" w:type="pct"/>
            <w:tcBorders>
              <w:top w:val="double" w:sz="4" w:space="0" w:color="auto"/>
            </w:tcBorders>
            <w:tcMar>
              <w:top w:w="57" w:type="dxa"/>
              <w:left w:w="57" w:type="dxa"/>
              <w:bottom w:w="57" w:type="dxa"/>
              <w:right w:w="57" w:type="dxa"/>
            </w:tcMar>
          </w:tcPr>
          <w:p w14:paraId="75B801D1" w14:textId="44C17BA4" w:rsidR="004C3310" w:rsidRPr="00D86314" w:rsidRDefault="004C3310" w:rsidP="008B45FD">
            <w:pPr>
              <w:spacing w:after="0"/>
              <w:rPr>
                <w:noProof/>
                <w:sz w:val="20"/>
                <w:szCs w:val="20"/>
              </w:rPr>
            </w:pPr>
            <w:r w:rsidRPr="00C20A01">
              <w:rPr>
                <w:noProof/>
                <w:sz w:val="20"/>
                <w:szCs w:val="20"/>
              </w:rPr>
              <w:t xml:space="preserve">For fix a </w:t>
            </w:r>
            <w:r w:rsidRPr="00C20A01">
              <w:rPr>
                <w:b/>
                <w:bCs/>
                <w:noProof/>
                <w:sz w:val="20"/>
                <w:szCs w:val="20"/>
              </w:rPr>
              <w:t>GDP increase</w:t>
            </w:r>
            <w:r w:rsidRPr="00C20A01">
              <w:rPr>
                <w:noProof/>
                <w:sz w:val="20"/>
                <w:szCs w:val="20"/>
              </w:rPr>
              <w:t xml:space="preserve"> of EUR ~157(more conservative scenario) </w:t>
            </w:r>
            <w:r w:rsidRPr="00C20A01">
              <w:rPr>
                <w:b/>
                <w:bCs/>
                <w:noProof/>
                <w:sz w:val="20"/>
                <w:szCs w:val="20"/>
              </w:rPr>
              <w:t>EUR - 327</w:t>
            </w:r>
            <w:r w:rsidRPr="00C20A01">
              <w:rPr>
                <w:noProof/>
                <w:sz w:val="20"/>
                <w:szCs w:val="20"/>
              </w:rPr>
              <w:t xml:space="preserve"> (less conservative scenario) billion for fibre</w:t>
            </w:r>
            <w:r w:rsidR="008B45FD" w:rsidRPr="00C20A01">
              <w:rPr>
                <w:noProof/>
                <w:sz w:val="20"/>
                <w:szCs w:val="20"/>
              </w:rPr>
              <w:t>.</w:t>
            </w:r>
          </w:p>
        </w:tc>
        <w:tc>
          <w:tcPr>
            <w:tcW w:w="1788" w:type="pct"/>
            <w:tcBorders>
              <w:top w:val="double" w:sz="4" w:space="0" w:color="auto"/>
            </w:tcBorders>
            <w:tcMar>
              <w:top w:w="57" w:type="dxa"/>
              <w:left w:w="57" w:type="dxa"/>
              <w:bottom w:w="57" w:type="dxa"/>
              <w:right w:w="57" w:type="dxa"/>
            </w:tcMar>
          </w:tcPr>
          <w:p w14:paraId="1F4D7940" w14:textId="77777777" w:rsidR="004C3310" w:rsidRPr="00D86314" w:rsidRDefault="004C3310" w:rsidP="004C3310">
            <w:pPr>
              <w:spacing w:after="0"/>
              <w:rPr>
                <w:noProof/>
                <w:sz w:val="20"/>
                <w:szCs w:val="20"/>
              </w:rPr>
            </w:pPr>
            <w:r w:rsidRPr="00D86314">
              <w:rPr>
                <w:noProof/>
                <w:sz w:val="20"/>
                <w:szCs w:val="20"/>
              </w:rPr>
              <w:t>Accumulated GDP impact for the period 2025–2035 compared to the status quo. Main beneficiaries are businesses and consumers through productivity gains associated with higher broadband speeds and mid band 5G /fibre take-up.</w:t>
            </w:r>
          </w:p>
          <w:p w14:paraId="2F2AB6C6" w14:textId="77777777" w:rsidR="004C3310" w:rsidRPr="00D86314" w:rsidRDefault="004C3310" w:rsidP="004C3310">
            <w:pPr>
              <w:spacing w:after="0"/>
              <w:rPr>
                <w:noProof/>
                <w:sz w:val="20"/>
                <w:szCs w:val="20"/>
              </w:rPr>
            </w:pPr>
          </w:p>
        </w:tc>
      </w:tr>
      <w:tr w:rsidR="004C323D" w:rsidRPr="00D86314" w14:paraId="261047A8" w14:textId="77777777" w:rsidTr="004C323D">
        <w:tc>
          <w:tcPr>
            <w:tcW w:w="1231" w:type="pct"/>
            <w:tcBorders>
              <w:top w:val="double" w:sz="4" w:space="0" w:color="auto"/>
            </w:tcBorders>
          </w:tcPr>
          <w:p w14:paraId="715C8790" w14:textId="0A0917F0" w:rsidR="004C323D" w:rsidRPr="00D86314" w:rsidRDefault="004C323D" w:rsidP="004C323D">
            <w:pPr>
              <w:spacing w:after="0"/>
              <w:rPr>
                <w:noProof/>
                <w:sz w:val="20"/>
              </w:rPr>
            </w:pPr>
            <w:r w:rsidRPr="00D86314">
              <w:rPr>
                <w:noProof/>
                <w:sz w:val="20"/>
              </w:rPr>
              <w:t>Increased GDP thanks to higher QoS/speed due to increased mid band coverage</w:t>
            </w:r>
          </w:p>
        </w:tc>
        <w:tc>
          <w:tcPr>
            <w:tcW w:w="1981" w:type="pct"/>
            <w:tcBorders>
              <w:top w:val="double" w:sz="4" w:space="0" w:color="auto"/>
            </w:tcBorders>
            <w:tcMar>
              <w:top w:w="57" w:type="dxa"/>
              <w:left w:w="57" w:type="dxa"/>
              <w:bottom w:w="57" w:type="dxa"/>
              <w:right w:w="57" w:type="dxa"/>
            </w:tcMar>
          </w:tcPr>
          <w:p w14:paraId="79D63F65" w14:textId="419E22FB" w:rsidR="004C323D" w:rsidRPr="00D86314" w:rsidRDefault="004C323D" w:rsidP="004C323D">
            <w:pPr>
              <w:spacing w:after="0"/>
              <w:rPr>
                <w:rFonts w:eastAsia="MS Mincho"/>
                <w:noProof/>
                <w:sz w:val="20"/>
                <w:szCs w:val="20"/>
              </w:rPr>
            </w:pPr>
            <w:r w:rsidRPr="00D86314">
              <w:rPr>
                <w:noProof/>
                <w:sz w:val="20"/>
                <w:szCs w:val="20"/>
              </w:rPr>
              <w:t xml:space="preserve">The preferred Option would lead to an overall </w:t>
            </w:r>
            <w:r w:rsidRPr="00D86314">
              <w:rPr>
                <w:b/>
                <w:noProof/>
                <w:sz w:val="20"/>
                <w:szCs w:val="20"/>
              </w:rPr>
              <w:t>GDP increase over 10 years</w:t>
            </w:r>
            <w:r w:rsidRPr="00D86314">
              <w:rPr>
                <w:noProof/>
                <w:sz w:val="20"/>
                <w:szCs w:val="20"/>
              </w:rPr>
              <w:t xml:space="preserve"> (2025-2035) of EUR</w:t>
            </w:r>
            <w:r w:rsidR="005C5C17" w:rsidRPr="00D86314">
              <w:rPr>
                <w:noProof/>
                <w:sz w:val="20"/>
                <w:szCs w:val="20"/>
              </w:rPr>
              <w:t> </w:t>
            </w:r>
            <w:r w:rsidRPr="00D86314">
              <w:rPr>
                <w:noProof/>
                <w:sz w:val="20"/>
                <w:szCs w:val="20"/>
              </w:rPr>
              <w:t>1</w:t>
            </w:r>
            <w:r w:rsidR="004463AC" w:rsidRPr="00D86314">
              <w:rPr>
                <w:noProof/>
                <w:sz w:val="20"/>
                <w:szCs w:val="20"/>
              </w:rPr>
              <w:t> </w:t>
            </w:r>
            <w:r w:rsidRPr="00D86314">
              <w:rPr>
                <w:noProof/>
                <w:sz w:val="20"/>
                <w:szCs w:val="20"/>
              </w:rPr>
              <w:t>553 billion compared to 1</w:t>
            </w:r>
            <w:r w:rsidR="004463AC" w:rsidRPr="00D86314">
              <w:rPr>
                <w:noProof/>
                <w:sz w:val="20"/>
                <w:szCs w:val="20"/>
              </w:rPr>
              <w:t> </w:t>
            </w:r>
            <w:r w:rsidRPr="00D86314">
              <w:rPr>
                <w:noProof/>
                <w:sz w:val="20"/>
                <w:szCs w:val="20"/>
              </w:rPr>
              <w:t>489 of the baseline</w:t>
            </w:r>
            <w:r w:rsidR="00EF2396" w:rsidRPr="00D86314">
              <w:rPr>
                <w:noProof/>
                <w:sz w:val="20"/>
                <w:szCs w:val="20"/>
              </w:rPr>
              <w:t xml:space="preserve">, therefore an increase of </w:t>
            </w:r>
            <w:r w:rsidR="00CB1EAC" w:rsidRPr="00D86314">
              <w:rPr>
                <w:b/>
                <w:noProof/>
                <w:sz w:val="20"/>
                <w:szCs w:val="20"/>
              </w:rPr>
              <w:t>EUR</w:t>
            </w:r>
            <w:r w:rsidR="004C3310" w:rsidRPr="00D86314">
              <w:rPr>
                <w:b/>
                <w:noProof/>
                <w:sz w:val="20"/>
                <w:szCs w:val="20"/>
              </w:rPr>
              <w:t> </w:t>
            </w:r>
            <w:r w:rsidR="00EF2396" w:rsidRPr="00D86314">
              <w:rPr>
                <w:b/>
                <w:noProof/>
                <w:sz w:val="20"/>
                <w:szCs w:val="20"/>
              </w:rPr>
              <w:t xml:space="preserve">73 </w:t>
            </w:r>
            <w:r w:rsidR="00CB1EAC" w:rsidRPr="00D86314">
              <w:rPr>
                <w:b/>
                <w:noProof/>
                <w:sz w:val="20"/>
                <w:szCs w:val="20"/>
              </w:rPr>
              <w:t>billion</w:t>
            </w:r>
            <w:r w:rsidRPr="00D86314">
              <w:rPr>
                <w:noProof/>
                <w:sz w:val="20"/>
                <w:szCs w:val="20"/>
              </w:rPr>
              <w:t>. A</w:t>
            </w:r>
            <w:r w:rsidRPr="00D86314">
              <w:rPr>
                <w:rFonts w:eastAsia="MS Mincho"/>
                <w:noProof/>
                <w:sz w:val="20"/>
                <w:szCs w:val="20"/>
              </w:rPr>
              <w:t xml:space="preserve"> sensitivity analysis accounting for potential uncertainties of the model yields a GDP impact ranging from EUR</w:t>
            </w:r>
            <w:r w:rsidR="00FC2F8F" w:rsidRPr="00D86314">
              <w:rPr>
                <w:rFonts w:eastAsia="MS Mincho"/>
                <w:noProof/>
                <w:sz w:val="20"/>
                <w:szCs w:val="20"/>
              </w:rPr>
              <w:t xml:space="preserve"> </w:t>
            </w:r>
            <w:r w:rsidRPr="00D86314">
              <w:rPr>
                <w:rFonts w:eastAsia="MS Mincho"/>
                <w:noProof/>
                <w:sz w:val="20"/>
                <w:szCs w:val="20"/>
              </w:rPr>
              <w:t>179 to EUR</w:t>
            </w:r>
            <w:r w:rsidR="00FC2F8F" w:rsidRPr="00D86314">
              <w:rPr>
                <w:rFonts w:eastAsia="MS Mincho"/>
                <w:noProof/>
                <w:sz w:val="20"/>
                <w:szCs w:val="20"/>
              </w:rPr>
              <w:t xml:space="preserve"> </w:t>
            </w:r>
            <w:r w:rsidRPr="00D86314">
              <w:rPr>
                <w:rFonts w:eastAsia="MS Mincho"/>
                <w:noProof/>
                <w:sz w:val="20"/>
                <w:szCs w:val="20"/>
              </w:rPr>
              <w:t>2</w:t>
            </w:r>
            <w:r w:rsidR="00D30C18" w:rsidRPr="00D86314">
              <w:rPr>
                <w:rFonts w:eastAsia="MS Mincho"/>
                <w:noProof/>
                <w:sz w:val="20"/>
                <w:szCs w:val="20"/>
              </w:rPr>
              <w:t> </w:t>
            </w:r>
            <w:r w:rsidRPr="00D86314">
              <w:rPr>
                <w:rFonts w:eastAsia="MS Mincho"/>
                <w:noProof/>
                <w:sz w:val="20"/>
                <w:szCs w:val="20"/>
              </w:rPr>
              <w:t>116 billion, with the lower bound reflecting model conservatism and the upper bound representing upside potential from increased 5G mobile broadband speeds.</w:t>
            </w:r>
          </w:p>
          <w:p w14:paraId="05C9A0CB" w14:textId="32363EA0" w:rsidR="00936DC2" w:rsidRPr="00D86314" w:rsidRDefault="00936DC2" w:rsidP="00936DC2">
            <w:pPr>
              <w:spacing w:after="0"/>
              <w:rPr>
                <w:noProof/>
                <w:sz w:val="20"/>
              </w:rPr>
            </w:pPr>
            <w:r w:rsidRPr="00D86314">
              <w:rPr>
                <w:rFonts w:eastAsia="MS Mincho"/>
                <w:noProof/>
                <w:sz w:val="20"/>
                <w:szCs w:val="20"/>
              </w:rPr>
              <w:t xml:space="preserve">Relevant increases would then </w:t>
            </w:r>
            <w:r w:rsidRPr="00C20A01">
              <w:rPr>
                <w:noProof/>
                <w:sz w:val="20"/>
                <w:szCs w:val="20"/>
              </w:rPr>
              <w:t>range from EUR</w:t>
            </w:r>
            <w:r w:rsidR="004C3310" w:rsidRPr="00C20A01">
              <w:rPr>
                <w:noProof/>
                <w:sz w:val="20"/>
                <w:szCs w:val="20"/>
              </w:rPr>
              <w:t> </w:t>
            </w:r>
            <w:r w:rsidRPr="00C20A01">
              <w:rPr>
                <w:noProof/>
                <w:sz w:val="20"/>
                <w:szCs w:val="20"/>
              </w:rPr>
              <w:t>8 billion (lower bound</w:t>
            </w:r>
            <w:r w:rsidRPr="00D86314">
              <w:rPr>
                <w:rFonts w:eastAsia="MS Mincho"/>
                <w:noProof/>
                <w:sz w:val="20"/>
                <w:szCs w:val="20"/>
              </w:rPr>
              <w:t xml:space="preserve"> reflecting model conservatism</w:t>
            </w:r>
            <w:r w:rsidRPr="00C20A01">
              <w:rPr>
                <w:noProof/>
                <w:sz w:val="20"/>
                <w:szCs w:val="20"/>
              </w:rPr>
              <w:t>) to EUR</w:t>
            </w:r>
            <w:r w:rsidR="004C3310" w:rsidRPr="00C20A01">
              <w:rPr>
                <w:noProof/>
                <w:sz w:val="20"/>
                <w:szCs w:val="20"/>
              </w:rPr>
              <w:t> </w:t>
            </w:r>
            <w:r w:rsidRPr="00C20A01">
              <w:rPr>
                <w:noProof/>
                <w:sz w:val="20"/>
                <w:szCs w:val="20"/>
              </w:rPr>
              <w:t>101 billion (upper bound</w:t>
            </w:r>
            <w:r w:rsidRPr="00D86314">
              <w:rPr>
                <w:rFonts w:eastAsia="MS Mincho"/>
                <w:noProof/>
                <w:sz w:val="20"/>
                <w:szCs w:val="20"/>
              </w:rPr>
              <w:t xml:space="preserve"> representing upside potential from increased 5G mobile broadband speeds</w:t>
            </w:r>
            <w:r w:rsidRPr="00C20A01">
              <w:rPr>
                <w:noProof/>
                <w:sz w:val="20"/>
                <w:szCs w:val="20"/>
              </w:rPr>
              <w:t>). To assess the overall impact properly this quantitative analysis is integrated by the qualitative one since the 6G impact cannot be taken into account in the quantitative analysis</w:t>
            </w:r>
          </w:p>
        </w:tc>
        <w:tc>
          <w:tcPr>
            <w:tcW w:w="1788" w:type="pct"/>
            <w:tcBorders>
              <w:top w:val="double" w:sz="4" w:space="0" w:color="auto"/>
            </w:tcBorders>
            <w:tcMar>
              <w:top w:w="57" w:type="dxa"/>
              <w:left w:w="57" w:type="dxa"/>
              <w:bottom w:w="57" w:type="dxa"/>
              <w:right w:w="57" w:type="dxa"/>
            </w:tcMar>
          </w:tcPr>
          <w:p w14:paraId="232A3A6E" w14:textId="754DBB01" w:rsidR="004C323D" w:rsidRPr="00D86314" w:rsidRDefault="004C323D" w:rsidP="004C323D">
            <w:pPr>
              <w:spacing w:after="0"/>
              <w:rPr>
                <w:noProof/>
                <w:sz w:val="20"/>
              </w:rPr>
            </w:pPr>
            <w:r w:rsidRPr="00D86314">
              <w:rPr>
                <w:noProof/>
                <w:sz w:val="20"/>
                <w:szCs w:val="20"/>
              </w:rPr>
              <w:t xml:space="preserve">The GDP increase calculated by the model is only a partial representation of the measure impact since it does not take into account the spill-over effects on vertical sectors (like for example </w:t>
            </w:r>
            <w:r w:rsidRPr="00D86314">
              <w:rPr>
                <w:noProof/>
                <w:sz w:val="22"/>
                <w:szCs w:val="22"/>
              </w:rPr>
              <w:t xml:space="preserve">healthcare, manufacturing, automotive and transport, energy and environment and agriculture) </w:t>
            </w:r>
            <w:r w:rsidRPr="00D86314">
              <w:rPr>
                <w:noProof/>
                <w:sz w:val="20"/>
                <w:szCs w:val="20"/>
              </w:rPr>
              <w:t>and the additional gains linked to the timely deployment of 6G. See qualitative description below.</w:t>
            </w:r>
          </w:p>
        </w:tc>
      </w:tr>
      <w:tr w:rsidR="004C323D" w:rsidRPr="00D86314" w14:paraId="17D5A431" w14:textId="77777777" w:rsidTr="004C323D">
        <w:tc>
          <w:tcPr>
            <w:tcW w:w="1231" w:type="pct"/>
            <w:tcBorders>
              <w:top w:val="double" w:sz="4" w:space="0" w:color="auto"/>
            </w:tcBorders>
          </w:tcPr>
          <w:p w14:paraId="5D42EB5B" w14:textId="7A08B1C8" w:rsidR="004C323D" w:rsidRPr="00D86314" w:rsidRDefault="004C323D" w:rsidP="004C323D">
            <w:pPr>
              <w:spacing w:after="0"/>
              <w:rPr>
                <w:noProof/>
                <w:sz w:val="20"/>
              </w:rPr>
            </w:pPr>
            <w:r w:rsidRPr="00D86314">
              <w:rPr>
                <w:noProof/>
                <w:sz w:val="20"/>
                <w:szCs w:val="20"/>
              </w:rPr>
              <w:t>Accelerated shift from 5G to 6G</w:t>
            </w:r>
          </w:p>
        </w:tc>
        <w:tc>
          <w:tcPr>
            <w:tcW w:w="1981" w:type="pct"/>
            <w:tcBorders>
              <w:top w:val="double" w:sz="4" w:space="0" w:color="auto"/>
            </w:tcBorders>
            <w:tcMar>
              <w:top w:w="57" w:type="dxa"/>
              <w:left w:w="57" w:type="dxa"/>
              <w:bottom w:w="57" w:type="dxa"/>
              <w:right w:w="57" w:type="dxa"/>
            </w:tcMar>
          </w:tcPr>
          <w:p w14:paraId="6B4BF78B" w14:textId="3A993886" w:rsidR="004C323D" w:rsidRPr="00D86314" w:rsidRDefault="004C323D" w:rsidP="004C323D">
            <w:pPr>
              <w:spacing w:after="0"/>
              <w:rPr>
                <w:noProof/>
                <w:sz w:val="20"/>
                <w:szCs w:val="20"/>
              </w:rPr>
            </w:pPr>
            <w:r w:rsidRPr="00D86314">
              <w:rPr>
                <w:noProof/>
                <w:sz w:val="20"/>
              </w:rPr>
              <w:t>Not quantified</w:t>
            </w:r>
          </w:p>
        </w:tc>
        <w:tc>
          <w:tcPr>
            <w:tcW w:w="1788" w:type="pct"/>
            <w:tcBorders>
              <w:top w:val="double" w:sz="4" w:space="0" w:color="auto"/>
            </w:tcBorders>
            <w:tcMar>
              <w:top w:w="57" w:type="dxa"/>
              <w:left w:w="57" w:type="dxa"/>
              <w:bottom w:w="57" w:type="dxa"/>
              <w:right w:w="57" w:type="dxa"/>
            </w:tcMar>
          </w:tcPr>
          <w:p w14:paraId="5C648881" w14:textId="231A31B1" w:rsidR="004C323D" w:rsidRPr="00D86314" w:rsidRDefault="004C323D" w:rsidP="004C323D">
            <w:pPr>
              <w:spacing w:after="0"/>
              <w:rPr>
                <w:noProof/>
                <w:sz w:val="20"/>
                <w:szCs w:val="20"/>
              </w:rPr>
            </w:pPr>
            <w:r w:rsidRPr="00D86314">
              <w:rPr>
                <w:rFonts w:eastAsiaTheme="minorEastAsia"/>
                <w:noProof/>
                <w:sz w:val="20"/>
                <w:szCs w:val="20"/>
              </w:rPr>
              <w:t>Early standardisation efforts and research roadmaps indicate that 6G is expected to enable enhanced capabilities such as real-time distributed intelligence, ultra-low latency, integrated sensing and communication, and improved energy efficiency—all of which may generate cross-sectoral economic benefits similar or even superior to those observed for 5G.</w:t>
            </w:r>
          </w:p>
        </w:tc>
      </w:tr>
      <w:tr w:rsidR="004C323D" w:rsidRPr="00D86314" w14:paraId="635538B1" w14:textId="77777777" w:rsidTr="004C323D">
        <w:tc>
          <w:tcPr>
            <w:tcW w:w="1231" w:type="pct"/>
            <w:tcBorders>
              <w:top w:val="double" w:sz="4" w:space="0" w:color="auto"/>
            </w:tcBorders>
          </w:tcPr>
          <w:p w14:paraId="339D83B3" w14:textId="576CCA45" w:rsidR="004C323D" w:rsidRPr="00D86314" w:rsidRDefault="004C323D" w:rsidP="004C323D">
            <w:pPr>
              <w:spacing w:after="0"/>
              <w:rPr>
                <w:noProof/>
                <w:sz w:val="20"/>
                <w:szCs w:val="20"/>
              </w:rPr>
            </w:pPr>
            <w:r w:rsidRPr="00D86314">
              <w:rPr>
                <w:noProof/>
                <w:sz w:val="20"/>
              </w:rPr>
              <w:t>Innovation acceleration</w:t>
            </w:r>
          </w:p>
        </w:tc>
        <w:tc>
          <w:tcPr>
            <w:tcW w:w="1981" w:type="pct"/>
            <w:tcBorders>
              <w:top w:val="double" w:sz="4" w:space="0" w:color="auto"/>
            </w:tcBorders>
            <w:tcMar>
              <w:top w:w="57" w:type="dxa"/>
              <w:left w:w="57" w:type="dxa"/>
              <w:bottom w:w="57" w:type="dxa"/>
              <w:right w:w="57" w:type="dxa"/>
            </w:tcMar>
          </w:tcPr>
          <w:p w14:paraId="3CD24225" w14:textId="0398AF75" w:rsidR="004C323D" w:rsidRPr="00D86314" w:rsidRDefault="004C323D" w:rsidP="004C323D">
            <w:pPr>
              <w:spacing w:after="0"/>
              <w:rPr>
                <w:noProof/>
                <w:sz w:val="20"/>
              </w:rPr>
            </w:pPr>
            <w:r w:rsidRPr="00D86314">
              <w:rPr>
                <w:noProof/>
                <w:sz w:val="20"/>
              </w:rPr>
              <w:t>Not quantified</w:t>
            </w:r>
          </w:p>
        </w:tc>
        <w:tc>
          <w:tcPr>
            <w:tcW w:w="1788" w:type="pct"/>
            <w:tcBorders>
              <w:top w:val="double" w:sz="4" w:space="0" w:color="auto"/>
            </w:tcBorders>
            <w:tcMar>
              <w:top w:w="57" w:type="dxa"/>
              <w:left w:w="57" w:type="dxa"/>
              <w:bottom w:w="57" w:type="dxa"/>
              <w:right w:w="57" w:type="dxa"/>
            </w:tcMar>
          </w:tcPr>
          <w:p w14:paraId="6940504B" w14:textId="138FCEAF" w:rsidR="004C323D" w:rsidRPr="00D86314" w:rsidRDefault="004C323D" w:rsidP="004C323D">
            <w:pPr>
              <w:spacing w:after="0"/>
              <w:rPr>
                <w:rFonts w:eastAsiaTheme="minorEastAsia"/>
                <w:noProof/>
                <w:sz w:val="20"/>
                <w:szCs w:val="20"/>
              </w:rPr>
            </w:pPr>
            <w:r w:rsidRPr="00D86314">
              <w:rPr>
                <w:noProof/>
                <w:sz w:val="20"/>
              </w:rPr>
              <w:t>Industry (verticals, SMEs, R&amp;D actors) benefits from enhanced 5G QoS and specialised services offers and from access to localised/licensed spectrum for innovative services (e.g. private 5G, IoT), particularly in manufacturing, health, agriculture, and transport and from the capacity to scale up thanks to the harmonisation of authorisation conditions.</w:t>
            </w:r>
          </w:p>
        </w:tc>
      </w:tr>
      <w:tr w:rsidR="004C323D" w:rsidRPr="00D86314" w14:paraId="59DCE94D" w14:textId="77777777" w:rsidTr="004C323D">
        <w:tc>
          <w:tcPr>
            <w:tcW w:w="1231" w:type="pct"/>
            <w:tcBorders>
              <w:top w:val="double" w:sz="4" w:space="0" w:color="auto"/>
            </w:tcBorders>
          </w:tcPr>
          <w:p w14:paraId="3F5FE924" w14:textId="0AEF2118" w:rsidR="004C323D" w:rsidRPr="00D86314" w:rsidRDefault="004C323D" w:rsidP="004C323D">
            <w:pPr>
              <w:spacing w:after="0"/>
              <w:rPr>
                <w:noProof/>
                <w:sz w:val="20"/>
              </w:rPr>
            </w:pPr>
            <w:r w:rsidRPr="00D86314">
              <w:rPr>
                <w:noProof/>
                <w:sz w:val="20"/>
              </w:rPr>
              <w:t>Improved legal certainty</w:t>
            </w:r>
          </w:p>
        </w:tc>
        <w:tc>
          <w:tcPr>
            <w:tcW w:w="1981" w:type="pct"/>
            <w:tcBorders>
              <w:top w:val="double" w:sz="4" w:space="0" w:color="auto"/>
            </w:tcBorders>
            <w:tcMar>
              <w:top w:w="57" w:type="dxa"/>
              <w:left w:w="57" w:type="dxa"/>
              <w:bottom w:w="57" w:type="dxa"/>
              <w:right w:w="57" w:type="dxa"/>
            </w:tcMar>
          </w:tcPr>
          <w:p w14:paraId="5D7FDBC0" w14:textId="12D53B56" w:rsidR="004C323D" w:rsidRPr="00D86314" w:rsidRDefault="004C323D" w:rsidP="004C323D">
            <w:pPr>
              <w:spacing w:after="0"/>
              <w:rPr>
                <w:noProof/>
                <w:sz w:val="20"/>
              </w:rPr>
            </w:pPr>
            <w:r w:rsidRPr="00D86314">
              <w:rPr>
                <w:noProof/>
                <w:sz w:val="20"/>
              </w:rPr>
              <w:t>Not quantified</w:t>
            </w:r>
          </w:p>
        </w:tc>
        <w:tc>
          <w:tcPr>
            <w:tcW w:w="1788" w:type="pct"/>
            <w:tcBorders>
              <w:top w:val="double" w:sz="4" w:space="0" w:color="auto"/>
            </w:tcBorders>
            <w:tcMar>
              <w:top w:w="57" w:type="dxa"/>
              <w:left w:w="57" w:type="dxa"/>
              <w:bottom w:w="57" w:type="dxa"/>
              <w:right w:w="57" w:type="dxa"/>
            </w:tcMar>
          </w:tcPr>
          <w:p w14:paraId="0D1E2E25" w14:textId="19520CC4" w:rsidR="004C323D" w:rsidRPr="00D86314" w:rsidRDefault="004C323D" w:rsidP="004C323D">
            <w:pPr>
              <w:spacing w:after="0"/>
              <w:rPr>
                <w:noProof/>
                <w:sz w:val="20"/>
              </w:rPr>
            </w:pPr>
            <w:r w:rsidRPr="00D86314">
              <w:rPr>
                <w:noProof/>
                <w:sz w:val="20"/>
              </w:rPr>
              <w:t>NCAs, industry, and Commission benefit from clearer, more predictable procedures through EU-level licensing guidance and stakeholder petition mechanisms.</w:t>
            </w:r>
          </w:p>
        </w:tc>
      </w:tr>
      <w:tr w:rsidR="004C323D" w:rsidRPr="00D86314" w14:paraId="045D976D" w14:textId="77777777" w:rsidTr="004C323D">
        <w:tc>
          <w:tcPr>
            <w:tcW w:w="1231" w:type="pct"/>
            <w:tcBorders>
              <w:top w:val="double" w:sz="4" w:space="0" w:color="auto"/>
            </w:tcBorders>
          </w:tcPr>
          <w:p w14:paraId="0EA9F67A" w14:textId="1586E174" w:rsidR="004C323D" w:rsidRPr="00D86314" w:rsidRDefault="004C323D" w:rsidP="004C323D">
            <w:pPr>
              <w:spacing w:after="0"/>
              <w:rPr>
                <w:noProof/>
                <w:sz w:val="20"/>
              </w:rPr>
            </w:pPr>
            <w:r w:rsidRPr="00D86314">
              <w:rPr>
                <w:noProof/>
                <w:sz w:val="20"/>
              </w:rPr>
              <w:t>Lower entry barriers for SMEs</w:t>
            </w:r>
          </w:p>
        </w:tc>
        <w:tc>
          <w:tcPr>
            <w:tcW w:w="1981" w:type="pct"/>
            <w:tcBorders>
              <w:top w:val="double" w:sz="4" w:space="0" w:color="auto"/>
            </w:tcBorders>
            <w:tcMar>
              <w:top w:w="57" w:type="dxa"/>
              <w:left w:w="57" w:type="dxa"/>
              <w:bottom w:w="57" w:type="dxa"/>
              <w:right w:w="57" w:type="dxa"/>
            </w:tcMar>
          </w:tcPr>
          <w:p w14:paraId="29615B99" w14:textId="7283E319" w:rsidR="004C323D" w:rsidRPr="00D86314" w:rsidRDefault="004C323D" w:rsidP="004C323D">
            <w:pPr>
              <w:spacing w:after="0"/>
              <w:rPr>
                <w:noProof/>
                <w:sz w:val="20"/>
              </w:rPr>
            </w:pPr>
            <w:r w:rsidRPr="00D86314">
              <w:rPr>
                <w:noProof/>
                <w:sz w:val="20"/>
              </w:rPr>
              <w:t>Not quantified</w:t>
            </w:r>
          </w:p>
        </w:tc>
        <w:tc>
          <w:tcPr>
            <w:tcW w:w="1788" w:type="pct"/>
            <w:tcBorders>
              <w:top w:val="double" w:sz="4" w:space="0" w:color="auto"/>
            </w:tcBorders>
            <w:tcMar>
              <w:top w:w="57" w:type="dxa"/>
              <w:left w:w="57" w:type="dxa"/>
              <w:bottom w:w="57" w:type="dxa"/>
              <w:right w:w="57" w:type="dxa"/>
            </w:tcMar>
          </w:tcPr>
          <w:p w14:paraId="1703B5AE" w14:textId="48AC2C9E" w:rsidR="004C323D" w:rsidRPr="00D86314" w:rsidRDefault="004C323D" w:rsidP="004C323D">
            <w:pPr>
              <w:spacing w:after="0"/>
              <w:rPr>
                <w:noProof/>
                <w:sz w:val="20"/>
              </w:rPr>
            </w:pPr>
            <w:r w:rsidRPr="00D86314">
              <w:rPr>
                <w:noProof/>
                <w:sz w:val="20"/>
              </w:rPr>
              <w:t>Simplified and more flexible access regimes and harmonisation of authorisation conditions reduce administrative and regulatory burdens for SMEs entering niche or local spectrum markets.</w:t>
            </w:r>
          </w:p>
        </w:tc>
      </w:tr>
      <w:tr w:rsidR="004C323D" w:rsidRPr="00D86314" w14:paraId="6D94859F" w14:textId="77777777" w:rsidTr="004C323D">
        <w:tc>
          <w:tcPr>
            <w:tcW w:w="1231" w:type="pct"/>
            <w:tcBorders>
              <w:top w:val="double" w:sz="4" w:space="0" w:color="auto"/>
            </w:tcBorders>
          </w:tcPr>
          <w:p w14:paraId="75D70E42" w14:textId="77777777" w:rsidR="004C323D" w:rsidRPr="00D86314" w:rsidRDefault="004C323D" w:rsidP="004C323D">
            <w:pPr>
              <w:rPr>
                <w:noProof/>
                <w:sz w:val="20"/>
              </w:rPr>
            </w:pPr>
            <w:r w:rsidRPr="00D86314">
              <w:rPr>
                <w:noProof/>
                <w:sz w:val="20"/>
              </w:rPr>
              <w:t>Potential green benefits (indirect)</w:t>
            </w:r>
          </w:p>
          <w:p w14:paraId="33F0191A" w14:textId="30F8400D" w:rsidR="004C323D" w:rsidRPr="00D86314" w:rsidRDefault="004C323D" w:rsidP="004C323D">
            <w:pPr>
              <w:spacing w:after="0"/>
              <w:rPr>
                <w:noProof/>
                <w:sz w:val="20"/>
              </w:rPr>
            </w:pPr>
            <w:r w:rsidRPr="00D86314">
              <w:rPr>
                <w:noProof/>
                <w:sz w:val="20"/>
                <w:szCs w:val="20"/>
              </w:rPr>
              <w:t>Reduction in CO</w:t>
            </w:r>
            <w:r w:rsidRPr="00D86314">
              <w:rPr>
                <w:noProof/>
                <w:sz w:val="20"/>
                <w:szCs w:val="20"/>
                <w:vertAlign w:val="subscript"/>
              </w:rPr>
              <w:t xml:space="preserve">2 </w:t>
            </w:r>
            <w:r w:rsidRPr="00D86314">
              <w:rPr>
                <w:noProof/>
                <w:sz w:val="20"/>
                <w:szCs w:val="20"/>
              </w:rPr>
              <w:t>emissions</w:t>
            </w:r>
          </w:p>
        </w:tc>
        <w:tc>
          <w:tcPr>
            <w:tcW w:w="1981" w:type="pct"/>
            <w:tcBorders>
              <w:top w:val="double" w:sz="4" w:space="0" w:color="auto"/>
            </w:tcBorders>
            <w:tcMar>
              <w:top w:w="57" w:type="dxa"/>
              <w:left w:w="57" w:type="dxa"/>
              <w:bottom w:w="57" w:type="dxa"/>
              <w:right w:w="57" w:type="dxa"/>
            </w:tcMar>
          </w:tcPr>
          <w:p w14:paraId="5C86DEDB" w14:textId="77777777" w:rsidR="004C323D" w:rsidRPr="00D86314" w:rsidRDefault="004C323D" w:rsidP="004C323D">
            <w:pPr>
              <w:rPr>
                <w:noProof/>
                <w:sz w:val="20"/>
              </w:rPr>
            </w:pPr>
            <w:r w:rsidRPr="00D86314">
              <w:rPr>
                <w:noProof/>
                <w:sz w:val="20"/>
              </w:rPr>
              <w:t xml:space="preserve">Marginal </w:t>
            </w:r>
          </w:p>
          <w:p w14:paraId="3D205E70" w14:textId="3F6AD2D3" w:rsidR="004C323D" w:rsidRPr="00D86314" w:rsidRDefault="004C323D" w:rsidP="006C0A47">
            <w:pPr>
              <w:spacing w:after="0"/>
              <w:rPr>
                <w:noProof/>
                <w:sz w:val="20"/>
                <w:szCs w:val="20"/>
              </w:rPr>
            </w:pPr>
            <w:r w:rsidRPr="00D86314">
              <w:rPr>
                <w:noProof/>
                <w:sz w:val="20"/>
                <w:szCs w:val="20"/>
              </w:rPr>
              <w:t xml:space="preserve">The ecological footprint of 5G mobile networks under the preferred Option would lead to 5,250,198 </w:t>
            </w:r>
            <w:r w:rsidRPr="00D86314">
              <w:rPr>
                <w:rFonts w:eastAsiaTheme="majorEastAsia"/>
                <w:noProof/>
                <w:sz w:val="20"/>
                <w:szCs w:val="20"/>
              </w:rPr>
              <w:t>CO</w:t>
            </w:r>
            <w:r w:rsidRPr="00D86314">
              <w:rPr>
                <w:rFonts w:eastAsiaTheme="majorEastAsia"/>
                <w:noProof/>
                <w:sz w:val="20"/>
                <w:szCs w:val="20"/>
                <w:vertAlign w:val="subscript"/>
              </w:rPr>
              <w:t>2e</w:t>
            </w:r>
            <w:r w:rsidRPr="00D86314">
              <w:rPr>
                <w:noProof/>
                <w:sz w:val="20"/>
                <w:szCs w:val="20"/>
              </w:rPr>
              <w:t xml:space="preserve"> mobile / wireless broadband network emissions which is lower than the 5,257,074 t CO</w:t>
            </w:r>
            <w:r w:rsidRPr="00D86314">
              <w:rPr>
                <w:noProof/>
                <w:sz w:val="20"/>
                <w:szCs w:val="20"/>
                <w:vertAlign w:val="subscript"/>
              </w:rPr>
              <w:t>2e</w:t>
            </w:r>
            <w:r w:rsidRPr="00D86314">
              <w:rPr>
                <w:noProof/>
                <w:sz w:val="20"/>
                <w:szCs w:val="20"/>
              </w:rPr>
              <w:t xml:space="preserve"> under the baseline. When monetised, environmental impacts under the preferred Option are estimated at around EUR</w:t>
            </w:r>
            <w:r w:rsidR="00701A75" w:rsidRPr="00D86314">
              <w:rPr>
                <w:noProof/>
                <w:sz w:val="20"/>
                <w:szCs w:val="20"/>
              </w:rPr>
              <w:t> </w:t>
            </w:r>
            <w:r w:rsidRPr="00D86314">
              <w:rPr>
                <w:noProof/>
                <w:sz w:val="20"/>
                <w:szCs w:val="20"/>
              </w:rPr>
              <w:t>4.62 billion, compared to EUR</w:t>
            </w:r>
            <w:r w:rsidR="00701A75" w:rsidRPr="00D86314">
              <w:rPr>
                <w:noProof/>
                <w:sz w:val="20"/>
                <w:szCs w:val="20"/>
              </w:rPr>
              <w:t> </w:t>
            </w:r>
            <w:r w:rsidRPr="00D86314">
              <w:rPr>
                <w:noProof/>
                <w:sz w:val="20"/>
                <w:szCs w:val="20"/>
              </w:rPr>
              <w:t xml:space="preserve">4.63 billion under the baseline, a marginal improvement. (See Annex 4, Section 2 for methodology and findings). </w:t>
            </w:r>
            <w:r w:rsidR="00936DC2" w:rsidRPr="00D86314">
              <w:rPr>
                <w:noProof/>
                <w:sz w:val="20"/>
                <w:szCs w:val="20"/>
              </w:rPr>
              <w:t xml:space="preserve">In monetary terms this </w:t>
            </w:r>
            <w:r w:rsidR="00921282" w:rsidRPr="00D86314">
              <w:rPr>
                <w:noProof/>
                <w:sz w:val="20"/>
                <w:szCs w:val="20"/>
              </w:rPr>
              <w:t>represents</w:t>
            </w:r>
            <w:r w:rsidR="00936DC2" w:rsidRPr="00D86314">
              <w:rPr>
                <w:noProof/>
                <w:sz w:val="20"/>
                <w:szCs w:val="20"/>
              </w:rPr>
              <w:t xml:space="preserve"> a</w:t>
            </w:r>
            <w:r w:rsidR="00921282" w:rsidRPr="00D86314">
              <w:rPr>
                <w:noProof/>
                <w:sz w:val="20"/>
                <w:szCs w:val="20"/>
              </w:rPr>
              <w:t xml:space="preserve"> </w:t>
            </w:r>
            <w:r w:rsidR="00936DC2" w:rsidRPr="00D86314">
              <w:rPr>
                <w:noProof/>
                <w:sz w:val="20"/>
                <w:szCs w:val="20"/>
              </w:rPr>
              <w:t>EUR</w:t>
            </w:r>
            <w:r w:rsidR="004C3310" w:rsidRPr="00D86314">
              <w:rPr>
                <w:noProof/>
                <w:sz w:val="20"/>
                <w:szCs w:val="20"/>
              </w:rPr>
              <w:t> </w:t>
            </w:r>
            <w:r w:rsidR="00936DC2" w:rsidRPr="00D86314">
              <w:rPr>
                <w:noProof/>
                <w:sz w:val="20"/>
                <w:szCs w:val="20"/>
              </w:rPr>
              <w:t>0.01 billion reduction from mobile</w:t>
            </w:r>
            <w:r w:rsidR="00921282" w:rsidRPr="00D86314">
              <w:rPr>
                <w:noProof/>
                <w:sz w:val="20"/>
                <w:szCs w:val="20"/>
              </w:rPr>
              <w:t xml:space="preserve">. </w:t>
            </w:r>
          </w:p>
          <w:p w14:paraId="6D19AB99" w14:textId="77777777" w:rsidR="004C323D" w:rsidRPr="00D86314" w:rsidRDefault="004C323D" w:rsidP="004C323D">
            <w:pPr>
              <w:spacing w:after="0"/>
              <w:rPr>
                <w:noProof/>
                <w:sz w:val="20"/>
                <w:szCs w:val="20"/>
              </w:rPr>
            </w:pPr>
            <w:r w:rsidRPr="00D86314">
              <w:rPr>
                <w:noProof/>
                <w:sz w:val="20"/>
                <w:szCs w:val="20"/>
              </w:rPr>
              <w:t xml:space="preserve">The options show an average of over 96% reduction from 2025 to 2035, due to significant decrease in electricity consumption per gigabyte linked to new mobile technologies, however the difference between the baseline and the preferred option is negligible. </w:t>
            </w:r>
          </w:p>
          <w:p w14:paraId="1CFFCA65" w14:textId="7C6513E5" w:rsidR="008D3920" w:rsidRPr="00D86314" w:rsidRDefault="008D3920" w:rsidP="00BE3015">
            <w:pPr>
              <w:rPr>
                <w:noProof/>
                <w:sz w:val="20"/>
              </w:rPr>
            </w:pPr>
            <w:r w:rsidRPr="00D86314">
              <w:rPr>
                <w:noProof/>
                <w:sz w:val="20"/>
                <w:szCs w:val="20"/>
              </w:rPr>
              <w:t>There will be additional energy-saving effect of 6G</w:t>
            </w:r>
            <w:r w:rsidR="00876140" w:rsidRPr="00D86314">
              <w:rPr>
                <w:noProof/>
                <w:sz w:val="20"/>
                <w:szCs w:val="20"/>
              </w:rPr>
              <w:t xml:space="preserve"> and of its accelerated introduction</w:t>
            </w:r>
            <w:r w:rsidRPr="00D86314">
              <w:rPr>
                <w:noProof/>
                <w:sz w:val="20"/>
                <w:szCs w:val="20"/>
              </w:rPr>
              <w:t xml:space="preserve"> </w:t>
            </w:r>
            <w:r w:rsidR="00876140" w:rsidRPr="00D86314">
              <w:rPr>
                <w:noProof/>
                <w:sz w:val="20"/>
                <w:szCs w:val="20"/>
              </w:rPr>
              <w:t xml:space="preserve">due to spectrum measures </w:t>
            </w:r>
            <w:r w:rsidRPr="00D86314">
              <w:rPr>
                <w:noProof/>
                <w:sz w:val="20"/>
                <w:szCs w:val="20"/>
              </w:rPr>
              <w:t>that has not been included in this model given the technology is still being developed</w:t>
            </w:r>
            <w:r w:rsidR="00876140" w:rsidRPr="00D86314">
              <w:rPr>
                <w:noProof/>
                <w:sz w:val="20"/>
                <w:szCs w:val="20"/>
              </w:rPr>
              <w:t xml:space="preserve">, however this </w:t>
            </w:r>
            <w:r w:rsidRPr="00D86314">
              <w:rPr>
                <w:noProof/>
                <w:sz w:val="20"/>
                <w:szCs w:val="20"/>
              </w:rPr>
              <w:t xml:space="preserve">is likely to be significant, given that future mobile generations such as 6G are being designed with energy efficiency and renewable-energy integration as core principles. </w:t>
            </w:r>
          </w:p>
        </w:tc>
        <w:tc>
          <w:tcPr>
            <w:tcW w:w="1788" w:type="pct"/>
            <w:tcBorders>
              <w:top w:val="double" w:sz="4" w:space="0" w:color="auto"/>
            </w:tcBorders>
            <w:tcMar>
              <w:top w:w="57" w:type="dxa"/>
              <w:left w:w="57" w:type="dxa"/>
              <w:bottom w:w="57" w:type="dxa"/>
              <w:right w:w="57" w:type="dxa"/>
            </w:tcMar>
          </w:tcPr>
          <w:p w14:paraId="79892F2C" w14:textId="77777777" w:rsidR="004C323D" w:rsidRPr="00D86314" w:rsidRDefault="004C323D" w:rsidP="004C323D">
            <w:pPr>
              <w:rPr>
                <w:noProof/>
                <w:sz w:val="20"/>
                <w:szCs w:val="20"/>
              </w:rPr>
            </w:pPr>
            <w:r w:rsidRPr="00D86314">
              <w:rPr>
                <w:noProof/>
                <w:sz w:val="20"/>
              </w:rPr>
              <w:t>Reduction on CO</w:t>
            </w:r>
            <w:r w:rsidRPr="00D86314">
              <w:rPr>
                <w:noProof/>
                <w:sz w:val="20"/>
                <w:vertAlign w:val="subscript"/>
              </w:rPr>
              <w:t>2</w:t>
            </w:r>
            <w:r w:rsidRPr="00D86314">
              <w:rPr>
                <w:noProof/>
                <w:sz w:val="20"/>
              </w:rPr>
              <w:t xml:space="preserve"> is marginal compared to baseline; however the model presents only part of the environmental benefits. Additional gains are expected from 6G. Potential for smart systems (e.g. connected transport or logistics) through IoT and private 5G.</w:t>
            </w:r>
          </w:p>
          <w:p w14:paraId="1C045744" w14:textId="773CBD4D" w:rsidR="004C323D" w:rsidRPr="00D86314" w:rsidRDefault="004C323D" w:rsidP="004C323D">
            <w:pPr>
              <w:spacing w:after="0"/>
              <w:rPr>
                <w:noProof/>
                <w:sz w:val="20"/>
              </w:rPr>
            </w:pPr>
            <w:r w:rsidRPr="00D86314">
              <w:rPr>
                <w:noProof/>
                <w:sz w:val="20"/>
                <w:szCs w:val="20"/>
              </w:rPr>
              <w:t>The preferred option will further accelerate deployment of future mobile generations like 6G that are being designed with energy efficiency and renewable energy integration as core principles and should therefore favourably impact energy efficiency.</w:t>
            </w:r>
            <w:r w:rsidR="009274F1" w:rsidRPr="00D86314">
              <w:rPr>
                <w:noProof/>
                <w:sz w:val="20"/>
                <w:szCs w:val="20"/>
              </w:rPr>
              <w:t xml:space="preserve"> In parallel, the deployment of edge computing and AI-driven energy optimisation (e.g., adaptive sleep modes, intelligent traffic steering, and predictive maintenance) will further enhance the sustainability of mobile networks. While AI can make processes more energy-efficient, it may also increase electricity demand due to the greater computing capacity required. Any comprehensive assessment should therefore weigh AI-enabled efficiency gains against the incremental power needs of expanded compute infrastructure.</w:t>
            </w:r>
          </w:p>
        </w:tc>
      </w:tr>
      <w:tr w:rsidR="004C323D" w:rsidRPr="00D86314" w14:paraId="3122DA58" w14:textId="77777777" w:rsidTr="004C323D">
        <w:tc>
          <w:tcPr>
            <w:tcW w:w="1231" w:type="pct"/>
            <w:tcBorders>
              <w:top w:val="double" w:sz="4" w:space="0" w:color="auto"/>
            </w:tcBorders>
          </w:tcPr>
          <w:p w14:paraId="58819E33" w14:textId="211F288E" w:rsidR="004C323D" w:rsidRPr="00D86314" w:rsidRDefault="004C323D" w:rsidP="004C323D">
            <w:pPr>
              <w:rPr>
                <w:noProof/>
                <w:sz w:val="20"/>
              </w:rPr>
            </w:pPr>
            <w:r w:rsidRPr="00D86314">
              <w:rPr>
                <w:noProof/>
                <w:sz w:val="20"/>
                <w:szCs w:val="16"/>
              </w:rPr>
              <w:t>Push toward innovative spectrum sharing solutions</w:t>
            </w:r>
          </w:p>
        </w:tc>
        <w:tc>
          <w:tcPr>
            <w:tcW w:w="1981" w:type="pct"/>
            <w:tcBorders>
              <w:top w:val="double" w:sz="4" w:space="0" w:color="auto"/>
            </w:tcBorders>
            <w:tcMar>
              <w:top w:w="57" w:type="dxa"/>
              <w:left w:w="57" w:type="dxa"/>
              <w:bottom w:w="57" w:type="dxa"/>
              <w:right w:w="57" w:type="dxa"/>
            </w:tcMar>
          </w:tcPr>
          <w:p w14:paraId="7F9EFEBD" w14:textId="4363871C" w:rsidR="004C323D" w:rsidRPr="00D86314" w:rsidRDefault="004C323D" w:rsidP="004C323D">
            <w:pPr>
              <w:rPr>
                <w:noProof/>
                <w:sz w:val="20"/>
              </w:rPr>
            </w:pPr>
            <w:r w:rsidRPr="00D86314">
              <w:rPr>
                <w:noProof/>
                <w:sz w:val="20"/>
                <w:szCs w:val="16"/>
              </w:rPr>
              <w:t>Not quantified</w:t>
            </w:r>
          </w:p>
        </w:tc>
        <w:tc>
          <w:tcPr>
            <w:tcW w:w="1788" w:type="pct"/>
            <w:tcBorders>
              <w:top w:val="double" w:sz="4" w:space="0" w:color="auto"/>
            </w:tcBorders>
            <w:tcMar>
              <w:top w:w="57" w:type="dxa"/>
              <w:left w:w="57" w:type="dxa"/>
              <w:bottom w:w="57" w:type="dxa"/>
              <w:right w:w="57" w:type="dxa"/>
            </w:tcMar>
          </w:tcPr>
          <w:p w14:paraId="119F8E4D" w14:textId="5C430780" w:rsidR="004C323D" w:rsidRPr="00D86314" w:rsidRDefault="004C323D" w:rsidP="004C323D">
            <w:pPr>
              <w:rPr>
                <w:noProof/>
                <w:sz w:val="20"/>
              </w:rPr>
            </w:pPr>
            <w:r w:rsidRPr="00D86314">
              <w:rPr>
                <w:noProof/>
                <w:sz w:val="20"/>
                <w:szCs w:val="16"/>
              </w:rPr>
              <w:t>The preferred option supports the uptake of advanced sharing mechanisms (e.g. dynamic spectrum access, AI-based coordination), unlocking additional efficiencies and supporting coexistence in dense spectrum environments.</w:t>
            </w:r>
          </w:p>
        </w:tc>
      </w:tr>
      <w:tr w:rsidR="004C323D" w:rsidRPr="00D86314" w14:paraId="6A5E2A91" w14:textId="77777777" w:rsidTr="00110FF8">
        <w:tc>
          <w:tcPr>
            <w:tcW w:w="1231" w:type="pct"/>
            <w:tcBorders>
              <w:top w:val="double" w:sz="4" w:space="0" w:color="auto"/>
              <w:bottom w:val="double" w:sz="4" w:space="0" w:color="auto"/>
            </w:tcBorders>
          </w:tcPr>
          <w:p w14:paraId="3F2E27C4" w14:textId="3993F529" w:rsidR="004C323D" w:rsidRPr="00D86314" w:rsidRDefault="004C323D" w:rsidP="004C323D">
            <w:pPr>
              <w:rPr>
                <w:noProof/>
                <w:sz w:val="20"/>
                <w:szCs w:val="16"/>
              </w:rPr>
            </w:pPr>
            <w:r w:rsidRPr="00D86314">
              <w:rPr>
                <w:noProof/>
                <w:sz w:val="20"/>
                <w:szCs w:val="16"/>
              </w:rPr>
              <w:t>Petition mechanism supports harmonisation for innovators</w:t>
            </w:r>
          </w:p>
        </w:tc>
        <w:tc>
          <w:tcPr>
            <w:tcW w:w="1981" w:type="pct"/>
            <w:tcBorders>
              <w:top w:val="double" w:sz="4" w:space="0" w:color="auto"/>
              <w:bottom w:val="double" w:sz="4" w:space="0" w:color="auto"/>
            </w:tcBorders>
            <w:tcMar>
              <w:top w:w="57" w:type="dxa"/>
              <w:left w:w="57" w:type="dxa"/>
              <w:bottom w:w="57" w:type="dxa"/>
              <w:right w:w="57" w:type="dxa"/>
            </w:tcMar>
          </w:tcPr>
          <w:p w14:paraId="68B85D26" w14:textId="7C3102BA" w:rsidR="004C323D" w:rsidRPr="00D86314" w:rsidRDefault="004C323D" w:rsidP="004C323D">
            <w:pPr>
              <w:rPr>
                <w:noProof/>
                <w:sz w:val="20"/>
                <w:szCs w:val="16"/>
              </w:rPr>
            </w:pPr>
            <w:r w:rsidRPr="00D86314">
              <w:rPr>
                <w:noProof/>
                <w:sz w:val="20"/>
                <w:szCs w:val="16"/>
              </w:rPr>
              <w:t>Not quantified</w:t>
            </w:r>
          </w:p>
        </w:tc>
        <w:tc>
          <w:tcPr>
            <w:tcW w:w="1788" w:type="pct"/>
            <w:tcBorders>
              <w:top w:val="double" w:sz="4" w:space="0" w:color="auto"/>
              <w:bottom w:val="double" w:sz="4" w:space="0" w:color="auto"/>
            </w:tcBorders>
            <w:tcMar>
              <w:top w:w="57" w:type="dxa"/>
              <w:left w:w="57" w:type="dxa"/>
              <w:bottom w:w="57" w:type="dxa"/>
              <w:right w:w="57" w:type="dxa"/>
            </w:tcMar>
          </w:tcPr>
          <w:p w14:paraId="03DA5792" w14:textId="7F429BCB" w:rsidR="004C323D" w:rsidRPr="00D86314" w:rsidRDefault="004C323D" w:rsidP="004C323D">
            <w:pPr>
              <w:rPr>
                <w:noProof/>
                <w:sz w:val="20"/>
                <w:szCs w:val="16"/>
              </w:rPr>
            </w:pPr>
            <w:r w:rsidRPr="00D86314">
              <w:rPr>
                <w:noProof/>
                <w:sz w:val="20"/>
                <w:szCs w:val="16"/>
              </w:rPr>
              <w:t>The stakeholder petition mechanism empowers innovators (e.g. in satellite-IoT or non-terrestrial networks) to request harmonised spectrum access at EU level, enabling timely deployment of emerging technologies.</w:t>
            </w:r>
          </w:p>
        </w:tc>
      </w:tr>
      <w:tr w:rsidR="004C323D" w:rsidRPr="00D86314" w14:paraId="631A70DA" w14:textId="77777777" w:rsidTr="00110FF8">
        <w:tc>
          <w:tcPr>
            <w:tcW w:w="1231" w:type="pct"/>
            <w:tcBorders>
              <w:top w:val="double" w:sz="4" w:space="0" w:color="auto"/>
              <w:bottom w:val="double" w:sz="4" w:space="0" w:color="auto"/>
            </w:tcBorders>
          </w:tcPr>
          <w:p w14:paraId="155BA9AB" w14:textId="7331BF4F" w:rsidR="004C323D" w:rsidRPr="00D86314" w:rsidRDefault="004C323D" w:rsidP="004C323D">
            <w:pPr>
              <w:rPr>
                <w:noProof/>
                <w:sz w:val="20"/>
                <w:szCs w:val="16"/>
              </w:rPr>
            </w:pPr>
            <w:r w:rsidRPr="00D86314">
              <w:rPr>
                <w:noProof/>
                <w:sz w:val="20"/>
              </w:rPr>
              <w:t>Regulatory outcomes</w:t>
            </w:r>
          </w:p>
        </w:tc>
        <w:tc>
          <w:tcPr>
            <w:tcW w:w="1981" w:type="pct"/>
            <w:tcBorders>
              <w:top w:val="double" w:sz="4" w:space="0" w:color="auto"/>
              <w:bottom w:val="double" w:sz="4" w:space="0" w:color="auto"/>
            </w:tcBorders>
            <w:tcMar>
              <w:top w:w="57" w:type="dxa"/>
              <w:left w:w="57" w:type="dxa"/>
              <w:bottom w:w="57" w:type="dxa"/>
              <w:right w:w="57" w:type="dxa"/>
            </w:tcMar>
          </w:tcPr>
          <w:p w14:paraId="56852765" w14:textId="77777777" w:rsidR="004C323D" w:rsidRPr="00D86314" w:rsidRDefault="004C323D" w:rsidP="004C323D">
            <w:pPr>
              <w:spacing w:after="0"/>
              <w:rPr>
                <w:noProof/>
                <w:sz w:val="20"/>
                <w:szCs w:val="20"/>
              </w:rPr>
            </w:pPr>
            <w:r w:rsidRPr="00D86314">
              <w:rPr>
                <w:noProof/>
                <w:sz w:val="20"/>
                <w:szCs w:val="20"/>
              </w:rPr>
              <w:t xml:space="preserve">Enhanced harmonisation due to increased decision-making power by EC and BEREC Office as a fully-fledged agency, and RPSG as an independent advisor. </w:t>
            </w:r>
          </w:p>
          <w:p w14:paraId="7888CB40" w14:textId="77777777" w:rsidR="004C323D" w:rsidRPr="00D86314" w:rsidRDefault="004C323D" w:rsidP="004C323D">
            <w:pPr>
              <w:rPr>
                <w:noProof/>
                <w:sz w:val="20"/>
                <w:szCs w:val="16"/>
              </w:rPr>
            </w:pPr>
          </w:p>
        </w:tc>
        <w:tc>
          <w:tcPr>
            <w:tcW w:w="1788" w:type="pct"/>
            <w:tcBorders>
              <w:top w:val="double" w:sz="4" w:space="0" w:color="auto"/>
              <w:bottom w:val="double" w:sz="4" w:space="0" w:color="auto"/>
            </w:tcBorders>
            <w:tcMar>
              <w:top w:w="57" w:type="dxa"/>
              <w:left w:w="57" w:type="dxa"/>
              <w:bottom w:w="57" w:type="dxa"/>
              <w:right w:w="57" w:type="dxa"/>
            </w:tcMar>
          </w:tcPr>
          <w:p w14:paraId="32EA570E" w14:textId="4D452488" w:rsidR="004C323D" w:rsidRPr="00D86314" w:rsidRDefault="004C323D" w:rsidP="004C323D">
            <w:pPr>
              <w:rPr>
                <w:noProof/>
                <w:sz w:val="20"/>
                <w:szCs w:val="16"/>
              </w:rPr>
            </w:pPr>
            <w:r w:rsidRPr="00D86314">
              <w:rPr>
                <w:noProof/>
                <w:sz w:val="20"/>
                <w:szCs w:val="20"/>
              </w:rPr>
              <w:t xml:space="preserve">More consistent regulatory outcomes across MS ultimately contributes to increased harmonisation / level playing field for market operators, and reduction of compliance costs for economic operators. </w:t>
            </w:r>
          </w:p>
        </w:tc>
      </w:tr>
      <w:tr w:rsidR="004C323D" w:rsidRPr="00D86314" w14:paraId="25EAC64A" w14:textId="77777777" w:rsidTr="004C323D">
        <w:tc>
          <w:tcPr>
            <w:tcW w:w="1231" w:type="pct"/>
            <w:tcBorders>
              <w:top w:val="double" w:sz="4" w:space="0" w:color="auto"/>
            </w:tcBorders>
          </w:tcPr>
          <w:p w14:paraId="6EEAF486" w14:textId="70976340" w:rsidR="004C323D" w:rsidRPr="00D86314" w:rsidRDefault="004C323D" w:rsidP="004C323D">
            <w:pPr>
              <w:rPr>
                <w:noProof/>
                <w:sz w:val="20"/>
                <w:szCs w:val="16"/>
              </w:rPr>
            </w:pPr>
            <w:r w:rsidRPr="00D86314">
              <w:rPr>
                <w:noProof/>
                <w:sz w:val="20"/>
              </w:rPr>
              <w:t>Market development</w:t>
            </w:r>
          </w:p>
        </w:tc>
        <w:tc>
          <w:tcPr>
            <w:tcW w:w="1981" w:type="pct"/>
            <w:tcBorders>
              <w:top w:val="double" w:sz="4" w:space="0" w:color="auto"/>
            </w:tcBorders>
            <w:tcMar>
              <w:top w:w="57" w:type="dxa"/>
              <w:left w:w="57" w:type="dxa"/>
              <w:bottom w:w="57" w:type="dxa"/>
              <w:right w:w="57" w:type="dxa"/>
            </w:tcMar>
          </w:tcPr>
          <w:p w14:paraId="46B3BCEE" w14:textId="7AC77306" w:rsidR="004C323D" w:rsidRPr="00D86314" w:rsidRDefault="004C323D" w:rsidP="004C323D">
            <w:pPr>
              <w:rPr>
                <w:noProof/>
                <w:sz w:val="20"/>
                <w:szCs w:val="16"/>
              </w:rPr>
            </w:pPr>
            <w:r w:rsidRPr="00D86314">
              <w:rPr>
                <w:noProof/>
                <w:sz w:val="20"/>
              </w:rPr>
              <w:t>Further empowerment of NRAs and NCA, contributing to enhanced market development</w:t>
            </w:r>
          </w:p>
        </w:tc>
        <w:tc>
          <w:tcPr>
            <w:tcW w:w="1788" w:type="pct"/>
            <w:tcBorders>
              <w:top w:val="double" w:sz="4" w:space="0" w:color="auto"/>
            </w:tcBorders>
            <w:tcMar>
              <w:top w:w="57" w:type="dxa"/>
              <w:left w:w="57" w:type="dxa"/>
              <w:bottom w:w="57" w:type="dxa"/>
              <w:right w:w="57" w:type="dxa"/>
            </w:tcMar>
          </w:tcPr>
          <w:p w14:paraId="7863C0DD" w14:textId="5094B938" w:rsidR="004C323D" w:rsidRPr="00D86314" w:rsidRDefault="004C323D" w:rsidP="004C323D">
            <w:pPr>
              <w:rPr>
                <w:noProof/>
                <w:sz w:val="20"/>
                <w:szCs w:val="16"/>
              </w:rPr>
            </w:pPr>
            <w:r w:rsidRPr="00D86314">
              <w:rPr>
                <w:noProof/>
                <w:sz w:val="20"/>
                <w:szCs w:val="20"/>
              </w:rPr>
              <w:t>Ultimately leads to lower compliance costs for cross-border operators, and in terms of satellite spectrum/EU authorisation fosters innovation and investment in new technologies.</w:t>
            </w:r>
          </w:p>
        </w:tc>
      </w:tr>
    </w:tbl>
    <w:p w14:paraId="5BD6179D" w14:textId="77777777" w:rsidR="00A97610" w:rsidRPr="00D86314" w:rsidRDefault="00A747AD" w:rsidP="00A747AD">
      <w:pPr>
        <w:rPr>
          <w:i/>
          <w:noProof/>
          <w:sz w:val="20"/>
        </w:rPr>
      </w:pPr>
      <w:r w:rsidRPr="00D86314">
        <w:rPr>
          <w:i/>
          <w:noProof/>
          <w:sz w:val="20"/>
        </w:rPr>
        <w:t xml:space="preserve">(1) Estimates are gross values relative to the baseline for the preferred option as a whole (i.e. the impact of individual actions/obligations of the </w:t>
      </w:r>
      <w:r w:rsidRPr="00D86314">
        <w:rPr>
          <w:i/>
          <w:noProof/>
          <w:sz w:val="20"/>
          <w:u w:val="single"/>
        </w:rPr>
        <w:t>preferred</w:t>
      </w:r>
      <w:r w:rsidRPr="00D86314">
        <w:rPr>
          <w:i/>
          <w:noProof/>
          <w:sz w:val="20"/>
        </w:rPr>
        <w:t xml:space="preserve"> option are aggregated together); (2) Please indicate in the comments column which stakeholder group is the main recipient of the benefit;(3) For reductions in regulatory costs, please describe in the comments column the details as to how the saving arises (e.g. reductions in adjustment costs, administrative costs, regulatory charges, enforcement costs, etc.)</w:t>
      </w:r>
      <w:r w:rsidRPr="00D86314" w:rsidDel="00FC7EFC">
        <w:rPr>
          <w:i/>
          <w:noProof/>
          <w:sz w:val="20"/>
        </w:rPr>
        <w:t>;</w:t>
      </w:r>
      <w:r w:rsidRPr="00D86314">
        <w:rPr>
          <w:i/>
          <w:noProof/>
          <w:sz w:val="20"/>
        </w:rPr>
        <w:t xml:space="preserve"> (4) Estimates of GDP impacts are indicative and scenario-based. They are derived from literature-based coefficients linking improvements in broadband speed and take-up to productivity and GDP growth. Given the high variability of estimates in the empirical literature and uncertainty regarding marginal effects at higher speed levels, absolute values are sensitive to key assumptions. Sensitivity analysis is provided in Annex [X]; results should therefore be interpreted as orders of magnitude rather than precise forecasts, while the relative comparison between options remains robust</w:t>
      </w:r>
    </w:p>
    <w:tbl>
      <w:tblPr>
        <w:tblW w:w="9597"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
        <w:gridCol w:w="912"/>
        <w:gridCol w:w="1479"/>
        <w:gridCol w:w="1043"/>
        <w:gridCol w:w="1328"/>
        <w:gridCol w:w="1303"/>
        <w:gridCol w:w="1290"/>
        <w:gridCol w:w="1056"/>
        <w:gridCol w:w="1171"/>
      </w:tblGrid>
      <w:tr w:rsidR="00A97610" w:rsidRPr="00D86314" w14:paraId="343929B3" w14:textId="77777777" w:rsidTr="00A97610">
        <w:trPr>
          <w:gridBefore w:val="1"/>
          <w:wBefore w:w="15" w:type="dxa"/>
        </w:trPr>
        <w:tc>
          <w:tcPr>
            <w:tcW w:w="9582" w:type="dxa"/>
            <w:gridSpan w:val="8"/>
            <w:tcBorders>
              <w:top w:val="double" w:sz="4" w:space="0" w:color="auto"/>
              <w:left w:val="double" w:sz="4" w:space="0" w:color="auto"/>
              <w:bottom w:val="single" w:sz="4" w:space="0" w:color="auto"/>
              <w:right w:val="double" w:sz="4" w:space="0" w:color="auto"/>
            </w:tcBorders>
            <w:shd w:val="clear" w:color="auto" w:fill="C6D9F1" w:themeFill="text2" w:themeFillTint="33"/>
            <w:tcMar>
              <w:top w:w="57" w:type="dxa"/>
              <w:left w:w="57" w:type="dxa"/>
              <w:bottom w:w="57" w:type="dxa"/>
              <w:right w:w="57" w:type="dxa"/>
            </w:tcMar>
          </w:tcPr>
          <w:p w14:paraId="3F54D341" w14:textId="77777777" w:rsidR="00A97610" w:rsidRPr="00D86314" w:rsidRDefault="00A97610">
            <w:pPr>
              <w:spacing w:after="0"/>
              <w:rPr>
                <w:noProof/>
                <w:sz w:val="20"/>
                <w:szCs w:val="20"/>
                <w:lang w:eastAsia="en-GB"/>
              </w:rPr>
            </w:pPr>
            <w:r w:rsidRPr="00D86314">
              <w:rPr>
                <w:noProof/>
                <w:sz w:val="20"/>
                <w:szCs w:val="20"/>
                <w:lang w:eastAsia="en-GB"/>
              </w:rPr>
              <w:t>II. Overview of costs – Preferred option</w:t>
            </w:r>
          </w:p>
        </w:tc>
      </w:tr>
      <w:tr w:rsidR="00A97610" w:rsidRPr="00D86314" w14:paraId="50699176" w14:textId="77777777" w:rsidTr="00A97610">
        <w:tc>
          <w:tcPr>
            <w:tcW w:w="2406" w:type="dxa"/>
            <w:gridSpan w:val="3"/>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10017DA4" w14:textId="77777777" w:rsidR="00A97610" w:rsidRPr="00D86314" w:rsidRDefault="00A97610">
            <w:pPr>
              <w:spacing w:after="0"/>
              <w:rPr>
                <w:noProof/>
                <w:sz w:val="20"/>
                <w:szCs w:val="20"/>
              </w:rPr>
            </w:pPr>
          </w:p>
        </w:tc>
        <w:tc>
          <w:tcPr>
            <w:tcW w:w="2371" w:type="dxa"/>
            <w:gridSpan w:val="2"/>
            <w:tcBorders>
              <w:left w:val="double" w:sz="4" w:space="0" w:color="auto"/>
            </w:tcBorders>
            <w:tcMar>
              <w:top w:w="57" w:type="dxa"/>
              <w:left w:w="57" w:type="dxa"/>
              <w:bottom w:w="57" w:type="dxa"/>
              <w:right w:w="57" w:type="dxa"/>
            </w:tcMar>
          </w:tcPr>
          <w:p w14:paraId="243DA63E" w14:textId="77777777" w:rsidR="00A97610" w:rsidRPr="00D86314" w:rsidRDefault="00A97610">
            <w:pPr>
              <w:spacing w:after="0"/>
              <w:jc w:val="center"/>
              <w:rPr>
                <w:noProof/>
                <w:sz w:val="20"/>
                <w:szCs w:val="20"/>
              </w:rPr>
            </w:pPr>
            <w:r w:rsidRPr="00D86314">
              <w:rPr>
                <w:noProof/>
                <w:sz w:val="20"/>
                <w:szCs w:val="20"/>
              </w:rPr>
              <w:t>Citizens/Consumers</w:t>
            </w:r>
          </w:p>
        </w:tc>
        <w:tc>
          <w:tcPr>
            <w:tcW w:w="2593" w:type="dxa"/>
            <w:gridSpan w:val="2"/>
            <w:tcMar>
              <w:top w:w="57" w:type="dxa"/>
              <w:left w:w="57" w:type="dxa"/>
              <w:bottom w:w="57" w:type="dxa"/>
              <w:right w:w="57" w:type="dxa"/>
            </w:tcMar>
          </w:tcPr>
          <w:p w14:paraId="6C1F4BB2" w14:textId="77777777" w:rsidR="00A97610" w:rsidRPr="00D86314" w:rsidRDefault="00A97610">
            <w:pPr>
              <w:spacing w:after="0"/>
              <w:jc w:val="center"/>
              <w:rPr>
                <w:noProof/>
                <w:sz w:val="20"/>
                <w:szCs w:val="20"/>
              </w:rPr>
            </w:pPr>
            <w:r w:rsidRPr="00D86314">
              <w:rPr>
                <w:noProof/>
                <w:sz w:val="20"/>
                <w:szCs w:val="20"/>
              </w:rPr>
              <w:t>Businesses</w:t>
            </w:r>
          </w:p>
        </w:tc>
        <w:tc>
          <w:tcPr>
            <w:tcW w:w="2227" w:type="dxa"/>
            <w:gridSpan w:val="2"/>
            <w:tcMar>
              <w:top w:w="57" w:type="dxa"/>
              <w:left w:w="57" w:type="dxa"/>
              <w:bottom w:w="57" w:type="dxa"/>
              <w:right w:w="57" w:type="dxa"/>
            </w:tcMar>
          </w:tcPr>
          <w:p w14:paraId="07A7EE31" w14:textId="77777777" w:rsidR="00A97610" w:rsidRPr="00D86314" w:rsidRDefault="00A97610">
            <w:pPr>
              <w:spacing w:after="0"/>
              <w:jc w:val="center"/>
              <w:rPr>
                <w:noProof/>
                <w:sz w:val="20"/>
                <w:szCs w:val="20"/>
              </w:rPr>
            </w:pPr>
            <w:r w:rsidRPr="00D86314">
              <w:rPr>
                <w:noProof/>
                <w:sz w:val="20"/>
                <w:szCs w:val="20"/>
              </w:rPr>
              <w:t>Administrations</w:t>
            </w:r>
          </w:p>
        </w:tc>
      </w:tr>
      <w:tr w:rsidR="00A97610" w:rsidRPr="00D86314" w14:paraId="66F02150" w14:textId="77777777" w:rsidTr="00A97610">
        <w:tc>
          <w:tcPr>
            <w:tcW w:w="2406" w:type="dxa"/>
            <w:gridSpan w:val="3"/>
            <w:vMerge/>
            <w:tcBorders>
              <w:tl2br w:val="double" w:sz="4" w:space="0" w:color="auto"/>
            </w:tcBorders>
            <w:tcMar>
              <w:top w:w="57" w:type="dxa"/>
              <w:left w:w="57" w:type="dxa"/>
              <w:bottom w:w="57" w:type="dxa"/>
              <w:right w:w="57" w:type="dxa"/>
            </w:tcMar>
          </w:tcPr>
          <w:p w14:paraId="7CFE3687" w14:textId="77777777" w:rsidR="00A97610" w:rsidRPr="00D86314" w:rsidRDefault="00A97610">
            <w:pPr>
              <w:spacing w:after="0"/>
              <w:rPr>
                <w:noProof/>
                <w:sz w:val="20"/>
                <w:szCs w:val="20"/>
              </w:rPr>
            </w:pPr>
          </w:p>
        </w:tc>
        <w:tc>
          <w:tcPr>
            <w:tcW w:w="1043" w:type="dxa"/>
            <w:tcBorders>
              <w:left w:val="double" w:sz="4" w:space="0" w:color="auto"/>
              <w:bottom w:val="double" w:sz="4" w:space="0" w:color="auto"/>
            </w:tcBorders>
            <w:tcMar>
              <w:top w:w="57" w:type="dxa"/>
              <w:left w:w="57" w:type="dxa"/>
              <w:bottom w:w="57" w:type="dxa"/>
              <w:right w:w="57" w:type="dxa"/>
            </w:tcMar>
          </w:tcPr>
          <w:p w14:paraId="3F7ED101" w14:textId="77777777" w:rsidR="00A97610" w:rsidRPr="00D86314" w:rsidRDefault="00A97610">
            <w:pPr>
              <w:spacing w:after="0"/>
              <w:jc w:val="center"/>
              <w:rPr>
                <w:noProof/>
                <w:sz w:val="20"/>
                <w:szCs w:val="20"/>
              </w:rPr>
            </w:pPr>
            <w:r w:rsidRPr="00D86314">
              <w:rPr>
                <w:noProof/>
                <w:sz w:val="20"/>
                <w:szCs w:val="20"/>
              </w:rPr>
              <w:t>One-off</w:t>
            </w:r>
          </w:p>
        </w:tc>
        <w:tc>
          <w:tcPr>
            <w:tcW w:w="1328" w:type="dxa"/>
            <w:tcBorders>
              <w:bottom w:val="double" w:sz="4" w:space="0" w:color="auto"/>
            </w:tcBorders>
            <w:tcMar>
              <w:top w:w="57" w:type="dxa"/>
              <w:left w:w="57" w:type="dxa"/>
              <w:bottom w:w="57" w:type="dxa"/>
              <w:right w:w="57" w:type="dxa"/>
            </w:tcMar>
          </w:tcPr>
          <w:p w14:paraId="7F24E5DB" w14:textId="77777777" w:rsidR="00A97610" w:rsidRPr="00D86314" w:rsidRDefault="00A97610">
            <w:pPr>
              <w:spacing w:after="0"/>
              <w:jc w:val="center"/>
              <w:rPr>
                <w:noProof/>
                <w:sz w:val="20"/>
                <w:szCs w:val="20"/>
              </w:rPr>
            </w:pPr>
            <w:r w:rsidRPr="00D86314">
              <w:rPr>
                <w:noProof/>
                <w:sz w:val="20"/>
                <w:szCs w:val="20"/>
              </w:rPr>
              <w:t>Recurrent</w:t>
            </w:r>
          </w:p>
        </w:tc>
        <w:tc>
          <w:tcPr>
            <w:tcW w:w="1303" w:type="dxa"/>
            <w:tcBorders>
              <w:bottom w:val="double" w:sz="4" w:space="0" w:color="auto"/>
            </w:tcBorders>
            <w:tcMar>
              <w:top w:w="57" w:type="dxa"/>
              <w:left w:w="57" w:type="dxa"/>
              <w:bottom w:w="57" w:type="dxa"/>
              <w:right w:w="57" w:type="dxa"/>
            </w:tcMar>
          </w:tcPr>
          <w:p w14:paraId="4593023D" w14:textId="77777777" w:rsidR="00A97610" w:rsidRPr="00D86314" w:rsidRDefault="00A97610">
            <w:pPr>
              <w:spacing w:after="0"/>
              <w:jc w:val="center"/>
              <w:rPr>
                <w:noProof/>
                <w:sz w:val="20"/>
                <w:szCs w:val="20"/>
              </w:rPr>
            </w:pPr>
            <w:r w:rsidRPr="00D86314">
              <w:rPr>
                <w:noProof/>
                <w:sz w:val="20"/>
                <w:szCs w:val="20"/>
              </w:rPr>
              <w:t>One-off</w:t>
            </w:r>
          </w:p>
        </w:tc>
        <w:tc>
          <w:tcPr>
            <w:tcW w:w="1290" w:type="dxa"/>
            <w:tcBorders>
              <w:bottom w:val="double" w:sz="4" w:space="0" w:color="auto"/>
            </w:tcBorders>
            <w:tcMar>
              <w:top w:w="57" w:type="dxa"/>
              <w:left w:w="57" w:type="dxa"/>
              <w:bottom w:w="57" w:type="dxa"/>
              <w:right w:w="57" w:type="dxa"/>
            </w:tcMar>
          </w:tcPr>
          <w:p w14:paraId="33C9A56B" w14:textId="77777777" w:rsidR="00A97610" w:rsidRPr="00D86314" w:rsidRDefault="00A97610">
            <w:pPr>
              <w:spacing w:after="0"/>
              <w:jc w:val="center"/>
              <w:rPr>
                <w:noProof/>
                <w:sz w:val="20"/>
                <w:szCs w:val="20"/>
              </w:rPr>
            </w:pPr>
            <w:r w:rsidRPr="00D86314">
              <w:rPr>
                <w:noProof/>
                <w:sz w:val="20"/>
                <w:szCs w:val="20"/>
              </w:rPr>
              <w:t>Recurrent</w:t>
            </w:r>
          </w:p>
        </w:tc>
        <w:tc>
          <w:tcPr>
            <w:tcW w:w="1056" w:type="dxa"/>
            <w:tcBorders>
              <w:bottom w:val="double" w:sz="4" w:space="0" w:color="auto"/>
            </w:tcBorders>
            <w:tcMar>
              <w:top w:w="57" w:type="dxa"/>
              <w:left w:w="57" w:type="dxa"/>
              <w:bottom w:w="57" w:type="dxa"/>
              <w:right w:w="57" w:type="dxa"/>
            </w:tcMar>
          </w:tcPr>
          <w:p w14:paraId="59DBC9BE" w14:textId="77777777" w:rsidR="00A97610" w:rsidRPr="00D86314" w:rsidRDefault="00A97610">
            <w:pPr>
              <w:spacing w:after="0"/>
              <w:jc w:val="center"/>
              <w:rPr>
                <w:noProof/>
                <w:sz w:val="20"/>
                <w:szCs w:val="20"/>
              </w:rPr>
            </w:pPr>
            <w:r w:rsidRPr="00D86314">
              <w:rPr>
                <w:noProof/>
                <w:sz w:val="20"/>
                <w:szCs w:val="20"/>
              </w:rPr>
              <w:t>One-off</w:t>
            </w:r>
          </w:p>
        </w:tc>
        <w:tc>
          <w:tcPr>
            <w:tcW w:w="1171" w:type="dxa"/>
            <w:tcBorders>
              <w:bottom w:val="double" w:sz="4" w:space="0" w:color="auto"/>
            </w:tcBorders>
            <w:tcMar>
              <w:top w:w="57" w:type="dxa"/>
              <w:left w:w="57" w:type="dxa"/>
              <w:bottom w:w="57" w:type="dxa"/>
              <w:right w:w="57" w:type="dxa"/>
            </w:tcMar>
          </w:tcPr>
          <w:p w14:paraId="5FD76FFD" w14:textId="77777777" w:rsidR="00A97610" w:rsidRPr="00D86314" w:rsidRDefault="00A97610">
            <w:pPr>
              <w:spacing w:after="0"/>
              <w:jc w:val="center"/>
              <w:rPr>
                <w:noProof/>
                <w:sz w:val="20"/>
                <w:szCs w:val="20"/>
              </w:rPr>
            </w:pPr>
            <w:r w:rsidRPr="00D86314">
              <w:rPr>
                <w:noProof/>
                <w:sz w:val="20"/>
                <w:szCs w:val="20"/>
              </w:rPr>
              <w:t>Recurrent</w:t>
            </w:r>
          </w:p>
        </w:tc>
      </w:tr>
      <w:tr w:rsidR="00B57A05" w:rsidRPr="00D86314" w14:paraId="092B0F76" w14:textId="77777777" w:rsidTr="00A97610">
        <w:trPr>
          <w:trHeight w:val="307"/>
        </w:trPr>
        <w:tc>
          <w:tcPr>
            <w:tcW w:w="927" w:type="dxa"/>
            <w:gridSpan w:val="2"/>
            <w:vMerge w:val="restart"/>
            <w:tcMar>
              <w:top w:w="57" w:type="dxa"/>
              <w:left w:w="57" w:type="dxa"/>
              <w:bottom w:w="57" w:type="dxa"/>
              <w:right w:w="57" w:type="dxa"/>
            </w:tcMar>
            <w:vAlign w:val="center"/>
          </w:tcPr>
          <w:p w14:paraId="253AE330" w14:textId="77777777" w:rsidR="00B57A05" w:rsidRPr="00D86314" w:rsidRDefault="00B57A05" w:rsidP="00B57A05">
            <w:pPr>
              <w:spacing w:after="0"/>
              <w:rPr>
                <w:noProof/>
                <w:sz w:val="20"/>
                <w:szCs w:val="20"/>
              </w:rPr>
            </w:pPr>
            <w:r w:rsidRPr="00D86314">
              <w:rPr>
                <w:noProof/>
                <w:sz w:val="20"/>
                <w:szCs w:val="20"/>
              </w:rPr>
              <w:t xml:space="preserve">Action (a) </w:t>
            </w:r>
          </w:p>
        </w:tc>
        <w:tc>
          <w:tcPr>
            <w:tcW w:w="1479" w:type="dxa"/>
            <w:tcBorders>
              <w:right w:val="double" w:sz="4" w:space="0" w:color="auto"/>
            </w:tcBorders>
            <w:tcMar>
              <w:top w:w="57" w:type="dxa"/>
              <w:left w:w="57" w:type="dxa"/>
              <w:bottom w:w="57" w:type="dxa"/>
              <w:right w:w="57" w:type="dxa"/>
            </w:tcMar>
            <w:vAlign w:val="center"/>
          </w:tcPr>
          <w:p w14:paraId="5F2A7C35" w14:textId="77777777" w:rsidR="00B57A05" w:rsidRPr="00D86314" w:rsidRDefault="00B57A05" w:rsidP="00B57A05">
            <w:pPr>
              <w:spacing w:after="0"/>
              <w:rPr>
                <w:noProof/>
                <w:sz w:val="20"/>
                <w:szCs w:val="20"/>
              </w:rPr>
            </w:pPr>
            <w:r w:rsidRPr="00D86314">
              <w:rPr>
                <w:noProof/>
                <w:sz w:val="20"/>
                <w:szCs w:val="20"/>
              </w:rPr>
              <w:t>Direct adjustment costs</w:t>
            </w:r>
          </w:p>
        </w:tc>
        <w:tc>
          <w:tcPr>
            <w:tcW w:w="1043" w:type="dxa"/>
            <w:tcBorders>
              <w:left w:val="double" w:sz="4" w:space="0" w:color="auto"/>
            </w:tcBorders>
            <w:tcMar>
              <w:top w:w="57" w:type="dxa"/>
              <w:left w:w="57" w:type="dxa"/>
              <w:bottom w:w="57" w:type="dxa"/>
              <w:right w:w="57" w:type="dxa"/>
            </w:tcMar>
            <w:vAlign w:val="center"/>
          </w:tcPr>
          <w:p w14:paraId="7BEBD9F0" w14:textId="77777777" w:rsidR="00B57A05" w:rsidRPr="00D86314" w:rsidRDefault="00B57A05" w:rsidP="00B57A05">
            <w:pPr>
              <w:spacing w:after="0"/>
              <w:rPr>
                <w:noProof/>
                <w:sz w:val="20"/>
                <w:szCs w:val="20"/>
              </w:rPr>
            </w:pPr>
          </w:p>
        </w:tc>
        <w:tc>
          <w:tcPr>
            <w:tcW w:w="1328" w:type="dxa"/>
            <w:tcMar>
              <w:top w:w="57" w:type="dxa"/>
              <w:left w:w="57" w:type="dxa"/>
              <w:bottom w:w="57" w:type="dxa"/>
              <w:right w:w="57" w:type="dxa"/>
            </w:tcMar>
            <w:vAlign w:val="center"/>
          </w:tcPr>
          <w:p w14:paraId="2214C07A" w14:textId="77777777" w:rsidR="00B57A05" w:rsidRPr="00D86314" w:rsidRDefault="00B57A05" w:rsidP="00B57A05">
            <w:pPr>
              <w:spacing w:after="0"/>
              <w:rPr>
                <w:noProof/>
                <w:sz w:val="20"/>
                <w:szCs w:val="20"/>
              </w:rPr>
            </w:pPr>
          </w:p>
        </w:tc>
        <w:tc>
          <w:tcPr>
            <w:tcW w:w="1303" w:type="dxa"/>
            <w:tcMar>
              <w:top w:w="57" w:type="dxa"/>
              <w:left w:w="57" w:type="dxa"/>
              <w:bottom w:w="57" w:type="dxa"/>
              <w:right w:w="57" w:type="dxa"/>
            </w:tcMar>
            <w:vAlign w:val="center"/>
          </w:tcPr>
          <w:p w14:paraId="1128DE91" w14:textId="43D6C729" w:rsidR="00B57A05" w:rsidRPr="00D86314" w:rsidRDefault="00B57A05" w:rsidP="00B57A05">
            <w:pPr>
              <w:spacing w:after="0"/>
              <w:rPr>
                <w:noProof/>
                <w:sz w:val="20"/>
                <w:szCs w:val="20"/>
              </w:rPr>
            </w:pPr>
          </w:p>
        </w:tc>
        <w:tc>
          <w:tcPr>
            <w:tcW w:w="1290" w:type="dxa"/>
            <w:tcMar>
              <w:top w:w="57" w:type="dxa"/>
              <w:left w:w="57" w:type="dxa"/>
              <w:bottom w:w="57" w:type="dxa"/>
              <w:right w:w="57" w:type="dxa"/>
            </w:tcMar>
            <w:vAlign w:val="center"/>
          </w:tcPr>
          <w:p w14:paraId="67EF16C6" w14:textId="77777777" w:rsidR="00B57A05" w:rsidRPr="00D86314" w:rsidRDefault="00B57A05" w:rsidP="00B57A05">
            <w:pPr>
              <w:spacing w:after="0"/>
              <w:rPr>
                <w:noProof/>
                <w:sz w:val="20"/>
                <w:szCs w:val="20"/>
              </w:rPr>
            </w:pPr>
          </w:p>
        </w:tc>
        <w:tc>
          <w:tcPr>
            <w:tcW w:w="1056" w:type="dxa"/>
            <w:tcMar>
              <w:top w:w="57" w:type="dxa"/>
              <w:left w:w="57" w:type="dxa"/>
              <w:bottom w:w="57" w:type="dxa"/>
              <w:right w:w="57" w:type="dxa"/>
            </w:tcMar>
            <w:vAlign w:val="center"/>
          </w:tcPr>
          <w:p w14:paraId="5A498950" w14:textId="0B076501" w:rsidR="00B57A05" w:rsidRPr="00D86314" w:rsidRDefault="00B57A05" w:rsidP="00B57A05">
            <w:pPr>
              <w:spacing w:after="0"/>
              <w:rPr>
                <w:noProof/>
                <w:sz w:val="20"/>
                <w:szCs w:val="20"/>
              </w:rPr>
            </w:pPr>
          </w:p>
        </w:tc>
        <w:tc>
          <w:tcPr>
            <w:tcW w:w="1171" w:type="dxa"/>
            <w:tcMar>
              <w:top w:w="57" w:type="dxa"/>
              <w:left w:w="57" w:type="dxa"/>
              <w:bottom w:w="57" w:type="dxa"/>
              <w:right w:w="57" w:type="dxa"/>
            </w:tcMar>
            <w:vAlign w:val="center"/>
          </w:tcPr>
          <w:p w14:paraId="4771FECA" w14:textId="77777777" w:rsidR="00B57A05" w:rsidRPr="00D86314" w:rsidRDefault="00B57A05" w:rsidP="00B57A05">
            <w:pPr>
              <w:spacing w:after="0"/>
              <w:rPr>
                <w:noProof/>
                <w:sz w:val="20"/>
                <w:szCs w:val="20"/>
              </w:rPr>
            </w:pPr>
            <w:r w:rsidRPr="00D86314">
              <w:rPr>
                <w:noProof/>
                <w:sz w:val="20"/>
                <w:szCs w:val="20"/>
              </w:rPr>
              <w:t>The BEREC Office would be strengthened by recurrent 25 FTEs to fulfil new tasks, including support to the COM and RSPG (currently BEREC Office has staff 48 FTEs).</w:t>
            </w:r>
          </w:p>
          <w:p w14:paraId="7B4875C7" w14:textId="0C03B32A" w:rsidR="00B57A05" w:rsidRPr="00D86314" w:rsidRDefault="00B57A05" w:rsidP="00B57A05">
            <w:pPr>
              <w:spacing w:after="0"/>
              <w:rPr>
                <w:noProof/>
                <w:sz w:val="20"/>
                <w:szCs w:val="20"/>
              </w:rPr>
            </w:pPr>
            <w:r w:rsidRPr="00D86314">
              <w:rPr>
                <w:noProof/>
                <w:sz w:val="20"/>
                <w:szCs w:val="20"/>
              </w:rPr>
              <w:t>The annual cost of BEREC Office is estimated for approx. EUR 12 m (currently EUR</w:t>
            </w:r>
            <w:r w:rsidR="00701A75" w:rsidRPr="00D86314">
              <w:rPr>
                <w:noProof/>
                <w:sz w:val="20"/>
                <w:szCs w:val="20"/>
              </w:rPr>
              <w:t> </w:t>
            </w:r>
            <w:r w:rsidRPr="00D86314">
              <w:rPr>
                <w:noProof/>
                <w:sz w:val="20"/>
                <w:szCs w:val="20"/>
              </w:rPr>
              <w:t xml:space="preserve">8.1. m). </w:t>
            </w:r>
          </w:p>
          <w:p w14:paraId="25DB50CD" w14:textId="77777777" w:rsidR="00B57A05" w:rsidRPr="00D86314" w:rsidRDefault="00B57A05" w:rsidP="00B57A05">
            <w:pPr>
              <w:spacing w:after="0"/>
              <w:rPr>
                <w:noProof/>
                <w:sz w:val="20"/>
                <w:szCs w:val="20"/>
              </w:rPr>
            </w:pPr>
          </w:p>
          <w:p w14:paraId="69B78589" w14:textId="5D5B1520" w:rsidR="00B57A05" w:rsidRPr="00D86314" w:rsidRDefault="00B57A05" w:rsidP="00B57A05">
            <w:pPr>
              <w:spacing w:after="0"/>
              <w:rPr>
                <w:noProof/>
                <w:sz w:val="20"/>
                <w:szCs w:val="20"/>
              </w:rPr>
            </w:pPr>
            <w:r w:rsidRPr="00D86314">
              <w:rPr>
                <w:noProof/>
                <w:sz w:val="20"/>
                <w:szCs w:val="20"/>
              </w:rPr>
              <w:t>1</w:t>
            </w:r>
            <w:r w:rsidR="000B23AD" w:rsidRPr="00D86314">
              <w:rPr>
                <w:noProof/>
                <w:sz w:val="20"/>
                <w:szCs w:val="20"/>
              </w:rPr>
              <w:t xml:space="preserve">0 </w:t>
            </w:r>
            <w:r w:rsidRPr="00D86314">
              <w:rPr>
                <w:noProof/>
                <w:sz w:val="20"/>
                <w:szCs w:val="20"/>
              </w:rPr>
              <w:t>FTEs estimated to cover additional tasks by the COM.</w:t>
            </w:r>
          </w:p>
          <w:p w14:paraId="5225A4AB" w14:textId="77777777" w:rsidR="00B57A05" w:rsidRPr="00D86314" w:rsidRDefault="00B57A05" w:rsidP="00B57A05">
            <w:pPr>
              <w:spacing w:after="0"/>
              <w:rPr>
                <w:noProof/>
                <w:sz w:val="20"/>
                <w:szCs w:val="20"/>
              </w:rPr>
            </w:pPr>
          </w:p>
        </w:tc>
      </w:tr>
      <w:tr w:rsidR="00B57A05" w:rsidRPr="00D86314" w14:paraId="644FE68A" w14:textId="77777777" w:rsidTr="00A97610">
        <w:trPr>
          <w:trHeight w:val="307"/>
        </w:trPr>
        <w:tc>
          <w:tcPr>
            <w:tcW w:w="927" w:type="dxa"/>
            <w:gridSpan w:val="2"/>
            <w:vMerge/>
            <w:tcMar>
              <w:top w:w="57" w:type="dxa"/>
              <w:left w:w="57" w:type="dxa"/>
              <w:bottom w:w="57" w:type="dxa"/>
              <w:right w:w="57" w:type="dxa"/>
            </w:tcMar>
            <w:vAlign w:val="center"/>
          </w:tcPr>
          <w:p w14:paraId="53FCE574" w14:textId="77777777" w:rsidR="00B57A05" w:rsidRPr="00D86314" w:rsidRDefault="00B57A05" w:rsidP="00B57A05">
            <w:pPr>
              <w:spacing w:after="0"/>
              <w:rPr>
                <w:noProof/>
                <w:sz w:val="20"/>
                <w:szCs w:val="20"/>
              </w:rPr>
            </w:pPr>
          </w:p>
        </w:tc>
        <w:tc>
          <w:tcPr>
            <w:tcW w:w="1479" w:type="dxa"/>
            <w:tcBorders>
              <w:right w:val="double" w:sz="4" w:space="0" w:color="auto"/>
            </w:tcBorders>
            <w:tcMar>
              <w:top w:w="57" w:type="dxa"/>
              <w:left w:w="57" w:type="dxa"/>
              <w:bottom w:w="57" w:type="dxa"/>
              <w:right w:w="57" w:type="dxa"/>
            </w:tcMar>
            <w:vAlign w:val="center"/>
          </w:tcPr>
          <w:p w14:paraId="27FB66D6" w14:textId="77777777" w:rsidR="00B57A05" w:rsidRPr="00D86314" w:rsidRDefault="00B57A05" w:rsidP="00B57A05">
            <w:pPr>
              <w:spacing w:after="0"/>
              <w:rPr>
                <w:noProof/>
                <w:sz w:val="20"/>
                <w:szCs w:val="20"/>
              </w:rPr>
            </w:pPr>
            <w:r w:rsidRPr="00D86314">
              <w:rPr>
                <w:noProof/>
                <w:sz w:val="20"/>
                <w:szCs w:val="20"/>
              </w:rPr>
              <w:t>Direct administrative costs</w:t>
            </w:r>
          </w:p>
        </w:tc>
        <w:tc>
          <w:tcPr>
            <w:tcW w:w="1043" w:type="dxa"/>
            <w:tcBorders>
              <w:left w:val="double" w:sz="4" w:space="0" w:color="auto"/>
            </w:tcBorders>
            <w:tcMar>
              <w:top w:w="57" w:type="dxa"/>
              <w:left w:w="57" w:type="dxa"/>
              <w:bottom w:w="57" w:type="dxa"/>
              <w:right w:w="57" w:type="dxa"/>
            </w:tcMar>
            <w:vAlign w:val="center"/>
          </w:tcPr>
          <w:p w14:paraId="72A4F575" w14:textId="77777777" w:rsidR="00B57A05" w:rsidRPr="00D86314" w:rsidRDefault="00B57A05" w:rsidP="00B57A05">
            <w:pPr>
              <w:spacing w:after="0"/>
              <w:rPr>
                <w:noProof/>
                <w:sz w:val="20"/>
                <w:szCs w:val="20"/>
              </w:rPr>
            </w:pPr>
          </w:p>
        </w:tc>
        <w:tc>
          <w:tcPr>
            <w:tcW w:w="1328" w:type="dxa"/>
            <w:tcMar>
              <w:top w:w="57" w:type="dxa"/>
              <w:left w:w="57" w:type="dxa"/>
              <w:bottom w:w="57" w:type="dxa"/>
              <w:right w:w="57" w:type="dxa"/>
            </w:tcMar>
            <w:vAlign w:val="center"/>
          </w:tcPr>
          <w:p w14:paraId="3D6981EA" w14:textId="77777777" w:rsidR="00B57A05" w:rsidRPr="00D86314" w:rsidRDefault="00B57A05" w:rsidP="00B57A05">
            <w:pPr>
              <w:spacing w:after="0"/>
              <w:rPr>
                <w:noProof/>
                <w:sz w:val="20"/>
                <w:szCs w:val="20"/>
              </w:rPr>
            </w:pPr>
          </w:p>
        </w:tc>
        <w:tc>
          <w:tcPr>
            <w:tcW w:w="1303" w:type="dxa"/>
            <w:tcMar>
              <w:top w:w="57" w:type="dxa"/>
              <w:left w:w="57" w:type="dxa"/>
              <w:bottom w:w="57" w:type="dxa"/>
              <w:right w:w="57" w:type="dxa"/>
            </w:tcMar>
            <w:vAlign w:val="center"/>
          </w:tcPr>
          <w:p w14:paraId="13A9C3F4" w14:textId="2EBFE1B9" w:rsidR="00B57A05" w:rsidRPr="00D86314" w:rsidRDefault="004C3310" w:rsidP="00B57A05">
            <w:pPr>
              <w:spacing w:after="0"/>
              <w:rPr>
                <w:noProof/>
                <w:sz w:val="20"/>
                <w:szCs w:val="20"/>
              </w:rPr>
            </w:pPr>
            <w:r w:rsidRPr="00D86314">
              <w:rPr>
                <w:noProof/>
                <w:sz w:val="20"/>
                <w:szCs w:val="20"/>
              </w:rPr>
              <w:t xml:space="preserve">EUR 49 m </w:t>
            </w:r>
          </w:p>
        </w:tc>
        <w:tc>
          <w:tcPr>
            <w:tcW w:w="1290" w:type="dxa"/>
            <w:tcMar>
              <w:top w:w="57" w:type="dxa"/>
              <w:left w:w="57" w:type="dxa"/>
              <w:bottom w:w="57" w:type="dxa"/>
              <w:right w:w="57" w:type="dxa"/>
            </w:tcMar>
            <w:vAlign w:val="center"/>
          </w:tcPr>
          <w:p w14:paraId="72CF283A" w14:textId="62B302B6" w:rsidR="00B57A05" w:rsidRPr="00D86314" w:rsidRDefault="00B57A05" w:rsidP="00B57A05">
            <w:pPr>
              <w:spacing w:after="0"/>
              <w:rPr>
                <w:noProof/>
                <w:sz w:val="20"/>
                <w:szCs w:val="20"/>
              </w:rPr>
            </w:pPr>
            <w:r w:rsidRPr="00D86314">
              <w:rPr>
                <w:noProof/>
                <w:sz w:val="20"/>
                <w:szCs w:val="20"/>
              </w:rPr>
              <w:t>EUR</w:t>
            </w:r>
            <w:r w:rsidR="00701A75" w:rsidRPr="00D86314">
              <w:rPr>
                <w:noProof/>
                <w:sz w:val="20"/>
                <w:szCs w:val="20"/>
              </w:rPr>
              <w:t> </w:t>
            </w:r>
            <w:r w:rsidRPr="00D86314">
              <w:rPr>
                <w:noProof/>
                <w:sz w:val="20"/>
                <w:szCs w:val="20"/>
              </w:rPr>
              <w:t>25</w:t>
            </w:r>
            <w:r w:rsidR="00BE559B" w:rsidRPr="00D86314">
              <w:rPr>
                <w:noProof/>
                <w:sz w:val="20"/>
                <w:szCs w:val="20"/>
              </w:rPr>
              <w:t xml:space="preserve"> </w:t>
            </w:r>
            <w:r w:rsidRPr="00D86314">
              <w:rPr>
                <w:noProof/>
                <w:sz w:val="20"/>
                <w:szCs w:val="20"/>
              </w:rPr>
              <w:t>m</w:t>
            </w:r>
            <w:r w:rsidR="00A329A8" w:rsidRPr="00D86314">
              <w:rPr>
                <w:noProof/>
                <w:sz w:val="20"/>
                <w:szCs w:val="20"/>
              </w:rPr>
              <w:t>illion</w:t>
            </w:r>
          </w:p>
        </w:tc>
        <w:tc>
          <w:tcPr>
            <w:tcW w:w="1056" w:type="dxa"/>
            <w:tcMar>
              <w:top w:w="57" w:type="dxa"/>
              <w:left w:w="57" w:type="dxa"/>
              <w:bottom w:w="57" w:type="dxa"/>
              <w:right w:w="57" w:type="dxa"/>
            </w:tcMar>
            <w:vAlign w:val="center"/>
          </w:tcPr>
          <w:p w14:paraId="104728F1" w14:textId="0D7596FA" w:rsidR="00B57A05" w:rsidRPr="00D86314" w:rsidRDefault="004C3310" w:rsidP="00B57A05">
            <w:pPr>
              <w:spacing w:after="0"/>
              <w:rPr>
                <w:noProof/>
                <w:sz w:val="20"/>
                <w:szCs w:val="20"/>
              </w:rPr>
            </w:pPr>
            <w:r w:rsidRPr="00D86314">
              <w:rPr>
                <w:noProof/>
                <w:sz w:val="20"/>
                <w:szCs w:val="20"/>
              </w:rPr>
              <w:t xml:space="preserve">EUR 24 m </w:t>
            </w:r>
          </w:p>
        </w:tc>
        <w:tc>
          <w:tcPr>
            <w:tcW w:w="1171" w:type="dxa"/>
            <w:tcMar>
              <w:top w:w="57" w:type="dxa"/>
              <w:left w:w="57" w:type="dxa"/>
              <w:bottom w:w="57" w:type="dxa"/>
              <w:right w:w="57" w:type="dxa"/>
            </w:tcMar>
            <w:vAlign w:val="center"/>
          </w:tcPr>
          <w:p w14:paraId="5A4210AB" w14:textId="5B26D346" w:rsidR="00B57A05" w:rsidRPr="00D86314" w:rsidRDefault="00B57A05" w:rsidP="00B57A05">
            <w:pPr>
              <w:spacing w:after="0"/>
              <w:rPr>
                <w:noProof/>
                <w:sz w:val="20"/>
                <w:szCs w:val="20"/>
              </w:rPr>
            </w:pPr>
            <w:r w:rsidRPr="00D86314">
              <w:rPr>
                <w:noProof/>
                <w:sz w:val="20"/>
                <w:szCs w:val="20"/>
              </w:rPr>
              <w:t>EUR</w:t>
            </w:r>
            <w:r w:rsidR="00701A75" w:rsidRPr="00D86314">
              <w:rPr>
                <w:noProof/>
                <w:sz w:val="20"/>
                <w:szCs w:val="20"/>
              </w:rPr>
              <w:t> </w:t>
            </w:r>
            <w:r w:rsidRPr="00D86314">
              <w:rPr>
                <w:noProof/>
                <w:sz w:val="20"/>
                <w:szCs w:val="20"/>
              </w:rPr>
              <w:t>13</w:t>
            </w:r>
            <w:r w:rsidR="00BE559B" w:rsidRPr="00D86314">
              <w:rPr>
                <w:noProof/>
                <w:sz w:val="20"/>
                <w:szCs w:val="20"/>
              </w:rPr>
              <w:t xml:space="preserve"> </w:t>
            </w:r>
            <w:r w:rsidRPr="00D86314">
              <w:rPr>
                <w:noProof/>
                <w:sz w:val="20"/>
                <w:szCs w:val="20"/>
              </w:rPr>
              <w:t>m</w:t>
            </w:r>
            <w:r w:rsidR="00A329A8" w:rsidRPr="00D86314">
              <w:rPr>
                <w:noProof/>
                <w:sz w:val="20"/>
                <w:szCs w:val="20"/>
              </w:rPr>
              <w:t>illion</w:t>
            </w:r>
          </w:p>
          <w:p w14:paraId="14FA605F" w14:textId="5CC53C31" w:rsidR="00B57A05" w:rsidRPr="00D86314" w:rsidRDefault="00B57A05" w:rsidP="00B57A05">
            <w:pPr>
              <w:spacing w:after="0"/>
              <w:rPr>
                <w:noProof/>
                <w:sz w:val="20"/>
                <w:szCs w:val="20"/>
              </w:rPr>
            </w:pPr>
          </w:p>
        </w:tc>
      </w:tr>
      <w:tr w:rsidR="00B57A05" w:rsidRPr="00D86314" w14:paraId="78A3864E" w14:textId="77777777" w:rsidTr="00A97610">
        <w:trPr>
          <w:trHeight w:val="307"/>
        </w:trPr>
        <w:tc>
          <w:tcPr>
            <w:tcW w:w="927" w:type="dxa"/>
            <w:gridSpan w:val="2"/>
            <w:vMerge/>
            <w:tcMar>
              <w:top w:w="57" w:type="dxa"/>
              <w:left w:w="57" w:type="dxa"/>
              <w:bottom w:w="57" w:type="dxa"/>
              <w:right w:w="57" w:type="dxa"/>
            </w:tcMar>
            <w:vAlign w:val="center"/>
          </w:tcPr>
          <w:p w14:paraId="684C27A7" w14:textId="77777777" w:rsidR="00B57A05" w:rsidRPr="00D86314" w:rsidRDefault="00B57A05" w:rsidP="00B57A05">
            <w:pPr>
              <w:spacing w:after="0"/>
              <w:rPr>
                <w:noProof/>
                <w:sz w:val="20"/>
                <w:szCs w:val="20"/>
              </w:rPr>
            </w:pPr>
          </w:p>
        </w:tc>
        <w:tc>
          <w:tcPr>
            <w:tcW w:w="1479" w:type="dxa"/>
            <w:tcBorders>
              <w:right w:val="double" w:sz="4" w:space="0" w:color="auto"/>
            </w:tcBorders>
            <w:tcMar>
              <w:top w:w="57" w:type="dxa"/>
              <w:left w:w="57" w:type="dxa"/>
              <w:bottom w:w="57" w:type="dxa"/>
              <w:right w:w="57" w:type="dxa"/>
            </w:tcMar>
            <w:vAlign w:val="center"/>
          </w:tcPr>
          <w:p w14:paraId="4C9A249C" w14:textId="77777777" w:rsidR="00B57A05" w:rsidRPr="00D86314" w:rsidRDefault="00B57A05" w:rsidP="00B57A05">
            <w:pPr>
              <w:spacing w:after="0"/>
              <w:jc w:val="left"/>
              <w:rPr>
                <w:noProof/>
                <w:sz w:val="20"/>
                <w:szCs w:val="20"/>
              </w:rPr>
            </w:pPr>
            <w:r w:rsidRPr="00D86314">
              <w:rPr>
                <w:noProof/>
                <w:sz w:val="20"/>
                <w:szCs w:val="20"/>
              </w:rPr>
              <w:t>Direct regulatory fees and charges</w:t>
            </w:r>
          </w:p>
        </w:tc>
        <w:tc>
          <w:tcPr>
            <w:tcW w:w="1043" w:type="dxa"/>
            <w:tcBorders>
              <w:left w:val="double" w:sz="4" w:space="0" w:color="auto"/>
            </w:tcBorders>
            <w:tcMar>
              <w:top w:w="57" w:type="dxa"/>
              <w:left w:w="57" w:type="dxa"/>
              <w:bottom w:w="57" w:type="dxa"/>
              <w:right w:w="57" w:type="dxa"/>
            </w:tcMar>
            <w:vAlign w:val="center"/>
          </w:tcPr>
          <w:p w14:paraId="507B4093" w14:textId="77777777" w:rsidR="00B57A05" w:rsidRPr="00D86314" w:rsidRDefault="00B57A05" w:rsidP="00B57A05">
            <w:pPr>
              <w:spacing w:after="0"/>
              <w:rPr>
                <w:noProof/>
                <w:sz w:val="20"/>
                <w:szCs w:val="20"/>
              </w:rPr>
            </w:pPr>
          </w:p>
        </w:tc>
        <w:tc>
          <w:tcPr>
            <w:tcW w:w="1328" w:type="dxa"/>
            <w:tcMar>
              <w:top w:w="57" w:type="dxa"/>
              <w:left w:w="57" w:type="dxa"/>
              <w:bottom w:w="57" w:type="dxa"/>
              <w:right w:w="57" w:type="dxa"/>
            </w:tcMar>
            <w:vAlign w:val="center"/>
          </w:tcPr>
          <w:p w14:paraId="23692152" w14:textId="77777777" w:rsidR="00B57A05" w:rsidRPr="00D86314" w:rsidRDefault="00B57A05" w:rsidP="00B57A05">
            <w:pPr>
              <w:spacing w:after="0"/>
              <w:rPr>
                <w:noProof/>
                <w:sz w:val="20"/>
                <w:szCs w:val="20"/>
              </w:rPr>
            </w:pPr>
          </w:p>
        </w:tc>
        <w:tc>
          <w:tcPr>
            <w:tcW w:w="1303" w:type="dxa"/>
            <w:tcMar>
              <w:top w:w="57" w:type="dxa"/>
              <w:left w:w="57" w:type="dxa"/>
              <w:bottom w:w="57" w:type="dxa"/>
              <w:right w:w="57" w:type="dxa"/>
            </w:tcMar>
            <w:vAlign w:val="center"/>
          </w:tcPr>
          <w:p w14:paraId="132FF912" w14:textId="104B6C61" w:rsidR="00B57A05" w:rsidRPr="00D86314" w:rsidRDefault="00B57A05" w:rsidP="00B57A05">
            <w:pPr>
              <w:spacing w:after="0"/>
              <w:rPr>
                <w:noProof/>
                <w:sz w:val="20"/>
                <w:szCs w:val="20"/>
              </w:rPr>
            </w:pPr>
          </w:p>
        </w:tc>
        <w:tc>
          <w:tcPr>
            <w:tcW w:w="1290" w:type="dxa"/>
            <w:tcMar>
              <w:top w:w="57" w:type="dxa"/>
              <w:left w:w="57" w:type="dxa"/>
              <w:bottom w:w="57" w:type="dxa"/>
              <w:right w:w="57" w:type="dxa"/>
            </w:tcMar>
            <w:vAlign w:val="center"/>
          </w:tcPr>
          <w:p w14:paraId="3272D672" w14:textId="6AFC49BE" w:rsidR="00B57A05" w:rsidRPr="00D86314" w:rsidRDefault="00B57A05" w:rsidP="00B57A05">
            <w:pPr>
              <w:spacing w:after="0"/>
              <w:rPr>
                <w:noProof/>
                <w:sz w:val="20"/>
                <w:szCs w:val="20"/>
              </w:rPr>
            </w:pPr>
            <w:r w:rsidRPr="00D86314">
              <w:rPr>
                <w:noProof/>
                <w:sz w:val="20"/>
                <w:szCs w:val="20"/>
              </w:rPr>
              <w:t>Satellite operators will no longer pay multiple fees; instead, a single fee will be paid to one European Authority</w:t>
            </w:r>
          </w:p>
        </w:tc>
        <w:tc>
          <w:tcPr>
            <w:tcW w:w="1056" w:type="dxa"/>
            <w:tcMar>
              <w:top w:w="57" w:type="dxa"/>
              <w:left w:w="57" w:type="dxa"/>
              <w:bottom w:w="57" w:type="dxa"/>
              <w:right w:w="57" w:type="dxa"/>
            </w:tcMar>
            <w:vAlign w:val="center"/>
          </w:tcPr>
          <w:p w14:paraId="7A99A203" w14:textId="503ABBB2" w:rsidR="00B57A05" w:rsidRPr="00D86314" w:rsidRDefault="00B57A05" w:rsidP="00B57A05">
            <w:pPr>
              <w:spacing w:after="0"/>
              <w:rPr>
                <w:noProof/>
                <w:sz w:val="20"/>
                <w:szCs w:val="20"/>
              </w:rPr>
            </w:pPr>
          </w:p>
        </w:tc>
        <w:tc>
          <w:tcPr>
            <w:tcW w:w="1171" w:type="dxa"/>
            <w:tcMar>
              <w:top w:w="57" w:type="dxa"/>
              <w:left w:w="57" w:type="dxa"/>
              <w:bottom w:w="57" w:type="dxa"/>
              <w:right w:w="57" w:type="dxa"/>
            </w:tcMar>
            <w:vAlign w:val="center"/>
          </w:tcPr>
          <w:p w14:paraId="72E93BAE" w14:textId="7E5173DC" w:rsidR="00B57A05" w:rsidRPr="00D86314" w:rsidRDefault="00B57A05" w:rsidP="00B57A05">
            <w:pPr>
              <w:spacing w:after="0"/>
              <w:rPr>
                <w:noProof/>
                <w:sz w:val="20"/>
                <w:szCs w:val="20"/>
              </w:rPr>
            </w:pPr>
            <w:r w:rsidRPr="00D86314">
              <w:rPr>
                <w:noProof/>
                <w:sz w:val="20"/>
                <w:szCs w:val="20"/>
              </w:rPr>
              <w:t>Fees are considered for services provided to the operators, however not finalised, therefore not quantified at this stage.</w:t>
            </w:r>
          </w:p>
        </w:tc>
      </w:tr>
      <w:tr w:rsidR="00B57A05" w:rsidRPr="00D86314" w14:paraId="6224E53E" w14:textId="77777777" w:rsidTr="00A97610">
        <w:trPr>
          <w:trHeight w:val="307"/>
        </w:trPr>
        <w:tc>
          <w:tcPr>
            <w:tcW w:w="927" w:type="dxa"/>
            <w:gridSpan w:val="2"/>
            <w:vMerge/>
            <w:tcMar>
              <w:top w:w="57" w:type="dxa"/>
              <w:left w:w="57" w:type="dxa"/>
              <w:bottom w:w="57" w:type="dxa"/>
              <w:right w:w="57" w:type="dxa"/>
            </w:tcMar>
            <w:vAlign w:val="center"/>
          </w:tcPr>
          <w:p w14:paraId="34646788" w14:textId="77777777" w:rsidR="00B57A05" w:rsidRPr="00D86314" w:rsidRDefault="00B57A05" w:rsidP="00B57A05">
            <w:pPr>
              <w:spacing w:after="0"/>
              <w:rPr>
                <w:noProof/>
                <w:sz w:val="20"/>
                <w:szCs w:val="20"/>
              </w:rPr>
            </w:pPr>
          </w:p>
        </w:tc>
        <w:tc>
          <w:tcPr>
            <w:tcW w:w="1479" w:type="dxa"/>
            <w:tcBorders>
              <w:right w:val="double" w:sz="4" w:space="0" w:color="auto"/>
            </w:tcBorders>
            <w:tcMar>
              <w:top w:w="57" w:type="dxa"/>
              <w:left w:w="57" w:type="dxa"/>
              <w:bottom w:w="57" w:type="dxa"/>
              <w:right w:w="57" w:type="dxa"/>
            </w:tcMar>
            <w:vAlign w:val="center"/>
          </w:tcPr>
          <w:p w14:paraId="0AE4965D" w14:textId="77777777" w:rsidR="00B57A05" w:rsidRPr="00D86314" w:rsidRDefault="00B57A05" w:rsidP="00B57A05">
            <w:pPr>
              <w:spacing w:after="0"/>
              <w:jc w:val="left"/>
              <w:rPr>
                <w:noProof/>
                <w:sz w:val="20"/>
                <w:szCs w:val="20"/>
              </w:rPr>
            </w:pPr>
            <w:r w:rsidRPr="00D86314">
              <w:rPr>
                <w:noProof/>
                <w:sz w:val="20"/>
                <w:szCs w:val="20"/>
              </w:rPr>
              <w:t>Direct enforcement costs</w:t>
            </w:r>
          </w:p>
        </w:tc>
        <w:tc>
          <w:tcPr>
            <w:tcW w:w="1043" w:type="dxa"/>
            <w:tcBorders>
              <w:left w:val="double" w:sz="4" w:space="0" w:color="auto"/>
            </w:tcBorders>
            <w:tcMar>
              <w:top w:w="57" w:type="dxa"/>
              <w:left w:w="57" w:type="dxa"/>
              <w:bottom w:w="57" w:type="dxa"/>
              <w:right w:w="57" w:type="dxa"/>
            </w:tcMar>
            <w:vAlign w:val="center"/>
          </w:tcPr>
          <w:p w14:paraId="7E692BF9" w14:textId="77777777" w:rsidR="00B57A05" w:rsidRPr="00D86314" w:rsidRDefault="00B57A05" w:rsidP="00B57A05">
            <w:pPr>
              <w:spacing w:after="0"/>
              <w:rPr>
                <w:noProof/>
                <w:sz w:val="20"/>
                <w:szCs w:val="20"/>
              </w:rPr>
            </w:pPr>
          </w:p>
        </w:tc>
        <w:tc>
          <w:tcPr>
            <w:tcW w:w="1328" w:type="dxa"/>
            <w:tcMar>
              <w:top w:w="57" w:type="dxa"/>
              <w:left w:w="57" w:type="dxa"/>
              <w:bottom w:w="57" w:type="dxa"/>
              <w:right w:w="57" w:type="dxa"/>
            </w:tcMar>
            <w:vAlign w:val="center"/>
          </w:tcPr>
          <w:p w14:paraId="23C8E685" w14:textId="77777777" w:rsidR="00B57A05" w:rsidRPr="00D86314" w:rsidRDefault="00B57A05" w:rsidP="00B57A05">
            <w:pPr>
              <w:spacing w:after="0"/>
              <w:rPr>
                <w:noProof/>
                <w:sz w:val="20"/>
                <w:szCs w:val="20"/>
              </w:rPr>
            </w:pPr>
          </w:p>
        </w:tc>
        <w:tc>
          <w:tcPr>
            <w:tcW w:w="1303" w:type="dxa"/>
            <w:tcMar>
              <w:top w:w="57" w:type="dxa"/>
              <w:left w:w="57" w:type="dxa"/>
              <w:bottom w:w="57" w:type="dxa"/>
              <w:right w:w="57" w:type="dxa"/>
            </w:tcMar>
            <w:vAlign w:val="center"/>
          </w:tcPr>
          <w:p w14:paraId="6D4047EB" w14:textId="77777777" w:rsidR="00B57A05" w:rsidRPr="00D86314" w:rsidRDefault="00B57A05" w:rsidP="00B57A05">
            <w:pPr>
              <w:spacing w:after="0"/>
              <w:rPr>
                <w:noProof/>
                <w:sz w:val="20"/>
                <w:szCs w:val="20"/>
              </w:rPr>
            </w:pPr>
          </w:p>
        </w:tc>
        <w:tc>
          <w:tcPr>
            <w:tcW w:w="1290" w:type="dxa"/>
            <w:tcMar>
              <w:top w:w="57" w:type="dxa"/>
              <w:left w:w="57" w:type="dxa"/>
              <w:bottom w:w="57" w:type="dxa"/>
              <w:right w:w="57" w:type="dxa"/>
            </w:tcMar>
            <w:vAlign w:val="center"/>
          </w:tcPr>
          <w:p w14:paraId="5613E6C6" w14:textId="77777777" w:rsidR="00B57A05" w:rsidRPr="00D86314" w:rsidRDefault="00B57A05" w:rsidP="00B57A05">
            <w:pPr>
              <w:spacing w:after="0"/>
              <w:rPr>
                <w:noProof/>
                <w:sz w:val="20"/>
                <w:szCs w:val="20"/>
              </w:rPr>
            </w:pPr>
          </w:p>
        </w:tc>
        <w:tc>
          <w:tcPr>
            <w:tcW w:w="1056" w:type="dxa"/>
            <w:tcMar>
              <w:top w:w="57" w:type="dxa"/>
              <w:left w:w="57" w:type="dxa"/>
              <w:bottom w:w="57" w:type="dxa"/>
              <w:right w:w="57" w:type="dxa"/>
            </w:tcMar>
            <w:vAlign w:val="center"/>
          </w:tcPr>
          <w:p w14:paraId="5489230E" w14:textId="77777777" w:rsidR="00B57A05" w:rsidRPr="00D86314" w:rsidRDefault="00B57A05" w:rsidP="00B57A05">
            <w:pPr>
              <w:spacing w:after="0"/>
              <w:rPr>
                <w:noProof/>
                <w:sz w:val="20"/>
                <w:szCs w:val="20"/>
              </w:rPr>
            </w:pPr>
          </w:p>
        </w:tc>
        <w:tc>
          <w:tcPr>
            <w:tcW w:w="1171" w:type="dxa"/>
            <w:tcMar>
              <w:top w:w="57" w:type="dxa"/>
              <w:left w:w="57" w:type="dxa"/>
              <w:bottom w:w="57" w:type="dxa"/>
              <w:right w:w="57" w:type="dxa"/>
            </w:tcMar>
            <w:vAlign w:val="center"/>
          </w:tcPr>
          <w:p w14:paraId="2C12A3DB" w14:textId="77777777" w:rsidR="00B57A05" w:rsidRPr="00D86314" w:rsidRDefault="00B57A05" w:rsidP="00B57A05">
            <w:pPr>
              <w:spacing w:after="0"/>
              <w:rPr>
                <w:noProof/>
                <w:sz w:val="20"/>
                <w:szCs w:val="20"/>
              </w:rPr>
            </w:pPr>
          </w:p>
        </w:tc>
      </w:tr>
      <w:tr w:rsidR="00B57A05" w:rsidRPr="00D86314" w14:paraId="16B0A1EB" w14:textId="77777777" w:rsidTr="00A97610">
        <w:tc>
          <w:tcPr>
            <w:tcW w:w="927" w:type="dxa"/>
            <w:gridSpan w:val="2"/>
            <w:vMerge/>
            <w:tcMar>
              <w:top w:w="57" w:type="dxa"/>
              <w:left w:w="57" w:type="dxa"/>
              <w:bottom w:w="57" w:type="dxa"/>
              <w:right w:w="57" w:type="dxa"/>
            </w:tcMar>
          </w:tcPr>
          <w:p w14:paraId="3C7B6FD0" w14:textId="77777777" w:rsidR="00B57A05" w:rsidRPr="00D86314" w:rsidRDefault="00B57A05" w:rsidP="00B57A05">
            <w:pPr>
              <w:spacing w:after="0"/>
              <w:rPr>
                <w:noProof/>
                <w:sz w:val="20"/>
                <w:szCs w:val="20"/>
              </w:rPr>
            </w:pPr>
          </w:p>
        </w:tc>
        <w:tc>
          <w:tcPr>
            <w:tcW w:w="1479" w:type="dxa"/>
            <w:tcBorders>
              <w:bottom w:val="double" w:sz="4" w:space="0" w:color="auto"/>
              <w:right w:val="double" w:sz="4" w:space="0" w:color="auto"/>
            </w:tcBorders>
            <w:tcMar>
              <w:top w:w="57" w:type="dxa"/>
              <w:left w:w="57" w:type="dxa"/>
              <w:bottom w:w="57" w:type="dxa"/>
              <w:right w:w="57" w:type="dxa"/>
            </w:tcMar>
          </w:tcPr>
          <w:p w14:paraId="667D54CE" w14:textId="77777777" w:rsidR="00B57A05" w:rsidRPr="00D86314" w:rsidRDefault="00B57A05" w:rsidP="00B57A05">
            <w:pPr>
              <w:spacing w:after="0"/>
              <w:jc w:val="left"/>
              <w:rPr>
                <w:noProof/>
                <w:sz w:val="20"/>
                <w:szCs w:val="20"/>
              </w:rPr>
            </w:pPr>
            <w:r w:rsidRPr="00D86314">
              <w:rPr>
                <w:noProof/>
                <w:sz w:val="20"/>
                <w:szCs w:val="20"/>
              </w:rPr>
              <w:t>Indirect costs</w:t>
            </w:r>
          </w:p>
        </w:tc>
        <w:tc>
          <w:tcPr>
            <w:tcW w:w="1043" w:type="dxa"/>
            <w:tcBorders>
              <w:left w:val="double" w:sz="4" w:space="0" w:color="auto"/>
              <w:bottom w:val="double" w:sz="4" w:space="0" w:color="auto"/>
            </w:tcBorders>
            <w:tcMar>
              <w:top w:w="57" w:type="dxa"/>
              <w:left w:w="57" w:type="dxa"/>
              <w:bottom w:w="57" w:type="dxa"/>
              <w:right w:w="57" w:type="dxa"/>
            </w:tcMar>
          </w:tcPr>
          <w:p w14:paraId="712B3F4B" w14:textId="77777777" w:rsidR="00B57A05" w:rsidRPr="00D86314" w:rsidRDefault="00B57A05" w:rsidP="00B57A05">
            <w:pPr>
              <w:spacing w:after="0"/>
              <w:rPr>
                <w:noProof/>
                <w:sz w:val="20"/>
                <w:szCs w:val="20"/>
              </w:rPr>
            </w:pPr>
          </w:p>
        </w:tc>
        <w:tc>
          <w:tcPr>
            <w:tcW w:w="1328" w:type="dxa"/>
            <w:tcBorders>
              <w:bottom w:val="double" w:sz="4" w:space="0" w:color="auto"/>
            </w:tcBorders>
            <w:tcMar>
              <w:top w:w="57" w:type="dxa"/>
              <w:left w:w="57" w:type="dxa"/>
              <w:bottom w:w="57" w:type="dxa"/>
              <w:right w:w="57" w:type="dxa"/>
            </w:tcMar>
          </w:tcPr>
          <w:p w14:paraId="232825FF" w14:textId="77777777" w:rsidR="00B57A05" w:rsidRPr="00D86314" w:rsidRDefault="00B57A05" w:rsidP="00B57A05">
            <w:pPr>
              <w:spacing w:after="0"/>
              <w:rPr>
                <w:noProof/>
                <w:sz w:val="20"/>
                <w:szCs w:val="20"/>
              </w:rPr>
            </w:pPr>
          </w:p>
        </w:tc>
        <w:tc>
          <w:tcPr>
            <w:tcW w:w="1303" w:type="dxa"/>
            <w:tcBorders>
              <w:bottom w:val="double" w:sz="4" w:space="0" w:color="auto"/>
            </w:tcBorders>
            <w:tcMar>
              <w:top w:w="57" w:type="dxa"/>
              <w:left w:w="57" w:type="dxa"/>
              <w:bottom w:w="57" w:type="dxa"/>
              <w:right w:w="57" w:type="dxa"/>
            </w:tcMar>
          </w:tcPr>
          <w:p w14:paraId="564663F4" w14:textId="77777777" w:rsidR="00B57A05" w:rsidRPr="00D86314" w:rsidRDefault="00B57A05" w:rsidP="00B57A05">
            <w:pPr>
              <w:spacing w:after="0"/>
              <w:rPr>
                <w:noProof/>
                <w:sz w:val="20"/>
                <w:szCs w:val="20"/>
              </w:rPr>
            </w:pPr>
          </w:p>
        </w:tc>
        <w:tc>
          <w:tcPr>
            <w:tcW w:w="1290" w:type="dxa"/>
            <w:tcBorders>
              <w:bottom w:val="double" w:sz="4" w:space="0" w:color="auto"/>
            </w:tcBorders>
            <w:tcMar>
              <w:top w:w="57" w:type="dxa"/>
              <w:left w:w="57" w:type="dxa"/>
              <w:bottom w:w="57" w:type="dxa"/>
              <w:right w:w="57" w:type="dxa"/>
            </w:tcMar>
          </w:tcPr>
          <w:p w14:paraId="657569F2" w14:textId="77777777" w:rsidR="00B57A05" w:rsidRPr="00D86314" w:rsidRDefault="00B57A05" w:rsidP="00B57A05">
            <w:pPr>
              <w:spacing w:after="0"/>
              <w:rPr>
                <w:noProof/>
                <w:sz w:val="20"/>
                <w:szCs w:val="20"/>
              </w:rPr>
            </w:pPr>
          </w:p>
        </w:tc>
        <w:tc>
          <w:tcPr>
            <w:tcW w:w="1056" w:type="dxa"/>
            <w:tcBorders>
              <w:bottom w:val="double" w:sz="4" w:space="0" w:color="auto"/>
            </w:tcBorders>
            <w:tcMar>
              <w:top w:w="57" w:type="dxa"/>
              <w:left w:w="57" w:type="dxa"/>
              <w:bottom w:w="57" w:type="dxa"/>
              <w:right w:w="57" w:type="dxa"/>
            </w:tcMar>
          </w:tcPr>
          <w:p w14:paraId="646E4EBD" w14:textId="77777777" w:rsidR="00B57A05" w:rsidRPr="00D86314" w:rsidRDefault="00B57A05" w:rsidP="00B57A05">
            <w:pPr>
              <w:spacing w:after="0"/>
              <w:rPr>
                <w:noProof/>
                <w:sz w:val="20"/>
                <w:szCs w:val="20"/>
              </w:rPr>
            </w:pPr>
          </w:p>
        </w:tc>
        <w:tc>
          <w:tcPr>
            <w:tcW w:w="1171" w:type="dxa"/>
            <w:tcBorders>
              <w:bottom w:val="double" w:sz="4" w:space="0" w:color="auto"/>
            </w:tcBorders>
            <w:tcMar>
              <w:top w:w="57" w:type="dxa"/>
              <w:left w:w="57" w:type="dxa"/>
              <w:bottom w:w="57" w:type="dxa"/>
              <w:right w:w="57" w:type="dxa"/>
            </w:tcMar>
          </w:tcPr>
          <w:p w14:paraId="76CFA317" w14:textId="77777777" w:rsidR="00B57A05" w:rsidRPr="00D86314" w:rsidRDefault="00B57A05" w:rsidP="00B57A05">
            <w:pPr>
              <w:spacing w:after="0"/>
              <w:rPr>
                <w:noProof/>
                <w:sz w:val="20"/>
                <w:szCs w:val="20"/>
              </w:rPr>
            </w:pPr>
          </w:p>
        </w:tc>
      </w:tr>
    </w:tbl>
    <w:p w14:paraId="4CEC7DD0" w14:textId="77777777" w:rsidR="00A747AD" w:rsidRPr="00D86314" w:rsidRDefault="00A747AD" w:rsidP="00A747AD">
      <w:pPr>
        <w:pStyle w:val="ListParagraph"/>
        <w:numPr>
          <w:ilvl w:val="0"/>
          <w:numId w:val="10"/>
        </w:numPr>
        <w:rPr>
          <w:i/>
          <w:noProof/>
          <w:sz w:val="20"/>
        </w:rPr>
      </w:pPr>
      <w:r w:rsidRPr="00D86314">
        <w:rPr>
          <w:i/>
          <w:noProof/>
          <w:sz w:val="20"/>
        </w:rPr>
        <w:t xml:space="preserve">Estimates (gross values) to be provided with respect to the baseline; (2) costs are provided for each identifiable action/obligation of the </w:t>
      </w:r>
      <w:r w:rsidRPr="00D86314">
        <w:rPr>
          <w:i/>
          <w:noProof/>
          <w:sz w:val="20"/>
          <w:u w:val="single"/>
        </w:rPr>
        <w:t>preferred</w:t>
      </w:r>
      <w:r w:rsidRPr="00D86314">
        <w:rPr>
          <w:i/>
          <w:noProof/>
          <w:sz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w:t>
      </w:r>
    </w:p>
    <w:p w14:paraId="3992E961" w14:textId="6D421A6A" w:rsidR="00A747AD" w:rsidRPr="00D86314" w:rsidRDefault="00A747AD" w:rsidP="00212790">
      <w:pPr>
        <w:pStyle w:val="Text1"/>
        <w:ind w:left="0"/>
        <w:rPr>
          <w:noProof/>
        </w:rPr>
      </w:pPr>
      <w:r w:rsidRPr="00D86314">
        <w:rPr>
          <w:noProof/>
        </w:rPr>
        <w:t>In the following sections, we provide further details by policy areas.</w:t>
      </w:r>
    </w:p>
    <w:p w14:paraId="45380A8D" w14:textId="744D6B97" w:rsidR="005A4F8C" w:rsidRPr="00D86314" w:rsidRDefault="00FC7455" w:rsidP="00BE3015">
      <w:pPr>
        <w:pStyle w:val="Heading2"/>
        <w:numPr>
          <w:ilvl w:val="1"/>
          <w:numId w:val="8"/>
        </w:numPr>
        <w:spacing w:before="360" w:after="360"/>
        <w:ind w:left="1202"/>
        <w:rPr>
          <w:noProof/>
        </w:rPr>
      </w:pPr>
      <w:bookmarkStart w:id="28" w:name="_Toc219718346"/>
      <w:r w:rsidRPr="00D86314" w:rsidDel="00FC7455">
        <w:rPr>
          <w:noProof/>
        </w:rPr>
        <w:t>Transition to fibre</w:t>
      </w:r>
      <w:bookmarkEnd w:id="28"/>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359"/>
        <w:gridCol w:w="3796"/>
        <w:gridCol w:w="3427"/>
      </w:tblGrid>
      <w:tr w:rsidR="00C25A81" w:rsidRPr="00D86314" w14:paraId="77F98253" w14:textId="77777777" w:rsidTr="00344263">
        <w:tc>
          <w:tcPr>
            <w:tcW w:w="5000" w:type="pct"/>
            <w:gridSpan w:val="3"/>
            <w:tcBorders>
              <w:top w:val="double" w:sz="4" w:space="0" w:color="auto"/>
              <w:bottom w:val="single" w:sz="4" w:space="0" w:color="auto"/>
            </w:tcBorders>
            <w:shd w:val="clear" w:color="auto" w:fill="C6D9F1" w:themeFill="text2" w:themeFillTint="33"/>
          </w:tcPr>
          <w:p w14:paraId="2BF88455" w14:textId="126509A1" w:rsidR="00801268" w:rsidRPr="00D86314" w:rsidRDefault="00801268" w:rsidP="009D4C15">
            <w:pPr>
              <w:spacing w:after="0"/>
              <w:rPr>
                <w:b/>
                <w:noProof/>
                <w:sz w:val="20"/>
                <w:szCs w:val="20"/>
              </w:rPr>
            </w:pPr>
            <w:r w:rsidRPr="00D86314">
              <w:rPr>
                <w:b/>
                <w:noProof/>
                <w:sz w:val="20"/>
                <w:szCs w:val="20"/>
              </w:rPr>
              <w:t>I. Overview of Benefits (</w:t>
            </w:r>
            <w:r w:rsidR="00657E48" w:rsidRPr="00D86314">
              <w:rPr>
                <w:b/>
                <w:noProof/>
                <w:sz w:val="20"/>
                <w:szCs w:val="20"/>
              </w:rPr>
              <w:t xml:space="preserve">Transition to </w:t>
            </w:r>
            <w:r w:rsidRPr="00D86314">
              <w:rPr>
                <w:b/>
                <w:bCs/>
                <w:noProof/>
                <w:sz w:val="20"/>
                <w:szCs w:val="20"/>
              </w:rPr>
              <w:t>fibre</w:t>
            </w:r>
            <w:r w:rsidRPr="00D86314">
              <w:rPr>
                <w:b/>
                <w:noProof/>
                <w:sz w:val="20"/>
                <w:szCs w:val="20"/>
              </w:rPr>
              <w:t>) – Preferred Option</w:t>
            </w:r>
          </w:p>
        </w:tc>
      </w:tr>
      <w:tr w:rsidR="00C25A81" w:rsidRPr="00D86314" w14:paraId="630D315E" w14:textId="77777777" w:rsidTr="004C3310">
        <w:tc>
          <w:tcPr>
            <w:tcW w:w="1231" w:type="pct"/>
            <w:tcBorders>
              <w:top w:val="single" w:sz="4" w:space="0" w:color="auto"/>
            </w:tcBorders>
            <w:shd w:val="clear" w:color="auto" w:fill="C6D9F1" w:themeFill="text2" w:themeFillTint="33"/>
          </w:tcPr>
          <w:p w14:paraId="3A099500" w14:textId="77777777" w:rsidR="00801268" w:rsidRPr="00D86314" w:rsidRDefault="00801268" w:rsidP="009D4C15">
            <w:pPr>
              <w:spacing w:after="0"/>
              <w:jc w:val="center"/>
              <w:rPr>
                <w:b/>
                <w:i/>
                <w:noProof/>
                <w:sz w:val="20"/>
              </w:rPr>
            </w:pPr>
            <w:r w:rsidRPr="00D86314">
              <w:rPr>
                <w:b/>
                <w:i/>
                <w:noProof/>
                <w:sz w:val="20"/>
              </w:rPr>
              <w:t>Description</w:t>
            </w:r>
          </w:p>
        </w:tc>
        <w:tc>
          <w:tcPr>
            <w:tcW w:w="1981" w:type="pct"/>
            <w:tcBorders>
              <w:top w:val="single" w:sz="4" w:space="0" w:color="auto"/>
            </w:tcBorders>
            <w:shd w:val="clear" w:color="auto" w:fill="C6D9F1" w:themeFill="text2" w:themeFillTint="33"/>
          </w:tcPr>
          <w:p w14:paraId="1CA5FBBE" w14:textId="77777777" w:rsidR="00801268" w:rsidRPr="00D86314" w:rsidRDefault="00801268" w:rsidP="009D4C15">
            <w:pPr>
              <w:spacing w:after="0"/>
              <w:jc w:val="center"/>
              <w:rPr>
                <w:b/>
                <w:i/>
                <w:noProof/>
                <w:sz w:val="20"/>
              </w:rPr>
            </w:pPr>
            <w:r w:rsidRPr="00D86314">
              <w:rPr>
                <w:b/>
                <w:i/>
                <w:noProof/>
                <w:sz w:val="20"/>
              </w:rPr>
              <w:t>Amount</w:t>
            </w:r>
          </w:p>
        </w:tc>
        <w:tc>
          <w:tcPr>
            <w:tcW w:w="1788" w:type="pct"/>
            <w:tcBorders>
              <w:top w:val="single" w:sz="4" w:space="0" w:color="auto"/>
            </w:tcBorders>
            <w:shd w:val="clear" w:color="auto" w:fill="C6D9F1" w:themeFill="text2" w:themeFillTint="33"/>
            <w:tcMar>
              <w:top w:w="57" w:type="dxa"/>
              <w:left w:w="57" w:type="dxa"/>
              <w:bottom w:w="57" w:type="dxa"/>
              <w:right w:w="57" w:type="dxa"/>
            </w:tcMar>
          </w:tcPr>
          <w:p w14:paraId="26B75A3A" w14:textId="77777777" w:rsidR="00801268" w:rsidRPr="00D86314" w:rsidRDefault="00801268" w:rsidP="009D4C15">
            <w:pPr>
              <w:spacing w:after="0"/>
              <w:jc w:val="center"/>
              <w:rPr>
                <w:b/>
                <w:i/>
                <w:noProof/>
                <w:sz w:val="20"/>
              </w:rPr>
            </w:pPr>
            <w:r w:rsidRPr="00D86314">
              <w:rPr>
                <w:b/>
                <w:i/>
                <w:noProof/>
                <w:sz w:val="20"/>
              </w:rPr>
              <w:t>Comments</w:t>
            </w:r>
          </w:p>
        </w:tc>
      </w:tr>
      <w:tr w:rsidR="00762216" w:rsidRPr="00D86314" w14:paraId="09ACB1A8" w14:textId="77777777" w:rsidTr="00344263">
        <w:tc>
          <w:tcPr>
            <w:tcW w:w="5000" w:type="pct"/>
            <w:gridSpan w:val="3"/>
            <w:tcBorders>
              <w:top w:val="double" w:sz="4" w:space="0" w:color="auto"/>
            </w:tcBorders>
            <w:shd w:val="clear" w:color="auto" w:fill="F2F2F2" w:themeFill="background1" w:themeFillShade="F2"/>
          </w:tcPr>
          <w:p w14:paraId="0C2BDC3C" w14:textId="77777777" w:rsidR="00801268" w:rsidRPr="00D86314" w:rsidRDefault="00801268" w:rsidP="009D4C15">
            <w:pPr>
              <w:spacing w:after="0"/>
              <w:jc w:val="center"/>
              <w:rPr>
                <w:b/>
                <w:i/>
                <w:noProof/>
                <w:sz w:val="20"/>
              </w:rPr>
            </w:pPr>
            <w:r w:rsidRPr="00D86314">
              <w:rPr>
                <w:b/>
                <w:i/>
                <w:noProof/>
                <w:sz w:val="20"/>
              </w:rPr>
              <w:t>Direct benefits</w:t>
            </w:r>
          </w:p>
        </w:tc>
      </w:tr>
      <w:tr w:rsidR="00762216" w:rsidRPr="00D86314" w14:paraId="5C468054" w14:textId="77777777" w:rsidTr="004C3310">
        <w:tc>
          <w:tcPr>
            <w:tcW w:w="1231" w:type="pct"/>
            <w:tcBorders>
              <w:bottom w:val="double" w:sz="4" w:space="0" w:color="auto"/>
            </w:tcBorders>
          </w:tcPr>
          <w:p w14:paraId="76A11BA9" w14:textId="4A8BFB9F" w:rsidR="005541D3" w:rsidRPr="00D86314" w:rsidRDefault="005541D3" w:rsidP="005541D3">
            <w:pPr>
              <w:spacing w:after="0"/>
              <w:rPr>
                <w:noProof/>
                <w:sz w:val="20"/>
              </w:rPr>
            </w:pPr>
            <w:r w:rsidRPr="00D86314">
              <w:rPr>
                <w:noProof/>
                <w:sz w:val="20"/>
                <w:szCs w:val="20"/>
              </w:rPr>
              <w:t>Reduction in CO</w:t>
            </w:r>
            <w:r w:rsidRPr="00D86314">
              <w:rPr>
                <w:noProof/>
                <w:sz w:val="20"/>
                <w:szCs w:val="20"/>
                <w:vertAlign w:val="subscript"/>
              </w:rPr>
              <w:t xml:space="preserve">2 </w:t>
            </w:r>
            <w:r w:rsidRPr="00D86314">
              <w:rPr>
                <w:noProof/>
                <w:sz w:val="20"/>
                <w:szCs w:val="20"/>
              </w:rPr>
              <w:t>emissions</w:t>
            </w:r>
          </w:p>
        </w:tc>
        <w:tc>
          <w:tcPr>
            <w:tcW w:w="1981" w:type="pct"/>
            <w:tcBorders>
              <w:bottom w:val="double" w:sz="4" w:space="0" w:color="auto"/>
            </w:tcBorders>
            <w:tcMar>
              <w:top w:w="57" w:type="dxa"/>
              <w:left w:w="57" w:type="dxa"/>
              <w:bottom w:w="57" w:type="dxa"/>
              <w:right w:w="57" w:type="dxa"/>
            </w:tcMar>
          </w:tcPr>
          <w:p w14:paraId="691679A6" w14:textId="2D2A3871" w:rsidR="005541D3" w:rsidRPr="00D86314" w:rsidRDefault="00C803BB" w:rsidP="1881287C">
            <w:pPr>
              <w:spacing w:after="0"/>
              <w:rPr>
                <w:noProof/>
                <w:sz w:val="20"/>
                <w:szCs w:val="20"/>
              </w:rPr>
            </w:pPr>
            <w:r w:rsidRPr="00D86314">
              <w:rPr>
                <w:noProof/>
                <w:sz w:val="20"/>
                <w:szCs w:val="20"/>
              </w:rPr>
              <w:t>0.</w:t>
            </w:r>
            <w:r w:rsidR="00096D5D" w:rsidRPr="00D86314">
              <w:rPr>
                <w:noProof/>
                <w:sz w:val="20"/>
                <w:szCs w:val="20"/>
              </w:rPr>
              <w:t>7</w:t>
            </w:r>
            <w:r w:rsidRPr="00D86314">
              <w:rPr>
                <w:noProof/>
                <w:sz w:val="20"/>
                <w:szCs w:val="20"/>
              </w:rPr>
              <w:t xml:space="preserve"> m</w:t>
            </w:r>
            <w:r w:rsidRPr="00D86314" w:rsidDel="00153B4C">
              <w:rPr>
                <w:noProof/>
                <w:sz w:val="20"/>
                <w:szCs w:val="20"/>
              </w:rPr>
              <w:t>illion</w:t>
            </w:r>
            <w:r w:rsidR="005541D3" w:rsidRPr="00D86314">
              <w:rPr>
                <w:noProof/>
                <w:sz w:val="20"/>
                <w:szCs w:val="20"/>
              </w:rPr>
              <w:t xml:space="preserve"> tonnes</w:t>
            </w:r>
          </w:p>
          <w:p w14:paraId="1DAF06E0" w14:textId="47C4234A" w:rsidR="005541D3" w:rsidRPr="00D86314" w:rsidRDefault="00DE3ECD" w:rsidP="1881287C">
            <w:pPr>
              <w:spacing w:after="0"/>
              <w:rPr>
                <w:noProof/>
                <w:sz w:val="20"/>
                <w:szCs w:val="20"/>
              </w:rPr>
            </w:pPr>
            <w:r w:rsidRPr="00D86314">
              <w:rPr>
                <w:noProof/>
                <w:sz w:val="20"/>
                <w:szCs w:val="20"/>
              </w:rPr>
              <w:t>EUR</w:t>
            </w:r>
            <w:r w:rsidR="00FB73C9" w:rsidRPr="00D86314">
              <w:rPr>
                <w:noProof/>
                <w:sz w:val="20"/>
                <w:szCs w:val="20"/>
              </w:rPr>
              <w:t> </w:t>
            </w:r>
            <w:r w:rsidR="00374526" w:rsidRPr="00D86314">
              <w:rPr>
                <w:noProof/>
                <w:sz w:val="20"/>
                <w:szCs w:val="20"/>
              </w:rPr>
              <w:t>~ 0.5</w:t>
            </w:r>
            <w:r w:rsidR="00727503" w:rsidRPr="00D86314">
              <w:rPr>
                <w:noProof/>
                <w:sz w:val="20"/>
                <w:szCs w:val="20"/>
              </w:rPr>
              <w:t>6</w:t>
            </w:r>
            <w:r w:rsidR="00374526" w:rsidRPr="00D86314">
              <w:rPr>
                <w:noProof/>
                <w:sz w:val="20"/>
                <w:szCs w:val="20"/>
              </w:rPr>
              <w:t xml:space="preserve"> b</w:t>
            </w:r>
            <w:r w:rsidR="003957D8" w:rsidRPr="00D86314">
              <w:rPr>
                <w:noProof/>
                <w:sz w:val="20"/>
                <w:szCs w:val="20"/>
              </w:rPr>
              <w:t>illio</w:t>
            </w:r>
            <w:r w:rsidR="0015747B" w:rsidRPr="00D86314">
              <w:rPr>
                <w:noProof/>
                <w:sz w:val="20"/>
                <w:szCs w:val="20"/>
              </w:rPr>
              <w:t>n</w:t>
            </w:r>
          </w:p>
        </w:tc>
        <w:tc>
          <w:tcPr>
            <w:tcW w:w="1788" w:type="pct"/>
            <w:tcBorders>
              <w:bottom w:val="double" w:sz="4" w:space="0" w:color="auto"/>
            </w:tcBorders>
            <w:tcMar>
              <w:top w:w="57" w:type="dxa"/>
              <w:left w:w="57" w:type="dxa"/>
              <w:bottom w:w="57" w:type="dxa"/>
              <w:right w:w="57" w:type="dxa"/>
            </w:tcMar>
          </w:tcPr>
          <w:p w14:paraId="5EA7892E" w14:textId="0C64C841" w:rsidR="005541D3" w:rsidRPr="00D86314" w:rsidRDefault="005541D3" w:rsidP="005541D3">
            <w:pPr>
              <w:spacing w:after="0"/>
              <w:rPr>
                <w:noProof/>
                <w:sz w:val="20"/>
              </w:rPr>
            </w:pPr>
            <w:r w:rsidRPr="00D86314">
              <w:rPr>
                <w:noProof/>
                <w:sz w:val="20"/>
                <w:szCs w:val="20"/>
              </w:rPr>
              <w:t>Accumulated impact for the period 2025-2035</w:t>
            </w:r>
          </w:p>
        </w:tc>
      </w:tr>
      <w:tr w:rsidR="00762216" w:rsidRPr="00D86314" w14:paraId="3FD7E739" w14:textId="77777777" w:rsidTr="00344263">
        <w:tc>
          <w:tcPr>
            <w:tcW w:w="5000" w:type="pct"/>
            <w:gridSpan w:val="3"/>
            <w:shd w:val="clear" w:color="auto" w:fill="F2F2F2" w:themeFill="background1" w:themeFillShade="F2"/>
          </w:tcPr>
          <w:p w14:paraId="4AD3F12B" w14:textId="77777777" w:rsidR="00801268" w:rsidRPr="00D86314" w:rsidRDefault="00801268" w:rsidP="009D4C15">
            <w:pPr>
              <w:spacing w:after="0"/>
              <w:jc w:val="center"/>
              <w:rPr>
                <w:b/>
                <w:i/>
                <w:noProof/>
                <w:sz w:val="20"/>
              </w:rPr>
            </w:pPr>
            <w:r w:rsidRPr="00D86314">
              <w:rPr>
                <w:b/>
                <w:i/>
                <w:noProof/>
                <w:sz w:val="20"/>
              </w:rPr>
              <w:t>Indirect benefits</w:t>
            </w:r>
          </w:p>
        </w:tc>
      </w:tr>
      <w:tr w:rsidR="00762216" w:rsidRPr="00D86314" w14:paraId="0B293CCE" w14:textId="77777777" w:rsidTr="004C3310">
        <w:tc>
          <w:tcPr>
            <w:tcW w:w="1231" w:type="pct"/>
            <w:tcBorders>
              <w:top w:val="double" w:sz="4" w:space="0" w:color="auto"/>
            </w:tcBorders>
          </w:tcPr>
          <w:p w14:paraId="58CE3F10" w14:textId="2A333AD4" w:rsidR="00801268" w:rsidRPr="00D86314" w:rsidRDefault="004C3310" w:rsidP="009D4C15">
            <w:pPr>
              <w:spacing w:after="0"/>
              <w:rPr>
                <w:noProof/>
                <w:sz w:val="20"/>
              </w:rPr>
            </w:pPr>
            <w:r w:rsidRPr="00D86314">
              <w:rPr>
                <w:noProof/>
                <w:sz w:val="20"/>
                <w:szCs w:val="20"/>
              </w:rPr>
              <w:t xml:space="preserve">CSO and access – increase in GDP due to increase in fibre coverage and take up, as well as average speeds </w:t>
            </w:r>
          </w:p>
        </w:tc>
        <w:tc>
          <w:tcPr>
            <w:tcW w:w="1981" w:type="pct"/>
            <w:tcBorders>
              <w:top w:val="double" w:sz="4" w:space="0" w:color="auto"/>
            </w:tcBorders>
            <w:tcMar>
              <w:top w:w="57" w:type="dxa"/>
              <w:left w:w="57" w:type="dxa"/>
              <w:bottom w:w="57" w:type="dxa"/>
              <w:right w:w="57" w:type="dxa"/>
            </w:tcMar>
          </w:tcPr>
          <w:p w14:paraId="7B561BFB" w14:textId="0A64A89E" w:rsidR="00801268" w:rsidRPr="00D86314" w:rsidRDefault="004C3310" w:rsidP="009D4C15">
            <w:pPr>
              <w:spacing w:after="0"/>
              <w:rPr>
                <w:noProof/>
                <w:sz w:val="20"/>
              </w:rPr>
            </w:pPr>
            <w:r w:rsidRPr="00C20A01">
              <w:rPr>
                <w:noProof/>
                <w:sz w:val="20"/>
                <w:szCs w:val="20"/>
              </w:rPr>
              <w:t xml:space="preserve">EUR ~157(more conservative scenario) - 327 (less conservative scenario) billion </w:t>
            </w:r>
          </w:p>
        </w:tc>
        <w:tc>
          <w:tcPr>
            <w:tcW w:w="1788" w:type="pct"/>
            <w:tcBorders>
              <w:top w:val="double" w:sz="4" w:space="0" w:color="auto"/>
            </w:tcBorders>
            <w:tcMar>
              <w:top w:w="57" w:type="dxa"/>
              <w:left w:w="57" w:type="dxa"/>
              <w:bottom w:w="57" w:type="dxa"/>
              <w:right w:w="57" w:type="dxa"/>
            </w:tcMar>
          </w:tcPr>
          <w:p w14:paraId="317C5DDA" w14:textId="52A56175" w:rsidR="00801268" w:rsidRPr="00D86314" w:rsidRDefault="004C3310" w:rsidP="009D4C15">
            <w:pPr>
              <w:spacing w:after="0"/>
              <w:rPr>
                <w:noProof/>
                <w:sz w:val="20"/>
              </w:rPr>
            </w:pPr>
            <w:r w:rsidRPr="00D86314">
              <w:rPr>
                <w:noProof/>
                <w:sz w:val="20"/>
                <w:szCs w:val="20"/>
              </w:rPr>
              <w:t>Accumulated GDP impact for the period 2025–2035 compared to the status quo. Main beneficiaries are businesses and consumers through productivity gains associated with higher broadband speeds and fibre take-up.</w:t>
            </w:r>
          </w:p>
        </w:tc>
      </w:tr>
    </w:tbl>
    <w:p w14:paraId="3B762D38" w14:textId="39900665" w:rsidR="00801268" w:rsidRPr="00D86314" w:rsidRDefault="00801268" w:rsidP="000E3086">
      <w:pPr>
        <w:rPr>
          <w:i/>
          <w:noProof/>
          <w:sz w:val="20"/>
        </w:rPr>
      </w:pPr>
      <w:r w:rsidRPr="00D86314">
        <w:rPr>
          <w:i/>
          <w:noProof/>
          <w:sz w:val="20"/>
        </w:rPr>
        <w:t xml:space="preserve">(1) Estimates are </w:t>
      </w:r>
      <w:r w:rsidR="00866FDC" w:rsidRPr="00D86314">
        <w:rPr>
          <w:i/>
          <w:noProof/>
          <w:sz w:val="20"/>
        </w:rPr>
        <w:t xml:space="preserve">gross values </w:t>
      </w:r>
      <w:r w:rsidRPr="00D86314">
        <w:rPr>
          <w:i/>
          <w:noProof/>
          <w:sz w:val="20"/>
        </w:rPr>
        <w:t xml:space="preserve">relative to the baseline for the preferred option as a whole (i.e. the impact of individual actions/obligations of the </w:t>
      </w:r>
      <w:r w:rsidRPr="00D86314">
        <w:rPr>
          <w:i/>
          <w:noProof/>
          <w:sz w:val="20"/>
          <w:u w:val="single"/>
        </w:rPr>
        <w:t>preferred</w:t>
      </w:r>
      <w:r w:rsidRPr="00D86314">
        <w:rPr>
          <w:i/>
          <w:noProof/>
          <w:sz w:val="20"/>
        </w:rPr>
        <w:t xml:space="preserve"> option are aggregated together); (2) Please indicate </w:t>
      </w:r>
      <w:r w:rsidR="000E345B" w:rsidRPr="00D86314">
        <w:rPr>
          <w:i/>
          <w:noProof/>
          <w:sz w:val="20"/>
        </w:rPr>
        <w:t xml:space="preserve">in the comments column </w:t>
      </w:r>
      <w:r w:rsidRPr="00D86314">
        <w:rPr>
          <w:i/>
          <w:noProof/>
          <w:sz w:val="20"/>
        </w:rPr>
        <w:t xml:space="preserve">which stakeholder group is the main recipient of the benefit;(3) For reductions in regulatory costs, please describe </w:t>
      </w:r>
      <w:r w:rsidR="000E345B" w:rsidRPr="00D86314">
        <w:rPr>
          <w:i/>
          <w:noProof/>
          <w:sz w:val="20"/>
        </w:rPr>
        <w:t xml:space="preserve">in the comments column the </w:t>
      </w:r>
      <w:r w:rsidRPr="00D86314">
        <w:rPr>
          <w:i/>
          <w:noProof/>
          <w:sz w:val="20"/>
        </w:rPr>
        <w:t>details as to how the saving arises (e.g. reductions in adjustment costs, administrative costs, regulatory charges, enforcement costs, etc.)</w:t>
      </w:r>
      <w:r w:rsidRPr="00D86314" w:rsidDel="00FC7EFC">
        <w:rPr>
          <w:i/>
          <w:noProof/>
          <w:sz w:val="20"/>
        </w:rPr>
        <w:t>;</w:t>
      </w:r>
      <w:r w:rsidR="00EA1B81" w:rsidRPr="00D86314">
        <w:rPr>
          <w:i/>
          <w:noProof/>
          <w:sz w:val="20"/>
        </w:rPr>
        <w:t xml:space="preserve"> (4) Estimates of GDP impacts are indicative and scenario-based. They are derived from literature-based coefficients linking improvements in broadband speed and take-up to productivity and GDP growth. Given the high variability of estimates in the empirical literature and uncertainty regarding marginal effects at higher speed levels, absolute values are sensitive to key assumptions. Sensitivity analysis is provided in Annex [X]; results should therefore be interpreted as orders of magnitude rather than precise forecasts, while the relative comparison between options remains robust</w:t>
      </w:r>
    </w:p>
    <w:tbl>
      <w:tblPr>
        <w:tblW w:w="958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2"/>
        <w:gridCol w:w="1479"/>
        <w:gridCol w:w="1043"/>
        <w:gridCol w:w="1328"/>
        <w:gridCol w:w="1303"/>
        <w:gridCol w:w="1290"/>
        <w:gridCol w:w="1056"/>
        <w:gridCol w:w="1171"/>
      </w:tblGrid>
      <w:tr w:rsidR="00762216" w:rsidRPr="00D86314" w14:paraId="2754D2CB" w14:textId="77777777" w:rsidTr="34EA199D">
        <w:tc>
          <w:tcPr>
            <w:tcW w:w="9582" w:type="dxa"/>
            <w:gridSpan w:val="8"/>
            <w:shd w:val="clear" w:color="auto" w:fill="C6D9F1" w:themeFill="text2" w:themeFillTint="33"/>
            <w:tcMar>
              <w:top w:w="57" w:type="dxa"/>
              <w:left w:w="57" w:type="dxa"/>
              <w:bottom w:w="57" w:type="dxa"/>
              <w:right w:w="57" w:type="dxa"/>
            </w:tcMar>
          </w:tcPr>
          <w:p w14:paraId="0F82C88F" w14:textId="77777777" w:rsidR="00801268" w:rsidRPr="00D86314" w:rsidRDefault="00801268" w:rsidP="004D62B9">
            <w:pPr>
              <w:spacing w:after="0"/>
              <w:rPr>
                <w:noProof/>
                <w:sz w:val="20"/>
                <w:szCs w:val="20"/>
              </w:rPr>
            </w:pPr>
            <w:r w:rsidRPr="00D86314">
              <w:rPr>
                <w:noProof/>
                <w:sz w:val="20"/>
                <w:szCs w:val="20"/>
                <w:lang w:eastAsia="en-GB"/>
              </w:rPr>
              <w:t>II. Overview of costs – Preferred option</w:t>
            </w:r>
          </w:p>
        </w:tc>
      </w:tr>
      <w:tr w:rsidR="00177C75" w:rsidRPr="00D86314" w14:paraId="5657FA00" w14:textId="77777777" w:rsidTr="34EA199D">
        <w:tc>
          <w:tcPr>
            <w:tcW w:w="2391"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C277C1A" w14:textId="77777777" w:rsidR="00801268" w:rsidRPr="00D86314" w:rsidRDefault="00801268" w:rsidP="009D4C15">
            <w:pPr>
              <w:spacing w:after="0"/>
              <w:rPr>
                <w:noProof/>
                <w:sz w:val="20"/>
                <w:szCs w:val="20"/>
              </w:rPr>
            </w:pPr>
          </w:p>
        </w:tc>
        <w:tc>
          <w:tcPr>
            <w:tcW w:w="2371" w:type="dxa"/>
            <w:gridSpan w:val="2"/>
            <w:tcBorders>
              <w:left w:val="double" w:sz="4" w:space="0" w:color="auto"/>
            </w:tcBorders>
            <w:tcMar>
              <w:top w:w="57" w:type="dxa"/>
              <w:left w:w="57" w:type="dxa"/>
              <w:bottom w:w="57" w:type="dxa"/>
              <w:right w:w="57" w:type="dxa"/>
            </w:tcMar>
          </w:tcPr>
          <w:p w14:paraId="11D0E0CB" w14:textId="77777777" w:rsidR="00801268" w:rsidRPr="00D86314" w:rsidRDefault="00801268" w:rsidP="001E7052">
            <w:pPr>
              <w:spacing w:after="0"/>
              <w:jc w:val="center"/>
              <w:rPr>
                <w:noProof/>
                <w:sz w:val="20"/>
                <w:szCs w:val="20"/>
              </w:rPr>
            </w:pPr>
            <w:r w:rsidRPr="00D86314">
              <w:rPr>
                <w:noProof/>
                <w:sz w:val="20"/>
                <w:szCs w:val="20"/>
              </w:rPr>
              <w:t>Citizens/Consumers</w:t>
            </w:r>
          </w:p>
        </w:tc>
        <w:tc>
          <w:tcPr>
            <w:tcW w:w="2593" w:type="dxa"/>
            <w:gridSpan w:val="2"/>
            <w:tcMar>
              <w:top w:w="57" w:type="dxa"/>
              <w:left w:w="57" w:type="dxa"/>
              <w:bottom w:w="57" w:type="dxa"/>
              <w:right w:w="57" w:type="dxa"/>
            </w:tcMar>
          </w:tcPr>
          <w:p w14:paraId="154C7C3A" w14:textId="77777777" w:rsidR="00801268" w:rsidRPr="00D86314" w:rsidRDefault="00801268" w:rsidP="001E7052">
            <w:pPr>
              <w:spacing w:after="0"/>
              <w:jc w:val="center"/>
              <w:rPr>
                <w:noProof/>
                <w:sz w:val="20"/>
                <w:szCs w:val="20"/>
              </w:rPr>
            </w:pPr>
            <w:r w:rsidRPr="00D86314">
              <w:rPr>
                <w:noProof/>
                <w:sz w:val="20"/>
                <w:szCs w:val="20"/>
              </w:rPr>
              <w:t>Businesses</w:t>
            </w:r>
          </w:p>
        </w:tc>
        <w:tc>
          <w:tcPr>
            <w:tcW w:w="2227" w:type="dxa"/>
            <w:gridSpan w:val="2"/>
            <w:tcMar>
              <w:top w:w="57" w:type="dxa"/>
              <w:left w:w="57" w:type="dxa"/>
              <w:bottom w:w="57" w:type="dxa"/>
              <w:right w:w="57" w:type="dxa"/>
            </w:tcMar>
          </w:tcPr>
          <w:p w14:paraId="3246848E" w14:textId="77777777" w:rsidR="00801268" w:rsidRPr="00D86314" w:rsidRDefault="00801268" w:rsidP="001E7052">
            <w:pPr>
              <w:spacing w:after="0"/>
              <w:jc w:val="center"/>
              <w:rPr>
                <w:noProof/>
                <w:sz w:val="20"/>
                <w:szCs w:val="20"/>
              </w:rPr>
            </w:pPr>
            <w:r w:rsidRPr="00D86314">
              <w:rPr>
                <w:noProof/>
                <w:sz w:val="20"/>
                <w:szCs w:val="20"/>
              </w:rPr>
              <w:t>Administrations</w:t>
            </w:r>
          </w:p>
        </w:tc>
      </w:tr>
      <w:tr w:rsidR="00773AAA" w:rsidRPr="00D86314" w14:paraId="5E98ABF8" w14:textId="77777777" w:rsidTr="34EA199D">
        <w:tc>
          <w:tcPr>
            <w:tcW w:w="2391" w:type="dxa"/>
            <w:gridSpan w:val="2"/>
            <w:vMerge/>
            <w:tcBorders>
              <w:tl2br w:val="double" w:sz="4" w:space="0" w:color="auto"/>
            </w:tcBorders>
            <w:tcMar>
              <w:top w:w="57" w:type="dxa"/>
              <w:left w:w="57" w:type="dxa"/>
              <w:bottom w:w="57" w:type="dxa"/>
              <w:right w:w="57" w:type="dxa"/>
            </w:tcMar>
          </w:tcPr>
          <w:p w14:paraId="081EB79B" w14:textId="77777777" w:rsidR="00801268" w:rsidRPr="00D86314" w:rsidRDefault="00801268" w:rsidP="009D4C15">
            <w:pPr>
              <w:spacing w:after="0"/>
              <w:rPr>
                <w:noProof/>
                <w:sz w:val="20"/>
                <w:szCs w:val="20"/>
              </w:rPr>
            </w:pPr>
          </w:p>
        </w:tc>
        <w:tc>
          <w:tcPr>
            <w:tcW w:w="1043" w:type="dxa"/>
            <w:tcBorders>
              <w:left w:val="double" w:sz="4" w:space="0" w:color="auto"/>
              <w:bottom w:val="double" w:sz="4" w:space="0" w:color="auto"/>
            </w:tcBorders>
            <w:tcMar>
              <w:top w:w="57" w:type="dxa"/>
              <w:left w:w="57" w:type="dxa"/>
              <w:bottom w:w="57" w:type="dxa"/>
              <w:right w:w="57" w:type="dxa"/>
            </w:tcMar>
          </w:tcPr>
          <w:p w14:paraId="1D76747A" w14:textId="77777777" w:rsidR="00801268" w:rsidRPr="00D86314" w:rsidRDefault="00801268" w:rsidP="001E7052">
            <w:pPr>
              <w:spacing w:after="0"/>
              <w:jc w:val="center"/>
              <w:rPr>
                <w:noProof/>
                <w:sz w:val="20"/>
                <w:szCs w:val="20"/>
              </w:rPr>
            </w:pPr>
            <w:r w:rsidRPr="00D86314">
              <w:rPr>
                <w:noProof/>
                <w:sz w:val="20"/>
                <w:szCs w:val="20"/>
              </w:rPr>
              <w:t>One-off</w:t>
            </w:r>
          </w:p>
        </w:tc>
        <w:tc>
          <w:tcPr>
            <w:tcW w:w="1328" w:type="dxa"/>
            <w:tcBorders>
              <w:bottom w:val="double" w:sz="4" w:space="0" w:color="auto"/>
            </w:tcBorders>
            <w:tcMar>
              <w:top w:w="57" w:type="dxa"/>
              <w:left w:w="57" w:type="dxa"/>
              <w:bottom w:w="57" w:type="dxa"/>
              <w:right w:w="57" w:type="dxa"/>
            </w:tcMar>
          </w:tcPr>
          <w:p w14:paraId="645F2484" w14:textId="77777777" w:rsidR="00801268" w:rsidRPr="00D86314" w:rsidRDefault="00801268" w:rsidP="001E7052">
            <w:pPr>
              <w:spacing w:after="0"/>
              <w:jc w:val="center"/>
              <w:rPr>
                <w:noProof/>
                <w:sz w:val="20"/>
                <w:szCs w:val="20"/>
              </w:rPr>
            </w:pPr>
            <w:r w:rsidRPr="00D86314">
              <w:rPr>
                <w:noProof/>
                <w:sz w:val="20"/>
                <w:szCs w:val="20"/>
              </w:rPr>
              <w:t>Recurrent</w:t>
            </w:r>
          </w:p>
        </w:tc>
        <w:tc>
          <w:tcPr>
            <w:tcW w:w="1303" w:type="dxa"/>
            <w:tcBorders>
              <w:bottom w:val="double" w:sz="4" w:space="0" w:color="auto"/>
            </w:tcBorders>
            <w:tcMar>
              <w:top w:w="57" w:type="dxa"/>
              <w:left w:w="57" w:type="dxa"/>
              <w:bottom w:w="57" w:type="dxa"/>
              <w:right w:w="57" w:type="dxa"/>
            </w:tcMar>
          </w:tcPr>
          <w:p w14:paraId="3108BEA3" w14:textId="77777777" w:rsidR="00801268" w:rsidRPr="00D86314" w:rsidRDefault="00801268" w:rsidP="001E7052">
            <w:pPr>
              <w:spacing w:after="0"/>
              <w:jc w:val="center"/>
              <w:rPr>
                <w:noProof/>
                <w:sz w:val="20"/>
                <w:szCs w:val="20"/>
              </w:rPr>
            </w:pPr>
            <w:r w:rsidRPr="00D86314">
              <w:rPr>
                <w:noProof/>
                <w:sz w:val="20"/>
                <w:szCs w:val="20"/>
              </w:rPr>
              <w:t>One-off</w:t>
            </w:r>
          </w:p>
        </w:tc>
        <w:tc>
          <w:tcPr>
            <w:tcW w:w="1290" w:type="dxa"/>
            <w:tcBorders>
              <w:bottom w:val="double" w:sz="4" w:space="0" w:color="auto"/>
            </w:tcBorders>
            <w:tcMar>
              <w:top w:w="57" w:type="dxa"/>
              <w:left w:w="57" w:type="dxa"/>
              <w:bottom w:w="57" w:type="dxa"/>
              <w:right w:w="57" w:type="dxa"/>
            </w:tcMar>
          </w:tcPr>
          <w:p w14:paraId="37862F29" w14:textId="77777777" w:rsidR="00801268" w:rsidRPr="00D86314" w:rsidRDefault="00801268" w:rsidP="001E7052">
            <w:pPr>
              <w:spacing w:after="0"/>
              <w:jc w:val="center"/>
              <w:rPr>
                <w:noProof/>
                <w:sz w:val="20"/>
                <w:szCs w:val="20"/>
              </w:rPr>
            </w:pPr>
            <w:r w:rsidRPr="00D86314">
              <w:rPr>
                <w:noProof/>
                <w:sz w:val="20"/>
                <w:szCs w:val="20"/>
              </w:rPr>
              <w:t>Recurrent</w:t>
            </w:r>
          </w:p>
        </w:tc>
        <w:tc>
          <w:tcPr>
            <w:tcW w:w="1056" w:type="dxa"/>
            <w:tcBorders>
              <w:bottom w:val="double" w:sz="4" w:space="0" w:color="auto"/>
            </w:tcBorders>
            <w:tcMar>
              <w:top w:w="57" w:type="dxa"/>
              <w:left w:w="57" w:type="dxa"/>
              <w:bottom w:w="57" w:type="dxa"/>
              <w:right w:w="57" w:type="dxa"/>
            </w:tcMar>
          </w:tcPr>
          <w:p w14:paraId="31CBF75C" w14:textId="77777777" w:rsidR="00801268" w:rsidRPr="00D86314" w:rsidRDefault="00801268" w:rsidP="001E7052">
            <w:pPr>
              <w:spacing w:after="0"/>
              <w:jc w:val="center"/>
              <w:rPr>
                <w:noProof/>
                <w:sz w:val="20"/>
                <w:szCs w:val="20"/>
              </w:rPr>
            </w:pPr>
            <w:r w:rsidRPr="00D86314">
              <w:rPr>
                <w:noProof/>
                <w:sz w:val="20"/>
                <w:szCs w:val="20"/>
              </w:rPr>
              <w:t>One-off</w:t>
            </w:r>
          </w:p>
        </w:tc>
        <w:tc>
          <w:tcPr>
            <w:tcW w:w="1171" w:type="dxa"/>
            <w:tcBorders>
              <w:bottom w:val="double" w:sz="4" w:space="0" w:color="auto"/>
            </w:tcBorders>
            <w:tcMar>
              <w:top w:w="57" w:type="dxa"/>
              <w:left w:w="57" w:type="dxa"/>
              <w:bottom w:w="57" w:type="dxa"/>
              <w:right w:w="57" w:type="dxa"/>
            </w:tcMar>
          </w:tcPr>
          <w:p w14:paraId="78DD587D" w14:textId="77777777" w:rsidR="00801268" w:rsidRPr="00D86314" w:rsidRDefault="00801268" w:rsidP="001E7052">
            <w:pPr>
              <w:spacing w:after="0"/>
              <w:jc w:val="center"/>
              <w:rPr>
                <w:noProof/>
                <w:sz w:val="20"/>
                <w:szCs w:val="20"/>
              </w:rPr>
            </w:pPr>
            <w:r w:rsidRPr="00D86314">
              <w:rPr>
                <w:noProof/>
                <w:sz w:val="20"/>
                <w:szCs w:val="20"/>
              </w:rPr>
              <w:t>Recurrent</w:t>
            </w:r>
          </w:p>
        </w:tc>
      </w:tr>
      <w:tr w:rsidR="00773AAA" w:rsidRPr="00D86314" w14:paraId="09A2C7EC" w14:textId="77777777" w:rsidTr="34EA199D">
        <w:trPr>
          <w:trHeight w:val="307"/>
        </w:trPr>
        <w:tc>
          <w:tcPr>
            <w:tcW w:w="912" w:type="dxa"/>
            <w:vMerge w:val="restart"/>
            <w:tcMar>
              <w:top w:w="57" w:type="dxa"/>
              <w:left w:w="57" w:type="dxa"/>
              <w:bottom w:w="57" w:type="dxa"/>
              <w:right w:w="57" w:type="dxa"/>
            </w:tcMar>
            <w:vAlign w:val="center"/>
          </w:tcPr>
          <w:p w14:paraId="220A2CFA" w14:textId="27D34D25" w:rsidR="00801268" w:rsidRPr="00D86314" w:rsidRDefault="00801268" w:rsidP="00C205DB">
            <w:pPr>
              <w:spacing w:after="0"/>
              <w:rPr>
                <w:noProof/>
                <w:sz w:val="20"/>
                <w:szCs w:val="20"/>
              </w:rPr>
            </w:pPr>
            <w:r w:rsidRPr="00D86314">
              <w:rPr>
                <w:noProof/>
                <w:sz w:val="20"/>
                <w:szCs w:val="20"/>
              </w:rPr>
              <w:t xml:space="preserve">Action (a) </w:t>
            </w:r>
          </w:p>
        </w:tc>
        <w:tc>
          <w:tcPr>
            <w:tcW w:w="1479" w:type="dxa"/>
            <w:tcBorders>
              <w:right w:val="double" w:sz="4" w:space="0" w:color="auto"/>
            </w:tcBorders>
            <w:tcMar>
              <w:top w:w="57" w:type="dxa"/>
              <w:left w:w="57" w:type="dxa"/>
              <w:bottom w:w="57" w:type="dxa"/>
              <w:right w:w="57" w:type="dxa"/>
            </w:tcMar>
            <w:vAlign w:val="center"/>
          </w:tcPr>
          <w:p w14:paraId="7B6C2B2A" w14:textId="77777777" w:rsidR="00801268" w:rsidRPr="00D86314" w:rsidRDefault="00801268" w:rsidP="00C205DB">
            <w:pPr>
              <w:spacing w:after="0"/>
              <w:rPr>
                <w:noProof/>
                <w:sz w:val="20"/>
                <w:szCs w:val="20"/>
              </w:rPr>
            </w:pPr>
            <w:r w:rsidRPr="00D86314">
              <w:rPr>
                <w:noProof/>
                <w:sz w:val="20"/>
                <w:szCs w:val="20"/>
              </w:rPr>
              <w:t>Direct adjustment costs</w:t>
            </w:r>
          </w:p>
        </w:tc>
        <w:tc>
          <w:tcPr>
            <w:tcW w:w="1043" w:type="dxa"/>
            <w:tcBorders>
              <w:left w:val="double" w:sz="4" w:space="0" w:color="auto"/>
            </w:tcBorders>
            <w:tcMar>
              <w:top w:w="57" w:type="dxa"/>
              <w:left w:w="57" w:type="dxa"/>
              <w:bottom w:w="57" w:type="dxa"/>
              <w:right w:w="57" w:type="dxa"/>
            </w:tcMar>
            <w:vAlign w:val="center"/>
          </w:tcPr>
          <w:p w14:paraId="7FC0DADF" w14:textId="77777777" w:rsidR="00801268" w:rsidRPr="00D86314" w:rsidRDefault="00801268" w:rsidP="00C205DB">
            <w:pPr>
              <w:spacing w:after="0"/>
              <w:rPr>
                <w:noProof/>
                <w:sz w:val="20"/>
                <w:szCs w:val="20"/>
              </w:rPr>
            </w:pPr>
          </w:p>
        </w:tc>
        <w:tc>
          <w:tcPr>
            <w:tcW w:w="1328" w:type="dxa"/>
            <w:tcMar>
              <w:top w:w="57" w:type="dxa"/>
              <w:left w:w="57" w:type="dxa"/>
              <w:bottom w:w="57" w:type="dxa"/>
              <w:right w:w="57" w:type="dxa"/>
            </w:tcMar>
            <w:vAlign w:val="center"/>
          </w:tcPr>
          <w:p w14:paraId="24999D84" w14:textId="77777777" w:rsidR="00801268" w:rsidRPr="00D86314" w:rsidRDefault="00801268" w:rsidP="00C205DB">
            <w:pPr>
              <w:spacing w:after="0"/>
              <w:rPr>
                <w:noProof/>
                <w:sz w:val="20"/>
                <w:szCs w:val="20"/>
              </w:rPr>
            </w:pPr>
          </w:p>
        </w:tc>
        <w:tc>
          <w:tcPr>
            <w:tcW w:w="1303" w:type="dxa"/>
            <w:tcMar>
              <w:top w:w="57" w:type="dxa"/>
              <w:left w:w="57" w:type="dxa"/>
              <w:bottom w:w="57" w:type="dxa"/>
              <w:right w:w="57" w:type="dxa"/>
            </w:tcMar>
            <w:vAlign w:val="center"/>
          </w:tcPr>
          <w:p w14:paraId="343C9836" w14:textId="5CB0E983" w:rsidR="00801268" w:rsidRPr="00D86314" w:rsidRDefault="00801268" w:rsidP="00C205DB">
            <w:pPr>
              <w:spacing w:after="0"/>
              <w:rPr>
                <w:noProof/>
                <w:sz w:val="20"/>
                <w:szCs w:val="20"/>
              </w:rPr>
            </w:pPr>
          </w:p>
        </w:tc>
        <w:tc>
          <w:tcPr>
            <w:tcW w:w="1290" w:type="dxa"/>
            <w:tcMar>
              <w:top w:w="57" w:type="dxa"/>
              <w:left w:w="57" w:type="dxa"/>
              <w:bottom w:w="57" w:type="dxa"/>
              <w:right w:w="57" w:type="dxa"/>
            </w:tcMar>
            <w:vAlign w:val="center"/>
          </w:tcPr>
          <w:p w14:paraId="13A81F7E" w14:textId="7D41DB44" w:rsidR="00801268" w:rsidRPr="00D86314" w:rsidRDefault="00801268" w:rsidP="00C205DB">
            <w:pPr>
              <w:spacing w:after="0"/>
              <w:rPr>
                <w:noProof/>
                <w:sz w:val="20"/>
                <w:szCs w:val="20"/>
              </w:rPr>
            </w:pPr>
          </w:p>
        </w:tc>
        <w:tc>
          <w:tcPr>
            <w:tcW w:w="1056" w:type="dxa"/>
            <w:tcMar>
              <w:top w:w="57" w:type="dxa"/>
              <w:left w:w="57" w:type="dxa"/>
              <w:bottom w:w="57" w:type="dxa"/>
              <w:right w:w="57" w:type="dxa"/>
            </w:tcMar>
            <w:vAlign w:val="center"/>
          </w:tcPr>
          <w:p w14:paraId="33CCF061" w14:textId="0A23AC53" w:rsidR="00801268" w:rsidRPr="00D86314" w:rsidRDefault="00801268" w:rsidP="00C205DB">
            <w:pPr>
              <w:spacing w:after="0"/>
              <w:rPr>
                <w:noProof/>
                <w:sz w:val="20"/>
                <w:szCs w:val="20"/>
              </w:rPr>
            </w:pPr>
          </w:p>
        </w:tc>
        <w:tc>
          <w:tcPr>
            <w:tcW w:w="1171" w:type="dxa"/>
            <w:tcMar>
              <w:top w:w="57" w:type="dxa"/>
              <w:left w:w="57" w:type="dxa"/>
              <w:bottom w:w="57" w:type="dxa"/>
              <w:right w:w="57" w:type="dxa"/>
            </w:tcMar>
            <w:vAlign w:val="center"/>
          </w:tcPr>
          <w:p w14:paraId="582E7747" w14:textId="5F4AEDC1" w:rsidR="00801268" w:rsidRPr="00D86314" w:rsidRDefault="00801268" w:rsidP="00C205DB">
            <w:pPr>
              <w:spacing w:after="0"/>
              <w:rPr>
                <w:noProof/>
                <w:sz w:val="20"/>
                <w:szCs w:val="20"/>
              </w:rPr>
            </w:pPr>
          </w:p>
        </w:tc>
      </w:tr>
      <w:tr w:rsidR="00773AAA" w:rsidRPr="00D86314" w14:paraId="0DCF9CD7" w14:textId="77777777" w:rsidTr="34EA199D">
        <w:trPr>
          <w:trHeight w:val="307"/>
        </w:trPr>
        <w:tc>
          <w:tcPr>
            <w:tcW w:w="912" w:type="dxa"/>
            <w:vMerge/>
            <w:tcMar>
              <w:top w:w="57" w:type="dxa"/>
              <w:left w:w="57" w:type="dxa"/>
              <w:bottom w:w="57" w:type="dxa"/>
              <w:right w:w="57" w:type="dxa"/>
            </w:tcMar>
            <w:vAlign w:val="center"/>
          </w:tcPr>
          <w:p w14:paraId="44DC5624" w14:textId="77777777" w:rsidR="00801268" w:rsidRPr="00D86314" w:rsidRDefault="00801268" w:rsidP="00C205DB">
            <w:pPr>
              <w:spacing w:after="0"/>
              <w:rPr>
                <w:noProof/>
                <w:sz w:val="20"/>
                <w:szCs w:val="20"/>
              </w:rPr>
            </w:pPr>
          </w:p>
        </w:tc>
        <w:tc>
          <w:tcPr>
            <w:tcW w:w="1479" w:type="dxa"/>
            <w:tcBorders>
              <w:right w:val="double" w:sz="4" w:space="0" w:color="auto"/>
            </w:tcBorders>
            <w:tcMar>
              <w:top w:w="57" w:type="dxa"/>
              <w:left w:w="57" w:type="dxa"/>
              <w:bottom w:w="57" w:type="dxa"/>
              <w:right w:w="57" w:type="dxa"/>
            </w:tcMar>
            <w:vAlign w:val="center"/>
          </w:tcPr>
          <w:p w14:paraId="53E17FC3" w14:textId="77777777" w:rsidR="00801268" w:rsidRPr="00D86314" w:rsidRDefault="00801268" w:rsidP="00C205DB">
            <w:pPr>
              <w:spacing w:after="0"/>
              <w:rPr>
                <w:noProof/>
                <w:sz w:val="20"/>
                <w:szCs w:val="20"/>
              </w:rPr>
            </w:pPr>
            <w:r w:rsidRPr="00D86314">
              <w:rPr>
                <w:noProof/>
                <w:sz w:val="20"/>
                <w:szCs w:val="20"/>
              </w:rPr>
              <w:t>Direct administrative costs</w:t>
            </w:r>
          </w:p>
        </w:tc>
        <w:tc>
          <w:tcPr>
            <w:tcW w:w="1043" w:type="dxa"/>
            <w:tcBorders>
              <w:left w:val="double" w:sz="4" w:space="0" w:color="auto"/>
            </w:tcBorders>
            <w:tcMar>
              <w:top w:w="57" w:type="dxa"/>
              <w:left w:w="57" w:type="dxa"/>
              <w:bottom w:w="57" w:type="dxa"/>
              <w:right w:w="57" w:type="dxa"/>
            </w:tcMar>
            <w:vAlign w:val="center"/>
          </w:tcPr>
          <w:p w14:paraId="0CEF5022" w14:textId="77777777" w:rsidR="00801268" w:rsidRPr="00D86314" w:rsidRDefault="00801268" w:rsidP="00C205DB">
            <w:pPr>
              <w:spacing w:after="0"/>
              <w:rPr>
                <w:noProof/>
                <w:sz w:val="20"/>
                <w:szCs w:val="20"/>
              </w:rPr>
            </w:pPr>
          </w:p>
        </w:tc>
        <w:tc>
          <w:tcPr>
            <w:tcW w:w="1328" w:type="dxa"/>
            <w:tcMar>
              <w:top w:w="57" w:type="dxa"/>
              <w:left w:w="57" w:type="dxa"/>
              <w:bottom w:w="57" w:type="dxa"/>
              <w:right w:w="57" w:type="dxa"/>
            </w:tcMar>
            <w:vAlign w:val="center"/>
          </w:tcPr>
          <w:p w14:paraId="53E1D83B" w14:textId="77777777" w:rsidR="00801268" w:rsidRPr="00D86314" w:rsidRDefault="00801268" w:rsidP="00C205DB">
            <w:pPr>
              <w:spacing w:after="0"/>
              <w:rPr>
                <w:noProof/>
                <w:sz w:val="20"/>
                <w:szCs w:val="20"/>
              </w:rPr>
            </w:pPr>
          </w:p>
        </w:tc>
        <w:tc>
          <w:tcPr>
            <w:tcW w:w="1303" w:type="dxa"/>
            <w:tcMar>
              <w:top w:w="57" w:type="dxa"/>
              <w:left w:w="57" w:type="dxa"/>
              <w:bottom w:w="57" w:type="dxa"/>
              <w:right w:w="57" w:type="dxa"/>
            </w:tcMar>
            <w:vAlign w:val="center"/>
          </w:tcPr>
          <w:p w14:paraId="1A312BE6" w14:textId="601989ED" w:rsidR="00801268" w:rsidRPr="00D86314" w:rsidRDefault="004C3310" w:rsidP="00C205DB">
            <w:pPr>
              <w:spacing w:after="0"/>
              <w:rPr>
                <w:noProof/>
                <w:sz w:val="20"/>
                <w:szCs w:val="20"/>
              </w:rPr>
            </w:pPr>
            <w:r w:rsidRPr="00D86314">
              <w:rPr>
                <w:noProof/>
                <w:sz w:val="20"/>
                <w:szCs w:val="20"/>
              </w:rPr>
              <w:t>CSO and access – 510 FTEs</w:t>
            </w:r>
            <w:r w:rsidRPr="00D86314">
              <w:rPr>
                <w:noProof/>
                <w:sz w:val="20"/>
                <w:szCs w:val="20"/>
              </w:rPr>
              <w:footnoteReference w:id="3"/>
            </w:r>
            <w:r w:rsidRPr="00D86314">
              <w:rPr>
                <w:noProof/>
                <w:sz w:val="20"/>
                <w:szCs w:val="20"/>
              </w:rPr>
              <w:t xml:space="preserve"> – EUR 49 m </w:t>
            </w:r>
          </w:p>
        </w:tc>
        <w:tc>
          <w:tcPr>
            <w:tcW w:w="1290" w:type="dxa"/>
            <w:tcMar>
              <w:top w:w="57" w:type="dxa"/>
              <w:left w:w="57" w:type="dxa"/>
              <w:bottom w:w="57" w:type="dxa"/>
              <w:right w:w="57" w:type="dxa"/>
            </w:tcMar>
            <w:vAlign w:val="center"/>
          </w:tcPr>
          <w:p w14:paraId="6B6DCF93" w14:textId="15968FD2" w:rsidR="00801268" w:rsidRPr="00D86314" w:rsidRDefault="00A97610" w:rsidP="00C205DB">
            <w:pPr>
              <w:spacing w:after="0"/>
              <w:rPr>
                <w:noProof/>
                <w:sz w:val="20"/>
                <w:szCs w:val="20"/>
              </w:rPr>
            </w:pPr>
            <w:r w:rsidRPr="00D86314">
              <w:rPr>
                <w:noProof/>
                <w:sz w:val="20"/>
                <w:szCs w:val="20"/>
              </w:rPr>
              <w:t>CSO and access – 26</w:t>
            </w:r>
            <w:r w:rsidR="00B90A13" w:rsidRPr="00D86314">
              <w:rPr>
                <w:noProof/>
                <w:sz w:val="20"/>
                <w:szCs w:val="20"/>
              </w:rPr>
              <w:t>5</w:t>
            </w:r>
            <w:r w:rsidRPr="00D86314">
              <w:rPr>
                <w:noProof/>
                <w:sz w:val="20"/>
                <w:szCs w:val="20"/>
              </w:rPr>
              <w:t xml:space="preserve"> FTEs per year</w:t>
            </w:r>
            <w:r w:rsidR="00B90A13" w:rsidRPr="00D86314">
              <w:rPr>
                <w:noProof/>
                <w:sz w:val="20"/>
                <w:szCs w:val="20"/>
              </w:rPr>
              <w:t xml:space="preserve"> – EUR</w:t>
            </w:r>
            <w:r w:rsidR="00363DCB" w:rsidRPr="00D86314">
              <w:rPr>
                <w:noProof/>
                <w:sz w:val="20"/>
                <w:szCs w:val="20"/>
              </w:rPr>
              <w:t> </w:t>
            </w:r>
            <w:r w:rsidR="00017B78" w:rsidRPr="00D86314">
              <w:rPr>
                <w:noProof/>
                <w:sz w:val="20"/>
                <w:szCs w:val="20"/>
              </w:rPr>
              <w:t>25 m</w:t>
            </w:r>
          </w:p>
        </w:tc>
        <w:tc>
          <w:tcPr>
            <w:tcW w:w="1056" w:type="dxa"/>
            <w:tcMar>
              <w:top w:w="57" w:type="dxa"/>
              <w:left w:w="57" w:type="dxa"/>
              <w:bottom w:w="57" w:type="dxa"/>
              <w:right w:w="57" w:type="dxa"/>
            </w:tcMar>
            <w:vAlign w:val="center"/>
          </w:tcPr>
          <w:p w14:paraId="6EC11D01" w14:textId="777A25FD" w:rsidR="00801268" w:rsidRPr="00D86314" w:rsidRDefault="004C3310" w:rsidP="00C205DB">
            <w:pPr>
              <w:spacing w:after="0"/>
              <w:rPr>
                <w:noProof/>
                <w:sz w:val="20"/>
                <w:szCs w:val="20"/>
              </w:rPr>
            </w:pPr>
            <w:r w:rsidRPr="00D86314">
              <w:rPr>
                <w:noProof/>
                <w:sz w:val="20"/>
                <w:szCs w:val="20"/>
              </w:rPr>
              <w:t>CSO and access –255 FTEs – EUR 24 m</w:t>
            </w:r>
          </w:p>
        </w:tc>
        <w:tc>
          <w:tcPr>
            <w:tcW w:w="1171" w:type="dxa"/>
            <w:tcMar>
              <w:top w:w="57" w:type="dxa"/>
              <w:left w:w="57" w:type="dxa"/>
              <w:bottom w:w="57" w:type="dxa"/>
              <w:right w:w="57" w:type="dxa"/>
            </w:tcMar>
            <w:vAlign w:val="center"/>
          </w:tcPr>
          <w:p w14:paraId="0182B111" w14:textId="344B8BF0" w:rsidR="00801268" w:rsidRPr="00D86314" w:rsidRDefault="00A97610" w:rsidP="00C205DB">
            <w:pPr>
              <w:spacing w:after="0"/>
              <w:rPr>
                <w:noProof/>
                <w:sz w:val="20"/>
                <w:szCs w:val="20"/>
              </w:rPr>
            </w:pPr>
            <w:r w:rsidRPr="00D86314">
              <w:rPr>
                <w:noProof/>
                <w:sz w:val="20"/>
                <w:szCs w:val="20"/>
              </w:rPr>
              <w:t>CSO and access – 133 FTEs per yea</w:t>
            </w:r>
            <w:r w:rsidR="00017B78" w:rsidRPr="00D86314">
              <w:rPr>
                <w:noProof/>
                <w:sz w:val="20"/>
                <w:szCs w:val="20"/>
              </w:rPr>
              <w:t>r – EUR</w:t>
            </w:r>
            <w:r w:rsidR="00363DCB" w:rsidRPr="00D86314">
              <w:rPr>
                <w:noProof/>
                <w:sz w:val="20"/>
                <w:szCs w:val="20"/>
              </w:rPr>
              <w:t> </w:t>
            </w:r>
            <w:r w:rsidR="00B15C4B" w:rsidRPr="00D86314">
              <w:rPr>
                <w:noProof/>
                <w:sz w:val="20"/>
                <w:szCs w:val="20"/>
              </w:rPr>
              <w:t>13 m</w:t>
            </w:r>
          </w:p>
        </w:tc>
      </w:tr>
      <w:tr w:rsidR="00773AAA" w:rsidRPr="00D86314" w14:paraId="1B6000D7" w14:textId="77777777" w:rsidTr="34EA199D">
        <w:trPr>
          <w:trHeight w:val="307"/>
        </w:trPr>
        <w:tc>
          <w:tcPr>
            <w:tcW w:w="912" w:type="dxa"/>
            <w:vMerge/>
            <w:tcMar>
              <w:top w:w="57" w:type="dxa"/>
              <w:left w:w="57" w:type="dxa"/>
              <w:bottom w:w="57" w:type="dxa"/>
              <w:right w:w="57" w:type="dxa"/>
            </w:tcMar>
            <w:vAlign w:val="center"/>
          </w:tcPr>
          <w:p w14:paraId="70C09867" w14:textId="77777777" w:rsidR="00801268" w:rsidRPr="00D86314" w:rsidRDefault="00801268" w:rsidP="00C205DB">
            <w:pPr>
              <w:spacing w:after="0"/>
              <w:rPr>
                <w:noProof/>
                <w:sz w:val="20"/>
                <w:szCs w:val="20"/>
              </w:rPr>
            </w:pPr>
          </w:p>
        </w:tc>
        <w:tc>
          <w:tcPr>
            <w:tcW w:w="1479" w:type="dxa"/>
            <w:tcBorders>
              <w:right w:val="double" w:sz="4" w:space="0" w:color="auto"/>
            </w:tcBorders>
            <w:tcMar>
              <w:top w:w="57" w:type="dxa"/>
              <w:left w:w="57" w:type="dxa"/>
              <w:bottom w:w="57" w:type="dxa"/>
              <w:right w:w="57" w:type="dxa"/>
            </w:tcMar>
            <w:vAlign w:val="center"/>
          </w:tcPr>
          <w:p w14:paraId="27A3AAE2" w14:textId="77777777" w:rsidR="00801268" w:rsidRPr="00D86314" w:rsidRDefault="00801268" w:rsidP="00C205DB">
            <w:pPr>
              <w:spacing w:after="0"/>
              <w:jc w:val="left"/>
              <w:rPr>
                <w:noProof/>
                <w:sz w:val="20"/>
                <w:szCs w:val="20"/>
              </w:rPr>
            </w:pPr>
            <w:r w:rsidRPr="00D86314">
              <w:rPr>
                <w:noProof/>
                <w:sz w:val="20"/>
                <w:szCs w:val="20"/>
              </w:rPr>
              <w:t>Direct regulatory fees and charges</w:t>
            </w:r>
          </w:p>
        </w:tc>
        <w:tc>
          <w:tcPr>
            <w:tcW w:w="1043" w:type="dxa"/>
            <w:tcBorders>
              <w:left w:val="double" w:sz="4" w:space="0" w:color="auto"/>
            </w:tcBorders>
            <w:tcMar>
              <w:top w:w="57" w:type="dxa"/>
              <w:left w:w="57" w:type="dxa"/>
              <w:bottom w:w="57" w:type="dxa"/>
              <w:right w:w="57" w:type="dxa"/>
            </w:tcMar>
            <w:vAlign w:val="center"/>
          </w:tcPr>
          <w:p w14:paraId="4CDF5AEB" w14:textId="77777777" w:rsidR="00801268" w:rsidRPr="00D86314" w:rsidRDefault="00801268" w:rsidP="00C205DB">
            <w:pPr>
              <w:spacing w:after="0"/>
              <w:rPr>
                <w:noProof/>
                <w:sz w:val="20"/>
                <w:szCs w:val="20"/>
              </w:rPr>
            </w:pPr>
          </w:p>
        </w:tc>
        <w:tc>
          <w:tcPr>
            <w:tcW w:w="1328" w:type="dxa"/>
            <w:tcMar>
              <w:top w:w="57" w:type="dxa"/>
              <w:left w:w="57" w:type="dxa"/>
              <w:bottom w:w="57" w:type="dxa"/>
              <w:right w:w="57" w:type="dxa"/>
            </w:tcMar>
            <w:vAlign w:val="center"/>
          </w:tcPr>
          <w:p w14:paraId="2FAFD9C4" w14:textId="77777777" w:rsidR="00801268" w:rsidRPr="00D86314" w:rsidRDefault="00801268" w:rsidP="00C205DB">
            <w:pPr>
              <w:spacing w:after="0"/>
              <w:rPr>
                <w:noProof/>
                <w:sz w:val="20"/>
                <w:szCs w:val="20"/>
              </w:rPr>
            </w:pPr>
          </w:p>
        </w:tc>
        <w:tc>
          <w:tcPr>
            <w:tcW w:w="1303" w:type="dxa"/>
            <w:tcMar>
              <w:top w:w="57" w:type="dxa"/>
              <w:left w:w="57" w:type="dxa"/>
              <w:bottom w:w="57" w:type="dxa"/>
              <w:right w:w="57" w:type="dxa"/>
            </w:tcMar>
            <w:vAlign w:val="center"/>
          </w:tcPr>
          <w:p w14:paraId="0841F95E" w14:textId="01DC996A" w:rsidR="00801268" w:rsidRPr="00D86314" w:rsidRDefault="00801268" w:rsidP="00C205DB">
            <w:pPr>
              <w:spacing w:after="0"/>
              <w:rPr>
                <w:noProof/>
                <w:sz w:val="20"/>
                <w:szCs w:val="20"/>
              </w:rPr>
            </w:pPr>
          </w:p>
        </w:tc>
        <w:tc>
          <w:tcPr>
            <w:tcW w:w="1290" w:type="dxa"/>
            <w:tcMar>
              <w:top w:w="57" w:type="dxa"/>
              <w:left w:w="57" w:type="dxa"/>
              <w:bottom w:w="57" w:type="dxa"/>
              <w:right w:w="57" w:type="dxa"/>
            </w:tcMar>
            <w:vAlign w:val="center"/>
          </w:tcPr>
          <w:p w14:paraId="6608315C" w14:textId="77777777" w:rsidR="00801268" w:rsidRPr="00D86314" w:rsidRDefault="00801268" w:rsidP="00C205DB">
            <w:pPr>
              <w:spacing w:after="0"/>
              <w:rPr>
                <w:noProof/>
                <w:sz w:val="20"/>
                <w:szCs w:val="20"/>
              </w:rPr>
            </w:pPr>
          </w:p>
        </w:tc>
        <w:tc>
          <w:tcPr>
            <w:tcW w:w="1056" w:type="dxa"/>
            <w:tcMar>
              <w:top w:w="57" w:type="dxa"/>
              <w:left w:w="57" w:type="dxa"/>
              <w:bottom w:w="57" w:type="dxa"/>
              <w:right w:w="57" w:type="dxa"/>
            </w:tcMar>
            <w:vAlign w:val="center"/>
          </w:tcPr>
          <w:p w14:paraId="635A88B0" w14:textId="49DB523B" w:rsidR="00801268" w:rsidRPr="00D86314" w:rsidRDefault="00801268" w:rsidP="00C205DB">
            <w:pPr>
              <w:spacing w:after="0"/>
              <w:rPr>
                <w:noProof/>
                <w:sz w:val="20"/>
                <w:szCs w:val="20"/>
              </w:rPr>
            </w:pPr>
          </w:p>
        </w:tc>
        <w:tc>
          <w:tcPr>
            <w:tcW w:w="1171" w:type="dxa"/>
            <w:tcMar>
              <w:top w:w="57" w:type="dxa"/>
              <w:left w:w="57" w:type="dxa"/>
              <w:bottom w:w="57" w:type="dxa"/>
              <w:right w:w="57" w:type="dxa"/>
            </w:tcMar>
            <w:vAlign w:val="center"/>
          </w:tcPr>
          <w:p w14:paraId="233AA1DB" w14:textId="77777777" w:rsidR="00801268" w:rsidRPr="00D86314" w:rsidRDefault="00801268" w:rsidP="00C205DB">
            <w:pPr>
              <w:spacing w:after="0"/>
              <w:rPr>
                <w:noProof/>
                <w:sz w:val="20"/>
                <w:szCs w:val="20"/>
              </w:rPr>
            </w:pPr>
          </w:p>
        </w:tc>
      </w:tr>
      <w:tr w:rsidR="00773AAA" w:rsidRPr="00D86314" w14:paraId="607D29BE" w14:textId="77777777" w:rsidTr="34EA199D">
        <w:trPr>
          <w:trHeight w:val="307"/>
        </w:trPr>
        <w:tc>
          <w:tcPr>
            <w:tcW w:w="912" w:type="dxa"/>
            <w:vMerge/>
            <w:tcMar>
              <w:top w:w="57" w:type="dxa"/>
              <w:left w:w="57" w:type="dxa"/>
              <w:bottom w:w="57" w:type="dxa"/>
              <w:right w:w="57" w:type="dxa"/>
            </w:tcMar>
            <w:vAlign w:val="center"/>
          </w:tcPr>
          <w:p w14:paraId="4D0CE703" w14:textId="77777777" w:rsidR="00801268" w:rsidRPr="00D86314" w:rsidRDefault="00801268" w:rsidP="00C205DB">
            <w:pPr>
              <w:spacing w:after="0"/>
              <w:rPr>
                <w:noProof/>
                <w:sz w:val="20"/>
                <w:szCs w:val="20"/>
              </w:rPr>
            </w:pPr>
          </w:p>
        </w:tc>
        <w:tc>
          <w:tcPr>
            <w:tcW w:w="1479" w:type="dxa"/>
            <w:tcBorders>
              <w:right w:val="double" w:sz="4" w:space="0" w:color="auto"/>
            </w:tcBorders>
            <w:tcMar>
              <w:top w:w="57" w:type="dxa"/>
              <w:left w:w="57" w:type="dxa"/>
              <w:bottom w:w="57" w:type="dxa"/>
              <w:right w:w="57" w:type="dxa"/>
            </w:tcMar>
            <w:vAlign w:val="center"/>
          </w:tcPr>
          <w:p w14:paraId="03072CB2" w14:textId="77777777" w:rsidR="00801268" w:rsidRPr="00D86314" w:rsidRDefault="00801268" w:rsidP="00C205DB">
            <w:pPr>
              <w:spacing w:after="0"/>
              <w:jc w:val="left"/>
              <w:rPr>
                <w:noProof/>
                <w:sz w:val="20"/>
                <w:szCs w:val="20"/>
              </w:rPr>
            </w:pPr>
            <w:r w:rsidRPr="00D86314">
              <w:rPr>
                <w:noProof/>
                <w:sz w:val="20"/>
                <w:szCs w:val="20"/>
              </w:rPr>
              <w:t>Direct enforcement costs</w:t>
            </w:r>
          </w:p>
        </w:tc>
        <w:tc>
          <w:tcPr>
            <w:tcW w:w="1043" w:type="dxa"/>
            <w:tcBorders>
              <w:left w:val="double" w:sz="4" w:space="0" w:color="auto"/>
            </w:tcBorders>
            <w:tcMar>
              <w:top w:w="57" w:type="dxa"/>
              <w:left w:w="57" w:type="dxa"/>
              <w:bottom w:w="57" w:type="dxa"/>
              <w:right w:w="57" w:type="dxa"/>
            </w:tcMar>
            <w:vAlign w:val="center"/>
          </w:tcPr>
          <w:p w14:paraId="454A4A88" w14:textId="77777777" w:rsidR="00801268" w:rsidRPr="00D86314" w:rsidRDefault="00801268" w:rsidP="00C205DB">
            <w:pPr>
              <w:spacing w:after="0"/>
              <w:rPr>
                <w:noProof/>
                <w:sz w:val="20"/>
                <w:szCs w:val="20"/>
              </w:rPr>
            </w:pPr>
          </w:p>
        </w:tc>
        <w:tc>
          <w:tcPr>
            <w:tcW w:w="1328" w:type="dxa"/>
            <w:tcMar>
              <w:top w:w="57" w:type="dxa"/>
              <w:left w:w="57" w:type="dxa"/>
              <w:bottom w:w="57" w:type="dxa"/>
              <w:right w:w="57" w:type="dxa"/>
            </w:tcMar>
            <w:vAlign w:val="center"/>
          </w:tcPr>
          <w:p w14:paraId="4E1A2125" w14:textId="77777777" w:rsidR="00801268" w:rsidRPr="00D86314" w:rsidRDefault="00801268" w:rsidP="00C205DB">
            <w:pPr>
              <w:spacing w:after="0"/>
              <w:rPr>
                <w:noProof/>
                <w:sz w:val="20"/>
                <w:szCs w:val="20"/>
              </w:rPr>
            </w:pPr>
          </w:p>
        </w:tc>
        <w:tc>
          <w:tcPr>
            <w:tcW w:w="1303" w:type="dxa"/>
            <w:tcMar>
              <w:top w:w="57" w:type="dxa"/>
              <w:left w:w="57" w:type="dxa"/>
              <w:bottom w:w="57" w:type="dxa"/>
              <w:right w:w="57" w:type="dxa"/>
            </w:tcMar>
            <w:vAlign w:val="center"/>
          </w:tcPr>
          <w:p w14:paraId="5B765BD6" w14:textId="77777777" w:rsidR="00801268" w:rsidRPr="00D86314" w:rsidRDefault="00801268" w:rsidP="00C205DB">
            <w:pPr>
              <w:spacing w:after="0"/>
              <w:rPr>
                <w:noProof/>
                <w:sz w:val="20"/>
                <w:szCs w:val="20"/>
              </w:rPr>
            </w:pPr>
          </w:p>
        </w:tc>
        <w:tc>
          <w:tcPr>
            <w:tcW w:w="1290" w:type="dxa"/>
            <w:tcMar>
              <w:top w:w="57" w:type="dxa"/>
              <w:left w:w="57" w:type="dxa"/>
              <w:bottom w:w="57" w:type="dxa"/>
              <w:right w:w="57" w:type="dxa"/>
            </w:tcMar>
            <w:vAlign w:val="center"/>
          </w:tcPr>
          <w:p w14:paraId="66AE00F3" w14:textId="77777777" w:rsidR="00801268" w:rsidRPr="00D86314" w:rsidRDefault="00801268" w:rsidP="00C205DB">
            <w:pPr>
              <w:spacing w:after="0"/>
              <w:rPr>
                <w:noProof/>
                <w:sz w:val="20"/>
                <w:szCs w:val="20"/>
              </w:rPr>
            </w:pPr>
          </w:p>
        </w:tc>
        <w:tc>
          <w:tcPr>
            <w:tcW w:w="1056" w:type="dxa"/>
            <w:tcMar>
              <w:top w:w="57" w:type="dxa"/>
              <w:left w:w="57" w:type="dxa"/>
              <w:bottom w:w="57" w:type="dxa"/>
              <w:right w:w="57" w:type="dxa"/>
            </w:tcMar>
            <w:vAlign w:val="center"/>
          </w:tcPr>
          <w:p w14:paraId="3C674CCF" w14:textId="77777777" w:rsidR="00801268" w:rsidRPr="00D86314" w:rsidRDefault="00801268" w:rsidP="00C205DB">
            <w:pPr>
              <w:spacing w:after="0"/>
              <w:rPr>
                <w:noProof/>
                <w:sz w:val="20"/>
                <w:szCs w:val="20"/>
              </w:rPr>
            </w:pPr>
          </w:p>
        </w:tc>
        <w:tc>
          <w:tcPr>
            <w:tcW w:w="1171" w:type="dxa"/>
            <w:tcMar>
              <w:top w:w="57" w:type="dxa"/>
              <w:left w:w="57" w:type="dxa"/>
              <w:bottom w:w="57" w:type="dxa"/>
              <w:right w:w="57" w:type="dxa"/>
            </w:tcMar>
            <w:vAlign w:val="center"/>
          </w:tcPr>
          <w:p w14:paraId="61FA7591" w14:textId="77777777" w:rsidR="00801268" w:rsidRPr="00D86314" w:rsidRDefault="00801268" w:rsidP="00C205DB">
            <w:pPr>
              <w:spacing w:after="0"/>
              <w:rPr>
                <w:noProof/>
                <w:sz w:val="20"/>
                <w:szCs w:val="20"/>
              </w:rPr>
            </w:pPr>
          </w:p>
        </w:tc>
      </w:tr>
      <w:tr w:rsidR="00773AAA" w:rsidRPr="00D86314" w14:paraId="5575DE90" w14:textId="77777777" w:rsidTr="34EA199D">
        <w:tc>
          <w:tcPr>
            <w:tcW w:w="912" w:type="dxa"/>
            <w:vMerge/>
            <w:tcMar>
              <w:top w:w="57" w:type="dxa"/>
              <w:left w:w="57" w:type="dxa"/>
              <w:bottom w:w="57" w:type="dxa"/>
              <w:right w:w="57" w:type="dxa"/>
            </w:tcMar>
          </w:tcPr>
          <w:p w14:paraId="3CB757B5" w14:textId="77777777" w:rsidR="00801268" w:rsidRPr="00D86314" w:rsidRDefault="00801268" w:rsidP="00C205DB">
            <w:pPr>
              <w:spacing w:after="0"/>
              <w:rPr>
                <w:noProof/>
                <w:sz w:val="20"/>
                <w:szCs w:val="20"/>
              </w:rPr>
            </w:pPr>
          </w:p>
        </w:tc>
        <w:tc>
          <w:tcPr>
            <w:tcW w:w="1479" w:type="dxa"/>
            <w:tcBorders>
              <w:bottom w:val="double" w:sz="4" w:space="0" w:color="auto"/>
              <w:right w:val="double" w:sz="4" w:space="0" w:color="auto"/>
            </w:tcBorders>
            <w:tcMar>
              <w:top w:w="57" w:type="dxa"/>
              <w:left w:w="57" w:type="dxa"/>
              <w:bottom w:w="57" w:type="dxa"/>
              <w:right w:w="57" w:type="dxa"/>
            </w:tcMar>
          </w:tcPr>
          <w:p w14:paraId="60AC93FE" w14:textId="77777777" w:rsidR="00801268" w:rsidRPr="00D86314" w:rsidRDefault="00801268" w:rsidP="00C205DB">
            <w:pPr>
              <w:spacing w:after="0"/>
              <w:jc w:val="left"/>
              <w:rPr>
                <w:noProof/>
                <w:sz w:val="20"/>
                <w:szCs w:val="20"/>
              </w:rPr>
            </w:pPr>
            <w:r w:rsidRPr="00D86314">
              <w:rPr>
                <w:noProof/>
                <w:sz w:val="20"/>
                <w:szCs w:val="20"/>
              </w:rPr>
              <w:t>Indirect costs</w:t>
            </w:r>
          </w:p>
        </w:tc>
        <w:tc>
          <w:tcPr>
            <w:tcW w:w="1043" w:type="dxa"/>
            <w:tcBorders>
              <w:left w:val="double" w:sz="4" w:space="0" w:color="auto"/>
              <w:bottom w:val="double" w:sz="4" w:space="0" w:color="auto"/>
            </w:tcBorders>
            <w:tcMar>
              <w:top w:w="57" w:type="dxa"/>
              <w:left w:w="57" w:type="dxa"/>
              <w:bottom w:w="57" w:type="dxa"/>
              <w:right w:w="57" w:type="dxa"/>
            </w:tcMar>
          </w:tcPr>
          <w:p w14:paraId="57B65DED" w14:textId="77777777" w:rsidR="00801268" w:rsidRPr="00D86314" w:rsidRDefault="00801268" w:rsidP="00C205DB">
            <w:pPr>
              <w:spacing w:after="0"/>
              <w:rPr>
                <w:noProof/>
                <w:sz w:val="20"/>
                <w:szCs w:val="20"/>
              </w:rPr>
            </w:pPr>
          </w:p>
        </w:tc>
        <w:tc>
          <w:tcPr>
            <w:tcW w:w="1328" w:type="dxa"/>
            <w:tcBorders>
              <w:bottom w:val="double" w:sz="4" w:space="0" w:color="auto"/>
            </w:tcBorders>
            <w:tcMar>
              <w:top w:w="57" w:type="dxa"/>
              <w:left w:w="57" w:type="dxa"/>
              <w:bottom w:w="57" w:type="dxa"/>
              <w:right w:w="57" w:type="dxa"/>
            </w:tcMar>
          </w:tcPr>
          <w:p w14:paraId="0A3E2119" w14:textId="77777777" w:rsidR="00801268" w:rsidRPr="00D86314" w:rsidRDefault="00801268" w:rsidP="00C205DB">
            <w:pPr>
              <w:spacing w:after="0"/>
              <w:rPr>
                <w:noProof/>
                <w:sz w:val="20"/>
                <w:szCs w:val="20"/>
              </w:rPr>
            </w:pPr>
          </w:p>
        </w:tc>
        <w:tc>
          <w:tcPr>
            <w:tcW w:w="1303" w:type="dxa"/>
            <w:tcBorders>
              <w:bottom w:val="double" w:sz="4" w:space="0" w:color="auto"/>
            </w:tcBorders>
            <w:tcMar>
              <w:top w:w="57" w:type="dxa"/>
              <w:left w:w="57" w:type="dxa"/>
              <w:bottom w:w="57" w:type="dxa"/>
              <w:right w:w="57" w:type="dxa"/>
            </w:tcMar>
          </w:tcPr>
          <w:p w14:paraId="0C8860F3" w14:textId="77777777" w:rsidR="00801268" w:rsidRPr="00D86314" w:rsidRDefault="00801268" w:rsidP="00C205DB">
            <w:pPr>
              <w:spacing w:after="0"/>
              <w:rPr>
                <w:noProof/>
                <w:sz w:val="20"/>
                <w:szCs w:val="20"/>
              </w:rPr>
            </w:pPr>
          </w:p>
        </w:tc>
        <w:tc>
          <w:tcPr>
            <w:tcW w:w="1290" w:type="dxa"/>
            <w:tcBorders>
              <w:bottom w:val="double" w:sz="4" w:space="0" w:color="auto"/>
            </w:tcBorders>
            <w:tcMar>
              <w:top w:w="57" w:type="dxa"/>
              <w:left w:w="57" w:type="dxa"/>
              <w:bottom w:w="57" w:type="dxa"/>
              <w:right w:w="57" w:type="dxa"/>
            </w:tcMar>
          </w:tcPr>
          <w:p w14:paraId="66FC0BD6" w14:textId="77777777" w:rsidR="00801268" w:rsidRPr="00D86314" w:rsidRDefault="00801268" w:rsidP="00C205DB">
            <w:pPr>
              <w:spacing w:after="0"/>
              <w:rPr>
                <w:noProof/>
                <w:sz w:val="20"/>
                <w:szCs w:val="20"/>
              </w:rPr>
            </w:pPr>
          </w:p>
        </w:tc>
        <w:tc>
          <w:tcPr>
            <w:tcW w:w="1056" w:type="dxa"/>
            <w:tcBorders>
              <w:bottom w:val="double" w:sz="4" w:space="0" w:color="auto"/>
            </w:tcBorders>
            <w:tcMar>
              <w:top w:w="57" w:type="dxa"/>
              <w:left w:w="57" w:type="dxa"/>
              <w:bottom w:w="57" w:type="dxa"/>
              <w:right w:w="57" w:type="dxa"/>
            </w:tcMar>
          </w:tcPr>
          <w:p w14:paraId="6E5F0E78" w14:textId="77777777" w:rsidR="00801268" w:rsidRPr="00D86314" w:rsidRDefault="00801268" w:rsidP="00C205DB">
            <w:pPr>
              <w:spacing w:after="0"/>
              <w:rPr>
                <w:noProof/>
                <w:sz w:val="20"/>
                <w:szCs w:val="20"/>
              </w:rPr>
            </w:pPr>
          </w:p>
        </w:tc>
        <w:tc>
          <w:tcPr>
            <w:tcW w:w="1171" w:type="dxa"/>
            <w:tcBorders>
              <w:bottom w:val="double" w:sz="4" w:space="0" w:color="auto"/>
            </w:tcBorders>
            <w:tcMar>
              <w:top w:w="57" w:type="dxa"/>
              <w:left w:w="57" w:type="dxa"/>
              <w:bottom w:w="57" w:type="dxa"/>
              <w:right w:w="57" w:type="dxa"/>
            </w:tcMar>
          </w:tcPr>
          <w:p w14:paraId="4FBB09DA" w14:textId="77777777" w:rsidR="00801268" w:rsidRPr="00D86314" w:rsidRDefault="00801268" w:rsidP="00C205DB">
            <w:pPr>
              <w:spacing w:after="0"/>
              <w:rPr>
                <w:noProof/>
                <w:sz w:val="20"/>
                <w:szCs w:val="20"/>
              </w:rPr>
            </w:pPr>
          </w:p>
        </w:tc>
      </w:tr>
    </w:tbl>
    <w:p w14:paraId="0A85801A" w14:textId="6552219D" w:rsidR="00801268" w:rsidRPr="00D86314" w:rsidRDefault="00801268" w:rsidP="00A00C17">
      <w:pPr>
        <w:pStyle w:val="ListParagraph"/>
        <w:numPr>
          <w:ilvl w:val="0"/>
          <w:numId w:val="10"/>
        </w:numPr>
        <w:rPr>
          <w:i/>
          <w:noProof/>
          <w:sz w:val="20"/>
        </w:rPr>
      </w:pPr>
      <w:r w:rsidRPr="00D86314">
        <w:rPr>
          <w:i/>
          <w:noProof/>
          <w:sz w:val="20"/>
        </w:rPr>
        <w:t xml:space="preserve">Estimates </w:t>
      </w:r>
      <w:r w:rsidR="00866FDC" w:rsidRPr="00D86314">
        <w:rPr>
          <w:i/>
          <w:noProof/>
          <w:sz w:val="20"/>
        </w:rPr>
        <w:t xml:space="preserve">(gross values) </w:t>
      </w:r>
      <w:r w:rsidRPr="00D86314">
        <w:rPr>
          <w:i/>
          <w:noProof/>
          <w:sz w:val="20"/>
        </w:rPr>
        <w:t xml:space="preserve">to be provided with respect to the baseline; (2) costs are provided for each identifiable action/obligation of the </w:t>
      </w:r>
      <w:r w:rsidRPr="00D86314">
        <w:rPr>
          <w:i/>
          <w:noProof/>
          <w:sz w:val="20"/>
          <w:u w:val="single"/>
        </w:rPr>
        <w:t>preferred</w:t>
      </w:r>
      <w:r w:rsidRPr="00D86314">
        <w:rPr>
          <w:i/>
          <w:noProof/>
          <w:sz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w:t>
      </w:r>
    </w:p>
    <w:p w14:paraId="042F6EC8" w14:textId="727F6640" w:rsidR="00647778" w:rsidRPr="00D86314" w:rsidRDefault="00647778" w:rsidP="00A00C17">
      <w:pPr>
        <w:pStyle w:val="Heading2"/>
        <w:numPr>
          <w:ilvl w:val="1"/>
          <w:numId w:val="8"/>
        </w:numPr>
        <w:spacing w:before="360" w:after="360"/>
        <w:ind w:left="1202"/>
        <w:rPr>
          <w:noProof/>
        </w:rPr>
      </w:pPr>
      <w:bookmarkStart w:id="29" w:name="_Toc207388271"/>
      <w:bookmarkStart w:id="30" w:name="_Toc219718347"/>
      <w:r w:rsidRPr="00D86314">
        <w:rPr>
          <w:noProof/>
        </w:rPr>
        <w:t>Spectrum</w:t>
      </w:r>
      <w:bookmarkEnd w:id="29"/>
      <w:bookmarkEnd w:id="30"/>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258"/>
        <w:gridCol w:w="3620"/>
        <w:gridCol w:w="3704"/>
      </w:tblGrid>
      <w:tr w:rsidR="00595A45" w:rsidRPr="00D86314" w14:paraId="66BC555F" w14:textId="77777777" w:rsidTr="3B55B5CA">
        <w:tc>
          <w:tcPr>
            <w:tcW w:w="5000" w:type="pct"/>
            <w:gridSpan w:val="3"/>
            <w:tcBorders>
              <w:top w:val="double" w:sz="4" w:space="0" w:color="auto"/>
              <w:bottom w:val="single" w:sz="4" w:space="0" w:color="auto"/>
            </w:tcBorders>
            <w:shd w:val="clear" w:color="auto" w:fill="C6D9F1" w:themeFill="text2" w:themeFillTint="33"/>
          </w:tcPr>
          <w:p w14:paraId="2BE7628C" w14:textId="02F4D4AB" w:rsidR="00647778" w:rsidRPr="00D86314" w:rsidRDefault="00647778" w:rsidP="00030966">
            <w:pPr>
              <w:rPr>
                <w:b/>
                <w:noProof/>
                <w:sz w:val="20"/>
              </w:rPr>
            </w:pPr>
            <w:r w:rsidRPr="00D86314">
              <w:rPr>
                <w:b/>
                <w:noProof/>
                <w:sz w:val="20"/>
              </w:rPr>
              <w:t>I. Overview of Benefits (</w:t>
            </w:r>
            <w:r w:rsidR="00657E48" w:rsidRPr="00D86314">
              <w:rPr>
                <w:b/>
                <w:noProof/>
                <w:sz w:val="20"/>
              </w:rPr>
              <w:t>Spectrum</w:t>
            </w:r>
            <w:r w:rsidRPr="00D86314">
              <w:rPr>
                <w:b/>
                <w:noProof/>
                <w:sz w:val="20"/>
              </w:rPr>
              <w:t>) – Preferred Option</w:t>
            </w:r>
          </w:p>
        </w:tc>
      </w:tr>
      <w:tr w:rsidR="00C25A81" w:rsidRPr="00D86314" w14:paraId="0838591E" w14:textId="77777777" w:rsidTr="3B55B5CA">
        <w:tc>
          <w:tcPr>
            <w:tcW w:w="1178" w:type="pct"/>
            <w:tcBorders>
              <w:top w:val="single" w:sz="4" w:space="0" w:color="auto"/>
            </w:tcBorders>
            <w:shd w:val="clear" w:color="auto" w:fill="C6D9F1" w:themeFill="text2" w:themeFillTint="33"/>
          </w:tcPr>
          <w:p w14:paraId="62240669" w14:textId="77777777" w:rsidR="00647778" w:rsidRPr="00D86314" w:rsidRDefault="00647778" w:rsidP="00030966">
            <w:pPr>
              <w:jc w:val="center"/>
              <w:rPr>
                <w:b/>
                <w:i/>
                <w:noProof/>
                <w:sz w:val="20"/>
              </w:rPr>
            </w:pPr>
            <w:r w:rsidRPr="00D86314">
              <w:rPr>
                <w:b/>
                <w:i/>
                <w:noProof/>
                <w:sz w:val="20"/>
              </w:rPr>
              <w:t>Description</w:t>
            </w:r>
          </w:p>
        </w:tc>
        <w:tc>
          <w:tcPr>
            <w:tcW w:w="1889" w:type="pct"/>
            <w:tcBorders>
              <w:top w:val="single" w:sz="4" w:space="0" w:color="auto"/>
            </w:tcBorders>
            <w:shd w:val="clear" w:color="auto" w:fill="C6D9F1" w:themeFill="text2" w:themeFillTint="33"/>
          </w:tcPr>
          <w:p w14:paraId="1B16CF60" w14:textId="77777777" w:rsidR="00647778" w:rsidRPr="00D86314" w:rsidRDefault="00647778" w:rsidP="00030966">
            <w:pPr>
              <w:jc w:val="center"/>
              <w:rPr>
                <w:b/>
                <w:i/>
                <w:noProof/>
                <w:sz w:val="20"/>
              </w:rPr>
            </w:pPr>
            <w:r w:rsidRPr="00D86314">
              <w:rPr>
                <w:b/>
                <w:i/>
                <w:noProof/>
                <w:sz w:val="20"/>
              </w:rPr>
              <w:t>Amount</w:t>
            </w:r>
          </w:p>
        </w:tc>
        <w:tc>
          <w:tcPr>
            <w:tcW w:w="1932" w:type="pct"/>
            <w:tcBorders>
              <w:top w:val="single" w:sz="4" w:space="0" w:color="auto"/>
            </w:tcBorders>
            <w:shd w:val="clear" w:color="auto" w:fill="C6D9F1" w:themeFill="text2" w:themeFillTint="33"/>
            <w:tcMar>
              <w:top w:w="57" w:type="dxa"/>
              <w:left w:w="57" w:type="dxa"/>
              <w:bottom w:w="57" w:type="dxa"/>
              <w:right w:w="57" w:type="dxa"/>
            </w:tcMar>
          </w:tcPr>
          <w:p w14:paraId="551E588F" w14:textId="77777777" w:rsidR="00647778" w:rsidRPr="00D86314" w:rsidRDefault="00647778" w:rsidP="00030966">
            <w:pPr>
              <w:jc w:val="center"/>
              <w:rPr>
                <w:b/>
                <w:i/>
                <w:noProof/>
                <w:sz w:val="20"/>
              </w:rPr>
            </w:pPr>
            <w:r w:rsidRPr="00D86314">
              <w:rPr>
                <w:b/>
                <w:i/>
                <w:noProof/>
                <w:sz w:val="20"/>
              </w:rPr>
              <w:t>Comments</w:t>
            </w:r>
          </w:p>
        </w:tc>
      </w:tr>
      <w:tr w:rsidR="00CA582A" w:rsidRPr="00D86314" w14:paraId="73C49384" w14:textId="77777777" w:rsidTr="3B55B5CA">
        <w:tc>
          <w:tcPr>
            <w:tcW w:w="5000" w:type="pct"/>
            <w:gridSpan w:val="3"/>
            <w:tcBorders>
              <w:top w:val="double" w:sz="4" w:space="0" w:color="auto"/>
            </w:tcBorders>
            <w:shd w:val="clear" w:color="auto" w:fill="F2F2F2" w:themeFill="background1" w:themeFillShade="F2"/>
          </w:tcPr>
          <w:p w14:paraId="74BF8E57" w14:textId="77777777" w:rsidR="00647778" w:rsidRPr="00D86314" w:rsidRDefault="00647778" w:rsidP="00030966">
            <w:pPr>
              <w:jc w:val="center"/>
              <w:rPr>
                <w:b/>
                <w:i/>
                <w:noProof/>
                <w:sz w:val="20"/>
              </w:rPr>
            </w:pPr>
            <w:r w:rsidRPr="00D86314">
              <w:rPr>
                <w:b/>
                <w:i/>
                <w:noProof/>
                <w:sz w:val="20"/>
              </w:rPr>
              <w:t>Direct benefits</w:t>
            </w:r>
          </w:p>
        </w:tc>
      </w:tr>
      <w:tr w:rsidR="006F058A" w:rsidRPr="00D86314" w14:paraId="3C0FD146" w14:textId="77777777" w:rsidTr="3B55B5CA">
        <w:tc>
          <w:tcPr>
            <w:tcW w:w="1178" w:type="pct"/>
            <w:tcBorders>
              <w:top w:val="double" w:sz="4" w:space="0" w:color="auto"/>
              <w:left w:val="double" w:sz="4" w:space="0" w:color="auto"/>
              <w:bottom w:val="double" w:sz="4" w:space="0" w:color="auto"/>
              <w:right w:val="double" w:sz="4" w:space="0" w:color="auto"/>
            </w:tcBorders>
          </w:tcPr>
          <w:p w14:paraId="575C2F28" w14:textId="04179B79" w:rsidR="00647778" w:rsidRPr="00D86314" w:rsidRDefault="00647778" w:rsidP="00030966">
            <w:pPr>
              <w:rPr>
                <w:noProof/>
                <w:sz w:val="20"/>
                <w:szCs w:val="20"/>
              </w:rPr>
            </w:pPr>
            <w:r w:rsidRPr="00D86314">
              <w:rPr>
                <w:noProof/>
                <w:sz w:val="20"/>
                <w:szCs w:val="20"/>
              </w:rPr>
              <w:t>Compliance cost reduction</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0689E348" w14:textId="77777777" w:rsidR="00647778" w:rsidRPr="00D86314" w:rsidRDefault="00647778" w:rsidP="00030966">
            <w:pPr>
              <w:rPr>
                <w:noProof/>
                <w:sz w:val="20"/>
              </w:rPr>
            </w:pPr>
            <w:r w:rsidRPr="00D86314">
              <w:rPr>
                <w:noProof/>
                <w:sz w:val="20"/>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72E0FB26" w14:textId="18B4197F" w:rsidR="00647778" w:rsidRPr="00D86314" w:rsidRDefault="00DE5E22" w:rsidP="00030966">
            <w:pPr>
              <w:rPr>
                <w:noProof/>
                <w:sz w:val="20"/>
                <w:szCs w:val="20"/>
              </w:rPr>
            </w:pPr>
            <w:r w:rsidRPr="00D86314">
              <w:rPr>
                <w:noProof/>
                <w:sz w:val="20"/>
                <w:szCs w:val="20"/>
              </w:rPr>
              <w:t>Businesses (especially SMEs and non-MNOs) benefit from reduced legal/advisory burden and simpler access to harmonised spectrum</w:t>
            </w:r>
            <w:r w:rsidR="00DC5A7F" w:rsidRPr="00D86314">
              <w:rPr>
                <w:noProof/>
                <w:sz w:val="20"/>
                <w:szCs w:val="20"/>
              </w:rPr>
              <w:t xml:space="preserve"> via more flexible licensing and spectrum sharing</w:t>
            </w:r>
            <w:r w:rsidRPr="00D86314">
              <w:rPr>
                <w:noProof/>
                <w:sz w:val="20"/>
                <w:szCs w:val="20"/>
              </w:rPr>
              <w:t>. In the long term, fewer auctions and greater use of licence renewals can ease administrative workload for both operators and public authorities, improving planning certainty and lowering transaction costs</w:t>
            </w:r>
            <w:r w:rsidR="62EB85C7" w:rsidRPr="00D86314">
              <w:rPr>
                <w:noProof/>
                <w:sz w:val="20"/>
                <w:szCs w:val="20"/>
              </w:rPr>
              <w:t>.</w:t>
            </w:r>
          </w:p>
        </w:tc>
      </w:tr>
      <w:tr w:rsidR="006F058A" w:rsidRPr="00D86314" w14:paraId="66F03732" w14:textId="77777777" w:rsidTr="3B55B5CA">
        <w:tc>
          <w:tcPr>
            <w:tcW w:w="1178" w:type="pct"/>
            <w:tcBorders>
              <w:top w:val="double" w:sz="4" w:space="0" w:color="auto"/>
              <w:left w:val="double" w:sz="4" w:space="0" w:color="auto"/>
              <w:bottom w:val="double" w:sz="4" w:space="0" w:color="auto"/>
              <w:right w:val="double" w:sz="4" w:space="0" w:color="auto"/>
            </w:tcBorders>
          </w:tcPr>
          <w:p w14:paraId="013977A6" w14:textId="33F73D0B" w:rsidR="003776FC" w:rsidRPr="00D86314" w:rsidRDefault="003776FC">
            <w:pPr>
              <w:rPr>
                <w:noProof/>
                <w:sz w:val="20"/>
              </w:rPr>
            </w:pPr>
            <w:r w:rsidRPr="00D86314">
              <w:rPr>
                <w:noProof/>
                <w:sz w:val="20"/>
              </w:rPr>
              <w:t>Improved service quality and availability</w:t>
            </w:r>
            <w:r w:rsidR="002148AA" w:rsidRPr="00D86314">
              <w:rPr>
                <w:noProof/>
                <w:sz w:val="20"/>
              </w:rPr>
              <w:t xml:space="preserve"> for end users</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4D6A046" w14:textId="5B7AEC2C" w:rsidR="003776FC" w:rsidRPr="00D86314" w:rsidRDefault="001A5C86">
            <w:pPr>
              <w:rPr>
                <w:noProof/>
                <w:sz w:val="20"/>
              </w:rPr>
            </w:pPr>
            <w:r w:rsidRPr="00D86314">
              <w:rPr>
                <w:noProof/>
                <w:sz w:val="20"/>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9185F93" w14:textId="50852725" w:rsidR="003776FC" w:rsidRPr="00D86314" w:rsidRDefault="003776FC">
            <w:pPr>
              <w:rPr>
                <w:noProof/>
                <w:sz w:val="20"/>
                <w:szCs w:val="20"/>
              </w:rPr>
            </w:pPr>
            <w:r w:rsidRPr="00D86314">
              <w:rPr>
                <w:noProof/>
                <w:sz w:val="20"/>
                <w:szCs w:val="20"/>
              </w:rPr>
              <w:t>End users, especially in rural/underserved areas, benefit indirectly from faster rollout, broader service options, higher QoS and higher coverage of high</w:t>
            </w:r>
            <w:r w:rsidR="001B729B" w:rsidRPr="00D86314">
              <w:rPr>
                <w:noProof/>
                <w:sz w:val="20"/>
                <w:szCs w:val="20"/>
              </w:rPr>
              <w:t>-</w:t>
            </w:r>
            <w:r w:rsidRPr="00D86314">
              <w:rPr>
                <w:noProof/>
                <w:sz w:val="20"/>
                <w:szCs w:val="20"/>
              </w:rPr>
              <w:t xml:space="preserve">quality </w:t>
            </w:r>
            <w:r w:rsidR="6B1A106B" w:rsidRPr="00D86314">
              <w:rPr>
                <w:noProof/>
                <w:sz w:val="20"/>
                <w:szCs w:val="20"/>
              </w:rPr>
              <w:t>network</w:t>
            </w:r>
            <w:r w:rsidR="44945402" w:rsidRPr="00D86314">
              <w:rPr>
                <w:noProof/>
                <w:sz w:val="20"/>
                <w:szCs w:val="20"/>
              </w:rPr>
              <w:t>s</w:t>
            </w:r>
            <w:r w:rsidR="4B46B043" w:rsidRPr="00D86314">
              <w:rPr>
                <w:noProof/>
                <w:sz w:val="20"/>
                <w:szCs w:val="20"/>
              </w:rPr>
              <w:t xml:space="preserve"> </w:t>
            </w:r>
            <w:r w:rsidRPr="00D86314">
              <w:rPr>
                <w:noProof/>
                <w:sz w:val="20"/>
                <w:szCs w:val="20"/>
              </w:rPr>
              <w:t xml:space="preserve">enabled by </w:t>
            </w:r>
            <w:r w:rsidR="0031418B" w:rsidRPr="00D86314">
              <w:rPr>
                <w:noProof/>
                <w:sz w:val="20"/>
                <w:szCs w:val="20"/>
              </w:rPr>
              <w:t xml:space="preserve">investment oriented licensing conditions, </w:t>
            </w:r>
            <w:r w:rsidRPr="00D86314">
              <w:rPr>
                <w:noProof/>
                <w:sz w:val="20"/>
                <w:szCs w:val="20"/>
              </w:rPr>
              <w:t>local licensing and shared access.</w:t>
            </w:r>
            <w:r w:rsidR="00055F96" w:rsidRPr="00D86314">
              <w:rPr>
                <w:noProof/>
                <w:sz w:val="20"/>
                <w:szCs w:val="20"/>
              </w:rPr>
              <w:t xml:space="preserve"> </w:t>
            </w:r>
            <w:r w:rsidR="002148AA" w:rsidRPr="00D86314">
              <w:rPr>
                <w:rFonts w:eastAsiaTheme="minorEastAsia"/>
                <w:noProof/>
                <w:sz w:val="20"/>
                <w:szCs w:val="20"/>
              </w:rPr>
              <w:t xml:space="preserve">For consumers, better response to interference translates into improved connectivity, especially in cross-border </w:t>
            </w:r>
            <w:r w:rsidR="209455EC" w:rsidRPr="00D86314">
              <w:rPr>
                <w:noProof/>
                <w:sz w:val="20"/>
                <w:szCs w:val="20"/>
              </w:rPr>
              <w:t>areas</w:t>
            </w:r>
            <w:r w:rsidR="002148AA" w:rsidRPr="00D86314">
              <w:rPr>
                <w:rFonts w:eastAsiaTheme="minorEastAsia"/>
                <w:noProof/>
                <w:sz w:val="20"/>
                <w:szCs w:val="20"/>
              </w:rPr>
              <w:t>.</w:t>
            </w:r>
          </w:p>
        </w:tc>
      </w:tr>
      <w:tr w:rsidR="006F058A" w:rsidRPr="00D86314" w14:paraId="716E740B" w14:textId="77777777" w:rsidTr="3B55B5CA">
        <w:tc>
          <w:tcPr>
            <w:tcW w:w="1178" w:type="pct"/>
            <w:tcBorders>
              <w:top w:val="double" w:sz="4" w:space="0" w:color="auto"/>
              <w:left w:val="double" w:sz="4" w:space="0" w:color="auto"/>
              <w:bottom w:val="double" w:sz="4" w:space="0" w:color="auto"/>
              <w:right w:val="double" w:sz="4" w:space="0" w:color="auto"/>
            </w:tcBorders>
          </w:tcPr>
          <w:p w14:paraId="45DC36A2" w14:textId="77777777" w:rsidR="00647778" w:rsidRPr="00D86314" w:rsidRDefault="00647778" w:rsidP="00030966">
            <w:pPr>
              <w:rPr>
                <w:noProof/>
                <w:sz w:val="20"/>
              </w:rPr>
            </w:pPr>
            <w:r w:rsidRPr="00D86314">
              <w:rPr>
                <w:noProof/>
                <w:sz w:val="20"/>
              </w:rPr>
              <w:t>Increased competition</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2C28B447" w14:textId="77777777" w:rsidR="00647778" w:rsidRPr="00D86314" w:rsidRDefault="00647778" w:rsidP="00030966">
            <w:pPr>
              <w:rPr>
                <w:noProof/>
                <w:sz w:val="20"/>
              </w:rPr>
            </w:pPr>
            <w:r w:rsidRPr="00D86314">
              <w:rPr>
                <w:noProof/>
                <w:sz w:val="20"/>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098CFF3" w14:textId="2CAF47C0" w:rsidR="00647778" w:rsidRPr="00D86314" w:rsidRDefault="0014515E" w:rsidP="00030966">
            <w:pPr>
              <w:rPr>
                <w:noProof/>
                <w:sz w:val="20"/>
                <w:szCs w:val="20"/>
              </w:rPr>
            </w:pPr>
            <w:r w:rsidRPr="00D86314">
              <w:rPr>
                <w:noProof/>
                <w:sz w:val="20"/>
                <w:szCs w:val="20"/>
              </w:rPr>
              <w:t xml:space="preserve">The preferred option </w:t>
            </w:r>
            <w:r w:rsidR="641B561E" w:rsidRPr="00D86314">
              <w:rPr>
                <w:noProof/>
                <w:sz w:val="20"/>
                <w:szCs w:val="20"/>
              </w:rPr>
              <w:t xml:space="preserve">adapts </w:t>
            </w:r>
            <w:r w:rsidRPr="00D86314">
              <w:rPr>
                <w:noProof/>
                <w:sz w:val="20"/>
                <w:szCs w:val="20"/>
              </w:rPr>
              <w:t xml:space="preserve">certain eligibility restrictions that previously limited participation in spectrum awards (e.g. requirements linked to network coverage or service </w:t>
            </w:r>
            <w:r w:rsidR="005847FD" w:rsidRPr="00D86314">
              <w:rPr>
                <w:noProof/>
                <w:sz w:val="20"/>
                <w:szCs w:val="20"/>
              </w:rPr>
              <w:t>provision</w:t>
            </w:r>
            <w:r w:rsidRPr="00D86314">
              <w:rPr>
                <w:noProof/>
                <w:sz w:val="20"/>
                <w:szCs w:val="20"/>
              </w:rPr>
              <w:t xml:space="preserve">), which enables wholesale-only operators and new entrants </w:t>
            </w:r>
            <w:r w:rsidR="39C51DC9" w:rsidRPr="00D86314">
              <w:rPr>
                <w:noProof/>
                <w:sz w:val="20"/>
                <w:szCs w:val="20"/>
              </w:rPr>
              <w:t xml:space="preserve">to </w:t>
            </w:r>
            <w:r w:rsidRPr="00D86314">
              <w:rPr>
                <w:noProof/>
                <w:sz w:val="20"/>
                <w:szCs w:val="20"/>
              </w:rPr>
              <w:t>gain better access to spectrum; this stimulates service competition and service diversification.</w:t>
            </w:r>
          </w:p>
        </w:tc>
      </w:tr>
      <w:tr w:rsidR="006F058A" w:rsidRPr="00D86314" w14:paraId="4EB48BF4" w14:textId="77777777" w:rsidTr="3B55B5CA">
        <w:tc>
          <w:tcPr>
            <w:tcW w:w="1178" w:type="pct"/>
            <w:tcBorders>
              <w:top w:val="double" w:sz="4" w:space="0" w:color="auto"/>
              <w:left w:val="double" w:sz="4" w:space="0" w:color="auto"/>
              <w:bottom w:val="double" w:sz="4" w:space="0" w:color="auto"/>
              <w:right w:val="double" w:sz="4" w:space="0" w:color="auto"/>
            </w:tcBorders>
          </w:tcPr>
          <w:p w14:paraId="3566B0E0" w14:textId="77777777" w:rsidR="00647778" w:rsidRPr="00D86314" w:rsidRDefault="00647778" w:rsidP="00030966">
            <w:pPr>
              <w:rPr>
                <w:noProof/>
                <w:sz w:val="20"/>
              </w:rPr>
            </w:pPr>
            <w:r w:rsidRPr="00D86314">
              <w:rPr>
                <w:noProof/>
                <w:sz w:val="20"/>
              </w:rPr>
              <w:t>Reduced spectrum underutilisation</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F9C43FD" w14:textId="77777777" w:rsidR="00647778" w:rsidRPr="00D86314" w:rsidRDefault="00647778" w:rsidP="00030966">
            <w:pPr>
              <w:rPr>
                <w:noProof/>
                <w:sz w:val="20"/>
              </w:rPr>
            </w:pPr>
            <w:r w:rsidRPr="00D86314">
              <w:rPr>
                <w:noProof/>
                <w:sz w:val="20"/>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68E906BE" w14:textId="10672F7B" w:rsidR="00647778" w:rsidRPr="00D86314" w:rsidRDefault="00747830" w:rsidP="00030966">
            <w:pPr>
              <w:rPr>
                <w:noProof/>
                <w:sz w:val="20"/>
                <w:szCs w:val="20"/>
              </w:rPr>
            </w:pPr>
            <w:r w:rsidRPr="00D86314">
              <w:rPr>
                <w:noProof/>
                <w:sz w:val="20"/>
                <w:szCs w:val="20"/>
              </w:rPr>
              <w:t>Wholesale-only operators and N</w:t>
            </w:r>
            <w:r w:rsidR="0082337F" w:rsidRPr="00D86314">
              <w:rPr>
                <w:noProof/>
                <w:sz w:val="20"/>
                <w:szCs w:val="20"/>
              </w:rPr>
              <w:t>C</w:t>
            </w:r>
            <w:r w:rsidRPr="00D86314">
              <w:rPr>
                <w:noProof/>
                <w:sz w:val="20"/>
                <w:szCs w:val="20"/>
              </w:rPr>
              <w:t>As</w:t>
            </w:r>
            <w:r w:rsidR="00647778" w:rsidRPr="00D86314">
              <w:rPr>
                <w:noProof/>
                <w:sz w:val="20"/>
                <w:szCs w:val="20"/>
              </w:rPr>
              <w:t xml:space="preserve"> benefit from enforced use-it-or-share-it-or-lose-it and shared access rules, unlocking unused capacity in mid-bands.</w:t>
            </w:r>
            <w:r w:rsidRPr="00D86314">
              <w:rPr>
                <w:noProof/>
                <w:sz w:val="20"/>
                <w:szCs w:val="20"/>
              </w:rPr>
              <w:t xml:space="preserve"> In addition, it enables the use of spectrum by resolving cross-border interference issues, both within the EU and with third countries</w:t>
            </w:r>
            <w:r w:rsidR="00186E27" w:rsidRPr="00D86314">
              <w:rPr>
                <w:noProof/>
                <w:sz w:val="20"/>
                <w:szCs w:val="20"/>
              </w:rPr>
              <w:t xml:space="preserve"> (mainly along external land borders)</w:t>
            </w:r>
            <w:r w:rsidRPr="00D86314">
              <w:rPr>
                <w:noProof/>
                <w:sz w:val="20"/>
                <w:szCs w:val="20"/>
              </w:rPr>
              <w:t>, thereby preventing related service disruptions</w:t>
            </w:r>
            <w:r w:rsidR="4ADE07CD" w:rsidRPr="00D86314">
              <w:rPr>
                <w:noProof/>
                <w:sz w:val="20"/>
                <w:szCs w:val="20"/>
              </w:rPr>
              <w:t>.</w:t>
            </w:r>
          </w:p>
        </w:tc>
      </w:tr>
      <w:tr w:rsidR="006F058A" w:rsidRPr="00D86314" w14:paraId="1B491B37" w14:textId="77777777" w:rsidTr="3B55B5CA">
        <w:tc>
          <w:tcPr>
            <w:tcW w:w="5000" w:type="pct"/>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14:paraId="7F69DCD0" w14:textId="77777777" w:rsidR="00647778" w:rsidRPr="00D86314" w:rsidRDefault="00647778" w:rsidP="00030966">
            <w:pPr>
              <w:jc w:val="center"/>
              <w:rPr>
                <w:b/>
                <w:i/>
                <w:noProof/>
                <w:sz w:val="20"/>
              </w:rPr>
            </w:pPr>
            <w:r w:rsidRPr="00D86314">
              <w:rPr>
                <w:b/>
                <w:i/>
                <w:noProof/>
                <w:sz w:val="20"/>
              </w:rPr>
              <w:t>Indirect benefits</w:t>
            </w:r>
          </w:p>
        </w:tc>
      </w:tr>
      <w:tr w:rsidR="00CA582A" w:rsidRPr="00D86314" w14:paraId="3595369A" w14:textId="77777777" w:rsidTr="3B55B5CA">
        <w:tc>
          <w:tcPr>
            <w:tcW w:w="1178" w:type="pct"/>
            <w:tcBorders>
              <w:top w:val="double" w:sz="4" w:space="0" w:color="auto"/>
            </w:tcBorders>
          </w:tcPr>
          <w:p w14:paraId="46A8AAC9" w14:textId="2D24856E" w:rsidR="00DB5773" w:rsidRPr="00D86314" w:rsidRDefault="00D661F1" w:rsidP="00030966">
            <w:pPr>
              <w:rPr>
                <w:noProof/>
                <w:sz w:val="20"/>
              </w:rPr>
            </w:pPr>
            <w:r w:rsidRPr="00D86314">
              <w:rPr>
                <w:noProof/>
                <w:sz w:val="20"/>
              </w:rPr>
              <w:t>I</w:t>
            </w:r>
            <w:r w:rsidR="00383291" w:rsidRPr="00D86314">
              <w:rPr>
                <w:noProof/>
                <w:sz w:val="20"/>
              </w:rPr>
              <w:t>ncreased GDP thanks to higher QoS/speed due to increased mid band coverage</w:t>
            </w:r>
          </w:p>
        </w:tc>
        <w:tc>
          <w:tcPr>
            <w:tcW w:w="1889" w:type="pct"/>
            <w:tcBorders>
              <w:top w:val="double" w:sz="4" w:space="0" w:color="auto"/>
            </w:tcBorders>
            <w:tcMar>
              <w:top w:w="57" w:type="dxa"/>
              <w:left w:w="57" w:type="dxa"/>
              <w:bottom w:w="57" w:type="dxa"/>
              <w:right w:w="57" w:type="dxa"/>
            </w:tcMar>
          </w:tcPr>
          <w:p w14:paraId="4FACA906" w14:textId="498F4519" w:rsidR="00DB5773" w:rsidRPr="00D86314" w:rsidRDefault="004A6E78" w:rsidP="00030966">
            <w:pPr>
              <w:rPr>
                <w:noProof/>
                <w:sz w:val="20"/>
                <w:szCs w:val="20"/>
              </w:rPr>
            </w:pPr>
            <w:r w:rsidRPr="00D86314">
              <w:rPr>
                <w:noProof/>
                <w:sz w:val="20"/>
                <w:szCs w:val="20"/>
              </w:rPr>
              <w:t>The preferred Option would lead to a</w:t>
            </w:r>
            <w:r w:rsidR="00614197" w:rsidRPr="00D86314">
              <w:rPr>
                <w:noProof/>
                <w:sz w:val="20"/>
                <w:szCs w:val="20"/>
              </w:rPr>
              <w:t>n</w:t>
            </w:r>
            <w:r w:rsidRPr="00D86314">
              <w:rPr>
                <w:noProof/>
                <w:sz w:val="20"/>
                <w:szCs w:val="20"/>
              </w:rPr>
              <w:t xml:space="preserve"> </w:t>
            </w:r>
            <w:r w:rsidR="00614197" w:rsidRPr="00D86314">
              <w:rPr>
                <w:noProof/>
                <w:sz w:val="20"/>
                <w:szCs w:val="20"/>
              </w:rPr>
              <w:t>overall</w:t>
            </w:r>
            <w:r w:rsidRPr="00D86314">
              <w:rPr>
                <w:noProof/>
                <w:sz w:val="20"/>
                <w:szCs w:val="20"/>
              </w:rPr>
              <w:t xml:space="preserve"> GDP </w:t>
            </w:r>
            <w:r w:rsidR="00DC151E" w:rsidRPr="00D86314">
              <w:rPr>
                <w:noProof/>
                <w:sz w:val="20"/>
                <w:szCs w:val="20"/>
              </w:rPr>
              <w:t xml:space="preserve">increase </w:t>
            </w:r>
            <w:r w:rsidR="00614197" w:rsidRPr="00D86314">
              <w:rPr>
                <w:noProof/>
                <w:sz w:val="20"/>
                <w:szCs w:val="20"/>
              </w:rPr>
              <w:t xml:space="preserve">over 10 years (2025-2035) </w:t>
            </w:r>
            <w:r w:rsidR="00623D16" w:rsidRPr="00D86314">
              <w:rPr>
                <w:noProof/>
                <w:sz w:val="20"/>
                <w:szCs w:val="20"/>
              </w:rPr>
              <w:t xml:space="preserve">of </w:t>
            </w:r>
            <w:r w:rsidR="00E97D39" w:rsidRPr="00D86314">
              <w:rPr>
                <w:noProof/>
                <w:sz w:val="20"/>
                <w:szCs w:val="20"/>
              </w:rPr>
              <w:t>EUR</w:t>
            </w:r>
            <w:r w:rsidR="000A3932" w:rsidRPr="00D86314">
              <w:rPr>
                <w:noProof/>
                <w:sz w:val="20"/>
                <w:szCs w:val="20"/>
              </w:rPr>
              <w:t> </w:t>
            </w:r>
            <w:r w:rsidR="00E97D39" w:rsidRPr="00D86314">
              <w:rPr>
                <w:noProof/>
                <w:sz w:val="20"/>
                <w:szCs w:val="20"/>
              </w:rPr>
              <w:t>1</w:t>
            </w:r>
            <w:r w:rsidR="00613A8C">
              <w:rPr>
                <w:noProof/>
                <w:sz w:val="20"/>
                <w:szCs w:val="20"/>
              </w:rPr>
              <w:t>,</w:t>
            </w:r>
            <w:r w:rsidR="00E97D39" w:rsidRPr="00D86314">
              <w:rPr>
                <w:noProof/>
                <w:sz w:val="20"/>
                <w:szCs w:val="20"/>
              </w:rPr>
              <w:t>553 billion</w:t>
            </w:r>
            <w:r w:rsidR="00180F9C" w:rsidRPr="00D86314">
              <w:rPr>
                <w:noProof/>
                <w:sz w:val="20"/>
                <w:szCs w:val="20"/>
              </w:rPr>
              <w:t xml:space="preserve"> compared to </w:t>
            </w:r>
            <w:r w:rsidR="00E97D39" w:rsidRPr="00D86314">
              <w:rPr>
                <w:noProof/>
                <w:sz w:val="20"/>
                <w:szCs w:val="20"/>
              </w:rPr>
              <w:t>1</w:t>
            </w:r>
            <w:r w:rsidR="00D84614" w:rsidRPr="00D86314">
              <w:rPr>
                <w:noProof/>
                <w:sz w:val="20"/>
                <w:szCs w:val="20"/>
              </w:rPr>
              <w:t> </w:t>
            </w:r>
            <w:r w:rsidR="00E97D39" w:rsidRPr="00D86314">
              <w:rPr>
                <w:noProof/>
                <w:sz w:val="20"/>
                <w:szCs w:val="20"/>
              </w:rPr>
              <w:t>48</w:t>
            </w:r>
            <w:r w:rsidR="00C6714E" w:rsidRPr="00D86314">
              <w:rPr>
                <w:noProof/>
                <w:sz w:val="20"/>
                <w:szCs w:val="20"/>
              </w:rPr>
              <w:t>0</w:t>
            </w:r>
            <w:r w:rsidR="00E97D39" w:rsidRPr="00D86314">
              <w:rPr>
                <w:noProof/>
                <w:sz w:val="20"/>
                <w:szCs w:val="20"/>
              </w:rPr>
              <w:t xml:space="preserve"> of </w:t>
            </w:r>
            <w:r w:rsidR="00180F9C" w:rsidRPr="00D86314">
              <w:rPr>
                <w:noProof/>
                <w:sz w:val="20"/>
                <w:szCs w:val="20"/>
              </w:rPr>
              <w:t>the baseline</w:t>
            </w:r>
            <w:r w:rsidR="00F9236A" w:rsidRPr="00D86314">
              <w:rPr>
                <w:noProof/>
                <w:sz w:val="20"/>
                <w:szCs w:val="20"/>
              </w:rPr>
              <w:t>.</w:t>
            </w:r>
            <w:r w:rsidR="006878DE" w:rsidRPr="00D86314">
              <w:rPr>
                <w:noProof/>
                <w:sz w:val="20"/>
                <w:szCs w:val="20"/>
              </w:rPr>
              <w:t xml:space="preserve"> </w:t>
            </w:r>
            <w:r w:rsidR="00CF7604" w:rsidRPr="00D86314">
              <w:rPr>
                <w:noProof/>
                <w:sz w:val="20"/>
                <w:szCs w:val="20"/>
              </w:rPr>
              <w:t>A</w:t>
            </w:r>
            <w:r w:rsidR="00D72089" w:rsidRPr="00D86314">
              <w:rPr>
                <w:rFonts w:eastAsia="MS Mincho"/>
                <w:noProof/>
                <w:sz w:val="20"/>
                <w:szCs w:val="20"/>
              </w:rPr>
              <w:t xml:space="preserve"> sensitivity analysis accounting for potential uncertainties of the model yields a GDP impact ranging from EUR</w:t>
            </w:r>
            <w:r w:rsidR="000A3932" w:rsidRPr="00D86314">
              <w:rPr>
                <w:rFonts w:eastAsia="MS Mincho"/>
                <w:noProof/>
                <w:sz w:val="20"/>
                <w:szCs w:val="20"/>
              </w:rPr>
              <w:t> </w:t>
            </w:r>
            <w:r w:rsidR="00D72089" w:rsidRPr="00D86314">
              <w:rPr>
                <w:rFonts w:eastAsia="MS Mincho"/>
                <w:noProof/>
                <w:sz w:val="20"/>
                <w:szCs w:val="20"/>
              </w:rPr>
              <w:t>179 to EUR</w:t>
            </w:r>
            <w:r w:rsidR="000A3932" w:rsidRPr="00D86314">
              <w:rPr>
                <w:rFonts w:eastAsia="MS Mincho"/>
                <w:noProof/>
                <w:sz w:val="20"/>
                <w:szCs w:val="20"/>
              </w:rPr>
              <w:t> </w:t>
            </w:r>
            <w:r w:rsidR="00D72089" w:rsidRPr="00D86314">
              <w:rPr>
                <w:rFonts w:eastAsia="MS Mincho"/>
                <w:noProof/>
                <w:sz w:val="20"/>
                <w:szCs w:val="20"/>
              </w:rPr>
              <w:t>2</w:t>
            </w:r>
            <w:r w:rsidR="00D83DC6">
              <w:rPr>
                <w:rFonts w:eastAsia="MS Mincho"/>
                <w:noProof/>
                <w:sz w:val="20"/>
                <w:szCs w:val="20"/>
              </w:rPr>
              <w:t>,</w:t>
            </w:r>
            <w:r w:rsidR="00D72089" w:rsidRPr="00D86314">
              <w:rPr>
                <w:rFonts w:eastAsia="MS Mincho"/>
                <w:noProof/>
                <w:sz w:val="20"/>
                <w:szCs w:val="20"/>
              </w:rPr>
              <w:t>116 billion, with the lower bound reflecting model conservatism and the upper bound representing upside potential from increased 5G mobile broadband speeds.</w:t>
            </w:r>
          </w:p>
        </w:tc>
        <w:tc>
          <w:tcPr>
            <w:tcW w:w="1932" w:type="pct"/>
            <w:tcBorders>
              <w:top w:val="double" w:sz="4" w:space="0" w:color="auto"/>
            </w:tcBorders>
            <w:tcMar>
              <w:top w:w="57" w:type="dxa"/>
              <w:left w:w="57" w:type="dxa"/>
              <w:bottom w:w="57" w:type="dxa"/>
              <w:right w:w="57" w:type="dxa"/>
            </w:tcMar>
          </w:tcPr>
          <w:p w14:paraId="2DDD3A60" w14:textId="24EC9AF6" w:rsidR="00DB5773" w:rsidRPr="00D86314" w:rsidRDefault="00EA4A77" w:rsidP="00030966">
            <w:pPr>
              <w:rPr>
                <w:noProof/>
                <w:sz w:val="20"/>
                <w:szCs w:val="20"/>
              </w:rPr>
            </w:pPr>
            <w:r w:rsidRPr="00D86314">
              <w:rPr>
                <w:noProof/>
                <w:sz w:val="20"/>
                <w:szCs w:val="20"/>
              </w:rPr>
              <w:t xml:space="preserve">The GDP increase calculated by the model is only </w:t>
            </w:r>
            <w:r w:rsidR="0095055B" w:rsidRPr="00D86314">
              <w:rPr>
                <w:noProof/>
                <w:sz w:val="20"/>
                <w:szCs w:val="20"/>
              </w:rPr>
              <w:t xml:space="preserve">a </w:t>
            </w:r>
            <w:r w:rsidRPr="00D86314">
              <w:rPr>
                <w:noProof/>
                <w:sz w:val="20"/>
                <w:szCs w:val="20"/>
              </w:rPr>
              <w:t xml:space="preserve">partial </w:t>
            </w:r>
            <w:r w:rsidR="005F6A85" w:rsidRPr="00D86314">
              <w:rPr>
                <w:noProof/>
                <w:sz w:val="20"/>
                <w:szCs w:val="20"/>
              </w:rPr>
              <w:t>representation</w:t>
            </w:r>
            <w:r w:rsidR="0095055B" w:rsidRPr="00D86314">
              <w:rPr>
                <w:noProof/>
                <w:sz w:val="20"/>
                <w:szCs w:val="20"/>
              </w:rPr>
              <w:t xml:space="preserve"> of the measure</w:t>
            </w:r>
            <w:r w:rsidR="008264FA" w:rsidRPr="00D86314">
              <w:rPr>
                <w:noProof/>
                <w:sz w:val="20"/>
                <w:szCs w:val="20"/>
              </w:rPr>
              <w:t xml:space="preserve"> impact</w:t>
            </w:r>
            <w:r w:rsidRPr="00D86314">
              <w:rPr>
                <w:noProof/>
                <w:sz w:val="20"/>
                <w:szCs w:val="20"/>
              </w:rPr>
              <w:t xml:space="preserve"> since it does not take into account the </w:t>
            </w:r>
            <w:r w:rsidR="006A135C" w:rsidRPr="00D86314">
              <w:rPr>
                <w:noProof/>
                <w:sz w:val="20"/>
                <w:szCs w:val="20"/>
              </w:rPr>
              <w:t>spill</w:t>
            </w:r>
            <w:r w:rsidR="54819546" w:rsidRPr="00D86314">
              <w:rPr>
                <w:noProof/>
                <w:sz w:val="20"/>
                <w:szCs w:val="20"/>
              </w:rPr>
              <w:t>-</w:t>
            </w:r>
            <w:r w:rsidR="006A135C" w:rsidRPr="00D86314">
              <w:rPr>
                <w:noProof/>
                <w:sz w:val="20"/>
                <w:szCs w:val="20"/>
              </w:rPr>
              <w:t xml:space="preserve">over effects on vertical sectors </w:t>
            </w:r>
            <w:r w:rsidR="00B64813" w:rsidRPr="00D86314">
              <w:rPr>
                <w:noProof/>
                <w:sz w:val="20"/>
                <w:szCs w:val="20"/>
              </w:rPr>
              <w:t xml:space="preserve">(like for example healthcare, manufacturing, automotive and transport, energy and environment and agriculture) </w:t>
            </w:r>
            <w:r w:rsidR="006A135C" w:rsidRPr="00D86314">
              <w:rPr>
                <w:noProof/>
                <w:sz w:val="20"/>
                <w:szCs w:val="20"/>
              </w:rPr>
              <w:t xml:space="preserve">and the additional gains linked to the </w:t>
            </w:r>
            <w:r w:rsidR="00B64813" w:rsidRPr="00D86314">
              <w:rPr>
                <w:noProof/>
                <w:sz w:val="20"/>
                <w:szCs w:val="20"/>
              </w:rPr>
              <w:t xml:space="preserve">timely </w:t>
            </w:r>
            <w:r w:rsidR="00E57584" w:rsidRPr="00D86314">
              <w:rPr>
                <w:noProof/>
                <w:sz w:val="20"/>
                <w:szCs w:val="20"/>
              </w:rPr>
              <w:t xml:space="preserve">deployment </w:t>
            </w:r>
            <w:r w:rsidR="006A135C" w:rsidRPr="00D86314">
              <w:rPr>
                <w:noProof/>
                <w:sz w:val="20"/>
                <w:szCs w:val="20"/>
              </w:rPr>
              <w:t>of 6G.</w:t>
            </w:r>
            <w:r w:rsidR="008264FA" w:rsidRPr="00D86314">
              <w:rPr>
                <w:noProof/>
                <w:sz w:val="20"/>
                <w:szCs w:val="20"/>
              </w:rPr>
              <w:t xml:space="preserve"> See qualitative description below.</w:t>
            </w:r>
          </w:p>
        </w:tc>
      </w:tr>
      <w:tr w:rsidR="00CA582A" w:rsidRPr="00D86314" w14:paraId="61BCA63F" w14:textId="77777777" w:rsidTr="3B55B5CA">
        <w:tc>
          <w:tcPr>
            <w:tcW w:w="1178" w:type="pct"/>
            <w:tcBorders>
              <w:top w:val="double" w:sz="4" w:space="0" w:color="auto"/>
            </w:tcBorders>
          </w:tcPr>
          <w:p w14:paraId="044B5482" w14:textId="7C3F8802" w:rsidR="00E228F2" w:rsidRPr="00D86314" w:rsidRDefault="00E228F2" w:rsidP="00E228F2">
            <w:pPr>
              <w:rPr>
                <w:noProof/>
                <w:sz w:val="20"/>
              </w:rPr>
            </w:pPr>
            <w:r w:rsidRPr="00D86314">
              <w:rPr>
                <w:noProof/>
                <w:sz w:val="20"/>
                <w:szCs w:val="20"/>
              </w:rPr>
              <w:t>Accelerated shift from 5G to 6G</w:t>
            </w:r>
          </w:p>
        </w:tc>
        <w:tc>
          <w:tcPr>
            <w:tcW w:w="1889" w:type="pct"/>
            <w:tcBorders>
              <w:top w:val="double" w:sz="4" w:space="0" w:color="auto"/>
            </w:tcBorders>
            <w:tcMar>
              <w:top w:w="57" w:type="dxa"/>
              <w:left w:w="57" w:type="dxa"/>
              <w:bottom w:w="57" w:type="dxa"/>
              <w:right w:w="57" w:type="dxa"/>
            </w:tcMar>
          </w:tcPr>
          <w:p w14:paraId="58F5B207" w14:textId="2C51BBD3" w:rsidR="00E228F2" w:rsidRPr="00D86314" w:rsidRDefault="00E228F2" w:rsidP="00E228F2">
            <w:pPr>
              <w:rPr>
                <w:noProof/>
                <w:sz w:val="20"/>
              </w:rPr>
            </w:pPr>
            <w:r w:rsidRPr="00D86314">
              <w:rPr>
                <w:noProof/>
                <w:sz w:val="20"/>
              </w:rPr>
              <w:t>Not quantified</w:t>
            </w:r>
          </w:p>
        </w:tc>
        <w:tc>
          <w:tcPr>
            <w:tcW w:w="1932" w:type="pct"/>
            <w:tcBorders>
              <w:top w:val="double" w:sz="4" w:space="0" w:color="auto"/>
            </w:tcBorders>
            <w:tcMar>
              <w:top w:w="57" w:type="dxa"/>
              <w:left w:w="57" w:type="dxa"/>
              <w:bottom w:w="57" w:type="dxa"/>
              <w:right w:w="57" w:type="dxa"/>
            </w:tcMar>
          </w:tcPr>
          <w:p w14:paraId="64BB9639" w14:textId="4040570C" w:rsidR="00E228F2" w:rsidRPr="00D86314" w:rsidRDefault="00E228F2" w:rsidP="00E228F2">
            <w:pPr>
              <w:rPr>
                <w:noProof/>
                <w:sz w:val="20"/>
              </w:rPr>
            </w:pPr>
            <w:r w:rsidRPr="00D86314">
              <w:rPr>
                <w:rFonts w:eastAsiaTheme="minorEastAsia"/>
                <w:noProof/>
                <w:sz w:val="20"/>
                <w:szCs w:val="20"/>
              </w:rPr>
              <w:t>Early standardisation efforts and research roadmaps indicate that 6G is expected to enable enhanced capabilities such as real-time distributed intelligence, ultra-low latency, integrated sensing and communication, and improved energy efficiency—all of which may generate cross-sectoral economic benefits similar or even superior to those observed for 5G</w:t>
            </w:r>
            <w:r w:rsidR="002319D3" w:rsidRPr="00D86314">
              <w:rPr>
                <w:rFonts w:eastAsiaTheme="minorEastAsia"/>
                <w:noProof/>
                <w:sz w:val="20"/>
                <w:szCs w:val="20"/>
              </w:rPr>
              <w:t>.</w:t>
            </w:r>
          </w:p>
        </w:tc>
      </w:tr>
      <w:tr w:rsidR="006F058A" w:rsidRPr="00D86314" w14:paraId="3E4394E4" w14:textId="77777777" w:rsidTr="3B55B5CA">
        <w:tc>
          <w:tcPr>
            <w:tcW w:w="1178" w:type="pct"/>
            <w:tcBorders>
              <w:top w:val="double" w:sz="4" w:space="0" w:color="auto"/>
              <w:left w:val="double" w:sz="4" w:space="0" w:color="auto"/>
              <w:bottom w:val="double" w:sz="4" w:space="0" w:color="auto"/>
              <w:right w:val="double" w:sz="4" w:space="0" w:color="auto"/>
            </w:tcBorders>
          </w:tcPr>
          <w:p w14:paraId="5EA5C600" w14:textId="1EF63A92" w:rsidR="00647778" w:rsidRPr="00D86314" w:rsidRDefault="00647778" w:rsidP="00030966">
            <w:pPr>
              <w:rPr>
                <w:noProof/>
                <w:sz w:val="20"/>
              </w:rPr>
            </w:pPr>
            <w:r w:rsidRPr="00D86314">
              <w:rPr>
                <w:noProof/>
                <w:sz w:val="20"/>
              </w:rPr>
              <w:t>Innovation acceleration</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8A9D09C" w14:textId="77777777" w:rsidR="00647778" w:rsidRPr="00D86314" w:rsidRDefault="00647778" w:rsidP="00030966">
            <w:pPr>
              <w:rPr>
                <w:noProof/>
                <w:sz w:val="20"/>
              </w:rPr>
            </w:pPr>
            <w:r w:rsidRPr="00D86314">
              <w:rPr>
                <w:noProof/>
                <w:sz w:val="20"/>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45B4A5A5" w14:textId="63705703" w:rsidR="00647778" w:rsidRPr="00D86314" w:rsidRDefault="00647778" w:rsidP="00030966">
            <w:pPr>
              <w:rPr>
                <w:noProof/>
                <w:sz w:val="20"/>
              </w:rPr>
            </w:pPr>
            <w:r w:rsidRPr="00D86314">
              <w:rPr>
                <w:noProof/>
                <w:sz w:val="20"/>
              </w:rPr>
              <w:t xml:space="preserve">Industry (verticals, SMEs, R&amp;D actors) benefits from </w:t>
            </w:r>
            <w:r w:rsidR="00275F0D" w:rsidRPr="00D86314">
              <w:rPr>
                <w:noProof/>
                <w:sz w:val="20"/>
              </w:rPr>
              <w:t xml:space="preserve">enhanced 5G QoS and specialised services offers and from </w:t>
            </w:r>
            <w:r w:rsidRPr="00D86314">
              <w:rPr>
                <w:noProof/>
                <w:sz w:val="20"/>
              </w:rPr>
              <w:t>access to localised/licensed spectrum for innovative services (e.g. private 5G, IoT), particularly in manufacturing, health, agriculture, and transport and from the capacity to scale up thanks to the harmonisation of authorisation conditions.</w:t>
            </w:r>
          </w:p>
        </w:tc>
      </w:tr>
      <w:tr w:rsidR="006F058A" w:rsidRPr="00D86314" w14:paraId="6DF50E50" w14:textId="77777777" w:rsidTr="3B55B5CA">
        <w:tc>
          <w:tcPr>
            <w:tcW w:w="1178" w:type="pct"/>
            <w:tcBorders>
              <w:top w:val="double" w:sz="4" w:space="0" w:color="auto"/>
              <w:left w:val="double" w:sz="4" w:space="0" w:color="auto"/>
              <w:bottom w:val="double" w:sz="4" w:space="0" w:color="auto"/>
              <w:right w:val="double" w:sz="4" w:space="0" w:color="auto"/>
            </w:tcBorders>
          </w:tcPr>
          <w:p w14:paraId="41B3C286" w14:textId="77777777" w:rsidR="00647778" w:rsidRPr="00D86314" w:rsidRDefault="00647778" w:rsidP="00030966">
            <w:pPr>
              <w:rPr>
                <w:noProof/>
                <w:sz w:val="20"/>
              </w:rPr>
            </w:pPr>
            <w:r w:rsidRPr="00D86314">
              <w:rPr>
                <w:noProof/>
                <w:sz w:val="20"/>
              </w:rPr>
              <w:t>Improved legal certainty</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283A6466" w14:textId="77777777" w:rsidR="00647778" w:rsidRPr="00D86314" w:rsidRDefault="00647778" w:rsidP="00030966">
            <w:pPr>
              <w:rPr>
                <w:noProof/>
                <w:sz w:val="20"/>
              </w:rPr>
            </w:pPr>
            <w:r w:rsidRPr="00D86314">
              <w:rPr>
                <w:noProof/>
                <w:sz w:val="20"/>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632A6F19" w14:textId="2E5262F3" w:rsidR="00647778" w:rsidRPr="00D86314" w:rsidRDefault="008E76B0" w:rsidP="00030966">
            <w:pPr>
              <w:rPr>
                <w:noProof/>
                <w:sz w:val="20"/>
              </w:rPr>
            </w:pPr>
            <w:r w:rsidRPr="00D86314">
              <w:rPr>
                <w:noProof/>
                <w:sz w:val="20"/>
              </w:rPr>
              <w:t>NCAs</w:t>
            </w:r>
            <w:r w:rsidR="00647778" w:rsidRPr="00D86314">
              <w:rPr>
                <w:noProof/>
                <w:sz w:val="20"/>
              </w:rPr>
              <w:t>, industry, and Commission benefit from clearer, more predictable procedures through EU-level licensing guidance and stakeholder petition mechanisms.</w:t>
            </w:r>
          </w:p>
        </w:tc>
      </w:tr>
      <w:tr w:rsidR="006F058A" w:rsidRPr="00D86314" w14:paraId="54604E80" w14:textId="77777777" w:rsidTr="3B55B5CA">
        <w:tc>
          <w:tcPr>
            <w:tcW w:w="1178" w:type="pct"/>
            <w:tcBorders>
              <w:top w:val="double" w:sz="4" w:space="0" w:color="auto"/>
              <w:left w:val="double" w:sz="4" w:space="0" w:color="auto"/>
              <w:bottom w:val="double" w:sz="4" w:space="0" w:color="auto"/>
              <w:right w:val="double" w:sz="4" w:space="0" w:color="auto"/>
            </w:tcBorders>
          </w:tcPr>
          <w:p w14:paraId="6D32F30B" w14:textId="77777777" w:rsidR="00647778" w:rsidRPr="00D86314" w:rsidRDefault="00647778" w:rsidP="00030966">
            <w:pPr>
              <w:rPr>
                <w:noProof/>
                <w:sz w:val="20"/>
              </w:rPr>
            </w:pPr>
            <w:r w:rsidRPr="00D86314">
              <w:rPr>
                <w:noProof/>
                <w:sz w:val="20"/>
              </w:rPr>
              <w:t>Lower entry barriers for SMEs</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56A2E10F" w14:textId="77777777" w:rsidR="00647778" w:rsidRPr="00D86314" w:rsidRDefault="00647778" w:rsidP="00030966">
            <w:pPr>
              <w:rPr>
                <w:noProof/>
                <w:sz w:val="20"/>
              </w:rPr>
            </w:pPr>
            <w:r w:rsidRPr="00D86314">
              <w:rPr>
                <w:noProof/>
                <w:sz w:val="20"/>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41A0E43A" w14:textId="77777777" w:rsidR="00647778" w:rsidRPr="00D86314" w:rsidRDefault="00647778" w:rsidP="00030966">
            <w:pPr>
              <w:rPr>
                <w:noProof/>
                <w:sz w:val="20"/>
              </w:rPr>
            </w:pPr>
            <w:r w:rsidRPr="00D86314">
              <w:rPr>
                <w:noProof/>
                <w:sz w:val="20"/>
              </w:rPr>
              <w:t>Simplified and more flexible access regimes and harmonisation of authorisation conditions reduce administrative and regulatory burdens for SMEs entering niche or local spectrum markets.</w:t>
            </w:r>
          </w:p>
        </w:tc>
      </w:tr>
      <w:tr w:rsidR="006F058A" w:rsidRPr="00D86314" w14:paraId="2D4936FA" w14:textId="77777777" w:rsidTr="3B55B5CA">
        <w:tc>
          <w:tcPr>
            <w:tcW w:w="1178" w:type="pct"/>
            <w:tcBorders>
              <w:top w:val="double" w:sz="4" w:space="0" w:color="auto"/>
              <w:left w:val="double" w:sz="4" w:space="0" w:color="auto"/>
              <w:bottom w:val="double" w:sz="4" w:space="0" w:color="auto"/>
              <w:right w:val="double" w:sz="4" w:space="0" w:color="auto"/>
            </w:tcBorders>
          </w:tcPr>
          <w:p w14:paraId="62DD9553" w14:textId="77777777" w:rsidR="00617E05" w:rsidRPr="00D86314" w:rsidRDefault="00647778" w:rsidP="00030966">
            <w:pPr>
              <w:rPr>
                <w:noProof/>
                <w:sz w:val="20"/>
              </w:rPr>
            </w:pPr>
            <w:r w:rsidRPr="00D86314">
              <w:rPr>
                <w:noProof/>
                <w:sz w:val="20"/>
              </w:rPr>
              <w:t>Potential green benefits (indirect)</w:t>
            </w:r>
          </w:p>
          <w:p w14:paraId="7C29B233" w14:textId="7D91F128" w:rsidR="00647778" w:rsidRPr="00D86314" w:rsidRDefault="00617E05" w:rsidP="00030966">
            <w:pPr>
              <w:rPr>
                <w:noProof/>
                <w:sz w:val="20"/>
              </w:rPr>
            </w:pPr>
            <w:r w:rsidRPr="00D86314">
              <w:rPr>
                <w:noProof/>
                <w:sz w:val="20"/>
                <w:szCs w:val="20"/>
              </w:rPr>
              <w:t xml:space="preserve"> Reduction in CO</w:t>
            </w:r>
            <w:r w:rsidRPr="00D86314">
              <w:rPr>
                <w:noProof/>
                <w:sz w:val="20"/>
                <w:szCs w:val="20"/>
                <w:vertAlign w:val="subscript"/>
              </w:rPr>
              <w:t xml:space="preserve">2 </w:t>
            </w:r>
            <w:r w:rsidRPr="00D86314">
              <w:rPr>
                <w:noProof/>
                <w:sz w:val="20"/>
                <w:szCs w:val="20"/>
              </w:rPr>
              <w:t>emissions</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0C78767C" w14:textId="77777777" w:rsidR="00617E05" w:rsidRPr="00D86314" w:rsidRDefault="00647778" w:rsidP="00030966">
            <w:pPr>
              <w:rPr>
                <w:noProof/>
                <w:sz w:val="20"/>
              </w:rPr>
            </w:pPr>
            <w:r w:rsidRPr="00D86314">
              <w:rPr>
                <w:noProof/>
                <w:sz w:val="20"/>
              </w:rPr>
              <w:t>Marginal</w:t>
            </w:r>
            <w:r w:rsidR="00617E05" w:rsidRPr="00D86314">
              <w:rPr>
                <w:noProof/>
                <w:sz w:val="20"/>
              </w:rPr>
              <w:t xml:space="preserve"> </w:t>
            </w:r>
          </w:p>
          <w:p w14:paraId="48CA2EBB" w14:textId="56EFE707" w:rsidR="00F70A07" w:rsidRPr="00D86314" w:rsidRDefault="0012648D" w:rsidP="00F70A07">
            <w:pPr>
              <w:rPr>
                <w:noProof/>
                <w:sz w:val="20"/>
                <w:szCs w:val="20"/>
              </w:rPr>
            </w:pPr>
            <w:r w:rsidRPr="00D86314">
              <w:rPr>
                <w:noProof/>
                <w:sz w:val="20"/>
                <w:szCs w:val="20"/>
              </w:rPr>
              <w:t xml:space="preserve">The ecological footprint of 5G mobile networks under </w:t>
            </w:r>
            <w:r w:rsidR="00F70A07" w:rsidRPr="00D86314">
              <w:rPr>
                <w:noProof/>
                <w:sz w:val="20"/>
                <w:szCs w:val="20"/>
              </w:rPr>
              <w:t>t</w:t>
            </w:r>
            <w:r w:rsidR="00617E05" w:rsidRPr="00D86314">
              <w:rPr>
                <w:noProof/>
                <w:sz w:val="20"/>
                <w:szCs w:val="20"/>
              </w:rPr>
              <w:t xml:space="preserve">he preferred Option would lead to </w:t>
            </w:r>
            <w:r w:rsidRPr="00D86314">
              <w:rPr>
                <w:noProof/>
                <w:sz w:val="20"/>
                <w:szCs w:val="20"/>
              </w:rPr>
              <w:t>5</w:t>
            </w:r>
            <w:r w:rsidR="00940AA4">
              <w:rPr>
                <w:noProof/>
                <w:sz w:val="20"/>
                <w:szCs w:val="20"/>
              </w:rPr>
              <w:t>,</w:t>
            </w:r>
            <w:r w:rsidR="36D97982" w:rsidRPr="00D86314">
              <w:rPr>
                <w:noProof/>
                <w:sz w:val="20"/>
                <w:szCs w:val="20"/>
              </w:rPr>
              <w:t>250</w:t>
            </w:r>
            <w:r w:rsidR="00940AA4">
              <w:rPr>
                <w:noProof/>
                <w:sz w:val="20"/>
                <w:szCs w:val="20"/>
              </w:rPr>
              <w:t>,</w:t>
            </w:r>
            <w:r w:rsidR="36D97982" w:rsidRPr="00D86314">
              <w:rPr>
                <w:noProof/>
                <w:sz w:val="20"/>
                <w:szCs w:val="20"/>
              </w:rPr>
              <w:t>198</w:t>
            </w:r>
            <w:r w:rsidRPr="00D86314">
              <w:rPr>
                <w:noProof/>
                <w:sz w:val="20"/>
                <w:szCs w:val="20"/>
              </w:rPr>
              <w:t xml:space="preserve"> </w:t>
            </w:r>
            <w:r w:rsidRPr="00D86314">
              <w:rPr>
                <w:rFonts w:eastAsiaTheme="majorEastAsia"/>
                <w:noProof/>
                <w:sz w:val="20"/>
                <w:szCs w:val="20"/>
              </w:rPr>
              <w:t>CO</w:t>
            </w:r>
            <w:r w:rsidRPr="00D86314">
              <w:rPr>
                <w:rFonts w:eastAsiaTheme="majorEastAsia"/>
                <w:noProof/>
                <w:sz w:val="20"/>
                <w:szCs w:val="20"/>
                <w:vertAlign w:val="subscript"/>
              </w:rPr>
              <w:t>2e</w:t>
            </w:r>
            <w:r w:rsidRPr="00D86314">
              <w:rPr>
                <w:noProof/>
                <w:sz w:val="20"/>
                <w:szCs w:val="20"/>
              </w:rPr>
              <w:t xml:space="preserve"> mobile / wireless broadband network emissions which is lower than the 5</w:t>
            </w:r>
            <w:r w:rsidR="00940AA4">
              <w:rPr>
                <w:noProof/>
                <w:sz w:val="20"/>
                <w:szCs w:val="20"/>
              </w:rPr>
              <w:t>,</w:t>
            </w:r>
            <w:r w:rsidR="614A0954" w:rsidRPr="00D86314">
              <w:rPr>
                <w:noProof/>
                <w:sz w:val="20"/>
                <w:szCs w:val="20"/>
              </w:rPr>
              <w:t>257</w:t>
            </w:r>
            <w:r w:rsidR="00940AA4">
              <w:rPr>
                <w:noProof/>
                <w:sz w:val="20"/>
                <w:szCs w:val="20"/>
              </w:rPr>
              <w:t>,</w:t>
            </w:r>
            <w:r w:rsidR="614A0954" w:rsidRPr="00D86314">
              <w:rPr>
                <w:noProof/>
                <w:sz w:val="20"/>
                <w:szCs w:val="20"/>
              </w:rPr>
              <w:t>074</w:t>
            </w:r>
            <w:r w:rsidRPr="00D86314">
              <w:rPr>
                <w:noProof/>
                <w:sz w:val="20"/>
                <w:szCs w:val="20"/>
              </w:rPr>
              <w:t xml:space="preserve"> t CO</w:t>
            </w:r>
            <w:r w:rsidRPr="00D86314">
              <w:rPr>
                <w:noProof/>
                <w:sz w:val="20"/>
                <w:szCs w:val="20"/>
                <w:vertAlign w:val="subscript"/>
              </w:rPr>
              <w:t>2e</w:t>
            </w:r>
            <w:r w:rsidRPr="00D86314">
              <w:rPr>
                <w:noProof/>
                <w:sz w:val="20"/>
                <w:szCs w:val="20"/>
              </w:rPr>
              <w:t xml:space="preserve"> </w:t>
            </w:r>
            <w:r w:rsidR="40543C72" w:rsidRPr="00D86314">
              <w:rPr>
                <w:noProof/>
                <w:sz w:val="20"/>
                <w:szCs w:val="20"/>
              </w:rPr>
              <w:t>under the</w:t>
            </w:r>
            <w:r w:rsidRPr="00D86314">
              <w:rPr>
                <w:noProof/>
                <w:sz w:val="20"/>
                <w:szCs w:val="20"/>
              </w:rPr>
              <w:t xml:space="preserve"> baseline</w:t>
            </w:r>
            <w:r w:rsidR="49D443DD" w:rsidRPr="00D86314">
              <w:rPr>
                <w:noProof/>
                <w:sz w:val="20"/>
                <w:szCs w:val="20"/>
              </w:rPr>
              <w:t xml:space="preserve">. When monetised, environmental impacts under </w:t>
            </w:r>
            <w:r w:rsidR="0A92E64C" w:rsidRPr="00D86314">
              <w:rPr>
                <w:noProof/>
                <w:sz w:val="20"/>
                <w:szCs w:val="20"/>
              </w:rPr>
              <w:t>the preferred Option</w:t>
            </w:r>
            <w:r w:rsidR="49D443DD" w:rsidRPr="00D86314">
              <w:rPr>
                <w:noProof/>
                <w:sz w:val="20"/>
                <w:szCs w:val="20"/>
              </w:rPr>
              <w:t xml:space="preserve"> are estimated at around EUR</w:t>
            </w:r>
            <w:r w:rsidR="00CB1CBA" w:rsidRPr="00D86314">
              <w:rPr>
                <w:noProof/>
                <w:sz w:val="20"/>
                <w:szCs w:val="20"/>
              </w:rPr>
              <w:t> </w:t>
            </w:r>
            <w:r w:rsidR="49D443DD" w:rsidRPr="00D86314">
              <w:rPr>
                <w:noProof/>
                <w:sz w:val="20"/>
                <w:szCs w:val="20"/>
              </w:rPr>
              <w:t>4.62 billion, compared to EUR</w:t>
            </w:r>
            <w:r w:rsidR="00CB1CBA" w:rsidRPr="00D86314">
              <w:rPr>
                <w:noProof/>
                <w:sz w:val="20"/>
                <w:szCs w:val="20"/>
              </w:rPr>
              <w:t> </w:t>
            </w:r>
            <w:r w:rsidR="49D443DD" w:rsidRPr="00D86314">
              <w:rPr>
                <w:noProof/>
                <w:sz w:val="20"/>
                <w:szCs w:val="20"/>
              </w:rPr>
              <w:t>4.63 billion under the baseline</w:t>
            </w:r>
            <w:r w:rsidR="00D925D5" w:rsidRPr="00D86314">
              <w:rPr>
                <w:noProof/>
                <w:sz w:val="20"/>
                <w:szCs w:val="20"/>
              </w:rPr>
              <w:t>, a marginal improvement</w:t>
            </w:r>
            <w:r w:rsidR="49D443DD" w:rsidRPr="00D86314">
              <w:rPr>
                <w:noProof/>
                <w:sz w:val="20"/>
                <w:szCs w:val="20"/>
              </w:rPr>
              <w:t>.</w:t>
            </w:r>
            <w:r w:rsidRPr="00D86314">
              <w:rPr>
                <w:noProof/>
                <w:sz w:val="20"/>
                <w:szCs w:val="20"/>
              </w:rPr>
              <w:t xml:space="preserve"> (See Annex 4</w:t>
            </w:r>
            <w:r w:rsidR="525ADA24" w:rsidRPr="00D86314">
              <w:rPr>
                <w:noProof/>
                <w:sz w:val="20"/>
                <w:szCs w:val="20"/>
              </w:rPr>
              <w:t xml:space="preserve">, </w:t>
            </w:r>
            <w:r w:rsidR="00BB5554">
              <w:rPr>
                <w:noProof/>
                <w:sz w:val="20"/>
                <w:szCs w:val="20"/>
              </w:rPr>
              <w:t>S</w:t>
            </w:r>
            <w:r w:rsidR="00E61CF6" w:rsidRPr="00D86314">
              <w:rPr>
                <w:noProof/>
                <w:sz w:val="20"/>
                <w:szCs w:val="20"/>
              </w:rPr>
              <w:t xml:space="preserve">ection </w:t>
            </w:r>
            <w:r w:rsidR="525ADA24" w:rsidRPr="00D86314">
              <w:rPr>
                <w:noProof/>
                <w:sz w:val="20"/>
                <w:szCs w:val="20"/>
              </w:rPr>
              <w:t>2</w:t>
            </w:r>
            <w:r w:rsidRPr="00D86314">
              <w:rPr>
                <w:noProof/>
                <w:sz w:val="20"/>
                <w:szCs w:val="20"/>
              </w:rPr>
              <w:t xml:space="preserve"> for methodology</w:t>
            </w:r>
            <w:r w:rsidR="427FBDF7" w:rsidRPr="00D86314">
              <w:rPr>
                <w:noProof/>
                <w:sz w:val="20"/>
                <w:szCs w:val="20"/>
              </w:rPr>
              <w:t xml:space="preserve"> and findings</w:t>
            </w:r>
            <w:r w:rsidRPr="00D86314">
              <w:rPr>
                <w:noProof/>
                <w:sz w:val="20"/>
                <w:szCs w:val="20"/>
              </w:rPr>
              <w:t xml:space="preserve">). </w:t>
            </w:r>
          </w:p>
          <w:p w14:paraId="66A63B2C" w14:textId="0E888016" w:rsidR="00647778" w:rsidRPr="00D86314" w:rsidRDefault="00F70A07" w:rsidP="00030966">
            <w:pPr>
              <w:rPr>
                <w:noProof/>
                <w:sz w:val="20"/>
              </w:rPr>
            </w:pPr>
            <w:r w:rsidRPr="00D86314">
              <w:rPr>
                <w:noProof/>
                <w:sz w:val="20"/>
                <w:szCs w:val="20"/>
              </w:rPr>
              <w:t>The</w:t>
            </w:r>
            <w:r w:rsidR="0012648D" w:rsidRPr="00D86314">
              <w:rPr>
                <w:noProof/>
                <w:sz w:val="20"/>
                <w:szCs w:val="20"/>
              </w:rPr>
              <w:t xml:space="preserve"> options show an average of over 96% reduction from 2025 to 2035, due to significant decrease in electricity consumption per gigabyte linked to new mobile technologies, </w:t>
            </w:r>
            <w:r w:rsidR="005E6FC7" w:rsidRPr="00D86314">
              <w:rPr>
                <w:noProof/>
                <w:sz w:val="20"/>
                <w:szCs w:val="20"/>
              </w:rPr>
              <w:t>however</w:t>
            </w:r>
            <w:r w:rsidR="0012648D" w:rsidRPr="00D86314">
              <w:rPr>
                <w:noProof/>
                <w:sz w:val="20"/>
                <w:szCs w:val="20"/>
              </w:rPr>
              <w:t xml:space="preserve"> the difference </w:t>
            </w:r>
            <w:r w:rsidRPr="00D86314">
              <w:rPr>
                <w:noProof/>
                <w:sz w:val="20"/>
                <w:szCs w:val="20"/>
              </w:rPr>
              <w:t xml:space="preserve">between the baseline and the preferred option </w:t>
            </w:r>
            <w:r w:rsidR="0012648D" w:rsidRPr="00D86314">
              <w:rPr>
                <w:noProof/>
                <w:sz w:val="20"/>
                <w:szCs w:val="20"/>
              </w:rPr>
              <w:t xml:space="preserve">is negligible. </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53543E2D" w14:textId="1C6AE97E" w:rsidR="00F70A07" w:rsidRPr="00D86314" w:rsidRDefault="00617E05" w:rsidP="00030966">
            <w:pPr>
              <w:rPr>
                <w:noProof/>
                <w:sz w:val="20"/>
                <w:szCs w:val="20"/>
              </w:rPr>
            </w:pPr>
            <w:r w:rsidRPr="00D86314">
              <w:rPr>
                <w:noProof/>
                <w:sz w:val="20"/>
              </w:rPr>
              <w:t>Reduction on CO</w:t>
            </w:r>
            <w:r w:rsidRPr="00D86314">
              <w:rPr>
                <w:noProof/>
                <w:sz w:val="20"/>
                <w:vertAlign w:val="subscript"/>
              </w:rPr>
              <w:t>2</w:t>
            </w:r>
            <w:r w:rsidRPr="00D86314">
              <w:rPr>
                <w:noProof/>
                <w:sz w:val="20"/>
              </w:rPr>
              <w:t xml:space="preserve"> is marginal compared to baseline</w:t>
            </w:r>
            <w:r w:rsidR="00D720B5" w:rsidRPr="00D86314">
              <w:rPr>
                <w:noProof/>
                <w:sz w:val="20"/>
              </w:rPr>
              <w:t>;</w:t>
            </w:r>
            <w:r w:rsidRPr="00D86314">
              <w:rPr>
                <w:noProof/>
                <w:sz w:val="20"/>
              </w:rPr>
              <w:t xml:space="preserve"> however </w:t>
            </w:r>
            <w:r w:rsidR="00D720B5" w:rsidRPr="00D86314">
              <w:rPr>
                <w:noProof/>
                <w:sz w:val="20"/>
              </w:rPr>
              <w:t>t</w:t>
            </w:r>
            <w:r w:rsidRPr="00D86314">
              <w:rPr>
                <w:noProof/>
                <w:sz w:val="20"/>
              </w:rPr>
              <w:t xml:space="preserve">he model presents only part of the environmental benefits. Additional gains are expected from 6G. </w:t>
            </w:r>
            <w:r w:rsidR="00647778" w:rsidRPr="00D86314">
              <w:rPr>
                <w:noProof/>
                <w:sz w:val="20"/>
              </w:rPr>
              <w:t>Potential for smart systems (e.g. connected transport or logistics) through IoT and private 5G</w:t>
            </w:r>
            <w:r w:rsidR="00A90956" w:rsidRPr="00D86314">
              <w:rPr>
                <w:noProof/>
                <w:sz w:val="20"/>
              </w:rPr>
              <w:t>.</w:t>
            </w:r>
          </w:p>
          <w:p w14:paraId="1238EF83" w14:textId="57FFF5F5" w:rsidR="00647778" w:rsidRPr="00D86314" w:rsidRDefault="00F70A07" w:rsidP="00030966">
            <w:pPr>
              <w:rPr>
                <w:noProof/>
                <w:sz w:val="20"/>
              </w:rPr>
            </w:pPr>
            <w:r w:rsidRPr="00D86314">
              <w:rPr>
                <w:noProof/>
                <w:sz w:val="20"/>
                <w:szCs w:val="20"/>
              </w:rPr>
              <w:t xml:space="preserve">The preferred option will further accelerate deployment of future mobile generations like 6G that are being designed with energy efficiency and renewable energy integration as core principles and </w:t>
            </w:r>
            <w:r w:rsidR="00610B2D" w:rsidRPr="00D86314">
              <w:rPr>
                <w:noProof/>
                <w:sz w:val="20"/>
                <w:szCs w:val="20"/>
              </w:rPr>
              <w:t>should</w:t>
            </w:r>
            <w:r w:rsidRPr="00D86314">
              <w:rPr>
                <w:noProof/>
                <w:sz w:val="20"/>
                <w:szCs w:val="20"/>
              </w:rPr>
              <w:t xml:space="preserve"> therefore favourably impact energy efficiency</w:t>
            </w:r>
            <w:r w:rsidR="00A90956" w:rsidRPr="00D86314">
              <w:rPr>
                <w:noProof/>
                <w:sz w:val="20"/>
                <w:szCs w:val="20"/>
              </w:rPr>
              <w:t>.</w:t>
            </w:r>
          </w:p>
        </w:tc>
      </w:tr>
      <w:tr w:rsidR="006F058A" w:rsidRPr="00D86314" w14:paraId="6966E8E4" w14:textId="77777777" w:rsidTr="3B55B5CA">
        <w:tc>
          <w:tcPr>
            <w:tcW w:w="1178" w:type="pct"/>
            <w:tcBorders>
              <w:top w:val="double" w:sz="4" w:space="0" w:color="auto"/>
              <w:left w:val="double" w:sz="4" w:space="0" w:color="auto"/>
              <w:bottom w:val="double" w:sz="4" w:space="0" w:color="auto"/>
              <w:right w:val="double" w:sz="4" w:space="0" w:color="auto"/>
            </w:tcBorders>
          </w:tcPr>
          <w:p w14:paraId="20DAF6E6" w14:textId="61B9889C" w:rsidR="00CE2F43" w:rsidRPr="00D86314" w:rsidRDefault="00CE2F43" w:rsidP="00CE2F43">
            <w:pPr>
              <w:rPr>
                <w:noProof/>
                <w:sz w:val="20"/>
              </w:rPr>
            </w:pPr>
            <w:r w:rsidRPr="00D86314">
              <w:rPr>
                <w:noProof/>
                <w:sz w:val="20"/>
                <w:szCs w:val="16"/>
              </w:rPr>
              <w:t>Push toward innovative spectrum sharing solutions</w:t>
            </w:r>
          </w:p>
        </w:tc>
        <w:tc>
          <w:tcPr>
            <w:tcW w:w="188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0B3E9253" w14:textId="25BAB9AA" w:rsidR="00CE2F43" w:rsidRPr="00D86314" w:rsidRDefault="00CE2F43" w:rsidP="00CE2F43">
            <w:pPr>
              <w:rPr>
                <w:noProof/>
                <w:sz w:val="20"/>
              </w:rPr>
            </w:pPr>
            <w:r w:rsidRPr="00D86314">
              <w:rPr>
                <w:noProof/>
                <w:sz w:val="20"/>
                <w:szCs w:val="16"/>
              </w:rPr>
              <w:t>Not quantified</w:t>
            </w:r>
          </w:p>
        </w:tc>
        <w:tc>
          <w:tcPr>
            <w:tcW w:w="1932"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7A80398A" w14:textId="0771854E" w:rsidR="00CE2F43" w:rsidRPr="00D86314" w:rsidRDefault="00CE2F43" w:rsidP="00CE2F43">
            <w:pPr>
              <w:rPr>
                <w:noProof/>
                <w:sz w:val="20"/>
              </w:rPr>
            </w:pPr>
            <w:r w:rsidRPr="00D86314">
              <w:rPr>
                <w:noProof/>
                <w:sz w:val="20"/>
                <w:szCs w:val="16"/>
              </w:rPr>
              <w:t>The preferred option supports the uptake of advanced sharing mechanisms (e.g. dynamic spectrum access, AI-based coordination), unlocking additional efficiencies and supporting coexistence in dense spectrum environments.</w:t>
            </w:r>
          </w:p>
        </w:tc>
      </w:tr>
      <w:tr w:rsidR="00CA582A" w:rsidRPr="00D86314" w14:paraId="596EF730" w14:textId="77777777" w:rsidTr="3B55B5CA">
        <w:tc>
          <w:tcPr>
            <w:tcW w:w="1178" w:type="pct"/>
            <w:tcBorders>
              <w:bottom w:val="double" w:sz="4" w:space="0" w:color="auto"/>
            </w:tcBorders>
          </w:tcPr>
          <w:p w14:paraId="7A7E4323" w14:textId="564E5D1F" w:rsidR="00BB78CC" w:rsidRPr="00D86314" w:rsidRDefault="008D1C9D" w:rsidP="00BB78CC">
            <w:pPr>
              <w:rPr>
                <w:noProof/>
                <w:sz w:val="20"/>
              </w:rPr>
            </w:pPr>
            <w:r w:rsidRPr="00D86314">
              <w:rPr>
                <w:noProof/>
                <w:sz w:val="20"/>
                <w:szCs w:val="16"/>
              </w:rPr>
              <w:t>Petition mechanism supports harmonisation for innovators</w:t>
            </w:r>
          </w:p>
        </w:tc>
        <w:tc>
          <w:tcPr>
            <w:tcW w:w="1889" w:type="pct"/>
            <w:tcBorders>
              <w:bottom w:val="double" w:sz="4" w:space="0" w:color="auto"/>
            </w:tcBorders>
            <w:tcMar>
              <w:top w:w="57" w:type="dxa"/>
              <w:left w:w="57" w:type="dxa"/>
              <w:bottom w:w="57" w:type="dxa"/>
              <w:right w:w="57" w:type="dxa"/>
            </w:tcMar>
          </w:tcPr>
          <w:p w14:paraId="58E29863" w14:textId="51CD9540" w:rsidR="00BB78CC" w:rsidRPr="00D86314" w:rsidRDefault="00BB78CC" w:rsidP="00BB78CC">
            <w:pPr>
              <w:rPr>
                <w:noProof/>
                <w:sz w:val="20"/>
              </w:rPr>
            </w:pPr>
            <w:r w:rsidRPr="00D86314">
              <w:rPr>
                <w:noProof/>
                <w:sz w:val="20"/>
                <w:szCs w:val="16"/>
              </w:rPr>
              <w:t>Not quantified</w:t>
            </w:r>
          </w:p>
        </w:tc>
        <w:tc>
          <w:tcPr>
            <w:tcW w:w="1932" w:type="pct"/>
            <w:tcBorders>
              <w:bottom w:val="double" w:sz="4" w:space="0" w:color="auto"/>
            </w:tcBorders>
            <w:tcMar>
              <w:top w:w="57" w:type="dxa"/>
              <w:left w:w="57" w:type="dxa"/>
              <w:bottom w:w="57" w:type="dxa"/>
              <w:right w:w="57" w:type="dxa"/>
            </w:tcMar>
          </w:tcPr>
          <w:p w14:paraId="07FD05C7" w14:textId="64EFDF21" w:rsidR="00BB78CC" w:rsidRPr="00D86314" w:rsidRDefault="008D1C9D" w:rsidP="00BB78CC">
            <w:pPr>
              <w:rPr>
                <w:noProof/>
                <w:sz w:val="20"/>
              </w:rPr>
            </w:pPr>
            <w:r w:rsidRPr="00D86314">
              <w:rPr>
                <w:noProof/>
                <w:sz w:val="20"/>
                <w:szCs w:val="16"/>
              </w:rPr>
              <w:t>The stakeholder petition mechanism empowers innovators (e.g. in satellite-IoT or non-terrestrial networks) to request harmonised spectrum access at EU level, enabling timely deployment of emerging technologies.</w:t>
            </w:r>
          </w:p>
        </w:tc>
      </w:tr>
    </w:tbl>
    <w:p w14:paraId="6CCEEC1C" w14:textId="3E46D105" w:rsidR="00647778" w:rsidRPr="00D86314" w:rsidRDefault="00647778" w:rsidP="00647778">
      <w:pPr>
        <w:rPr>
          <w:i/>
          <w:noProof/>
          <w:sz w:val="20"/>
        </w:rPr>
      </w:pPr>
      <w:r w:rsidRPr="00D86314">
        <w:rPr>
          <w:i/>
          <w:noProof/>
          <w:sz w:val="20"/>
        </w:rPr>
        <w:t xml:space="preserve">(1) Estimates are gross values relative to the baseline for the preferred option as a whole (i.e. the impact of individual actions/obligations of the </w:t>
      </w:r>
      <w:r w:rsidRPr="00D86314">
        <w:rPr>
          <w:i/>
          <w:noProof/>
          <w:sz w:val="20"/>
          <w:u w:val="single"/>
        </w:rPr>
        <w:t>preferred</w:t>
      </w:r>
      <w:r w:rsidRPr="00D86314">
        <w:rPr>
          <w:i/>
          <w:noProof/>
          <w:sz w:val="20"/>
        </w:rPr>
        <w:t xml:space="preserve"> option are aggregated together); (2) Please indicate in the comments column which stakeholder group is the main recipient of the benefit;(3) For reductions in regulatory costs, please describe in the comments column the details as to how the saving arises (e.g. reductions in adjustment costs, administrative costs, regulatory charges, enforcement costs, etc.;).</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62"/>
        <w:gridCol w:w="1402"/>
        <w:gridCol w:w="940"/>
        <w:gridCol w:w="1212"/>
        <w:gridCol w:w="1187"/>
        <w:gridCol w:w="1185"/>
        <w:gridCol w:w="1458"/>
        <w:gridCol w:w="1536"/>
      </w:tblGrid>
      <w:tr w:rsidR="000F6452" w:rsidRPr="00D86314" w14:paraId="1FF550F4" w14:textId="77777777" w:rsidTr="00F63546">
        <w:tc>
          <w:tcPr>
            <w:tcW w:w="5000" w:type="pct"/>
            <w:gridSpan w:val="8"/>
            <w:shd w:val="clear" w:color="auto" w:fill="C6D9F1" w:themeFill="text2" w:themeFillTint="33"/>
            <w:tcMar>
              <w:top w:w="57" w:type="dxa"/>
              <w:left w:w="57" w:type="dxa"/>
              <w:bottom w:w="57" w:type="dxa"/>
              <w:right w:w="57" w:type="dxa"/>
            </w:tcMar>
          </w:tcPr>
          <w:p w14:paraId="438D54A7" w14:textId="77777777" w:rsidR="00DF7DCC" w:rsidRPr="00D86314" w:rsidRDefault="00DF7DCC" w:rsidP="00AA174C">
            <w:pPr>
              <w:spacing w:after="0"/>
              <w:rPr>
                <w:noProof/>
                <w:sz w:val="20"/>
              </w:rPr>
            </w:pPr>
            <w:r w:rsidRPr="00D86314">
              <w:rPr>
                <w:noProof/>
                <w:sz w:val="20"/>
                <w:szCs w:val="20"/>
                <w:lang w:eastAsia="en-GB"/>
              </w:rPr>
              <w:t>II.</w:t>
            </w:r>
            <w:r w:rsidRPr="00D86314">
              <w:rPr>
                <w:noProof/>
                <w:sz w:val="20"/>
                <w:szCs w:val="20"/>
              </w:rPr>
              <w:t xml:space="preserve"> </w:t>
            </w:r>
            <w:r w:rsidRPr="00D86314">
              <w:rPr>
                <w:noProof/>
                <w:sz w:val="20"/>
                <w:szCs w:val="20"/>
                <w:lang w:eastAsia="en-GB"/>
              </w:rPr>
              <w:t>Overview of costs – Preferred option</w:t>
            </w:r>
          </w:p>
        </w:tc>
      </w:tr>
      <w:tr w:rsidR="00CA582A" w:rsidRPr="00D86314" w14:paraId="2B7342C7" w14:textId="77777777" w:rsidTr="00F63546">
        <w:tc>
          <w:tcPr>
            <w:tcW w:w="1144"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212F62A8" w14:textId="77777777" w:rsidR="00DF7DCC" w:rsidRPr="00D86314" w:rsidRDefault="00DF7DCC">
            <w:pPr>
              <w:rPr>
                <w:noProof/>
                <w:sz w:val="20"/>
              </w:rPr>
            </w:pPr>
          </w:p>
        </w:tc>
        <w:tc>
          <w:tcPr>
            <w:tcW w:w="1190" w:type="pct"/>
            <w:gridSpan w:val="2"/>
            <w:tcBorders>
              <w:left w:val="double" w:sz="4" w:space="0" w:color="auto"/>
            </w:tcBorders>
            <w:tcMar>
              <w:top w:w="57" w:type="dxa"/>
              <w:left w:w="57" w:type="dxa"/>
              <w:bottom w:w="57" w:type="dxa"/>
              <w:right w:w="57" w:type="dxa"/>
            </w:tcMar>
          </w:tcPr>
          <w:p w14:paraId="31E87B7B" w14:textId="77777777" w:rsidR="00DF7DCC" w:rsidRPr="00D86314" w:rsidRDefault="00DF7DCC" w:rsidP="00432270">
            <w:pPr>
              <w:spacing w:after="0"/>
              <w:jc w:val="center"/>
              <w:rPr>
                <w:noProof/>
                <w:sz w:val="20"/>
                <w:szCs w:val="20"/>
              </w:rPr>
            </w:pPr>
            <w:r w:rsidRPr="00D86314">
              <w:rPr>
                <w:noProof/>
                <w:sz w:val="20"/>
                <w:szCs w:val="20"/>
              </w:rPr>
              <w:t>Citizens/Consumers</w:t>
            </w:r>
          </w:p>
        </w:tc>
        <w:tc>
          <w:tcPr>
            <w:tcW w:w="1305" w:type="pct"/>
            <w:gridSpan w:val="2"/>
            <w:tcMar>
              <w:top w:w="57" w:type="dxa"/>
              <w:left w:w="57" w:type="dxa"/>
              <w:bottom w:w="57" w:type="dxa"/>
              <w:right w:w="57" w:type="dxa"/>
            </w:tcMar>
          </w:tcPr>
          <w:p w14:paraId="3ED5FD38" w14:textId="77777777" w:rsidR="00DF7DCC" w:rsidRPr="00D86314" w:rsidRDefault="00DF7DCC" w:rsidP="00432270">
            <w:pPr>
              <w:spacing w:after="0"/>
              <w:jc w:val="center"/>
              <w:rPr>
                <w:noProof/>
                <w:sz w:val="20"/>
                <w:szCs w:val="20"/>
              </w:rPr>
            </w:pPr>
            <w:r w:rsidRPr="00D86314">
              <w:rPr>
                <w:noProof/>
                <w:sz w:val="20"/>
                <w:szCs w:val="20"/>
              </w:rPr>
              <w:t>Businesses</w:t>
            </w:r>
          </w:p>
        </w:tc>
        <w:tc>
          <w:tcPr>
            <w:tcW w:w="1361" w:type="pct"/>
            <w:gridSpan w:val="2"/>
            <w:tcMar>
              <w:top w:w="57" w:type="dxa"/>
              <w:left w:w="57" w:type="dxa"/>
              <w:bottom w:w="57" w:type="dxa"/>
              <w:right w:w="57" w:type="dxa"/>
            </w:tcMar>
          </w:tcPr>
          <w:p w14:paraId="32601786" w14:textId="77777777" w:rsidR="00DF7DCC" w:rsidRPr="00D86314" w:rsidRDefault="00DF7DCC" w:rsidP="00432270">
            <w:pPr>
              <w:spacing w:after="0"/>
              <w:jc w:val="center"/>
              <w:rPr>
                <w:noProof/>
                <w:sz w:val="20"/>
                <w:szCs w:val="20"/>
              </w:rPr>
            </w:pPr>
            <w:r w:rsidRPr="00D86314">
              <w:rPr>
                <w:noProof/>
                <w:sz w:val="20"/>
                <w:szCs w:val="20"/>
              </w:rPr>
              <w:t>Administrations</w:t>
            </w:r>
          </w:p>
        </w:tc>
      </w:tr>
      <w:tr w:rsidR="00CA582A" w:rsidRPr="00D86314" w14:paraId="702D1251" w14:textId="77777777" w:rsidTr="00F63546">
        <w:tc>
          <w:tcPr>
            <w:tcW w:w="1144"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7FD590A0" w14:textId="77777777" w:rsidR="00DF7DCC" w:rsidRPr="00D86314" w:rsidRDefault="00DF7DCC">
            <w:pPr>
              <w:rPr>
                <w:noProof/>
                <w:sz w:val="20"/>
              </w:rPr>
            </w:pPr>
          </w:p>
        </w:tc>
        <w:tc>
          <w:tcPr>
            <w:tcW w:w="524" w:type="pct"/>
            <w:tcBorders>
              <w:left w:val="double" w:sz="4" w:space="0" w:color="auto"/>
              <w:bottom w:val="double" w:sz="4" w:space="0" w:color="auto"/>
            </w:tcBorders>
            <w:tcMar>
              <w:top w:w="57" w:type="dxa"/>
              <w:left w:w="57" w:type="dxa"/>
              <w:bottom w:w="57" w:type="dxa"/>
              <w:right w:w="57" w:type="dxa"/>
            </w:tcMar>
          </w:tcPr>
          <w:p w14:paraId="3F1A3D24" w14:textId="77777777" w:rsidR="00DF7DCC" w:rsidRPr="00D86314" w:rsidRDefault="00DF7DCC" w:rsidP="00432270">
            <w:pPr>
              <w:spacing w:after="0"/>
              <w:jc w:val="center"/>
              <w:rPr>
                <w:noProof/>
                <w:sz w:val="20"/>
                <w:szCs w:val="20"/>
              </w:rPr>
            </w:pPr>
            <w:r w:rsidRPr="00D86314">
              <w:rPr>
                <w:noProof/>
                <w:sz w:val="20"/>
                <w:szCs w:val="20"/>
              </w:rPr>
              <w:t>One-off</w:t>
            </w:r>
          </w:p>
        </w:tc>
        <w:tc>
          <w:tcPr>
            <w:tcW w:w="666" w:type="pct"/>
            <w:tcBorders>
              <w:bottom w:val="double" w:sz="4" w:space="0" w:color="auto"/>
            </w:tcBorders>
            <w:tcMar>
              <w:top w:w="57" w:type="dxa"/>
              <w:left w:w="57" w:type="dxa"/>
              <w:bottom w:w="57" w:type="dxa"/>
              <w:right w:w="57" w:type="dxa"/>
            </w:tcMar>
          </w:tcPr>
          <w:p w14:paraId="6CA86105" w14:textId="77777777" w:rsidR="00DF7DCC" w:rsidRPr="00D86314" w:rsidRDefault="00DF7DCC" w:rsidP="00432270">
            <w:pPr>
              <w:spacing w:after="0"/>
              <w:jc w:val="center"/>
              <w:rPr>
                <w:noProof/>
                <w:sz w:val="20"/>
                <w:szCs w:val="20"/>
              </w:rPr>
            </w:pPr>
            <w:r w:rsidRPr="00D86314">
              <w:rPr>
                <w:noProof/>
                <w:sz w:val="20"/>
                <w:szCs w:val="20"/>
              </w:rPr>
              <w:t>Recurrent</w:t>
            </w:r>
          </w:p>
        </w:tc>
        <w:tc>
          <w:tcPr>
            <w:tcW w:w="653" w:type="pct"/>
            <w:tcBorders>
              <w:bottom w:val="double" w:sz="4" w:space="0" w:color="auto"/>
            </w:tcBorders>
            <w:tcMar>
              <w:top w:w="57" w:type="dxa"/>
              <w:left w:w="57" w:type="dxa"/>
              <w:bottom w:w="57" w:type="dxa"/>
              <w:right w:w="57" w:type="dxa"/>
            </w:tcMar>
          </w:tcPr>
          <w:p w14:paraId="129EFFF2" w14:textId="77777777" w:rsidR="00DF7DCC" w:rsidRPr="00D86314" w:rsidRDefault="00DF7DCC" w:rsidP="00432270">
            <w:pPr>
              <w:spacing w:after="0"/>
              <w:jc w:val="center"/>
              <w:rPr>
                <w:noProof/>
                <w:sz w:val="20"/>
                <w:szCs w:val="20"/>
              </w:rPr>
            </w:pPr>
            <w:r w:rsidRPr="00D86314">
              <w:rPr>
                <w:noProof/>
                <w:sz w:val="20"/>
                <w:szCs w:val="20"/>
              </w:rPr>
              <w:t>One-off</w:t>
            </w:r>
          </w:p>
        </w:tc>
        <w:tc>
          <w:tcPr>
            <w:tcW w:w="652" w:type="pct"/>
            <w:tcBorders>
              <w:bottom w:val="double" w:sz="4" w:space="0" w:color="auto"/>
            </w:tcBorders>
            <w:tcMar>
              <w:top w:w="57" w:type="dxa"/>
              <w:left w:w="57" w:type="dxa"/>
              <w:bottom w:w="57" w:type="dxa"/>
              <w:right w:w="57" w:type="dxa"/>
            </w:tcMar>
          </w:tcPr>
          <w:p w14:paraId="78CD9597" w14:textId="77777777" w:rsidR="00DF7DCC" w:rsidRPr="00D86314" w:rsidRDefault="00DF7DCC" w:rsidP="00432270">
            <w:pPr>
              <w:spacing w:after="0"/>
              <w:jc w:val="center"/>
              <w:rPr>
                <w:noProof/>
                <w:sz w:val="20"/>
                <w:szCs w:val="20"/>
              </w:rPr>
            </w:pPr>
            <w:r w:rsidRPr="00D86314">
              <w:rPr>
                <w:noProof/>
                <w:sz w:val="20"/>
                <w:szCs w:val="20"/>
              </w:rPr>
              <w:t>Recurrent</w:t>
            </w:r>
          </w:p>
        </w:tc>
        <w:tc>
          <w:tcPr>
            <w:tcW w:w="671" w:type="pct"/>
            <w:tcBorders>
              <w:bottom w:val="double" w:sz="4" w:space="0" w:color="auto"/>
            </w:tcBorders>
            <w:tcMar>
              <w:top w:w="57" w:type="dxa"/>
              <w:left w:w="57" w:type="dxa"/>
              <w:bottom w:w="57" w:type="dxa"/>
              <w:right w:w="57" w:type="dxa"/>
            </w:tcMar>
          </w:tcPr>
          <w:p w14:paraId="01F0C848" w14:textId="77777777" w:rsidR="00DF7DCC" w:rsidRPr="00D86314" w:rsidRDefault="00DF7DCC" w:rsidP="00432270">
            <w:pPr>
              <w:spacing w:after="0"/>
              <w:jc w:val="center"/>
              <w:rPr>
                <w:noProof/>
                <w:sz w:val="20"/>
                <w:szCs w:val="20"/>
              </w:rPr>
            </w:pPr>
            <w:r w:rsidRPr="00D86314">
              <w:rPr>
                <w:noProof/>
                <w:sz w:val="20"/>
                <w:szCs w:val="20"/>
              </w:rPr>
              <w:t>One-off</w:t>
            </w:r>
          </w:p>
        </w:tc>
        <w:tc>
          <w:tcPr>
            <w:tcW w:w="689" w:type="pct"/>
            <w:tcBorders>
              <w:bottom w:val="double" w:sz="4" w:space="0" w:color="auto"/>
            </w:tcBorders>
            <w:tcMar>
              <w:top w:w="57" w:type="dxa"/>
              <w:left w:w="57" w:type="dxa"/>
              <w:bottom w:w="57" w:type="dxa"/>
              <w:right w:w="57" w:type="dxa"/>
            </w:tcMar>
          </w:tcPr>
          <w:p w14:paraId="0D40208A" w14:textId="77777777" w:rsidR="00DF7DCC" w:rsidRPr="00D86314" w:rsidRDefault="00DF7DCC" w:rsidP="00432270">
            <w:pPr>
              <w:spacing w:after="0"/>
              <w:jc w:val="center"/>
              <w:rPr>
                <w:noProof/>
                <w:sz w:val="20"/>
                <w:szCs w:val="20"/>
              </w:rPr>
            </w:pPr>
            <w:r w:rsidRPr="00D86314">
              <w:rPr>
                <w:noProof/>
                <w:sz w:val="20"/>
                <w:szCs w:val="20"/>
              </w:rPr>
              <w:t>Recurrent</w:t>
            </w:r>
          </w:p>
        </w:tc>
      </w:tr>
      <w:tr w:rsidR="006F058A" w:rsidRPr="00D86314" w14:paraId="2A8D4C26" w14:textId="77777777" w:rsidTr="00F63546">
        <w:trPr>
          <w:trHeight w:val="307"/>
        </w:trPr>
        <w:tc>
          <w:tcPr>
            <w:tcW w:w="379" w:type="pct"/>
            <w:vMerge w:val="restart"/>
            <w:tcMar>
              <w:top w:w="57" w:type="dxa"/>
              <w:left w:w="57" w:type="dxa"/>
              <w:bottom w:w="57" w:type="dxa"/>
              <w:right w:w="57" w:type="dxa"/>
            </w:tcMar>
            <w:vAlign w:val="center"/>
          </w:tcPr>
          <w:p w14:paraId="0C24A980" w14:textId="486E5DD5" w:rsidR="00DF7DCC" w:rsidRPr="00D86314" w:rsidRDefault="00DF7DCC" w:rsidP="001A6767">
            <w:pPr>
              <w:rPr>
                <w:noProof/>
                <w:sz w:val="20"/>
                <w:szCs w:val="20"/>
              </w:rPr>
            </w:pPr>
            <w:r w:rsidRPr="00D86314">
              <w:rPr>
                <w:noProof/>
                <w:sz w:val="20"/>
                <w:szCs w:val="20"/>
              </w:rPr>
              <w:t xml:space="preserve">Action (a) </w:t>
            </w:r>
          </w:p>
        </w:tc>
        <w:tc>
          <w:tcPr>
            <w:tcW w:w="765" w:type="pct"/>
            <w:tcBorders>
              <w:right w:val="double" w:sz="4" w:space="0" w:color="auto"/>
            </w:tcBorders>
            <w:tcMar>
              <w:top w:w="57" w:type="dxa"/>
              <w:left w:w="57" w:type="dxa"/>
              <w:bottom w:w="57" w:type="dxa"/>
              <w:right w:w="57" w:type="dxa"/>
            </w:tcMar>
            <w:vAlign w:val="center"/>
          </w:tcPr>
          <w:p w14:paraId="75875668" w14:textId="77777777" w:rsidR="00DF7DCC" w:rsidRPr="00D86314" w:rsidRDefault="00DF7DCC" w:rsidP="001A6767">
            <w:pPr>
              <w:rPr>
                <w:noProof/>
                <w:sz w:val="20"/>
                <w:szCs w:val="20"/>
              </w:rPr>
            </w:pPr>
            <w:r w:rsidRPr="00D86314">
              <w:rPr>
                <w:noProof/>
                <w:sz w:val="20"/>
                <w:szCs w:val="20"/>
              </w:rPr>
              <w:t>Direct adjustment costs</w:t>
            </w:r>
          </w:p>
        </w:tc>
        <w:tc>
          <w:tcPr>
            <w:tcW w:w="524" w:type="pct"/>
            <w:tcBorders>
              <w:left w:val="double" w:sz="4" w:space="0" w:color="auto"/>
            </w:tcBorders>
            <w:tcMar>
              <w:top w:w="57" w:type="dxa"/>
              <w:left w:w="57" w:type="dxa"/>
              <w:bottom w:w="57" w:type="dxa"/>
              <w:right w:w="57" w:type="dxa"/>
            </w:tcMar>
          </w:tcPr>
          <w:p w14:paraId="640ADBD9" w14:textId="77777777" w:rsidR="00DF7DCC" w:rsidRPr="00D86314" w:rsidRDefault="00DF7DCC" w:rsidP="001A6767">
            <w:pPr>
              <w:rPr>
                <w:noProof/>
                <w:sz w:val="20"/>
                <w:szCs w:val="20"/>
              </w:rPr>
            </w:pPr>
            <w:r w:rsidRPr="00D86314">
              <w:rPr>
                <w:noProof/>
                <w:sz w:val="20"/>
                <w:szCs w:val="20"/>
              </w:rPr>
              <w:t>–</w:t>
            </w:r>
          </w:p>
        </w:tc>
        <w:tc>
          <w:tcPr>
            <w:tcW w:w="666" w:type="pct"/>
            <w:tcMar>
              <w:top w:w="57" w:type="dxa"/>
              <w:left w:w="57" w:type="dxa"/>
              <w:bottom w:w="57" w:type="dxa"/>
              <w:right w:w="57" w:type="dxa"/>
            </w:tcMar>
          </w:tcPr>
          <w:p w14:paraId="0FA10EA5" w14:textId="77777777" w:rsidR="00DF7DCC" w:rsidRPr="00D86314" w:rsidRDefault="00DF7DCC" w:rsidP="001A6767">
            <w:pPr>
              <w:rPr>
                <w:noProof/>
                <w:sz w:val="20"/>
                <w:szCs w:val="20"/>
              </w:rPr>
            </w:pPr>
            <w:r w:rsidRPr="00D86314">
              <w:rPr>
                <w:noProof/>
                <w:sz w:val="20"/>
                <w:szCs w:val="20"/>
              </w:rPr>
              <w:t>–</w:t>
            </w:r>
          </w:p>
        </w:tc>
        <w:tc>
          <w:tcPr>
            <w:tcW w:w="653" w:type="pct"/>
            <w:tcMar>
              <w:top w:w="57" w:type="dxa"/>
              <w:left w:w="57" w:type="dxa"/>
              <w:bottom w:w="57" w:type="dxa"/>
              <w:right w:w="57" w:type="dxa"/>
            </w:tcMar>
          </w:tcPr>
          <w:p w14:paraId="30BB7841" w14:textId="77777777" w:rsidR="00DF7DCC" w:rsidRPr="00D86314" w:rsidRDefault="00DF7DCC" w:rsidP="001A6767">
            <w:pPr>
              <w:rPr>
                <w:noProof/>
                <w:sz w:val="20"/>
                <w:szCs w:val="20"/>
              </w:rPr>
            </w:pPr>
            <w:r w:rsidRPr="00D86314">
              <w:rPr>
                <w:noProof/>
                <w:sz w:val="20"/>
                <w:szCs w:val="20"/>
              </w:rPr>
              <w:t>Low (procedural adaptation for SMEs and verticals engaging in new models)</w:t>
            </w:r>
          </w:p>
        </w:tc>
        <w:tc>
          <w:tcPr>
            <w:tcW w:w="652" w:type="pct"/>
            <w:tcMar>
              <w:top w:w="57" w:type="dxa"/>
              <w:left w:w="57" w:type="dxa"/>
              <w:bottom w:w="57" w:type="dxa"/>
              <w:right w:w="57" w:type="dxa"/>
            </w:tcMar>
          </w:tcPr>
          <w:p w14:paraId="230124D1" w14:textId="77777777" w:rsidR="00DF7DCC" w:rsidRPr="00D86314" w:rsidRDefault="00DF7DCC" w:rsidP="001A6767">
            <w:pPr>
              <w:rPr>
                <w:noProof/>
                <w:sz w:val="20"/>
                <w:szCs w:val="20"/>
              </w:rPr>
            </w:pPr>
            <w:r w:rsidRPr="00D86314">
              <w:rPr>
                <w:noProof/>
                <w:sz w:val="20"/>
                <w:szCs w:val="20"/>
              </w:rPr>
              <w:t>Low (adaptation to new licence types and petition processes)</w:t>
            </w:r>
          </w:p>
        </w:tc>
        <w:tc>
          <w:tcPr>
            <w:tcW w:w="671" w:type="pct"/>
            <w:tcMar>
              <w:top w:w="57" w:type="dxa"/>
              <w:left w:w="57" w:type="dxa"/>
              <w:bottom w:w="57" w:type="dxa"/>
              <w:right w:w="57" w:type="dxa"/>
            </w:tcMar>
          </w:tcPr>
          <w:p w14:paraId="0AB0D90D" w14:textId="1DF46530" w:rsidR="00DF7DCC" w:rsidRPr="00D86314" w:rsidRDefault="004B3C50" w:rsidP="001A6767">
            <w:pPr>
              <w:rPr>
                <w:noProof/>
                <w:sz w:val="20"/>
                <w:szCs w:val="20"/>
              </w:rPr>
            </w:pPr>
            <w:r w:rsidRPr="00D86314">
              <w:rPr>
                <w:noProof/>
                <w:sz w:val="20"/>
                <w:szCs w:val="20"/>
              </w:rPr>
              <w:t>Moderate</w:t>
            </w:r>
            <w:r w:rsidR="00DF7DCC" w:rsidRPr="00D86314">
              <w:rPr>
                <w:noProof/>
                <w:sz w:val="20"/>
                <w:szCs w:val="20"/>
              </w:rPr>
              <w:t xml:space="preserve"> (N</w:t>
            </w:r>
            <w:r w:rsidR="002F2C35" w:rsidRPr="00D86314">
              <w:rPr>
                <w:noProof/>
                <w:sz w:val="20"/>
                <w:szCs w:val="20"/>
              </w:rPr>
              <w:t>C</w:t>
            </w:r>
            <w:r w:rsidR="00DF7DCC" w:rsidRPr="00D86314">
              <w:rPr>
                <w:noProof/>
                <w:sz w:val="20"/>
                <w:szCs w:val="20"/>
              </w:rPr>
              <w:t xml:space="preserve">As and EC – setup of </w:t>
            </w:r>
            <w:r w:rsidR="00643EBF" w:rsidRPr="00D86314">
              <w:rPr>
                <w:noProof/>
                <w:sz w:val="20"/>
                <w:szCs w:val="20"/>
              </w:rPr>
              <w:t xml:space="preserve">spectrum scrutiny system, EU spectrum </w:t>
            </w:r>
            <w:r w:rsidR="006D4C1A" w:rsidRPr="00D86314">
              <w:rPr>
                <w:noProof/>
                <w:sz w:val="20"/>
                <w:szCs w:val="20"/>
              </w:rPr>
              <w:t xml:space="preserve">strategy and </w:t>
            </w:r>
            <w:r w:rsidR="00643EBF" w:rsidRPr="00D86314">
              <w:rPr>
                <w:noProof/>
                <w:sz w:val="20"/>
                <w:szCs w:val="20"/>
              </w:rPr>
              <w:t>spectrum roadmap</w:t>
            </w:r>
            <w:r w:rsidR="006D4C1A" w:rsidRPr="00D86314">
              <w:rPr>
                <w:noProof/>
                <w:sz w:val="20"/>
                <w:szCs w:val="20"/>
              </w:rPr>
              <w:t>s</w:t>
            </w:r>
            <w:r w:rsidR="00643EBF" w:rsidRPr="00D86314">
              <w:rPr>
                <w:noProof/>
                <w:sz w:val="20"/>
                <w:szCs w:val="20"/>
              </w:rPr>
              <w:t xml:space="preserve"> and national roadmaps, </w:t>
            </w:r>
            <w:r w:rsidR="00DF7DCC" w:rsidRPr="00D86314">
              <w:rPr>
                <w:noProof/>
                <w:sz w:val="20"/>
                <w:szCs w:val="20"/>
              </w:rPr>
              <w:t xml:space="preserve">petition system, shared </w:t>
            </w:r>
            <w:r w:rsidR="00D23AA8" w:rsidRPr="00D86314">
              <w:rPr>
                <w:noProof/>
                <w:sz w:val="20"/>
                <w:szCs w:val="20"/>
              </w:rPr>
              <w:t>dyna</w:t>
            </w:r>
            <w:r w:rsidR="00EA2C60" w:rsidRPr="00D86314">
              <w:rPr>
                <w:noProof/>
                <w:sz w:val="20"/>
                <w:szCs w:val="20"/>
              </w:rPr>
              <w:t>mic geolocation data</w:t>
            </w:r>
            <w:r w:rsidR="008A1331" w:rsidRPr="00D86314">
              <w:rPr>
                <w:noProof/>
                <w:sz w:val="20"/>
                <w:szCs w:val="20"/>
              </w:rPr>
              <w:t>base,</w:t>
            </w:r>
            <w:r w:rsidR="00DF7DCC" w:rsidRPr="00D86314">
              <w:rPr>
                <w:noProof/>
                <w:sz w:val="20"/>
                <w:szCs w:val="20"/>
              </w:rPr>
              <w:t>)</w:t>
            </w:r>
          </w:p>
          <w:p w14:paraId="7DEE192C" w14:textId="7AAD8C33" w:rsidR="00DF7DCC" w:rsidRPr="00D86314" w:rsidRDefault="00DF7DCC" w:rsidP="001A6767">
            <w:pPr>
              <w:rPr>
                <w:noProof/>
                <w:sz w:val="20"/>
                <w:szCs w:val="20"/>
              </w:rPr>
            </w:pPr>
          </w:p>
        </w:tc>
        <w:tc>
          <w:tcPr>
            <w:tcW w:w="689" w:type="pct"/>
            <w:tcMar>
              <w:top w:w="57" w:type="dxa"/>
              <w:left w:w="57" w:type="dxa"/>
              <w:bottom w:w="57" w:type="dxa"/>
              <w:right w:w="57" w:type="dxa"/>
            </w:tcMar>
          </w:tcPr>
          <w:p w14:paraId="77F2D7C6" w14:textId="40F002BC" w:rsidR="00DF7DCC" w:rsidRPr="00D86314" w:rsidRDefault="00DF7DCC" w:rsidP="001A6767">
            <w:pPr>
              <w:rPr>
                <w:noProof/>
                <w:sz w:val="20"/>
                <w:szCs w:val="20"/>
              </w:rPr>
            </w:pPr>
            <w:r w:rsidRPr="00D86314">
              <w:rPr>
                <w:noProof/>
                <w:sz w:val="20"/>
                <w:szCs w:val="20"/>
              </w:rPr>
              <w:t>Moderate (</w:t>
            </w:r>
            <w:r w:rsidR="004205C7" w:rsidRPr="00D86314">
              <w:rPr>
                <w:noProof/>
                <w:sz w:val="20"/>
                <w:szCs w:val="20"/>
              </w:rPr>
              <w:t xml:space="preserve">continued adaptation to </w:t>
            </w:r>
            <w:r w:rsidR="003F17E8" w:rsidRPr="00D86314">
              <w:rPr>
                <w:noProof/>
                <w:sz w:val="20"/>
                <w:szCs w:val="20"/>
              </w:rPr>
              <w:t xml:space="preserve">EC </w:t>
            </w:r>
            <w:r w:rsidR="007F31BB" w:rsidRPr="00D86314">
              <w:rPr>
                <w:noProof/>
                <w:sz w:val="20"/>
                <w:szCs w:val="20"/>
              </w:rPr>
              <w:t xml:space="preserve">recommendations and decisions </w:t>
            </w:r>
            <w:r w:rsidR="00411D7D" w:rsidRPr="00D86314">
              <w:rPr>
                <w:noProof/>
                <w:sz w:val="20"/>
                <w:szCs w:val="20"/>
              </w:rPr>
              <w:t xml:space="preserve">addressing </w:t>
            </w:r>
            <w:r w:rsidR="00BA0AC9" w:rsidRPr="00D86314">
              <w:rPr>
                <w:noProof/>
                <w:sz w:val="20"/>
                <w:szCs w:val="20"/>
              </w:rPr>
              <w:t>authorisation process</w:t>
            </w:r>
            <w:r w:rsidR="008C5FFD" w:rsidRPr="00D86314">
              <w:rPr>
                <w:noProof/>
                <w:sz w:val="20"/>
                <w:szCs w:val="20"/>
              </w:rPr>
              <w:t xml:space="preserve"> aspects and conditions, authorisation re</w:t>
            </w:r>
            <w:r w:rsidR="00856D5D" w:rsidRPr="00D86314">
              <w:rPr>
                <w:noProof/>
                <w:sz w:val="20"/>
                <w:szCs w:val="20"/>
              </w:rPr>
              <w:t>gimes</w:t>
            </w:r>
            <w:r w:rsidR="000968E5" w:rsidRPr="00D86314">
              <w:rPr>
                <w:noProof/>
                <w:sz w:val="20"/>
                <w:szCs w:val="20"/>
              </w:rPr>
              <w:t xml:space="preserve">, </w:t>
            </w:r>
            <w:r w:rsidR="00E32AA4" w:rsidRPr="00D86314">
              <w:rPr>
                <w:noProof/>
                <w:sz w:val="20"/>
                <w:szCs w:val="20"/>
              </w:rPr>
              <w:t xml:space="preserve">spectrum </w:t>
            </w:r>
            <w:r w:rsidR="005C4D75" w:rsidRPr="00D86314">
              <w:rPr>
                <w:noProof/>
                <w:sz w:val="20"/>
                <w:szCs w:val="20"/>
              </w:rPr>
              <w:t>Single Market procedure</w:t>
            </w:r>
            <w:r w:rsidR="00E32AA4" w:rsidRPr="00D86314">
              <w:rPr>
                <w:noProof/>
                <w:sz w:val="20"/>
                <w:szCs w:val="20"/>
              </w:rPr>
              <w:t xml:space="preserve">, </w:t>
            </w:r>
            <w:r w:rsidR="000968E5" w:rsidRPr="00D86314">
              <w:rPr>
                <w:noProof/>
                <w:sz w:val="20"/>
                <w:szCs w:val="20"/>
              </w:rPr>
              <w:t xml:space="preserve">updating EU spectrum </w:t>
            </w:r>
            <w:r w:rsidR="00530B2B" w:rsidRPr="00D86314">
              <w:rPr>
                <w:noProof/>
                <w:sz w:val="20"/>
                <w:szCs w:val="20"/>
              </w:rPr>
              <w:t>strategy /</w:t>
            </w:r>
            <w:r w:rsidR="000968E5" w:rsidRPr="00D86314">
              <w:rPr>
                <w:noProof/>
                <w:sz w:val="20"/>
                <w:szCs w:val="20"/>
              </w:rPr>
              <w:t>roadmap</w:t>
            </w:r>
            <w:r w:rsidR="00530B2B" w:rsidRPr="00D86314">
              <w:rPr>
                <w:noProof/>
                <w:sz w:val="20"/>
                <w:szCs w:val="20"/>
              </w:rPr>
              <w:t>s</w:t>
            </w:r>
            <w:r w:rsidR="000968E5" w:rsidRPr="00D86314">
              <w:rPr>
                <w:noProof/>
                <w:sz w:val="20"/>
                <w:szCs w:val="20"/>
              </w:rPr>
              <w:t xml:space="preserve"> and national roadmaps</w:t>
            </w:r>
            <w:r w:rsidR="001859E6" w:rsidRPr="00D86314">
              <w:rPr>
                <w:noProof/>
                <w:sz w:val="20"/>
                <w:szCs w:val="20"/>
              </w:rPr>
              <w:t xml:space="preserve">, including </w:t>
            </w:r>
            <w:r w:rsidR="000C73E4" w:rsidRPr="00D86314">
              <w:rPr>
                <w:noProof/>
                <w:sz w:val="20"/>
                <w:szCs w:val="20"/>
              </w:rPr>
              <w:t>after successful petition</w:t>
            </w:r>
            <w:r w:rsidRPr="00D86314">
              <w:rPr>
                <w:noProof/>
                <w:sz w:val="20"/>
                <w:szCs w:val="20"/>
              </w:rPr>
              <w:t>)</w:t>
            </w:r>
          </w:p>
          <w:p w14:paraId="3248B67B" w14:textId="451E1E34" w:rsidR="00DF7DCC" w:rsidRPr="00D86314" w:rsidRDefault="001E274D" w:rsidP="001A6767">
            <w:pPr>
              <w:rPr>
                <w:noProof/>
                <w:sz w:val="20"/>
                <w:szCs w:val="20"/>
              </w:rPr>
            </w:pPr>
            <w:r w:rsidRPr="00D86314">
              <w:rPr>
                <w:noProof/>
                <w:sz w:val="20"/>
                <w:szCs w:val="20"/>
              </w:rPr>
              <w:t>At EU level for all spectrum measures (</w:t>
            </w:r>
            <w:r w:rsidR="004A2966" w:rsidRPr="00D86314">
              <w:rPr>
                <w:noProof/>
                <w:sz w:val="20"/>
                <w:szCs w:val="20"/>
              </w:rPr>
              <w:t xml:space="preserve">listed </w:t>
            </w:r>
            <w:r w:rsidR="00052B6C" w:rsidRPr="00D86314">
              <w:rPr>
                <w:noProof/>
                <w:sz w:val="20"/>
                <w:szCs w:val="20"/>
              </w:rPr>
              <w:t>above</w:t>
            </w:r>
            <w:r w:rsidR="004A2966" w:rsidRPr="00D86314">
              <w:rPr>
                <w:noProof/>
                <w:sz w:val="20"/>
                <w:szCs w:val="20"/>
              </w:rPr>
              <w:t xml:space="preserve"> </w:t>
            </w:r>
            <w:r w:rsidR="00052B6C" w:rsidRPr="00D86314">
              <w:rPr>
                <w:noProof/>
                <w:sz w:val="20"/>
                <w:szCs w:val="20"/>
              </w:rPr>
              <w:t xml:space="preserve">and also </w:t>
            </w:r>
            <w:r w:rsidRPr="00D86314">
              <w:rPr>
                <w:noProof/>
                <w:sz w:val="20"/>
                <w:szCs w:val="20"/>
              </w:rPr>
              <w:t xml:space="preserve">including satellite spectrum authorisation below) a progressive </w:t>
            </w:r>
            <w:r w:rsidR="009711AF" w:rsidRPr="00D86314">
              <w:rPr>
                <w:noProof/>
                <w:sz w:val="20"/>
                <w:szCs w:val="20"/>
              </w:rPr>
              <w:t xml:space="preserve">yearly </w:t>
            </w:r>
            <w:r w:rsidRPr="00D86314">
              <w:rPr>
                <w:noProof/>
                <w:sz w:val="20"/>
                <w:szCs w:val="20"/>
              </w:rPr>
              <w:t xml:space="preserve">growth to additional </w:t>
            </w:r>
            <w:r w:rsidR="004A19BF" w:rsidRPr="00D86314">
              <w:rPr>
                <w:noProof/>
                <w:sz w:val="20"/>
                <w:szCs w:val="20"/>
              </w:rPr>
              <w:t>10</w:t>
            </w:r>
            <w:r w:rsidRPr="00D86314">
              <w:rPr>
                <w:noProof/>
                <w:sz w:val="20"/>
                <w:szCs w:val="20"/>
              </w:rPr>
              <w:t xml:space="preserve"> FTE for EC (approx. </w:t>
            </w:r>
            <w:r w:rsidR="005E236B" w:rsidRPr="00D86314">
              <w:rPr>
                <w:noProof/>
                <w:sz w:val="20"/>
                <w:szCs w:val="20"/>
              </w:rPr>
              <w:t>EUR</w:t>
            </w:r>
            <w:r w:rsidR="0055232C" w:rsidRPr="00D86314">
              <w:rPr>
                <w:noProof/>
                <w:sz w:val="20"/>
                <w:szCs w:val="20"/>
              </w:rPr>
              <w:t> </w:t>
            </w:r>
            <w:r w:rsidR="009168FB" w:rsidRPr="00D86314">
              <w:rPr>
                <w:noProof/>
                <w:sz w:val="20"/>
                <w:szCs w:val="20"/>
              </w:rPr>
              <w:t>768</w:t>
            </w:r>
            <w:r w:rsidR="006E4019">
              <w:rPr>
                <w:noProof/>
                <w:sz w:val="20"/>
                <w:szCs w:val="20"/>
              </w:rPr>
              <w:t>,</w:t>
            </w:r>
            <w:r w:rsidR="009168FB" w:rsidRPr="00D86314">
              <w:rPr>
                <w:noProof/>
                <w:sz w:val="20"/>
                <w:szCs w:val="20"/>
              </w:rPr>
              <w:t>000</w:t>
            </w:r>
            <w:r w:rsidRPr="00D86314">
              <w:rPr>
                <w:noProof/>
                <w:sz w:val="20"/>
                <w:szCs w:val="20"/>
              </w:rPr>
              <w:t xml:space="preserve">) and 15 FTE for  BEREC Office  (approx. </w:t>
            </w:r>
            <w:r w:rsidR="00E16A39" w:rsidRPr="00D86314">
              <w:rPr>
                <w:noProof/>
                <w:sz w:val="20"/>
                <w:szCs w:val="20"/>
              </w:rPr>
              <w:t>EUR</w:t>
            </w:r>
            <w:r w:rsidR="00A405A2" w:rsidRPr="00D86314">
              <w:rPr>
                <w:noProof/>
                <w:sz w:val="20"/>
                <w:szCs w:val="20"/>
              </w:rPr>
              <w:t> </w:t>
            </w:r>
            <w:r w:rsidR="00120972" w:rsidRPr="00D86314">
              <w:rPr>
                <w:noProof/>
                <w:sz w:val="20"/>
                <w:szCs w:val="20"/>
              </w:rPr>
              <w:t>1.</w:t>
            </w:r>
            <w:r w:rsidR="00A35A53" w:rsidRPr="00D86314">
              <w:rPr>
                <w:noProof/>
                <w:sz w:val="20"/>
                <w:szCs w:val="20"/>
              </w:rPr>
              <w:t>8</w:t>
            </w:r>
            <w:r w:rsidR="00120972" w:rsidRPr="00D86314">
              <w:rPr>
                <w:noProof/>
                <w:sz w:val="20"/>
                <w:szCs w:val="20"/>
              </w:rPr>
              <w:t xml:space="preserve"> m</w:t>
            </w:r>
            <w:r w:rsidR="00AD270A" w:rsidRPr="00D86314">
              <w:rPr>
                <w:noProof/>
                <w:sz w:val="20"/>
                <w:szCs w:val="20"/>
              </w:rPr>
              <w:t xml:space="preserve"> in </w:t>
            </w:r>
            <w:r w:rsidR="007A1148" w:rsidRPr="00D86314">
              <w:rPr>
                <w:noProof/>
                <w:sz w:val="20"/>
                <w:szCs w:val="20"/>
              </w:rPr>
              <w:t xml:space="preserve">the first </w:t>
            </w:r>
            <w:r w:rsidR="00AD270A" w:rsidRPr="00D86314">
              <w:rPr>
                <w:noProof/>
                <w:sz w:val="20"/>
                <w:szCs w:val="20"/>
              </w:rPr>
              <w:t>year up to</w:t>
            </w:r>
            <w:r w:rsidRPr="00D86314">
              <w:rPr>
                <w:noProof/>
                <w:sz w:val="20"/>
                <w:szCs w:val="20"/>
              </w:rPr>
              <w:t xml:space="preserve"> EUR</w:t>
            </w:r>
            <w:r w:rsidR="0055232C" w:rsidRPr="00D86314">
              <w:rPr>
                <w:noProof/>
                <w:sz w:val="20"/>
                <w:szCs w:val="20"/>
              </w:rPr>
              <w:t> </w:t>
            </w:r>
            <w:r w:rsidR="00AD270A" w:rsidRPr="00D86314">
              <w:rPr>
                <w:noProof/>
                <w:sz w:val="20"/>
                <w:szCs w:val="20"/>
              </w:rPr>
              <w:t>3.4</w:t>
            </w:r>
            <w:r w:rsidR="002A42CF" w:rsidRPr="00D86314">
              <w:rPr>
                <w:noProof/>
                <w:sz w:val="20"/>
                <w:szCs w:val="20"/>
              </w:rPr>
              <w:t xml:space="preserve"> </w:t>
            </w:r>
            <w:r w:rsidR="00AD270A" w:rsidRPr="00D86314">
              <w:rPr>
                <w:noProof/>
                <w:sz w:val="20"/>
                <w:szCs w:val="20"/>
              </w:rPr>
              <w:t>m</w:t>
            </w:r>
            <w:r w:rsidR="006E4019">
              <w:rPr>
                <w:noProof/>
                <w:sz w:val="20"/>
                <w:szCs w:val="20"/>
              </w:rPr>
              <w:t xml:space="preserve"> </w:t>
            </w:r>
            <w:r w:rsidR="00AD270A" w:rsidRPr="00D86314">
              <w:rPr>
                <w:noProof/>
                <w:sz w:val="20"/>
                <w:szCs w:val="20"/>
              </w:rPr>
              <w:t>in year 2034</w:t>
            </w:r>
            <w:r w:rsidRPr="00D86314">
              <w:rPr>
                <w:noProof/>
                <w:sz w:val="20"/>
                <w:szCs w:val="20"/>
              </w:rPr>
              <w:t xml:space="preserve">) is to be considered and is quantified in the governance section. </w:t>
            </w:r>
          </w:p>
        </w:tc>
      </w:tr>
      <w:tr w:rsidR="006F058A" w:rsidRPr="00D86314" w14:paraId="3E11CCD6" w14:textId="77777777" w:rsidTr="00F63546">
        <w:trPr>
          <w:trHeight w:val="307"/>
        </w:trPr>
        <w:tc>
          <w:tcPr>
            <w:tcW w:w="379" w:type="pct"/>
            <w:vMerge/>
            <w:tcMar>
              <w:top w:w="57" w:type="dxa"/>
              <w:left w:w="57" w:type="dxa"/>
              <w:bottom w:w="57" w:type="dxa"/>
              <w:right w:w="57" w:type="dxa"/>
            </w:tcMar>
            <w:vAlign w:val="center"/>
          </w:tcPr>
          <w:p w14:paraId="09AF21E1" w14:textId="77777777" w:rsidR="00DF7DCC" w:rsidRPr="00D86314" w:rsidRDefault="00DF7DCC" w:rsidP="001A6767">
            <w:pPr>
              <w:rPr>
                <w:noProof/>
                <w:sz w:val="20"/>
                <w:szCs w:val="20"/>
              </w:rPr>
            </w:pPr>
          </w:p>
        </w:tc>
        <w:tc>
          <w:tcPr>
            <w:tcW w:w="765" w:type="pct"/>
            <w:tcBorders>
              <w:right w:val="double" w:sz="4" w:space="0" w:color="auto"/>
            </w:tcBorders>
            <w:tcMar>
              <w:top w:w="57" w:type="dxa"/>
              <w:left w:w="57" w:type="dxa"/>
              <w:bottom w:w="57" w:type="dxa"/>
              <w:right w:w="57" w:type="dxa"/>
            </w:tcMar>
            <w:vAlign w:val="center"/>
          </w:tcPr>
          <w:p w14:paraId="1EB36093" w14:textId="77777777" w:rsidR="00DF7DCC" w:rsidRPr="00D86314" w:rsidRDefault="00DF7DCC" w:rsidP="001A6767">
            <w:pPr>
              <w:rPr>
                <w:noProof/>
                <w:sz w:val="20"/>
                <w:szCs w:val="20"/>
              </w:rPr>
            </w:pPr>
            <w:r w:rsidRPr="00D86314">
              <w:rPr>
                <w:noProof/>
                <w:sz w:val="20"/>
                <w:szCs w:val="20"/>
              </w:rPr>
              <w:t>Direct administrative costs</w:t>
            </w:r>
          </w:p>
        </w:tc>
        <w:tc>
          <w:tcPr>
            <w:tcW w:w="524" w:type="pct"/>
            <w:tcBorders>
              <w:left w:val="double" w:sz="4" w:space="0" w:color="auto"/>
            </w:tcBorders>
            <w:tcMar>
              <w:top w:w="57" w:type="dxa"/>
              <w:left w:w="57" w:type="dxa"/>
              <w:bottom w:w="57" w:type="dxa"/>
              <w:right w:w="57" w:type="dxa"/>
            </w:tcMar>
          </w:tcPr>
          <w:p w14:paraId="628CA4D7" w14:textId="77777777" w:rsidR="00DF7DCC" w:rsidRPr="00D86314" w:rsidRDefault="00DF7DCC" w:rsidP="001A6767">
            <w:pPr>
              <w:rPr>
                <w:noProof/>
                <w:sz w:val="20"/>
                <w:szCs w:val="20"/>
              </w:rPr>
            </w:pPr>
            <w:r w:rsidRPr="00D86314">
              <w:rPr>
                <w:noProof/>
                <w:sz w:val="20"/>
                <w:szCs w:val="20"/>
              </w:rPr>
              <w:t>–</w:t>
            </w:r>
          </w:p>
        </w:tc>
        <w:tc>
          <w:tcPr>
            <w:tcW w:w="666" w:type="pct"/>
            <w:tcMar>
              <w:top w:w="57" w:type="dxa"/>
              <w:left w:w="57" w:type="dxa"/>
              <w:bottom w:w="57" w:type="dxa"/>
              <w:right w:w="57" w:type="dxa"/>
            </w:tcMar>
          </w:tcPr>
          <w:p w14:paraId="489CCA36" w14:textId="77777777" w:rsidR="00DF7DCC" w:rsidRPr="00D86314" w:rsidRDefault="00DF7DCC" w:rsidP="001A6767">
            <w:pPr>
              <w:rPr>
                <w:noProof/>
                <w:sz w:val="20"/>
                <w:szCs w:val="20"/>
              </w:rPr>
            </w:pPr>
            <w:r w:rsidRPr="00D86314">
              <w:rPr>
                <w:noProof/>
                <w:sz w:val="20"/>
                <w:szCs w:val="20"/>
              </w:rPr>
              <w:t>–</w:t>
            </w:r>
          </w:p>
        </w:tc>
        <w:tc>
          <w:tcPr>
            <w:tcW w:w="653" w:type="pct"/>
            <w:tcMar>
              <w:top w:w="57" w:type="dxa"/>
              <w:left w:w="57" w:type="dxa"/>
              <w:bottom w:w="57" w:type="dxa"/>
              <w:right w:w="57" w:type="dxa"/>
            </w:tcMar>
          </w:tcPr>
          <w:p w14:paraId="420647FE" w14:textId="77777777" w:rsidR="00DF7DCC" w:rsidRPr="00D86314" w:rsidRDefault="00DF7DCC" w:rsidP="001A6767">
            <w:pPr>
              <w:rPr>
                <w:noProof/>
                <w:sz w:val="20"/>
                <w:szCs w:val="20"/>
              </w:rPr>
            </w:pPr>
            <w:r w:rsidRPr="00D86314">
              <w:rPr>
                <w:noProof/>
                <w:sz w:val="20"/>
                <w:szCs w:val="20"/>
              </w:rPr>
              <w:t>–</w:t>
            </w:r>
          </w:p>
        </w:tc>
        <w:tc>
          <w:tcPr>
            <w:tcW w:w="652" w:type="pct"/>
            <w:tcMar>
              <w:top w:w="57" w:type="dxa"/>
              <w:left w:w="57" w:type="dxa"/>
              <w:bottom w:w="57" w:type="dxa"/>
              <w:right w:w="57" w:type="dxa"/>
            </w:tcMar>
          </w:tcPr>
          <w:p w14:paraId="0604B4F7" w14:textId="77777777" w:rsidR="00DF7DCC" w:rsidRPr="00D86314" w:rsidRDefault="00DF7DCC" w:rsidP="001A6767">
            <w:pPr>
              <w:rPr>
                <w:noProof/>
                <w:sz w:val="20"/>
                <w:szCs w:val="20"/>
              </w:rPr>
            </w:pPr>
            <w:r w:rsidRPr="00D86314">
              <w:rPr>
                <w:noProof/>
                <w:sz w:val="20"/>
                <w:szCs w:val="20"/>
              </w:rPr>
              <w:t>–</w:t>
            </w:r>
          </w:p>
        </w:tc>
        <w:tc>
          <w:tcPr>
            <w:tcW w:w="671" w:type="pct"/>
            <w:tcMar>
              <w:top w:w="57" w:type="dxa"/>
              <w:left w:w="57" w:type="dxa"/>
              <w:bottom w:w="57" w:type="dxa"/>
              <w:right w:w="57" w:type="dxa"/>
            </w:tcMar>
          </w:tcPr>
          <w:p w14:paraId="7D9F2B76" w14:textId="16CB9832" w:rsidR="00DF7DCC" w:rsidRPr="00D86314" w:rsidRDefault="00DF7DCC" w:rsidP="001A6767">
            <w:pPr>
              <w:rPr>
                <w:noProof/>
                <w:sz w:val="20"/>
                <w:szCs w:val="20"/>
              </w:rPr>
            </w:pPr>
            <w:r w:rsidRPr="00D86314">
              <w:rPr>
                <w:noProof/>
                <w:sz w:val="20"/>
                <w:szCs w:val="20"/>
              </w:rPr>
              <w:t xml:space="preserve">Moderate (public consultation, review of petitions, </w:t>
            </w:r>
            <w:r w:rsidR="00997808" w:rsidRPr="00D86314">
              <w:rPr>
                <w:noProof/>
                <w:sz w:val="20"/>
                <w:szCs w:val="20"/>
              </w:rPr>
              <w:t>spectrum scrutiny</w:t>
            </w:r>
            <w:r w:rsidR="0094653C" w:rsidRPr="00D86314">
              <w:rPr>
                <w:noProof/>
                <w:sz w:val="20"/>
                <w:szCs w:val="20"/>
              </w:rPr>
              <w:t xml:space="preserve"> implementatio</w:t>
            </w:r>
            <w:r w:rsidR="00DD6A92" w:rsidRPr="00D86314">
              <w:rPr>
                <w:noProof/>
                <w:sz w:val="20"/>
                <w:szCs w:val="20"/>
              </w:rPr>
              <w:t>n</w:t>
            </w:r>
            <w:r w:rsidRPr="00D86314">
              <w:rPr>
                <w:noProof/>
                <w:sz w:val="20"/>
                <w:szCs w:val="20"/>
              </w:rPr>
              <w:t>)</w:t>
            </w:r>
          </w:p>
        </w:tc>
        <w:tc>
          <w:tcPr>
            <w:tcW w:w="689" w:type="pct"/>
            <w:tcMar>
              <w:top w:w="57" w:type="dxa"/>
              <w:left w:w="57" w:type="dxa"/>
              <w:bottom w:w="57" w:type="dxa"/>
              <w:right w:w="57" w:type="dxa"/>
            </w:tcMar>
          </w:tcPr>
          <w:p w14:paraId="5E5355DC" w14:textId="71FBC1F9" w:rsidR="00DF7DCC" w:rsidRPr="00D86314" w:rsidRDefault="00DF7DCC" w:rsidP="001A6767">
            <w:pPr>
              <w:rPr>
                <w:noProof/>
                <w:sz w:val="20"/>
                <w:szCs w:val="20"/>
              </w:rPr>
            </w:pPr>
            <w:r w:rsidRPr="00D86314">
              <w:rPr>
                <w:noProof/>
                <w:sz w:val="20"/>
                <w:szCs w:val="20"/>
              </w:rPr>
              <w:t>Moderate (licensing support and stakeholder engagement</w:t>
            </w:r>
            <w:r w:rsidR="0054607E" w:rsidRPr="00D86314">
              <w:rPr>
                <w:noProof/>
                <w:sz w:val="20"/>
                <w:szCs w:val="20"/>
              </w:rPr>
              <w:t>, contribution to RSPG-work,</w:t>
            </w:r>
            <w:r w:rsidRPr="00D86314">
              <w:rPr>
                <w:noProof/>
                <w:sz w:val="20"/>
                <w:szCs w:val="20"/>
              </w:rPr>
              <w:t>)</w:t>
            </w:r>
          </w:p>
        </w:tc>
      </w:tr>
      <w:tr w:rsidR="006F058A" w:rsidRPr="00D86314" w14:paraId="6FE9FBBD" w14:textId="77777777" w:rsidTr="00F63546">
        <w:trPr>
          <w:trHeight w:val="307"/>
        </w:trPr>
        <w:tc>
          <w:tcPr>
            <w:tcW w:w="379" w:type="pct"/>
            <w:vMerge/>
            <w:tcMar>
              <w:top w:w="57" w:type="dxa"/>
              <w:left w:w="57" w:type="dxa"/>
              <w:bottom w:w="57" w:type="dxa"/>
              <w:right w:w="57" w:type="dxa"/>
            </w:tcMar>
            <w:vAlign w:val="center"/>
          </w:tcPr>
          <w:p w14:paraId="4BEC0782" w14:textId="77777777" w:rsidR="00DF7DCC" w:rsidRPr="00D86314" w:rsidRDefault="00DF7DCC" w:rsidP="001A6767">
            <w:pPr>
              <w:rPr>
                <w:noProof/>
                <w:sz w:val="20"/>
                <w:szCs w:val="20"/>
              </w:rPr>
            </w:pPr>
          </w:p>
        </w:tc>
        <w:tc>
          <w:tcPr>
            <w:tcW w:w="765" w:type="pct"/>
            <w:tcBorders>
              <w:right w:val="double" w:sz="4" w:space="0" w:color="auto"/>
            </w:tcBorders>
            <w:tcMar>
              <w:top w:w="57" w:type="dxa"/>
              <w:left w:w="57" w:type="dxa"/>
              <w:bottom w:w="57" w:type="dxa"/>
              <w:right w:w="57" w:type="dxa"/>
            </w:tcMar>
            <w:vAlign w:val="center"/>
          </w:tcPr>
          <w:p w14:paraId="38E8D0EE" w14:textId="77777777" w:rsidR="00DF7DCC" w:rsidRPr="00D86314" w:rsidRDefault="00DF7DCC" w:rsidP="001A6767">
            <w:pPr>
              <w:rPr>
                <w:noProof/>
                <w:sz w:val="20"/>
                <w:szCs w:val="20"/>
              </w:rPr>
            </w:pPr>
            <w:r w:rsidRPr="00D86314">
              <w:rPr>
                <w:noProof/>
                <w:sz w:val="20"/>
                <w:szCs w:val="20"/>
              </w:rPr>
              <w:t>Direct regulatory fees and charges</w:t>
            </w:r>
          </w:p>
        </w:tc>
        <w:tc>
          <w:tcPr>
            <w:tcW w:w="524" w:type="pct"/>
            <w:tcBorders>
              <w:left w:val="double" w:sz="4" w:space="0" w:color="auto"/>
            </w:tcBorders>
            <w:tcMar>
              <w:top w:w="57" w:type="dxa"/>
              <w:left w:w="57" w:type="dxa"/>
              <w:bottom w:w="57" w:type="dxa"/>
              <w:right w:w="57" w:type="dxa"/>
            </w:tcMar>
          </w:tcPr>
          <w:p w14:paraId="56A417F8" w14:textId="77777777" w:rsidR="00DF7DCC" w:rsidRPr="00D86314" w:rsidRDefault="00DF7DCC" w:rsidP="001A6767">
            <w:pPr>
              <w:rPr>
                <w:noProof/>
                <w:sz w:val="20"/>
                <w:szCs w:val="20"/>
              </w:rPr>
            </w:pPr>
            <w:r w:rsidRPr="00D86314">
              <w:rPr>
                <w:noProof/>
                <w:sz w:val="20"/>
                <w:szCs w:val="20"/>
              </w:rPr>
              <w:t>–</w:t>
            </w:r>
          </w:p>
        </w:tc>
        <w:tc>
          <w:tcPr>
            <w:tcW w:w="666" w:type="pct"/>
            <w:tcMar>
              <w:top w:w="57" w:type="dxa"/>
              <w:left w:w="57" w:type="dxa"/>
              <w:bottom w:w="57" w:type="dxa"/>
              <w:right w:w="57" w:type="dxa"/>
            </w:tcMar>
          </w:tcPr>
          <w:p w14:paraId="7038794E" w14:textId="77777777" w:rsidR="00DF7DCC" w:rsidRPr="00D86314" w:rsidRDefault="00DF7DCC" w:rsidP="001A6767">
            <w:pPr>
              <w:rPr>
                <w:noProof/>
                <w:sz w:val="20"/>
                <w:szCs w:val="20"/>
              </w:rPr>
            </w:pPr>
            <w:r w:rsidRPr="00D86314">
              <w:rPr>
                <w:noProof/>
                <w:sz w:val="20"/>
                <w:szCs w:val="20"/>
              </w:rPr>
              <w:t>–</w:t>
            </w:r>
          </w:p>
        </w:tc>
        <w:tc>
          <w:tcPr>
            <w:tcW w:w="653" w:type="pct"/>
            <w:tcMar>
              <w:top w:w="57" w:type="dxa"/>
              <w:left w:w="57" w:type="dxa"/>
              <w:bottom w:w="57" w:type="dxa"/>
              <w:right w:w="57" w:type="dxa"/>
            </w:tcMar>
          </w:tcPr>
          <w:p w14:paraId="41929AF9" w14:textId="77777777" w:rsidR="00DF7DCC" w:rsidRPr="00D86314" w:rsidRDefault="00DF7DCC" w:rsidP="001A6767">
            <w:pPr>
              <w:rPr>
                <w:noProof/>
                <w:sz w:val="20"/>
                <w:szCs w:val="20"/>
              </w:rPr>
            </w:pPr>
            <w:r w:rsidRPr="00D86314">
              <w:rPr>
                <w:noProof/>
                <w:sz w:val="20"/>
                <w:szCs w:val="20"/>
              </w:rPr>
              <w:t>–</w:t>
            </w:r>
          </w:p>
        </w:tc>
        <w:tc>
          <w:tcPr>
            <w:tcW w:w="652" w:type="pct"/>
            <w:tcMar>
              <w:top w:w="57" w:type="dxa"/>
              <w:left w:w="57" w:type="dxa"/>
              <w:bottom w:w="57" w:type="dxa"/>
              <w:right w:w="57" w:type="dxa"/>
            </w:tcMar>
          </w:tcPr>
          <w:p w14:paraId="30502331" w14:textId="77777777" w:rsidR="00DF7DCC" w:rsidRPr="00D86314" w:rsidRDefault="00DF7DCC" w:rsidP="001A6767">
            <w:pPr>
              <w:rPr>
                <w:noProof/>
                <w:sz w:val="20"/>
                <w:szCs w:val="20"/>
              </w:rPr>
            </w:pPr>
            <w:r w:rsidRPr="00D86314">
              <w:rPr>
                <w:noProof/>
                <w:sz w:val="20"/>
                <w:szCs w:val="20"/>
              </w:rPr>
              <w:t>–</w:t>
            </w:r>
          </w:p>
        </w:tc>
        <w:tc>
          <w:tcPr>
            <w:tcW w:w="671" w:type="pct"/>
            <w:tcMar>
              <w:top w:w="57" w:type="dxa"/>
              <w:left w:w="57" w:type="dxa"/>
              <w:bottom w:w="57" w:type="dxa"/>
              <w:right w:w="57" w:type="dxa"/>
            </w:tcMar>
          </w:tcPr>
          <w:p w14:paraId="0D62D563" w14:textId="77777777" w:rsidR="00DF7DCC" w:rsidRPr="00D86314" w:rsidRDefault="00DF7DCC" w:rsidP="001A6767">
            <w:pPr>
              <w:rPr>
                <w:noProof/>
                <w:sz w:val="20"/>
                <w:szCs w:val="20"/>
              </w:rPr>
            </w:pPr>
            <w:r w:rsidRPr="00D86314">
              <w:rPr>
                <w:noProof/>
                <w:sz w:val="20"/>
                <w:szCs w:val="20"/>
              </w:rPr>
              <w:t>–</w:t>
            </w:r>
          </w:p>
        </w:tc>
        <w:tc>
          <w:tcPr>
            <w:tcW w:w="689" w:type="pct"/>
            <w:tcMar>
              <w:top w:w="57" w:type="dxa"/>
              <w:left w:w="57" w:type="dxa"/>
              <w:bottom w:w="57" w:type="dxa"/>
              <w:right w:w="57" w:type="dxa"/>
            </w:tcMar>
          </w:tcPr>
          <w:p w14:paraId="23A0EE7D" w14:textId="1B9A872A" w:rsidR="00DF7DCC" w:rsidRPr="00D86314" w:rsidRDefault="00DF7DCC" w:rsidP="001A6767">
            <w:pPr>
              <w:rPr>
                <w:noProof/>
                <w:sz w:val="20"/>
                <w:szCs w:val="20"/>
              </w:rPr>
            </w:pPr>
            <w:r w:rsidRPr="00D86314">
              <w:rPr>
                <w:noProof/>
                <w:sz w:val="20"/>
                <w:szCs w:val="20"/>
              </w:rPr>
              <w:t xml:space="preserve">Low (spectrum levies may slightly increase to cover </w:t>
            </w:r>
            <w:r w:rsidR="00AA2132" w:rsidRPr="00D86314">
              <w:rPr>
                <w:noProof/>
                <w:sz w:val="20"/>
                <w:szCs w:val="20"/>
              </w:rPr>
              <w:t xml:space="preserve">NCA </w:t>
            </w:r>
            <w:r w:rsidRPr="00D86314">
              <w:rPr>
                <w:noProof/>
                <w:sz w:val="20"/>
                <w:szCs w:val="20"/>
              </w:rPr>
              <w:t>admin tasks)</w:t>
            </w:r>
          </w:p>
        </w:tc>
      </w:tr>
      <w:tr w:rsidR="006F058A" w:rsidRPr="00D86314" w14:paraId="0C4503DF" w14:textId="77777777" w:rsidTr="00F63546">
        <w:trPr>
          <w:trHeight w:val="307"/>
        </w:trPr>
        <w:tc>
          <w:tcPr>
            <w:tcW w:w="379" w:type="pct"/>
            <w:vMerge/>
            <w:tcMar>
              <w:top w:w="57" w:type="dxa"/>
              <w:left w:w="57" w:type="dxa"/>
              <w:bottom w:w="57" w:type="dxa"/>
              <w:right w:w="57" w:type="dxa"/>
            </w:tcMar>
            <w:vAlign w:val="center"/>
          </w:tcPr>
          <w:p w14:paraId="7E6B62B0" w14:textId="77777777" w:rsidR="00DF7DCC" w:rsidRPr="00D86314" w:rsidRDefault="00DF7DCC" w:rsidP="001A6767">
            <w:pPr>
              <w:rPr>
                <w:noProof/>
                <w:sz w:val="20"/>
                <w:szCs w:val="20"/>
              </w:rPr>
            </w:pPr>
          </w:p>
        </w:tc>
        <w:tc>
          <w:tcPr>
            <w:tcW w:w="765" w:type="pct"/>
            <w:tcBorders>
              <w:right w:val="double" w:sz="4" w:space="0" w:color="auto"/>
            </w:tcBorders>
            <w:tcMar>
              <w:top w:w="57" w:type="dxa"/>
              <w:left w:w="57" w:type="dxa"/>
              <w:bottom w:w="57" w:type="dxa"/>
              <w:right w:w="57" w:type="dxa"/>
            </w:tcMar>
            <w:vAlign w:val="center"/>
          </w:tcPr>
          <w:p w14:paraId="78B602D4" w14:textId="77777777" w:rsidR="00DF7DCC" w:rsidRPr="00D86314" w:rsidRDefault="00DF7DCC" w:rsidP="001A6767">
            <w:pPr>
              <w:rPr>
                <w:noProof/>
                <w:sz w:val="20"/>
                <w:szCs w:val="20"/>
              </w:rPr>
            </w:pPr>
            <w:r w:rsidRPr="00D86314">
              <w:rPr>
                <w:noProof/>
                <w:sz w:val="20"/>
                <w:szCs w:val="20"/>
              </w:rPr>
              <w:t>Direct enforcement costs</w:t>
            </w:r>
          </w:p>
        </w:tc>
        <w:tc>
          <w:tcPr>
            <w:tcW w:w="524" w:type="pct"/>
            <w:tcBorders>
              <w:left w:val="double" w:sz="4" w:space="0" w:color="auto"/>
            </w:tcBorders>
            <w:tcMar>
              <w:top w:w="57" w:type="dxa"/>
              <w:left w:w="57" w:type="dxa"/>
              <w:bottom w:w="57" w:type="dxa"/>
              <w:right w:w="57" w:type="dxa"/>
            </w:tcMar>
          </w:tcPr>
          <w:p w14:paraId="799779D2" w14:textId="77777777" w:rsidR="00DF7DCC" w:rsidRPr="00D86314" w:rsidRDefault="00DF7DCC" w:rsidP="001A6767">
            <w:pPr>
              <w:rPr>
                <w:noProof/>
                <w:sz w:val="20"/>
                <w:szCs w:val="20"/>
              </w:rPr>
            </w:pPr>
            <w:r w:rsidRPr="00D86314">
              <w:rPr>
                <w:noProof/>
                <w:sz w:val="20"/>
                <w:szCs w:val="20"/>
              </w:rPr>
              <w:t>–</w:t>
            </w:r>
          </w:p>
        </w:tc>
        <w:tc>
          <w:tcPr>
            <w:tcW w:w="666" w:type="pct"/>
            <w:tcMar>
              <w:top w:w="57" w:type="dxa"/>
              <w:left w:w="57" w:type="dxa"/>
              <w:bottom w:w="57" w:type="dxa"/>
              <w:right w:w="57" w:type="dxa"/>
            </w:tcMar>
          </w:tcPr>
          <w:p w14:paraId="43296267" w14:textId="77777777" w:rsidR="00DF7DCC" w:rsidRPr="00D86314" w:rsidRDefault="00DF7DCC" w:rsidP="001A6767">
            <w:pPr>
              <w:rPr>
                <w:noProof/>
                <w:sz w:val="20"/>
                <w:szCs w:val="20"/>
              </w:rPr>
            </w:pPr>
            <w:r w:rsidRPr="00D86314">
              <w:rPr>
                <w:noProof/>
                <w:sz w:val="20"/>
                <w:szCs w:val="20"/>
              </w:rPr>
              <w:t>–</w:t>
            </w:r>
          </w:p>
        </w:tc>
        <w:tc>
          <w:tcPr>
            <w:tcW w:w="653" w:type="pct"/>
            <w:tcMar>
              <w:top w:w="57" w:type="dxa"/>
              <w:left w:w="57" w:type="dxa"/>
              <w:bottom w:w="57" w:type="dxa"/>
              <w:right w:w="57" w:type="dxa"/>
            </w:tcMar>
          </w:tcPr>
          <w:p w14:paraId="25B0DFAA" w14:textId="77777777" w:rsidR="00DF7DCC" w:rsidRPr="00D86314" w:rsidRDefault="00DF7DCC" w:rsidP="001A6767">
            <w:pPr>
              <w:rPr>
                <w:noProof/>
                <w:sz w:val="20"/>
                <w:szCs w:val="20"/>
              </w:rPr>
            </w:pPr>
            <w:r w:rsidRPr="00D86314">
              <w:rPr>
                <w:noProof/>
                <w:sz w:val="20"/>
                <w:szCs w:val="20"/>
              </w:rPr>
              <w:t>–</w:t>
            </w:r>
          </w:p>
        </w:tc>
        <w:tc>
          <w:tcPr>
            <w:tcW w:w="652" w:type="pct"/>
            <w:tcMar>
              <w:top w:w="57" w:type="dxa"/>
              <w:left w:w="57" w:type="dxa"/>
              <w:bottom w:w="57" w:type="dxa"/>
              <w:right w:w="57" w:type="dxa"/>
            </w:tcMar>
          </w:tcPr>
          <w:p w14:paraId="0D8132DC" w14:textId="77777777" w:rsidR="00DF7DCC" w:rsidRPr="00D86314" w:rsidRDefault="00DF7DCC" w:rsidP="001A6767">
            <w:pPr>
              <w:rPr>
                <w:noProof/>
                <w:sz w:val="20"/>
                <w:szCs w:val="20"/>
              </w:rPr>
            </w:pPr>
            <w:r w:rsidRPr="00D86314">
              <w:rPr>
                <w:noProof/>
                <w:sz w:val="20"/>
                <w:szCs w:val="20"/>
              </w:rPr>
              <w:t>–</w:t>
            </w:r>
          </w:p>
        </w:tc>
        <w:tc>
          <w:tcPr>
            <w:tcW w:w="671" w:type="pct"/>
            <w:tcMar>
              <w:top w:w="57" w:type="dxa"/>
              <w:left w:w="57" w:type="dxa"/>
              <w:bottom w:w="57" w:type="dxa"/>
              <w:right w:w="57" w:type="dxa"/>
            </w:tcMar>
          </w:tcPr>
          <w:p w14:paraId="3088DAF2" w14:textId="174C7AF2" w:rsidR="00DF7DCC" w:rsidRPr="00D86314" w:rsidRDefault="00DF7DCC" w:rsidP="001A6767">
            <w:pPr>
              <w:rPr>
                <w:noProof/>
                <w:sz w:val="20"/>
                <w:szCs w:val="20"/>
              </w:rPr>
            </w:pPr>
            <w:r w:rsidRPr="00D86314">
              <w:rPr>
                <w:noProof/>
                <w:sz w:val="20"/>
                <w:szCs w:val="20"/>
              </w:rPr>
              <w:t>Moderate (monitoring compliance with sharing and use-it-or-lose-it rules</w:t>
            </w:r>
            <w:r w:rsidR="00393C6E" w:rsidRPr="00D86314">
              <w:rPr>
                <w:noProof/>
                <w:sz w:val="20"/>
                <w:szCs w:val="20"/>
              </w:rPr>
              <w:t xml:space="preserve">, </w:t>
            </w:r>
            <w:r w:rsidR="00871B84" w:rsidRPr="00D86314">
              <w:rPr>
                <w:noProof/>
                <w:sz w:val="20"/>
                <w:szCs w:val="20"/>
              </w:rPr>
              <w:t xml:space="preserve">with harmonising </w:t>
            </w:r>
            <w:r w:rsidR="00B27179" w:rsidRPr="00D86314">
              <w:rPr>
                <w:noProof/>
                <w:sz w:val="20"/>
                <w:szCs w:val="20"/>
              </w:rPr>
              <w:t>recommendation and decisions</w:t>
            </w:r>
            <w:r w:rsidRPr="00D86314">
              <w:rPr>
                <w:noProof/>
                <w:sz w:val="20"/>
                <w:szCs w:val="20"/>
              </w:rPr>
              <w:t>)</w:t>
            </w:r>
          </w:p>
        </w:tc>
        <w:tc>
          <w:tcPr>
            <w:tcW w:w="689" w:type="pct"/>
            <w:tcMar>
              <w:top w:w="57" w:type="dxa"/>
              <w:left w:w="57" w:type="dxa"/>
              <w:bottom w:w="57" w:type="dxa"/>
              <w:right w:w="57" w:type="dxa"/>
            </w:tcMar>
          </w:tcPr>
          <w:p w14:paraId="0D443229" w14:textId="1240174C" w:rsidR="00DF7DCC" w:rsidRPr="00D86314" w:rsidRDefault="00DF7DCC" w:rsidP="001A6767">
            <w:pPr>
              <w:rPr>
                <w:noProof/>
                <w:sz w:val="20"/>
                <w:szCs w:val="20"/>
              </w:rPr>
            </w:pPr>
            <w:r w:rsidRPr="00D86314">
              <w:rPr>
                <w:noProof/>
                <w:sz w:val="20"/>
                <w:szCs w:val="20"/>
              </w:rPr>
              <w:t>Moderate (investigation,)</w:t>
            </w:r>
          </w:p>
        </w:tc>
      </w:tr>
    </w:tbl>
    <w:p w14:paraId="5944DF76" w14:textId="77777777" w:rsidR="00647778" w:rsidRPr="00D86314" w:rsidRDefault="00647778" w:rsidP="00647778">
      <w:pPr>
        <w:rPr>
          <w:noProof/>
        </w:rPr>
      </w:pPr>
    </w:p>
    <w:p w14:paraId="3E947FB3" w14:textId="3D59E965" w:rsidR="00647778" w:rsidRPr="00D86314" w:rsidRDefault="00647778" w:rsidP="00A00C17">
      <w:pPr>
        <w:pStyle w:val="ListParagraph"/>
        <w:numPr>
          <w:ilvl w:val="0"/>
          <w:numId w:val="10"/>
        </w:numPr>
        <w:rPr>
          <w:i/>
          <w:noProof/>
          <w:sz w:val="20"/>
        </w:rPr>
      </w:pPr>
      <w:r w:rsidRPr="00D86314">
        <w:rPr>
          <w:i/>
          <w:noProof/>
          <w:sz w:val="20"/>
        </w:rPr>
        <w:t xml:space="preserve">Estimates (gross values) to be provided with respect to the baseline; (2) costs are provided for each identifiable action/obligation of the </w:t>
      </w:r>
      <w:r w:rsidRPr="00D86314">
        <w:rPr>
          <w:i/>
          <w:noProof/>
          <w:sz w:val="20"/>
          <w:u w:val="single"/>
        </w:rPr>
        <w:t>preferred</w:t>
      </w:r>
      <w:r w:rsidRPr="00D86314">
        <w:rPr>
          <w:i/>
          <w:noProof/>
          <w:sz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w:t>
      </w:r>
    </w:p>
    <w:p w14:paraId="2DF84CB9" w14:textId="47161173" w:rsidR="7AB5D12F" w:rsidRPr="00D86314" w:rsidRDefault="00BE55D8" w:rsidP="00A00C17">
      <w:pPr>
        <w:pStyle w:val="Heading2"/>
        <w:numPr>
          <w:ilvl w:val="1"/>
          <w:numId w:val="8"/>
        </w:numPr>
        <w:spacing w:after="360"/>
        <w:ind w:left="1202"/>
        <w:rPr>
          <w:noProof/>
        </w:rPr>
      </w:pPr>
      <w:bookmarkStart w:id="31" w:name="_Toc219718348"/>
      <w:r w:rsidRPr="00D86314">
        <w:rPr>
          <w:noProof/>
        </w:rPr>
        <w:t>A</w:t>
      </w:r>
      <w:r w:rsidR="7AB5D12F" w:rsidRPr="00D86314">
        <w:rPr>
          <w:noProof/>
        </w:rPr>
        <w:t>uthorisation</w:t>
      </w:r>
      <w:bookmarkEnd w:id="31"/>
      <w:r w:rsidR="7AB5D12F" w:rsidRPr="00D86314">
        <w:rPr>
          <w:noProof/>
        </w:rPr>
        <w:t xml:space="preserve"> </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359"/>
        <w:gridCol w:w="3796"/>
        <w:gridCol w:w="3427"/>
      </w:tblGrid>
      <w:tr w:rsidR="00CA2555" w:rsidRPr="00D86314" w14:paraId="48E4022D" w14:textId="77777777" w:rsidTr="1F63671A">
        <w:tc>
          <w:tcPr>
            <w:tcW w:w="5000" w:type="pct"/>
            <w:gridSpan w:val="3"/>
            <w:tcBorders>
              <w:top w:val="double" w:sz="4" w:space="0" w:color="auto"/>
              <w:bottom w:val="single" w:sz="4" w:space="0" w:color="auto"/>
            </w:tcBorders>
            <w:shd w:val="clear" w:color="auto" w:fill="C6D9F1" w:themeFill="text2" w:themeFillTint="33"/>
          </w:tcPr>
          <w:p w14:paraId="40F66DED" w14:textId="3D196C16" w:rsidR="008C05BD" w:rsidRPr="00D86314" w:rsidRDefault="008C05BD" w:rsidP="1F63671A">
            <w:pPr>
              <w:spacing w:after="0"/>
              <w:rPr>
                <w:b/>
                <w:bCs/>
                <w:noProof/>
                <w:sz w:val="20"/>
                <w:szCs w:val="20"/>
              </w:rPr>
            </w:pPr>
            <w:r w:rsidRPr="00D86314">
              <w:rPr>
                <w:b/>
                <w:bCs/>
                <w:noProof/>
                <w:sz w:val="20"/>
                <w:szCs w:val="20"/>
              </w:rPr>
              <w:t>I. Overview of Benefits (</w:t>
            </w:r>
            <w:r w:rsidR="00657E48" w:rsidRPr="00D86314">
              <w:rPr>
                <w:b/>
                <w:bCs/>
                <w:noProof/>
                <w:sz w:val="20"/>
                <w:szCs w:val="20"/>
              </w:rPr>
              <w:t>Authorisation</w:t>
            </w:r>
            <w:r w:rsidRPr="00D86314">
              <w:rPr>
                <w:b/>
                <w:bCs/>
                <w:noProof/>
                <w:sz w:val="20"/>
                <w:szCs w:val="20"/>
              </w:rPr>
              <w:t>) – Preferred Option</w:t>
            </w:r>
          </w:p>
        </w:tc>
      </w:tr>
      <w:tr w:rsidR="000C06F3" w:rsidRPr="00D86314" w14:paraId="130C89DC" w14:textId="77777777" w:rsidTr="00196549">
        <w:tc>
          <w:tcPr>
            <w:tcW w:w="1231" w:type="pct"/>
            <w:tcBorders>
              <w:top w:val="single" w:sz="4" w:space="0" w:color="auto"/>
            </w:tcBorders>
            <w:shd w:val="clear" w:color="auto" w:fill="C6D9F1" w:themeFill="text2" w:themeFillTint="33"/>
          </w:tcPr>
          <w:p w14:paraId="6E345375" w14:textId="77777777" w:rsidR="008C05BD" w:rsidRPr="00D86314" w:rsidRDefault="008C05BD">
            <w:pPr>
              <w:spacing w:after="0"/>
              <w:jc w:val="center"/>
              <w:rPr>
                <w:b/>
                <w:i/>
                <w:noProof/>
                <w:sz w:val="20"/>
              </w:rPr>
            </w:pPr>
            <w:r w:rsidRPr="00D86314">
              <w:rPr>
                <w:b/>
                <w:i/>
                <w:noProof/>
                <w:sz w:val="20"/>
              </w:rPr>
              <w:t>Description</w:t>
            </w:r>
          </w:p>
        </w:tc>
        <w:tc>
          <w:tcPr>
            <w:tcW w:w="1981" w:type="pct"/>
            <w:tcBorders>
              <w:top w:val="single" w:sz="4" w:space="0" w:color="auto"/>
            </w:tcBorders>
            <w:shd w:val="clear" w:color="auto" w:fill="C6D9F1" w:themeFill="text2" w:themeFillTint="33"/>
          </w:tcPr>
          <w:p w14:paraId="6872AAE9" w14:textId="77777777" w:rsidR="008C05BD" w:rsidRPr="00D86314" w:rsidRDefault="008C05BD">
            <w:pPr>
              <w:spacing w:after="0"/>
              <w:jc w:val="center"/>
              <w:rPr>
                <w:b/>
                <w:i/>
                <w:noProof/>
                <w:sz w:val="20"/>
              </w:rPr>
            </w:pPr>
            <w:r w:rsidRPr="00D86314">
              <w:rPr>
                <w:b/>
                <w:i/>
                <w:noProof/>
                <w:sz w:val="20"/>
              </w:rPr>
              <w:t>Amount</w:t>
            </w:r>
          </w:p>
        </w:tc>
        <w:tc>
          <w:tcPr>
            <w:tcW w:w="1788" w:type="pct"/>
            <w:tcBorders>
              <w:top w:val="single" w:sz="4" w:space="0" w:color="auto"/>
            </w:tcBorders>
            <w:shd w:val="clear" w:color="auto" w:fill="C6D9F1" w:themeFill="text2" w:themeFillTint="33"/>
            <w:tcMar>
              <w:top w:w="57" w:type="dxa"/>
              <w:left w:w="57" w:type="dxa"/>
              <w:bottom w:w="57" w:type="dxa"/>
              <w:right w:w="57" w:type="dxa"/>
            </w:tcMar>
          </w:tcPr>
          <w:p w14:paraId="12138CC8" w14:textId="77777777" w:rsidR="008C05BD" w:rsidRPr="00D86314" w:rsidRDefault="008C05BD">
            <w:pPr>
              <w:spacing w:after="0"/>
              <w:jc w:val="center"/>
              <w:rPr>
                <w:b/>
                <w:i/>
                <w:noProof/>
                <w:sz w:val="20"/>
              </w:rPr>
            </w:pPr>
            <w:r w:rsidRPr="00D86314">
              <w:rPr>
                <w:b/>
                <w:i/>
                <w:noProof/>
                <w:sz w:val="20"/>
              </w:rPr>
              <w:t>Comments</w:t>
            </w:r>
          </w:p>
        </w:tc>
      </w:tr>
      <w:tr w:rsidR="00CA2555" w:rsidRPr="00D86314" w14:paraId="2EDE0D0E" w14:textId="77777777" w:rsidTr="1F63671A">
        <w:tc>
          <w:tcPr>
            <w:tcW w:w="5000" w:type="pct"/>
            <w:gridSpan w:val="3"/>
            <w:tcBorders>
              <w:top w:val="double" w:sz="4" w:space="0" w:color="auto"/>
            </w:tcBorders>
            <w:shd w:val="clear" w:color="auto" w:fill="F2F2F2" w:themeFill="background1" w:themeFillShade="F2"/>
          </w:tcPr>
          <w:p w14:paraId="63116F0C" w14:textId="77777777" w:rsidR="008C05BD" w:rsidRPr="00D86314" w:rsidRDefault="008C05BD">
            <w:pPr>
              <w:spacing w:after="0"/>
              <w:jc w:val="center"/>
              <w:rPr>
                <w:b/>
                <w:i/>
                <w:noProof/>
                <w:sz w:val="20"/>
              </w:rPr>
            </w:pPr>
            <w:r w:rsidRPr="00D86314">
              <w:rPr>
                <w:b/>
                <w:i/>
                <w:noProof/>
                <w:sz w:val="20"/>
              </w:rPr>
              <w:t>Direct benefits</w:t>
            </w:r>
          </w:p>
        </w:tc>
      </w:tr>
      <w:tr w:rsidR="00AC616F" w:rsidRPr="00D86314" w14:paraId="172F371F" w14:textId="77777777" w:rsidTr="00196549">
        <w:tc>
          <w:tcPr>
            <w:tcW w:w="1231" w:type="pct"/>
            <w:tcBorders>
              <w:top w:val="double" w:sz="4" w:space="0" w:color="auto"/>
              <w:left w:val="double" w:sz="4" w:space="0" w:color="auto"/>
              <w:bottom w:val="single" w:sz="4" w:space="0" w:color="auto"/>
              <w:right w:val="double" w:sz="4" w:space="0" w:color="auto"/>
            </w:tcBorders>
          </w:tcPr>
          <w:p w14:paraId="17A7A8EE" w14:textId="3FE67C84" w:rsidR="008C05BD" w:rsidRPr="00D86314" w:rsidRDefault="1393AF7A" w:rsidP="7EC0C462">
            <w:pPr>
              <w:spacing w:after="0"/>
              <w:rPr>
                <w:noProof/>
                <w:sz w:val="20"/>
                <w:szCs w:val="20"/>
              </w:rPr>
            </w:pPr>
            <w:r w:rsidRPr="00D86314">
              <w:rPr>
                <w:noProof/>
                <w:sz w:val="20"/>
                <w:szCs w:val="20"/>
              </w:rPr>
              <w:t xml:space="preserve">Streamlined and harmonised system for general authorisation </w:t>
            </w:r>
            <w:r w:rsidR="0AE4C366" w:rsidRPr="00D86314">
              <w:rPr>
                <w:noProof/>
                <w:sz w:val="20"/>
                <w:szCs w:val="20"/>
              </w:rPr>
              <w:t xml:space="preserve">(single ‘passport’) </w:t>
            </w:r>
            <w:r w:rsidRPr="00D86314">
              <w:rPr>
                <w:noProof/>
                <w:sz w:val="20"/>
                <w:szCs w:val="20"/>
              </w:rPr>
              <w:t xml:space="preserve">and </w:t>
            </w:r>
            <w:r w:rsidR="00953E42" w:rsidRPr="00D86314">
              <w:rPr>
                <w:noProof/>
                <w:sz w:val="20"/>
                <w:szCs w:val="20"/>
              </w:rPr>
              <w:t xml:space="preserve">EU authorisation for </w:t>
            </w:r>
            <w:r w:rsidRPr="00D86314">
              <w:rPr>
                <w:noProof/>
                <w:sz w:val="20"/>
                <w:szCs w:val="20"/>
              </w:rPr>
              <w:t>satellite spectrum assignment across the EU</w:t>
            </w:r>
          </w:p>
        </w:tc>
        <w:tc>
          <w:tcPr>
            <w:tcW w:w="1981" w:type="pct"/>
            <w:tcBorders>
              <w:top w:val="double" w:sz="4" w:space="0" w:color="auto"/>
              <w:left w:val="double" w:sz="4" w:space="0" w:color="auto"/>
              <w:bottom w:val="single" w:sz="4" w:space="0" w:color="auto"/>
              <w:right w:val="double" w:sz="4" w:space="0" w:color="auto"/>
            </w:tcBorders>
            <w:tcMar>
              <w:top w:w="57" w:type="dxa"/>
              <w:left w:w="57" w:type="dxa"/>
              <w:bottom w:w="57" w:type="dxa"/>
              <w:right w:w="57" w:type="dxa"/>
            </w:tcMar>
          </w:tcPr>
          <w:p w14:paraId="052A61D9" w14:textId="1D9FCC56" w:rsidR="45B0E1E7" w:rsidRPr="00D86314" w:rsidRDefault="45B0E1E7" w:rsidP="7EC0C462">
            <w:pPr>
              <w:spacing w:after="0"/>
              <w:rPr>
                <w:noProof/>
                <w:sz w:val="20"/>
                <w:szCs w:val="20"/>
              </w:rPr>
            </w:pPr>
            <w:r w:rsidRPr="00D86314">
              <w:rPr>
                <w:noProof/>
                <w:sz w:val="20"/>
                <w:szCs w:val="20"/>
              </w:rPr>
              <w:t xml:space="preserve">Providers </w:t>
            </w:r>
            <w:r w:rsidR="38E7DCFA" w:rsidRPr="00D86314">
              <w:rPr>
                <w:noProof/>
                <w:sz w:val="20"/>
                <w:szCs w:val="20"/>
              </w:rPr>
              <w:t>benefit from single passport/</w:t>
            </w:r>
            <w:r w:rsidR="30E41081" w:rsidRPr="00D86314">
              <w:rPr>
                <w:noProof/>
                <w:sz w:val="20"/>
                <w:szCs w:val="20"/>
              </w:rPr>
              <w:t xml:space="preserve"> declaration</w:t>
            </w:r>
            <w:r w:rsidR="56E40EC9" w:rsidRPr="00D86314">
              <w:rPr>
                <w:noProof/>
                <w:sz w:val="20"/>
                <w:szCs w:val="20"/>
              </w:rPr>
              <w:t xml:space="preserve"> </w:t>
            </w:r>
            <w:r w:rsidR="30E41081" w:rsidRPr="00D86314">
              <w:rPr>
                <w:noProof/>
                <w:sz w:val="20"/>
                <w:szCs w:val="20"/>
              </w:rPr>
              <w:t xml:space="preserve">(authorising the provision of networks and services, which </w:t>
            </w:r>
            <w:r w:rsidR="6BF0DAE2" w:rsidRPr="00D86314">
              <w:rPr>
                <w:noProof/>
                <w:sz w:val="20"/>
                <w:szCs w:val="20"/>
              </w:rPr>
              <w:t>is</w:t>
            </w:r>
            <w:r w:rsidR="30E41081" w:rsidRPr="00D86314">
              <w:rPr>
                <w:noProof/>
                <w:sz w:val="20"/>
                <w:szCs w:val="20"/>
              </w:rPr>
              <w:t xml:space="preserve"> valid in all </w:t>
            </w:r>
            <w:r w:rsidR="7A7F3D50" w:rsidRPr="00D86314">
              <w:rPr>
                <w:noProof/>
                <w:sz w:val="20"/>
                <w:szCs w:val="20"/>
              </w:rPr>
              <w:t xml:space="preserve">27 </w:t>
            </w:r>
            <w:r w:rsidR="30E41081" w:rsidRPr="00D86314">
              <w:rPr>
                <w:noProof/>
                <w:sz w:val="20"/>
                <w:szCs w:val="20"/>
              </w:rPr>
              <w:t>Member States</w:t>
            </w:r>
            <w:r w:rsidR="4559810C" w:rsidRPr="00D86314">
              <w:rPr>
                <w:noProof/>
                <w:sz w:val="20"/>
                <w:szCs w:val="20"/>
              </w:rPr>
              <w:t>).</w:t>
            </w:r>
            <w:r w:rsidR="007D63FF" w:rsidRPr="00D86314">
              <w:rPr>
                <w:noProof/>
                <w:sz w:val="20"/>
                <w:szCs w:val="20"/>
              </w:rPr>
              <w:t xml:space="preserve"> </w:t>
            </w:r>
          </w:p>
          <w:p w14:paraId="2BE78945" w14:textId="2F48403A" w:rsidR="7EC0C462" w:rsidRPr="00D86314" w:rsidRDefault="7EC0C462" w:rsidP="7EC0C462">
            <w:pPr>
              <w:spacing w:after="0"/>
              <w:rPr>
                <w:noProof/>
                <w:sz w:val="20"/>
                <w:szCs w:val="20"/>
              </w:rPr>
            </w:pPr>
          </w:p>
          <w:p w14:paraId="41627A95" w14:textId="28A2FE75" w:rsidR="008C05BD" w:rsidRPr="00D86314" w:rsidRDefault="000C032C">
            <w:pPr>
              <w:spacing w:after="0"/>
              <w:rPr>
                <w:noProof/>
                <w:sz w:val="20"/>
                <w:szCs w:val="20"/>
              </w:rPr>
            </w:pPr>
            <w:r w:rsidRPr="00D86314">
              <w:rPr>
                <w:noProof/>
                <w:sz w:val="20"/>
                <w:szCs w:val="20"/>
              </w:rPr>
              <w:t xml:space="preserve">Those </w:t>
            </w:r>
            <w:r w:rsidR="33C1A4A4" w:rsidRPr="00D86314">
              <w:rPr>
                <w:noProof/>
                <w:sz w:val="20"/>
                <w:szCs w:val="20"/>
              </w:rPr>
              <w:t>providing</w:t>
            </w:r>
            <w:r w:rsidRPr="00D86314">
              <w:rPr>
                <w:noProof/>
                <w:sz w:val="20"/>
                <w:szCs w:val="20"/>
              </w:rPr>
              <w:t xml:space="preserve"> pan-European or global constellations transitioning from 27 separate authorisations to a single one.</w:t>
            </w:r>
          </w:p>
          <w:p w14:paraId="403ED861" w14:textId="3789A077" w:rsidR="00270603" w:rsidRPr="00D86314" w:rsidRDefault="00DF3066" w:rsidP="00A00C17">
            <w:pPr>
              <w:pStyle w:val="ListParagraph"/>
              <w:numPr>
                <w:ilvl w:val="0"/>
                <w:numId w:val="36"/>
              </w:numPr>
              <w:spacing w:after="0"/>
              <w:rPr>
                <w:noProof/>
                <w:sz w:val="20"/>
                <w:szCs w:val="20"/>
              </w:rPr>
            </w:pPr>
            <w:r w:rsidRPr="00D86314">
              <w:rPr>
                <w:noProof/>
                <w:sz w:val="20"/>
                <w:szCs w:val="20"/>
              </w:rPr>
              <w:t xml:space="preserve">Savings linked to </w:t>
            </w:r>
            <w:r w:rsidR="0DEA9167" w:rsidRPr="00D86314">
              <w:rPr>
                <w:noProof/>
                <w:sz w:val="20"/>
                <w:szCs w:val="20"/>
              </w:rPr>
              <w:t xml:space="preserve">complying with </w:t>
            </w:r>
            <w:r w:rsidR="129786D9" w:rsidRPr="00D86314">
              <w:rPr>
                <w:noProof/>
                <w:sz w:val="20"/>
                <w:szCs w:val="20"/>
              </w:rPr>
              <w:t>one single set of authorisation conditions and</w:t>
            </w:r>
            <w:r w:rsidRPr="00D86314">
              <w:rPr>
                <w:noProof/>
                <w:sz w:val="20"/>
                <w:szCs w:val="20"/>
              </w:rPr>
              <w:t xml:space="preserve"> avoided duplication (1 procedure instead of 27)</w:t>
            </w:r>
          </w:p>
          <w:p w14:paraId="31196140" w14:textId="24296F26" w:rsidR="00DF3066" w:rsidRPr="00D86314" w:rsidRDefault="00E309AA" w:rsidP="00A00C17">
            <w:pPr>
              <w:pStyle w:val="ListParagraph"/>
              <w:numPr>
                <w:ilvl w:val="0"/>
                <w:numId w:val="36"/>
              </w:numPr>
              <w:spacing w:after="0"/>
              <w:rPr>
                <w:noProof/>
                <w:sz w:val="20"/>
              </w:rPr>
            </w:pPr>
            <w:r w:rsidRPr="00D86314">
              <w:rPr>
                <w:noProof/>
                <w:sz w:val="20"/>
              </w:rPr>
              <w:t xml:space="preserve">Avoided lost revenues </w:t>
            </w:r>
            <w:r w:rsidR="00B72352" w:rsidRPr="00D86314">
              <w:rPr>
                <w:noProof/>
                <w:sz w:val="20"/>
              </w:rPr>
              <w:t>due to possible delays in authorisation in some MS</w:t>
            </w:r>
            <w:r w:rsidR="00ED6473" w:rsidRPr="00D86314">
              <w:rPr>
                <w:noProof/>
                <w:sz w:val="20"/>
              </w:rPr>
              <w:t xml:space="preserve"> (examples of possible savings)</w:t>
            </w:r>
          </w:p>
          <w:p w14:paraId="48C434F9" w14:textId="307327C6" w:rsidR="00B72352" w:rsidRPr="00D86314" w:rsidRDefault="00B72352" w:rsidP="00A00C17">
            <w:pPr>
              <w:pStyle w:val="ListParagraph"/>
              <w:numPr>
                <w:ilvl w:val="0"/>
                <w:numId w:val="36"/>
              </w:numPr>
              <w:spacing w:after="0"/>
              <w:rPr>
                <w:noProof/>
                <w:sz w:val="20"/>
              </w:rPr>
            </w:pPr>
            <w:r w:rsidRPr="00D86314">
              <w:rPr>
                <w:noProof/>
                <w:sz w:val="20"/>
              </w:rPr>
              <w:t>Increased consumer benef</w:t>
            </w:r>
            <w:r w:rsidR="00614111" w:rsidRPr="00D86314">
              <w:rPr>
                <w:noProof/>
                <w:sz w:val="20"/>
              </w:rPr>
              <w:t>i</w:t>
            </w:r>
            <w:r w:rsidRPr="00D86314">
              <w:rPr>
                <w:noProof/>
                <w:sz w:val="20"/>
              </w:rPr>
              <w:t>t</w:t>
            </w:r>
          </w:p>
          <w:p w14:paraId="160879F2" w14:textId="2F0175DA" w:rsidR="008C05BD" w:rsidRPr="00D86314" w:rsidRDefault="004A1F32" w:rsidP="00A00C17">
            <w:pPr>
              <w:pStyle w:val="ListParagraph"/>
              <w:numPr>
                <w:ilvl w:val="0"/>
                <w:numId w:val="36"/>
              </w:numPr>
              <w:spacing w:after="0"/>
              <w:rPr>
                <w:noProof/>
                <w:sz w:val="20"/>
              </w:rPr>
            </w:pPr>
            <w:r w:rsidRPr="00D86314">
              <w:rPr>
                <w:noProof/>
                <w:sz w:val="20"/>
                <w:szCs w:val="20"/>
              </w:rPr>
              <w:t>No coverage gaps</w:t>
            </w:r>
            <w:r w:rsidR="003F6B63" w:rsidRPr="00D86314">
              <w:rPr>
                <w:noProof/>
                <w:sz w:val="20"/>
                <w:szCs w:val="20"/>
              </w:rPr>
              <w:t xml:space="preserve"> (</w:t>
            </w:r>
            <w:r w:rsidR="00AD61B7" w:rsidRPr="00D86314">
              <w:rPr>
                <w:noProof/>
                <w:sz w:val="20"/>
                <w:szCs w:val="20"/>
              </w:rPr>
              <w:t xml:space="preserve">EU </w:t>
            </w:r>
            <w:r w:rsidR="003F6B63" w:rsidRPr="00D86314">
              <w:rPr>
                <w:noProof/>
                <w:sz w:val="20"/>
                <w:szCs w:val="20"/>
              </w:rPr>
              <w:t>continuous connectivity)</w:t>
            </w:r>
            <w:r w:rsidRPr="00D86314">
              <w:rPr>
                <w:noProof/>
                <w:sz w:val="20"/>
                <w:szCs w:val="20"/>
              </w:rPr>
              <w:t xml:space="preserve"> because of lack of authorisation in some MS.</w:t>
            </w:r>
          </w:p>
        </w:tc>
        <w:tc>
          <w:tcPr>
            <w:tcW w:w="1788" w:type="pct"/>
            <w:tcBorders>
              <w:top w:val="double" w:sz="4" w:space="0" w:color="auto"/>
              <w:left w:val="double" w:sz="4" w:space="0" w:color="auto"/>
              <w:bottom w:val="single" w:sz="4" w:space="0" w:color="auto"/>
              <w:right w:val="double" w:sz="4" w:space="0" w:color="auto"/>
            </w:tcBorders>
            <w:tcMar>
              <w:top w:w="57" w:type="dxa"/>
              <w:left w:w="57" w:type="dxa"/>
              <w:bottom w:w="57" w:type="dxa"/>
              <w:right w:w="57" w:type="dxa"/>
            </w:tcMar>
          </w:tcPr>
          <w:p w14:paraId="7511CD1F" w14:textId="33663ADF" w:rsidR="008C05BD" w:rsidRPr="00D86314" w:rsidRDefault="007F15E3">
            <w:pPr>
              <w:spacing w:after="0"/>
              <w:rPr>
                <w:noProof/>
                <w:sz w:val="20"/>
                <w:szCs w:val="20"/>
              </w:rPr>
            </w:pPr>
            <w:r w:rsidRPr="00D86314">
              <w:rPr>
                <w:noProof/>
                <w:sz w:val="20"/>
                <w:szCs w:val="20"/>
              </w:rPr>
              <w:t>EU selection for satellite services in cases of spectrum scarcity (access under EU general authorisation in case of no scarcity</w:t>
            </w:r>
            <w:r w:rsidR="4D264370" w:rsidRPr="00D86314">
              <w:rPr>
                <w:noProof/>
                <w:sz w:val="20"/>
                <w:szCs w:val="20"/>
              </w:rPr>
              <w:t>)</w:t>
            </w:r>
            <w:r w:rsidR="0024578D" w:rsidRPr="00D86314">
              <w:rPr>
                <w:noProof/>
                <w:sz w:val="20"/>
                <w:szCs w:val="20"/>
              </w:rPr>
              <w:t>.</w:t>
            </w:r>
          </w:p>
          <w:p w14:paraId="4D5D3D2B" w14:textId="77777777" w:rsidR="00713EF6" w:rsidRPr="00D86314" w:rsidRDefault="00713EF6">
            <w:pPr>
              <w:spacing w:after="0"/>
              <w:rPr>
                <w:noProof/>
                <w:sz w:val="20"/>
              </w:rPr>
            </w:pPr>
          </w:p>
          <w:p w14:paraId="3EB8C3F2" w14:textId="23F0B9F5" w:rsidR="00713EF6" w:rsidRPr="00D86314" w:rsidRDefault="00396CA1" w:rsidP="00713EF6">
            <w:pPr>
              <w:spacing w:after="0"/>
              <w:rPr>
                <w:noProof/>
                <w:sz w:val="20"/>
                <w:szCs w:val="20"/>
              </w:rPr>
            </w:pPr>
            <w:r w:rsidRPr="00D86314">
              <w:rPr>
                <w:noProof/>
                <w:sz w:val="20"/>
                <w:szCs w:val="20"/>
              </w:rPr>
              <w:t>EU assignment of</w:t>
            </w:r>
            <w:r w:rsidR="00713EF6" w:rsidRPr="00D86314">
              <w:rPr>
                <w:noProof/>
                <w:sz w:val="20"/>
                <w:szCs w:val="20"/>
              </w:rPr>
              <w:t xml:space="preserve"> </w:t>
            </w:r>
            <w:r w:rsidR="007C0C4F" w:rsidRPr="00D86314">
              <w:rPr>
                <w:noProof/>
                <w:sz w:val="20"/>
                <w:szCs w:val="20"/>
              </w:rPr>
              <w:t>s</w:t>
            </w:r>
            <w:r w:rsidR="003A7B9B" w:rsidRPr="00D86314">
              <w:rPr>
                <w:noProof/>
                <w:sz w:val="20"/>
                <w:szCs w:val="20"/>
              </w:rPr>
              <w:t>atellite s</w:t>
            </w:r>
            <w:r w:rsidR="007C0C4F" w:rsidRPr="00D86314">
              <w:rPr>
                <w:noProof/>
                <w:sz w:val="20"/>
                <w:szCs w:val="20"/>
              </w:rPr>
              <w:t xml:space="preserve">pectrum </w:t>
            </w:r>
            <w:r w:rsidR="00713EF6" w:rsidRPr="00D86314">
              <w:rPr>
                <w:noProof/>
                <w:sz w:val="20"/>
                <w:szCs w:val="20"/>
              </w:rPr>
              <w:t xml:space="preserve">management </w:t>
            </w:r>
            <w:r w:rsidR="00C3602F" w:rsidRPr="00D86314">
              <w:rPr>
                <w:noProof/>
                <w:sz w:val="20"/>
                <w:szCs w:val="20"/>
              </w:rPr>
              <w:t xml:space="preserve">will also address the </w:t>
            </w:r>
            <w:r w:rsidR="00713EF6" w:rsidRPr="00D86314">
              <w:rPr>
                <w:noProof/>
                <w:sz w:val="20"/>
                <w:szCs w:val="20"/>
              </w:rPr>
              <w:t xml:space="preserve">regulatory </w:t>
            </w:r>
            <w:r w:rsidR="00AD15E3" w:rsidRPr="00D86314">
              <w:rPr>
                <w:noProof/>
                <w:sz w:val="20"/>
                <w:szCs w:val="20"/>
              </w:rPr>
              <w:t xml:space="preserve">fragmentation </w:t>
            </w:r>
            <w:r w:rsidR="00713EF6" w:rsidRPr="00D86314">
              <w:rPr>
                <w:noProof/>
                <w:sz w:val="20"/>
                <w:szCs w:val="20"/>
              </w:rPr>
              <w:t xml:space="preserve">that has been </w:t>
            </w:r>
            <w:r w:rsidR="4B6A660E" w:rsidRPr="00D86314">
              <w:rPr>
                <w:noProof/>
                <w:sz w:val="20"/>
                <w:szCs w:val="20"/>
              </w:rPr>
              <w:t xml:space="preserve">acute </w:t>
            </w:r>
            <w:r w:rsidR="00B353F9" w:rsidRPr="00D86314">
              <w:rPr>
                <w:noProof/>
                <w:sz w:val="20"/>
                <w:szCs w:val="20"/>
              </w:rPr>
              <w:t xml:space="preserve">in the </w:t>
            </w:r>
            <w:r w:rsidR="00713EF6" w:rsidRPr="00D86314">
              <w:rPr>
                <w:noProof/>
                <w:sz w:val="20"/>
                <w:szCs w:val="20"/>
              </w:rPr>
              <w:t xml:space="preserve">MSS 2 GHz </w:t>
            </w:r>
            <w:r w:rsidR="00B353F9" w:rsidRPr="00D86314">
              <w:rPr>
                <w:noProof/>
                <w:sz w:val="20"/>
                <w:szCs w:val="20"/>
              </w:rPr>
              <w:t>band</w:t>
            </w:r>
            <w:r w:rsidR="00D16E25" w:rsidRPr="00D86314">
              <w:rPr>
                <w:noProof/>
                <w:sz w:val="20"/>
                <w:szCs w:val="20"/>
              </w:rPr>
              <w:t>.</w:t>
            </w:r>
          </w:p>
          <w:p w14:paraId="66C575EC" w14:textId="77777777" w:rsidR="00713EF6" w:rsidRPr="00D86314" w:rsidRDefault="00713EF6">
            <w:pPr>
              <w:spacing w:after="0"/>
              <w:rPr>
                <w:noProof/>
                <w:sz w:val="20"/>
              </w:rPr>
            </w:pPr>
          </w:p>
          <w:p w14:paraId="2ADDAA64" w14:textId="77777777" w:rsidR="0024578D" w:rsidRPr="00D86314" w:rsidRDefault="0024578D">
            <w:pPr>
              <w:spacing w:after="0"/>
              <w:rPr>
                <w:noProof/>
                <w:sz w:val="20"/>
              </w:rPr>
            </w:pPr>
          </w:p>
          <w:p w14:paraId="5E3AF754" w14:textId="211482EB" w:rsidR="008C05BD" w:rsidRPr="00D86314" w:rsidRDefault="001D3302" w:rsidP="0024578D">
            <w:pPr>
              <w:spacing w:after="0"/>
              <w:rPr>
                <w:noProof/>
                <w:sz w:val="20"/>
              </w:rPr>
            </w:pPr>
            <w:r w:rsidRPr="00D86314">
              <w:rPr>
                <w:noProof/>
                <w:sz w:val="20"/>
              </w:rPr>
              <w:t>Easier access to satellite spectru</w:t>
            </w:r>
            <w:r w:rsidR="003957E7" w:rsidRPr="00D86314">
              <w:rPr>
                <w:noProof/>
                <w:sz w:val="20"/>
              </w:rPr>
              <w:t xml:space="preserve">m will </w:t>
            </w:r>
            <w:r w:rsidR="00B1247B" w:rsidRPr="00D86314">
              <w:rPr>
                <w:noProof/>
                <w:sz w:val="20"/>
              </w:rPr>
              <w:t>be</w:t>
            </w:r>
            <w:r w:rsidR="003957E7" w:rsidRPr="00D86314">
              <w:rPr>
                <w:noProof/>
                <w:sz w:val="20"/>
              </w:rPr>
              <w:t xml:space="preserve"> of</w:t>
            </w:r>
            <w:r w:rsidR="00B1247B" w:rsidRPr="00D86314">
              <w:rPr>
                <w:noProof/>
                <w:sz w:val="20"/>
              </w:rPr>
              <w:t xml:space="preserve"> value </w:t>
            </w:r>
            <w:r w:rsidR="0024578D" w:rsidRPr="00D86314">
              <w:rPr>
                <w:noProof/>
                <w:sz w:val="20"/>
              </w:rPr>
              <w:t>not only for new market entrants</w:t>
            </w:r>
            <w:r w:rsidR="00E6098F" w:rsidRPr="00D86314">
              <w:rPr>
                <w:noProof/>
                <w:sz w:val="20"/>
              </w:rPr>
              <w:t xml:space="preserve">, who need to face </w:t>
            </w:r>
            <w:r w:rsidR="007E1C8A" w:rsidRPr="00D86314">
              <w:rPr>
                <w:noProof/>
                <w:sz w:val="20"/>
              </w:rPr>
              <w:t>complex and lengthy requirement in some MS,</w:t>
            </w:r>
            <w:r w:rsidR="0024578D" w:rsidRPr="00D86314">
              <w:rPr>
                <w:noProof/>
                <w:sz w:val="20"/>
              </w:rPr>
              <w:t xml:space="preserve"> but also for established firms</w:t>
            </w:r>
          </w:p>
        </w:tc>
      </w:tr>
      <w:tr w:rsidR="00B315A5" w:rsidRPr="00D86314" w14:paraId="63099BD2" w14:textId="77777777" w:rsidTr="00196549">
        <w:tc>
          <w:tcPr>
            <w:tcW w:w="1231" w:type="pct"/>
            <w:tcBorders>
              <w:top w:val="double" w:sz="4" w:space="0" w:color="auto"/>
              <w:left w:val="double" w:sz="4" w:space="0" w:color="auto"/>
              <w:bottom w:val="single" w:sz="4" w:space="0" w:color="auto"/>
              <w:right w:val="double" w:sz="4" w:space="0" w:color="auto"/>
            </w:tcBorders>
          </w:tcPr>
          <w:p w14:paraId="3CFDC683" w14:textId="7C736FBB" w:rsidR="00B315A5" w:rsidRPr="00D86314" w:rsidRDefault="00F54039" w:rsidP="7EC0C462">
            <w:pPr>
              <w:spacing w:after="0"/>
              <w:rPr>
                <w:noProof/>
                <w:sz w:val="20"/>
                <w:szCs w:val="20"/>
              </w:rPr>
            </w:pPr>
            <w:r w:rsidRPr="00D86314">
              <w:rPr>
                <w:noProof/>
                <w:sz w:val="20"/>
                <w:szCs w:val="20"/>
              </w:rPr>
              <w:t>More effective enforcement of satellite rules for all players</w:t>
            </w:r>
          </w:p>
        </w:tc>
        <w:tc>
          <w:tcPr>
            <w:tcW w:w="1981" w:type="pct"/>
            <w:tcBorders>
              <w:top w:val="double" w:sz="4" w:space="0" w:color="auto"/>
              <w:left w:val="double" w:sz="4" w:space="0" w:color="auto"/>
              <w:bottom w:val="single" w:sz="4" w:space="0" w:color="auto"/>
              <w:right w:val="double" w:sz="4" w:space="0" w:color="auto"/>
            </w:tcBorders>
            <w:tcMar>
              <w:top w:w="57" w:type="dxa"/>
              <w:left w:w="57" w:type="dxa"/>
              <w:bottom w:w="57" w:type="dxa"/>
              <w:right w:w="57" w:type="dxa"/>
            </w:tcMar>
          </w:tcPr>
          <w:p w14:paraId="6EB55951" w14:textId="209B7F2B" w:rsidR="00B315A5" w:rsidRPr="00D86314" w:rsidRDefault="00754E8A" w:rsidP="7EC0C462">
            <w:pPr>
              <w:spacing w:after="0"/>
              <w:rPr>
                <w:noProof/>
                <w:sz w:val="20"/>
                <w:szCs w:val="20"/>
              </w:rPr>
            </w:pPr>
            <w:r w:rsidRPr="00D86314">
              <w:rPr>
                <w:noProof/>
                <w:sz w:val="20"/>
                <w:szCs w:val="20"/>
              </w:rPr>
              <w:t xml:space="preserve">Providers benefit from a level playing field where all providers respect </w:t>
            </w:r>
            <w:r w:rsidR="009D49F2" w:rsidRPr="00D86314">
              <w:rPr>
                <w:noProof/>
                <w:sz w:val="20"/>
                <w:szCs w:val="20"/>
              </w:rPr>
              <w:t>rules (e.g. ITU rules on interferences)</w:t>
            </w:r>
          </w:p>
        </w:tc>
        <w:tc>
          <w:tcPr>
            <w:tcW w:w="1788" w:type="pct"/>
            <w:tcBorders>
              <w:top w:val="double" w:sz="4" w:space="0" w:color="auto"/>
              <w:left w:val="double" w:sz="4" w:space="0" w:color="auto"/>
              <w:bottom w:val="single" w:sz="4" w:space="0" w:color="auto"/>
              <w:right w:val="double" w:sz="4" w:space="0" w:color="auto"/>
            </w:tcBorders>
            <w:tcMar>
              <w:top w:w="57" w:type="dxa"/>
              <w:left w:w="57" w:type="dxa"/>
              <w:bottom w:w="57" w:type="dxa"/>
              <w:right w:w="57" w:type="dxa"/>
            </w:tcMar>
          </w:tcPr>
          <w:p w14:paraId="3E306E70" w14:textId="4D0C6C9A" w:rsidR="00B315A5" w:rsidRPr="00D86314" w:rsidRDefault="0047110C">
            <w:pPr>
              <w:spacing w:after="0"/>
              <w:rPr>
                <w:noProof/>
                <w:sz w:val="20"/>
              </w:rPr>
            </w:pPr>
            <w:r w:rsidRPr="00D86314">
              <w:rPr>
                <w:noProof/>
                <w:sz w:val="20"/>
              </w:rPr>
              <w:t>The coordinated enforcement mechanism of satellite rules</w:t>
            </w:r>
            <w:r w:rsidR="00E44B9C" w:rsidRPr="00D86314">
              <w:rPr>
                <w:noProof/>
                <w:sz w:val="20"/>
              </w:rPr>
              <w:t xml:space="preserve"> ensures stronger enforcement and quicker solutions of harmful interferences issues.</w:t>
            </w:r>
          </w:p>
        </w:tc>
      </w:tr>
      <w:tr w:rsidR="00AC616F" w:rsidRPr="00D86314" w14:paraId="48A90C62" w14:textId="77777777" w:rsidTr="1F63671A">
        <w:tc>
          <w:tcPr>
            <w:tcW w:w="5000" w:type="pct"/>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14:paraId="716EF48F" w14:textId="77777777" w:rsidR="00C13AEB" w:rsidRPr="00D86314" w:rsidRDefault="00C13AEB" w:rsidP="00C13AEB">
            <w:pPr>
              <w:spacing w:after="0"/>
              <w:jc w:val="center"/>
              <w:rPr>
                <w:b/>
                <w:i/>
                <w:noProof/>
                <w:sz w:val="20"/>
              </w:rPr>
            </w:pPr>
            <w:r w:rsidRPr="00D86314">
              <w:rPr>
                <w:b/>
                <w:i/>
                <w:noProof/>
                <w:sz w:val="20"/>
              </w:rPr>
              <w:t>Indirect benefits</w:t>
            </w:r>
          </w:p>
        </w:tc>
      </w:tr>
      <w:tr w:rsidR="00F01B3D" w:rsidRPr="00D86314" w14:paraId="0141AA89" w14:textId="77777777" w:rsidTr="00196549">
        <w:tc>
          <w:tcPr>
            <w:tcW w:w="1231" w:type="pct"/>
            <w:tcBorders>
              <w:top w:val="double" w:sz="4" w:space="0" w:color="auto"/>
              <w:left w:val="double" w:sz="4" w:space="0" w:color="auto"/>
              <w:bottom w:val="double" w:sz="4" w:space="0" w:color="auto"/>
              <w:right w:val="double" w:sz="4" w:space="0" w:color="auto"/>
            </w:tcBorders>
          </w:tcPr>
          <w:p w14:paraId="184CDDF3" w14:textId="01E74889" w:rsidR="00F01B3D" w:rsidRPr="00D86314" w:rsidRDefault="00F01B3D" w:rsidP="00F01B3D">
            <w:pPr>
              <w:spacing w:after="0"/>
              <w:rPr>
                <w:noProof/>
                <w:sz w:val="20"/>
              </w:rPr>
            </w:pPr>
            <w:r w:rsidRPr="00D86314">
              <w:rPr>
                <w:noProof/>
                <w:sz w:val="20"/>
              </w:rPr>
              <w:t>Reduced administrative burden</w:t>
            </w:r>
          </w:p>
        </w:tc>
        <w:tc>
          <w:tcPr>
            <w:tcW w:w="1981"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57EB7EA7" w14:textId="480A9EE8" w:rsidR="00F01B3D" w:rsidRPr="00D86314" w:rsidRDefault="00F01B3D" w:rsidP="00F01B3D">
            <w:pPr>
              <w:spacing w:after="0"/>
              <w:rPr>
                <w:noProof/>
                <w:sz w:val="20"/>
              </w:rPr>
            </w:pPr>
            <w:r w:rsidRPr="00D86314">
              <w:rPr>
                <w:noProof/>
                <w:sz w:val="20"/>
              </w:rPr>
              <w:t>Not quantified</w:t>
            </w:r>
          </w:p>
        </w:tc>
        <w:tc>
          <w:tcPr>
            <w:tcW w:w="1788"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783D4E2F" w14:textId="7AEBD20D" w:rsidR="4C02A2CF" w:rsidRPr="00D86314" w:rsidRDefault="4C02A2CF" w:rsidP="647BCA73">
            <w:pPr>
              <w:spacing w:after="0"/>
              <w:rPr>
                <w:noProof/>
                <w:sz w:val="20"/>
                <w:szCs w:val="20"/>
              </w:rPr>
            </w:pPr>
            <w:r w:rsidRPr="00D86314">
              <w:rPr>
                <w:noProof/>
                <w:sz w:val="20"/>
                <w:szCs w:val="20"/>
              </w:rPr>
              <w:t xml:space="preserve">For authorisation </w:t>
            </w:r>
            <w:r w:rsidR="5EF18609" w:rsidRPr="00D86314">
              <w:rPr>
                <w:noProof/>
                <w:sz w:val="20"/>
                <w:szCs w:val="20"/>
              </w:rPr>
              <w:t xml:space="preserve">use of </w:t>
            </w:r>
            <w:r w:rsidRPr="00D86314">
              <w:rPr>
                <w:noProof/>
                <w:sz w:val="20"/>
                <w:szCs w:val="20"/>
              </w:rPr>
              <w:t>a centralised BEREC database and mandatory notification template will reduce administrative burdens and compliance costs for providers, particularly SMEs and satellite operators.</w:t>
            </w:r>
          </w:p>
          <w:p w14:paraId="23806EEC" w14:textId="07356C5D" w:rsidR="647BCA73" w:rsidRPr="00D86314" w:rsidRDefault="647BCA73" w:rsidP="647BCA73">
            <w:pPr>
              <w:spacing w:after="0"/>
              <w:rPr>
                <w:noProof/>
                <w:sz w:val="20"/>
                <w:szCs w:val="20"/>
              </w:rPr>
            </w:pPr>
          </w:p>
          <w:p w14:paraId="1285C77D" w14:textId="5340B069" w:rsidR="00EB324B" w:rsidRPr="00D86314" w:rsidRDefault="00F01B3D" w:rsidP="00EB324B">
            <w:pPr>
              <w:spacing w:after="0"/>
              <w:rPr>
                <w:noProof/>
                <w:sz w:val="20"/>
                <w:szCs w:val="20"/>
              </w:rPr>
            </w:pPr>
            <w:r w:rsidRPr="00D86314">
              <w:rPr>
                <w:noProof/>
                <w:sz w:val="20"/>
                <w:szCs w:val="20"/>
              </w:rPr>
              <w:t xml:space="preserve">Reduced </w:t>
            </w:r>
            <w:r w:rsidR="2379DDA6" w:rsidRPr="00D86314">
              <w:rPr>
                <w:noProof/>
                <w:sz w:val="20"/>
                <w:szCs w:val="20"/>
              </w:rPr>
              <w:t>burden and swifter resolution of potential disputes, especially in the area of IP peering through the voluntary conciliation mechanism.</w:t>
            </w:r>
            <w:r w:rsidRPr="00D86314">
              <w:rPr>
                <w:noProof/>
                <w:sz w:val="20"/>
                <w:szCs w:val="20"/>
              </w:rPr>
              <w:t xml:space="preserve"> </w:t>
            </w:r>
            <w:r w:rsidR="00D97DD6" w:rsidRPr="00D86314">
              <w:rPr>
                <w:noProof/>
                <w:sz w:val="20"/>
                <w:szCs w:val="20"/>
              </w:rPr>
              <w:t>For satellite,</w:t>
            </w:r>
            <w:r w:rsidR="000E6B08" w:rsidRPr="00D86314">
              <w:rPr>
                <w:noProof/>
                <w:sz w:val="20"/>
                <w:szCs w:val="20"/>
              </w:rPr>
              <w:t xml:space="preserve"> it will be </w:t>
            </w:r>
            <w:r w:rsidR="00D97DD6" w:rsidRPr="00D86314">
              <w:rPr>
                <w:noProof/>
                <w:sz w:val="20"/>
                <w:szCs w:val="20"/>
              </w:rPr>
              <w:t>r</w:t>
            </w:r>
            <w:r w:rsidR="00886F73" w:rsidRPr="00D86314">
              <w:rPr>
                <w:noProof/>
                <w:sz w:val="20"/>
                <w:szCs w:val="20"/>
              </w:rPr>
              <w:t xml:space="preserve">educed regulatory burden </w:t>
            </w:r>
            <w:r w:rsidR="004C47A3" w:rsidRPr="00D86314">
              <w:rPr>
                <w:noProof/>
                <w:sz w:val="20"/>
                <w:szCs w:val="20"/>
              </w:rPr>
              <w:t>as there will be only</w:t>
            </w:r>
            <w:r w:rsidR="00886F73" w:rsidRPr="00D86314">
              <w:rPr>
                <w:noProof/>
                <w:sz w:val="20"/>
                <w:szCs w:val="20"/>
              </w:rPr>
              <w:t xml:space="preserve"> EU-level</w:t>
            </w:r>
            <w:r w:rsidR="004C47A3" w:rsidRPr="00D86314">
              <w:rPr>
                <w:noProof/>
                <w:sz w:val="20"/>
                <w:szCs w:val="20"/>
              </w:rPr>
              <w:t xml:space="preserve"> authorisation</w:t>
            </w:r>
            <w:r w:rsidR="00886F73" w:rsidRPr="00D86314">
              <w:rPr>
                <w:noProof/>
                <w:sz w:val="20"/>
                <w:szCs w:val="20"/>
              </w:rPr>
              <w:t xml:space="preserve"> decisions; consistency </w:t>
            </w:r>
            <w:r w:rsidR="002F2F2E" w:rsidRPr="00D86314">
              <w:rPr>
                <w:noProof/>
                <w:sz w:val="20"/>
                <w:szCs w:val="20"/>
              </w:rPr>
              <w:t>could</w:t>
            </w:r>
            <w:r w:rsidR="00886F73" w:rsidRPr="00D86314">
              <w:rPr>
                <w:noProof/>
                <w:sz w:val="20"/>
                <w:szCs w:val="20"/>
              </w:rPr>
              <w:t xml:space="preserve"> improve the internal market</w:t>
            </w:r>
            <w:r w:rsidR="00463872" w:rsidRPr="00D86314">
              <w:rPr>
                <w:noProof/>
                <w:sz w:val="20"/>
                <w:szCs w:val="20"/>
              </w:rPr>
              <w:t xml:space="preserve">. </w:t>
            </w:r>
            <w:r w:rsidR="007E5BE7" w:rsidRPr="00D86314">
              <w:rPr>
                <w:noProof/>
                <w:sz w:val="20"/>
                <w:szCs w:val="20"/>
              </w:rPr>
              <w:t xml:space="preserve">Reduce burden will </w:t>
            </w:r>
            <w:r w:rsidR="00125882" w:rsidRPr="00D86314">
              <w:rPr>
                <w:noProof/>
                <w:sz w:val="20"/>
                <w:szCs w:val="20"/>
              </w:rPr>
              <w:t xml:space="preserve">not only affect authorisations but also </w:t>
            </w:r>
            <w:r w:rsidR="00235D6E" w:rsidRPr="00D86314">
              <w:rPr>
                <w:noProof/>
                <w:sz w:val="20"/>
                <w:szCs w:val="20"/>
              </w:rPr>
              <w:t xml:space="preserve">compliance and enforcement of competences, operators and </w:t>
            </w:r>
            <w:r w:rsidR="005F618E" w:rsidRPr="00D86314">
              <w:rPr>
                <w:noProof/>
                <w:sz w:val="20"/>
                <w:szCs w:val="20"/>
              </w:rPr>
              <w:t>other national competent a</w:t>
            </w:r>
            <w:r w:rsidR="00463872" w:rsidRPr="00D86314">
              <w:rPr>
                <w:noProof/>
                <w:sz w:val="20"/>
                <w:szCs w:val="20"/>
              </w:rPr>
              <w:t>utho</w:t>
            </w:r>
            <w:r w:rsidR="001C772E" w:rsidRPr="00D86314">
              <w:rPr>
                <w:noProof/>
                <w:sz w:val="20"/>
                <w:szCs w:val="20"/>
              </w:rPr>
              <w:t>rities</w:t>
            </w:r>
            <w:r w:rsidR="005F618E" w:rsidRPr="00D86314">
              <w:rPr>
                <w:noProof/>
                <w:sz w:val="20"/>
                <w:szCs w:val="20"/>
              </w:rPr>
              <w:t xml:space="preserve"> will</w:t>
            </w:r>
            <w:r w:rsidR="00133741" w:rsidRPr="00D86314">
              <w:rPr>
                <w:noProof/>
                <w:sz w:val="20"/>
                <w:szCs w:val="20"/>
              </w:rPr>
              <w:t xml:space="preserve"> benefit from it. </w:t>
            </w:r>
          </w:p>
          <w:p w14:paraId="0066C289" w14:textId="3142C221" w:rsidR="00F01B3D" w:rsidRPr="00D86314" w:rsidRDefault="00F01B3D" w:rsidP="00F01B3D">
            <w:pPr>
              <w:spacing w:after="0"/>
              <w:rPr>
                <w:noProof/>
                <w:sz w:val="20"/>
                <w:szCs w:val="20"/>
              </w:rPr>
            </w:pPr>
          </w:p>
        </w:tc>
      </w:tr>
      <w:tr w:rsidR="00F01B3D" w:rsidRPr="00D86314" w14:paraId="108E7AD7" w14:textId="77777777" w:rsidTr="00196549">
        <w:tc>
          <w:tcPr>
            <w:tcW w:w="1231" w:type="pct"/>
            <w:tcBorders>
              <w:top w:val="double" w:sz="4" w:space="0" w:color="auto"/>
              <w:left w:val="double" w:sz="4" w:space="0" w:color="auto"/>
              <w:bottom w:val="double" w:sz="4" w:space="0" w:color="auto"/>
              <w:right w:val="double" w:sz="4" w:space="0" w:color="auto"/>
            </w:tcBorders>
          </w:tcPr>
          <w:p w14:paraId="7AEEE5D9" w14:textId="293197D3" w:rsidR="00F01B3D" w:rsidRPr="00D86314" w:rsidRDefault="00F01B3D" w:rsidP="00F01B3D">
            <w:pPr>
              <w:spacing w:after="0"/>
              <w:rPr>
                <w:noProof/>
                <w:sz w:val="20"/>
                <w:szCs w:val="20"/>
              </w:rPr>
            </w:pPr>
            <w:r w:rsidRPr="00D86314">
              <w:rPr>
                <w:noProof/>
                <w:sz w:val="20"/>
                <w:szCs w:val="20"/>
              </w:rPr>
              <w:t>Innovation acceleration</w:t>
            </w:r>
          </w:p>
        </w:tc>
        <w:tc>
          <w:tcPr>
            <w:tcW w:w="1981"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9F4BFB3" w14:textId="65B3360D" w:rsidR="00F01B3D" w:rsidRPr="00D86314" w:rsidRDefault="00F01B3D" w:rsidP="00F01B3D">
            <w:pPr>
              <w:spacing w:after="0"/>
              <w:rPr>
                <w:noProof/>
                <w:sz w:val="20"/>
                <w:szCs w:val="20"/>
              </w:rPr>
            </w:pPr>
            <w:r w:rsidRPr="00D86314">
              <w:rPr>
                <w:noProof/>
                <w:sz w:val="20"/>
                <w:szCs w:val="20"/>
              </w:rPr>
              <w:t>Not quantified</w:t>
            </w:r>
          </w:p>
        </w:tc>
        <w:tc>
          <w:tcPr>
            <w:tcW w:w="1788"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272D8889" w14:textId="5DC5650D" w:rsidR="00F01B3D" w:rsidRPr="00D86314" w:rsidRDefault="00F01B3D" w:rsidP="00F01B3D">
            <w:pPr>
              <w:spacing w:after="0"/>
              <w:rPr>
                <w:noProof/>
                <w:sz w:val="20"/>
                <w:szCs w:val="20"/>
              </w:rPr>
            </w:pPr>
            <w:r w:rsidRPr="00D86314">
              <w:rPr>
                <w:noProof/>
                <w:sz w:val="20"/>
                <w:szCs w:val="20"/>
              </w:rPr>
              <w:t>More innovation (creation of new services and solutions) by all ECN/ECS providers,</w:t>
            </w:r>
          </w:p>
          <w:p w14:paraId="7D6B1841" w14:textId="419FF954" w:rsidR="00F01B3D" w:rsidRPr="00D86314" w:rsidRDefault="00F01B3D" w:rsidP="00F01B3D">
            <w:pPr>
              <w:spacing w:after="0"/>
              <w:rPr>
                <w:noProof/>
                <w:sz w:val="20"/>
                <w:szCs w:val="20"/>
              </w:rPr>
            </w:pPr>
            <w:r w:rsidRPr="00D86314">
              <w:rPr>
                <w:noProof/>
                <w:sz w:val="20"/>
                <w:szCs w:val="20"/>
              </w:rPr>
              <w:t>More investments towards new services</w:t>
            </w:r>
            <w:r w:rsidR="005F3E3B" w:rsidRPr="00D86314">
              <w:rPr>
                <w:noProof/>
                <w:sz w:val="20"/>
                <w:szCs w:val="20"/>
              </w:rPr>
              <w:t xml:space="preserve">, including New Space, </w:t>
            </w:r>
            <w:r w:rsidRPr="00D86314">
              <w:rPr>
                <w:noProof/>
                <w:sz w:val="20"/>
                <w:szCs w:val="20"/>
              </w:rPr>
              <w:t>and technologies (e.g. 5G/6G, XR, services requiring low-latency, such as automated driving etc.) by ECN/ECS providers</w:t>
            </w:r>
            <w:r w:rsidR="005F3E3B" w:rsidRPr="00D86314">
              <w:rPr>
                <w:noProof/>
                <w:sz w:val="20"/>
                <w:szCs w:val="20"/>
              </w:rPr>
              <w:t xml:space="preserve"> and LEO</w:t>
            </w:r>
            <w:r w:rsidR="00A57E1C" w:rsidRPr="00D86314">
              <w:rPr>
                <w:noProof/>
                <w:sz w:val="20"/>
                <w:szCs w:val="20"/>
              </w:rPr>
              <w:t xml:space="preserve"> operators.</w:t>
            </w:r>
          </w:p>
        </w:tc>
      </w:tr>
      <w:tr w:rsidR="00F01B3D" w:rsidRPr="00D86314" w14:paraId="344897AD" w14:textId="77777777" w:rsidTr="00196549">
        <w:tc>
          <w:tcPr>
            <w:tcW w:w="1231" w:type="pct"/>
            <w:tcBorders>
              <w:top w:val="double" w:sz="4" w:space="0" w:color="auto"/>
              <w:left w:val="double" w:sz="4" w:space="0" w:color="auto"/>
              <w:bottom w:val="double" w:sz="4" w:space="0" w:color="auto"/>
              <w:right w:val="double" w:sz="4" w:space="0" w:color="auto"/>
            </w:tcBorders>
          </w:tcPr>
          <w:p w14:paraId="4F37F60E" w14:textId="568022EA" w:rsidR="00F01B3D" w:rsidRPr="00D86314" w:rsidRDefault="00F01B3D" w:rsidP="00F01B3D">
            <w:pPr>
              <w:spacing w:after="0"/>
              <w:rPr>
                <w:noProof/>
                <w:sz w:val="20"/>
              </w:rPr>
            </w:pPr>
            <w:r w:rsidRPr="00D86314">
              <w:rPr>
                <w:noProof/>
                <w:sz w:val="20"/>
              </w:rPr>
              <w:t>Improved legal certainty</w:t>
            </w:r>
          </w:p>
        </w:tc>
        <w:tc>
          <w:tcPr>
            <w:tcW w:w="1981"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0E74659" w14:textId="0CC85170" w:rsidR="00F01B3D" w:rsidRPr="00D86314" w:rsidRDefault="00F01B3D" w:rsidP="00F01B3D">
            <w:pPr>
              <w:spacing w:after="0"/>
              <w:rPr>
                <w:noProof/>
                <w:sz w:val="20"/>
              </w:rPr>
            </w:pPr>
            <w:r w:rsidRPr="00D86314">
              <w:rPr>
                <w:noProof/>
                <w:sz w:val="20"/>
              </w:rPr>
              <w:t>Not quantified</w:t>
            </w:r>
          </w:p>
        </w:tc>
        <w:tc>
          <w:tcPr>
            <w:tcW w:w="1788"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3829987" w14:textId="7EC2219F" w:rsidR="00F01B3D" w:rsidRPr="00D86314" w:rsidRDefault="00DB0FEC" w:rsidP="00F01B3D">
            <w:pPr>
              <w:spacing w:after="0"/>
              <w:rPr>
                <w:noProof/>
                <w:sz w:val="20"/>
              </w:rPr>
            </w:pPr>
            <w:r w:rsidRPr="00D86314">
              <w:rPr>
                <w:noProof/>
                <w:sz w:val="20"/>
              </w:rPr>
              <w:t>Since the Commission will</w:t>
            </w:r>
            <w:r w:rsidR="00A64E4C" w:rsidRPr="00D86314">
              <w:rPr>
                <w:noProof/>
                <w:sz w:val="20"/>
              </w:rPr>
              <w:t xml:space="preserve"> directly</w:t>
            </w:r>
            <w:r w:rsidRPr="00D86314">
              <w:rPr>
                <w:noProof/>
                <w:sz w:val="20"/>
              </w:rPr>
              <w:t xml:space="preserve"> manage </w:t>
            </w:r>
            <w:r w:rsidR="00A64E4C" w:rsidRPr="00D86314">
              <w:rPr>
                <w:noProof/>
                <w:sz w:val="20"/>
              </w:rPr>
              <w:t>authorisation</w:t>
            </w:r>
            <w:r w:rsidRPr="00D86314">
              <w:rPr>
                <w:noProof/>
                <w:sz w:val="20"/>
              </w:rPr>
              <w:t xml:space="preserve"> processes, it should be well positioned to ensure consistent and predictable time frames for transition for existing bands and </w:t>
            </w:r>
            <w:r w:rsidR="00527C0F" w:rsidRPr="00D86314">
              <w:rPr>
                <w:noProof/>
                <w:sz w:val="20"/>
              </w:rPr>
              <w:t xml:space="preserve">innovative </w:t>
            </w:r>
            <w:r w:rsidR="0062769B" w:rsidRPr="00D86314">
              <w:rPr>
                <w:noProof/>
                <w:sz w:val="20"/>
              </w:rPr>
              <w:t xml:space="preserve">New Space </w:t>
            </w:r>
            <w:r w:rsidR="00A219E8" w:rsidRPr="00D86314">
              <w:rPr>
                <w:noProof/>
                <w:sz w:val="20"/>
              </w:rPr>
              <w:t xml:space="preserve">D2D </w:t>
            </w:r>
            <w:r w:rsidRPr="00D86314">
              <w:rPr>
                <w:noProof/>
                <w:sz w:val="20"/>
              </w:rPr>
              <w:t xml:space="preserve">services, including the 2 GHz band. </w:t>
            </w:r>
            <w:r w:rsidR="00F01B3D" w:rsidRPr="00D86314">
              <w:rPr>
                <w:noProof/>
                <w:sz w:val="20"/>
              </w:rPr>
              <w:t>A more predictable regulatory environment and higher investments will lead to more RDI activity by all companies.</w:t>
            </w:r>
          </w:p>
        </w:tc>
      </w:tr>
      <w:tr w:rsidR="00F01B3D" w:rsidRPr="00D86314" w14:paraId="2A77CF5F" w14:textId="77777777" w:rsidTr="00196549">
        <w:tc>
          <w:tcPr>
            <w:tcW w:w="1231" w:type="pct"/>
            <w:tcBorders>
              <w:top w:val="double" w:sz="4" w:space="0" w:color="auto"/>
              <w:left w:val="double" w:sz="4" w:space="0" w:color="auto"/>
              <w:bottom w:val="double" w:sz="4" w:space="0" w:color="auto"/>
              <w:right w:val="double" w:sz="4" w:space="0" w:color="auto"/>
            </w:tcBorders>
          </w:tcPr>
          <w:p w14:paraId="5D20E4E4" w14:textId="291B1E45" w:rsidR="00F01B3D" w:rsidRPr="00D86314" w:rsidRDefault="00F01B3D" w:rsidP="00F01B3D">
            <w:pPr>
              <w:spacing w:after="0"/>
              <w:rPr>
                <w:noProof/>
                <w:sz w:val="20"/>
              </w:rPr>
            </w:pPr>
            <w:r w:rsidRPr="00D86314">
              <w:rPr>
                <w:noProof/>
                <w:sz w:val="20"/>
              </w:rPr>
              <w:t>More choice in services offered, more competition</w:t>
            </w:r>
          </w:p>
        </w:tc>
        <w:tc>
          <w:tcPr>
            <w:tcW w:w="1981"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51F9D931" w14:textId="01072E17" w:rsidR="00F01B3D" w:rsidRPr="00D86314" w:rsidRDefault="00F01B3D" w:rsidP="00F01B3D">
            <w:pPr>
              <w:spacing w:after="0"/>
              <w:rPr>
                <w:noProof/>
                <w:sz w:val="20"/>
              </w:rPr>
            </w:pPr>
            <w:r w:rsidRPr="00D86314">
              <w:rPr>
                <w:noProof/>
                <w:sz w:val="20"/>
              </w:rPr>
              <w:t>Not quantified</w:t>
            </w:r>
          </w:p>
        </w:tc>
        <w:tc>
          <w:tcPr>
            <w:tcW w:w="1788"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7ACF1C14" w14:textId="312CD552" w:rsidR="00F01B3D" w:rsidRPr="00D86314" w:rsidRDefault="00F01B3D" w:rsidP="00F01B3D">
            <w:pPr>
              <w:spacing w:after="0"/>
              <w:rPr>
                <w:noProof/>
                <w:sz w:val="20"/>
                <w:szCs w:val="20"/>
              </w:rPr>
            </w:pPr>
            <w:r w:rsidRPr="00D86314">
              <w:rPr>
                <w:noProof/>
                <w:sz w:val="20"/>
                <w:szCs w:val="20"/>
              </w:rPr>
              <w:t xml:space="preserve">New services are likely to appear </w:t>
            </w:r>
            <w:r w:rsidR="1541DCAB" w:rsidRPr="00D86314">
              <w:rPr>
                <w:noProof/>
                <w:sz w:val="20"/>
                <w:szCs w:val="20"/>
              </w:rPr>
              <w:t>d</w:t>
            </w:r>
            <w:r w:rsidRPr="00D86314">
              <w:rPr>
                <w:noProof/>
                <w:sz w:val="20"/>
                <w:szCs w:val="20"/>
              </w:rPr>
              <w:t>ue to increased innovation increasing the choice for (end-)users.</w:t>
            </w:r>
          </w:p>
          <w:p w14:paraId="790E08E2" w14:textId="448105C6" w:rsidR="00F01B3D" w:rsidRPr="00D86314" w:rsidRDefault="00F01B3D" w:rsidP="00F01B3D">
            <w:pPr>
              <w:spacing w:after="0"/>
              <w:rPr>
                <w:noProof/>
                <w:sz w:val="20"/>
              </w:rPr>
            </w:pPr>
            <w:r w:rsidRPr="00D86314">
              <w:rPr>
                <w:noProof/>
                <w:sz w:val="20"/>
              </w:rPr>
              <w:t>A more predictable regulatory environment attracts more companies to the market, especially SMEs</w:t>
            </w:r>
            <w:r w:rsidR="00CF5C17" w:rsidRPr="00D86314">
              <w:rPr>
                <w:noProof/>
                <w:sz w:val="20"/>
              </w:rPr>
              <w:t>, including</w:t>
            </w:r>
            <w:r w:rsidR="003076C5" w:rsidRPr="00D86314">
              <w:rPr>
                <w:noProof/>
                <w:sz w:val="20"/>
              </w:rPr>
              <w:t xml:space="preserve"> New Space SMEs</w:t>
            </w:r>
          </w:p>
        </w:tc>
      </w:tr>
    </w:tbl>
    <w:p w14:paraId="41EDB0F7" w14:textId="67EC7732" w:rsidR="008C05BD" w:rsidRPr="00D86314" w:rsidRDefault="008C05BD" w:rsidP="008C05BD">
      <w:pPr>
        <w:rPr>
          <w:i/>
          <w:noProof/>
          <w:sz w:val="20"/>
        </w:rPr>
      </w:pPr>
      <w:r w:rsidRPr="00D86314">
        <w:rPr>
          <w:i/>
          <w:noProof/>
          <w:sz w:val="20"/>
        </w:rPr>
        <w:t xml:space="preserve">(1) Estimates are gross values relative to the baseline for the preferred option as a whole (i.e. the impact of individual actions/obligations of the </w:t>
      </w:r>
      <w:r w:rsidRPr="00D86314">
        <w:rPr>
          <w:i/>
          <w:noProof/>
          <w:sz w:val="20"/>
          <w:u w:val="single"/>
        </w:rPr>
        <w:t>preferred</w:t>
      </w:r>
      <w:r w:rsidRPr="00D86314">
        <w:rPr>
          <w:i/>
          <w:noProof/>
          <w:sz w:val="20"/>
        </w:rPr>
        <w:t xml:space="preserve"> option are aggregated together); (2) Please indicate in the comments column which stakeholder group is the main recipient of the benefit;(3) For reductions in regulatory costs, please describe in the comments column the details as to how the saving arises (e.g. reductions in adjustment costs, administrative costs, regulatory charges, enforcement costs, etc.).</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9"/>
        <w:gridCol w:w="1479"/>
        <w:gridCol w:w="1043"/>
        <w:gridCol w:w="1225"/>
        <w:gridCol w:w="1198"/>
        <w:gridCol w:w="1332"/>
        <w:gridCol w:w="1223"/>
        <w:gridCol w:w="1173"/>
      </w:tblGrid>
      <w:tr w:rsidR="00F660C2" w:rsidRPr="00D86314" w14:paraId="6C782AAF" w14:textId="77777777" w:rsidTr="565BE503">
        <w:tc>
          <w:tcPr>
            <w:tcW w:w="5000" w:type="pct"/>
            <w:gridSpan w:val="8"/>
            <w:shd w:val="clear" w:color="auto" w:fill="C6D9F1" w:themeFill="text2" w:themeFillTint="33"/>
            <w:tcMar>
              <w:top w:w="57" w:type="dxa"/>
              <w:left w:w="57" w:type="dxa"/>
              <w:bottom w:w="57" w:type="dxa"/>
              <w:right w:w="57" w:type="dxa"/>
            </w:tcMar>
          </w:tcPr>
          <w:p w14:paraId="7371B6A1" w14:textId="77777777" w:rsidR="008C05BD" w:rsidRPr="00D86314" w:rsidRDefault="008C05BD" w:rsidP="00953ED2">
            <w:pPr>
              <w:spacing w:after="0"/>
              <w:rPr>
                <w:noProof/>
                <w:sz w:val="20"/>
                <w:szCs w:val="20"/>
                <w:lang w:eastAsia="en-GB"/>
              </w:rPr>
            </w:pPr>
            <w:r w:rsidRPr="00D86314">
              <w:rPr>
                <w:noProof/>
                <w:sz w:val="20"/>
                <w:szCs w:val="20"/>
                <w:lang w:eastAsia="en-GB"/>
              </w:rPr>
              <w:t>II. Overview of costs – Preferred option</w:t>
            </w:r>
          </w:p>
        </w:tc>
      </w:tr>
      <w:tr w:rsidR="00CA2555" w:rsidRPr="00D86314" w14:paraId="24B042DF" w14:textId="77777777" w:rsidTr="00196549">
        <w:tc>
          <w:tcPr>
            <w:tcW w:w="1247"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590A6080" w14:textId="77777777" w:rsidR="008C05BD" w:rsidRPr="00D86314" w:rsidRDefault="008C05BD">
            <w:pPr>
              <w:spacing w:after="0"/>
              <w:rPr>
                <w:noProof/>
                <w:sz w:val="20"/>
                <w:szCs w:val="20"/>
              </w:rPr>
            </w:pPr>
          </w:p>
        </w:tc>
        <w:tc>
          <w:tcPr>
            <w:tcW w:w="1183" w:type="pct"/>
            <w:gridSpan w:val="2"/>
            <w:tcBorders>
              <w:left w:val="double" w:sz="4" w:space="0" w:color="auto"/>
            </w:tcBorders>
            <w:tcMar>
              <w:top w:w="57" w:type="dxa"/>
              <w:left w:w="57" w:type="dxa"/>
              <w:bottom w:w="57" w:type="dxa"/>
              <w:right w:w="57" w:type="dxa"/>
            </w:tcMar>
          </w:tcPr>
          <w:p w14:paraId="7E25021C" w14:textId="77777777" w:rsidR="008C05BD" w:rsidRPr="00D86314" w:rsidRDefault="008C05BD" w:rsidP="00305AB8">
            <w:pPr>
              <w:spacing w:after="0"/>
              <w:jc w:val="center"/>
              <w:rPr>
                <w:noProof/>
                <w:sz w:val="20"/>
                <w:szCs w:val="20"/>
                <w:lang w:eastAsia="en-GB"/>
              </w:rPr>
            </w:pPr>
            <w:r w:rsidRPr="00D86314">
              <w:rPr>
                <w:noProof/>
                <w:sz w:val="20"/>
                <w:szCs w:val="20"/>
                <w:lang w:eastAsia="en-GB"/>
              </w:rPr>
              <w:t>Citizens/Consumers</w:t>
            </w:r>
          </w:p>
        </w:tc>
        <w:tc>
          <w:tcPr>
            <w:tcW w:w="1320" w:type="pct"/>
            <w:gridSpan w:val="2"/>
            <w:tcMar>
              <w:top w:w="57" w:type="dxa"/>
              <w:left w:w="57" w:type="dxa"/>
              <w:bottom w:w="57" w:type="dxa"/>
              <w:right w:w="57" w:type="dxa"/>
            </w:tcMar>
          </w:tcPr>
          <w:p w14:paraId="6CCEF6C9" w14:textId="77777777" w:rsidR="008C05BD" w:rsidRPr="00D86314" w:rsidRDefault="008C05BD" w:rsidP="00305AB8">
            <w:pPr>
              <w:spacing w:after="0"/>
              <w:jc w:val="center"/>
              <w:rPr>
                <w:noProof/>
                <w:sz w:val="20"/>
                <w:szCs w:val="20"/>
                <w:lang w:eastAsia="en-GB"/>
              </w:rPr>
            </w:pPr>
            <w:r w:rsidRPr="00D86314">
              <w:rPr>
                <w:noProof/>
                <w:sz w:val="20"/>
                <w:szCs w:val="20"/>
                <w:lang w:eastAsia="en-GB"/>
              </w:rPr>
              <w:t>Businesses</w:t>
            </w:r>
          </w:p>
        </w:tc>
        <w:tc>
          <w:tcPr>
            <w:tcW w:w="1249" w:type="pct"/>
            <w:gridSpan w:val="2"/>
            <w:tcMar>
              <w:top w:w="57" w:type="dxa"/>
              <w:left w:w="57" w:type="dxa"/>
              <w:bottom w:w="57" w:type="dxa"/>
              <w:right w:w="57" w:type="dxa"/>
            </w:tcMar>
          </w:tcPr>
          <w:p w14:paraId="5ADE7EB8" w14:textId="77777777" w:rsidR="008C05BD" w:rsidRPr="00D86314" w:rsidRDefault="008C05BD" w:rsidP="00305AB8">
            <w:pPr>
              <w:spacing w:after="0"/>
              <w:jc w:val="center"/>
              <w:rPr>
                <w:noProof/>
                <w:sz w:val="20"/>
                <w:szCs w:val="20"/>
                <w:lang w:eastAsia="en-GB"/>
              </w:rPr>
            </w:pPr>
            <w:r w:rsidRPr="00D86314">
              <w:rPr>
                <w:noProof/>
                <w:sz w:val="20"/>
                <w:szCs w:val="20"/>
                <w:lang w:eastAsia="en-GB"/>
              </w:rPr>
              <w:t>Administrations</w:t>
            </w:r>
          </w:p>
        </w:tc>
      </w:tr>
      <w:tr w:rsidR="000C06F3" w:rsidRPr="00D86314" w14:paraId="090BC03F" w14:textId="77777777" w:rsidTr="00196549">
        <w:tc>
          <w:tcPr>
            <w:tcW w:w="1247" w:type="pct"/>
            <w:gridSpan w:val="2"/>
            <w:vMerge/>
            <w:tcBorders>
              <w:tl2br w:val="double" w:sz="4" w:space="0" w:color="auto"/>
            </w:tcBorders>
            <w:tcMar>
              <w:top w:w="57" w:type="dxa"/>
              <w:left w:w="57" w:type="dxa"/>
              <w:bottom w:w="57" w:type="dxa"/>
              <w:right w:w="57" w:type="dxa"/>
            </w:tcMar>
          </w:tcPr>
          <w:p w14:paraId="19021950" w14:textId="77777777" w:rsidR="008C05BD" w:rsidRPr="00D86314" w:rsidRDefault="008C05BD">
            <w:pPr>
              <w:spacing w:after="0"/>
              <w:rPr>
                <w:noProof/>
                <w:sz w:val="20"/>
                <w:szCs w:val="20"/>
              </w:rPr>
            </w:pPr>
          </w:p>
        </w:tc>
        <w:tc>
          <w:tcPr>
            <w:tcW w:w="544" w:type="pct"/>
            <w:tcBorders>
              <w:left w:val="double" w:sz="4" w:space="0" w:color="auto"/>
              <w:bottom w:val="double" w:sz="4" w:space="0" w:color="auto"/>
            </w:tcBorders>
            <w:tcMar>
              <w:top w:w="57" w:type="dxa"/>
              <w:left w:w="57" w:type="dxa"/>
              <w:bottom w:w="57" w:type="dxa"/>
              <w:right w:w="57" w:type="dxa"/>
            </w:tcMar>
          </w:tcPr>
          <w:p w14:paraId="0091E3AA" w14:textId="77777777" w:rsidR="008C05BD" w:rsidRPr="00D86314" w:rsidRDefault="008C05BD" w:rsidP="00305AB8">
            <w:pPr>
              <w:spacing w:after="0"/>
              <w:jc w:val="center"/>
              <w:rPr>
                <w:noProof/>
                <w:sz w:val="20"/>
                <w:szCs w:val="20"/>
                <w:lang w:eastAsia="en-GB"/>
              </w:rPr>
            </w:pPr>
            <w:r w:rsidRPr="00D86314">
              <w:rPr>
                <w:noProof/>
                <w:sz w:val="20"/>
                <w:szCs w:val="20"/>
                <w:lang w:eastAsia="en-GB"/>
              </w:rPr>
              <w:t>One-off</w:t>
            </w:r>
          </w:p>
        </w:tc>
        <w:tc>
          <w:tcPr>
            <w:tcW w:w="639" w:type="pct"/>
            <w:tcBorders>
              <w:bottom w:val="double" w:sz="4" w:space="0" w:color="auto"/>
            </w:tcBorders>
            <w:tcMar>
              <w:top w:w="57" w:type="dxa"/>
              <w:left w:w="57" w:type="dxa"/>
              <w:bottom w:w="57" w:type="dxa"/>
              <w:right w:w="57" w:type="dxa"/>
            </w:tcMar>
          </w:tcPr>
          <w:p w14:paraId="77D79CD0" w14:textId="77777777" w:rsidR="008C05BD" w:rsidRPr="00D86314" w:rsidRDefault="008C05BD" w:rsidP="00305AB8">
            <w:pPr>
              <w:spacing w:after="0"/>
              <w:jc w:val="center"/>
              <w:rPr>
                <w:noProof/>
                <w:sz w:val="20"/>
                <w:szCs w:val="20"/>
                <w:lang w:eastAsia="en-GB"/>
              </w:rPr>
            </w:pPr>
            <w:r w:rsidRPr="00D86314">
              <w:rPr>
                <w:noProof/>
                <w:sz w:val="20"/>
                <w:szCs w:val="20"/>
                <w:lang w:eastAsia="en-GB"/>
              </w:rPr>
              <w:t>Recurrent</w:t>
            </w:r>
          </w:p>
        </w:tc>
        <w:tc>
          <w:tcPr>
            <w:tcW w:w="625" w:type="pct"/>
            <w:tcBorders>
              <w:bottom w:val="double" w:sz="4" w:space="0" w:color="auto"/>
            </w:tcBorders>
            <w:tcMar>
              <w:top w:w="57" w:type="dxa"/>
              <w:left w:w="57" w:type="dxa"/>
              <w:bottom w:w="57" w:type="dxa"/>
              <w:right w:w="57" w:type="dxa"/>
            </w:tcMar>
          </w:tcPr>
          <w:p w14:paraId="25A7D046" w14:textId="77777777" w:rsidR="008C05BD" w:rsidRPr="00D86314" w:rsidRDefault="008C05BD" w:rsidP="00305AB8">
            <w:pPr>
              <w:spacing w:after="0"/>
              <w:jc w:val="center"/>
              <w:rPr>
                <w:noProof/>
                <w:sz w:val="20"/>
                <w:szCs w:val="20"/>
                <w:lang w:eastAsia="en-GB"/>
              </w:rPr>
            </w:pPr>
            <w:r w:rsidRPr="00D86314">
              <w:rPr>
                <w:noProof/>
                <w:sz w:val="20"/>
                <w:szCs w:val="20"/>
                <w:lang w:eastAsia="en-GB"/>
              </w:rPr>
              <w:t>One-off</w:t>
            </w:r>
          </w:p>
        </w:tc>
        <w:tc>
          <w:tcPr>
            <w:tcW w:w="695" w:type="pct"/>
            <w:tcBorders>
              <w:bottom w:val="double" w:sz="4" w:space="0" w:color="auto"/>
            </w:tcBorders>
            <w:tcMar>
              <w:top w:w="57" w:type="dxa"/>
              <w:left w:w="57" w:type="dxa"/>
              <w:bottom w:w="57" w:type="dxa"/>
              <w:right w:w="57" w:type="dxa"/>
            </w:tcMar>
          </w:tcPr>
          <w:p w14:paraId="31EDE46C" w14:textId="77777777" w:rsidR="008C05BD" w:rsidRPr="00D86314" w:rsidRDefault="008C05BD" w:rsidP="00305AB8">
            <w:pPr>
              <w:spacing w:after="0"/>
              <w:jc w:val="center"/>
              <w:rPr>
                <w:noProof/>
                <w:sz w:val="20"/>
                <w:szCs w:val="20"/>
                <w:lang w:eastAsia="en-GB"/>
              </w:rPr>
            </w:pPr>
            <w:r w:rsidRPr="00D86314">
              <w:rPr>
                <w:noProof/>
                <w:sz w:val="20"/>
                <w:szCs w:val="20"/>
                <w:lang w:eastAsia="en-GB"/>
              </w:rPr>
              <w:t>Recurrent</w:t>
            </w:r>
          </w:p>
        </w:tc>
        <w:tc>
          <w:tcPr>
            <w:tcW w:w="638" w:type="pct"/>
            <w:tcBorders>
              <w:bottom w:val="double" w:sz="4" w:space="0" w:color="auto"/>
            </w:tcBorders>
            <w:tcMar>
              <w:top w:w="57" w:type="dxa"/>
              <w:left w:w="57" w:type="dxa"/>
              <w:bottom w:w="57" w:type="dxa"/>
              <w:right w:w="57" w:type="dxa"/>
            </w:tcMar>
          </w:tcPr>
          <w:p w14:paraId="0E60D8A8" w14:textId="77777777" w:rsidR="008C05BD" w:rsidRPr="00D86314" w:rsidRDefault="008C05BD" w:rsidP="00305AB8">
            <w:pPr>
              <w:spacing w:after="0"/>
              <w:jc w:val="center"/>
              <w:rPr>
                <w:noProof/>
                <w:sz w:val="20"/>
                <w:szCs w:val="20"/>
                <w:lang w:eastAsia="en-GB"/>
              </w:rPr>
            </w:pPr>
            <w:r w:rsidRPr="00D86314">
              <w:rPr>
                <w:noProof/>
                <w:sz w:val="20"/>
                <w:szCs w:val="20"/>
                <w:lang w:eastAsia="en-GB"/>
              </w:rPr>
              <w:t>One-off</w:t>
            </w:r>
          </w:p>
        </w:tc>
        <w:tc>
          <w:tcPr>
            <w:tcW w:w="611" w:type="pct"/>
            <w:tcBorders>
              <w:bottom w:val="double" w:sz="4" w:space="0" w:color="auto"/>
            </w:tcBorders>
            <w:tcMar>
              <w:top w:w="57" w:type="dxa"/>
              <w:left w:w="57" w:type="dxa"/>
              <w:bottom w:w="57" w:type="dxa"/>
              <w:right w:w="57" w:type="dxa"/>
            </w:tcMar>
          </w:tcPr>
          <w:p w14:paraId="34645B35" w14:textId="77777777" w:rsidR="008C05BD" w:rsidRPr="00D86314" w:rsidRDefault="008C05BD" w:rsidP="00305AB8">
            <w:pPr>
              <w:spacing w:after="0"/>
              <w:jc w:val="center"/>
              <w:rPr>
                <w:noProof/>
                <w:sz w:val="20"/>
                <w:szCs w:val="20"/>
                <w:lang w:eastAsia="en-GB"/>
              </w:rPr>
            </w:pPr>
            <w:r w:rsidRPr="00D86314">
              <w:rPr>
                <w:noProof/>
                <w:sz w:val="20"/>
                <w:szCs w:val="20"/>
                <w:lang w:eastAsia="en-GB"/>
              </w:rPr>
              <w:t>Recurrent</w:t>
            </w:r>
          </w:p>
        </w:tc>
      </w:tr>
      <w:tr w:rsidR="00CA2555" w:rsidRPr="00D86314" w14:paraId="18378288" w14:textId="77777777" w:rsidTr="00196549">
        <w:trPr>
          <w:trHeight w:val="307"/>
        </w:trPr>
        <w:tc>
          <w:tcPr>
            <w:tcW w:w="475" w:type="pct"/>
            <w:vMerge w:val="restart"/>
            <w:tcMar>
              <w:top w:w="57" w:type="dxa"/>
              <w:left w:w="57" w:type="dxa"/>
              <w:bottom w:w="57" w:type="dxa"/>
              <w:right w:w="57" w:type="dxa"/>
            </w:tcMar>
            <w:vAlign w:val="center"/>
          </w:tcPr>
          <w:p w14:paraId="22DAE903" w14:textId="22D46191" w:rsidR="008C05BD" w:rsidRPr="00D86314" w:rsidRDefault="008C05BD" w:rsidP="00076C25">
            <w:pPr>
              <w:rPr>
                <w:noProof/>
                <w:sz w:val="20"/>
                <w:szCs w:val="20"/>
              </w:rPr>
            </w:pPr>
            <w:r w:rsidRPr="00D86314">
              <w:rPr>
                <w:noProof/>
                <w:sz w:val="20"/>
                <w:szCs w:val="20"/>
              </w:rPr>
              <w:t xml:space="preserve">Action (a) </w:t>
            </w:r>
          </w:p>
        </w:tc>
        <w:tc>
          <w:tcPr>
            <w:tcW w:w="772" w:type="pct"/>
            <w:tcBorders>
              <w:right w:val="double" w:sz="4" w:space="0" w:color="auto"/>
            </w:tcBorders>
            <w:tcMar>
              <w:top w:w="57" w:type="dxa"/>
              <w:left w:w="57" w:type="dxa"/>
              <w:bottom w:w="57" w:type="dxa"/>
              <w:right w:w="57" w:type="dxa"/>
            </w:tcMar>
            <w:vAlign w:val="center"/>
          </w:tcPr>
          <w:p w14:paraId="4329CD70" w14:textId="55E27B1F" w:rsidR="008C05BD" w:rsidRPr="00D86314" w:rsidRDefault="008C05BD" w:rsidP="00076C25">
            <w:pPr>
              <w:jc w:val="left"/>
              <w:rPr>
                <w:noProof/>
                <w:sz w:val="20"/>
                <w:szCs w:val="20"/>
              </w:rPr>
            </w:pPr>
          </w:p>
        </w:tc>
        <w:tc>
          <w:tcPr>
            <w:tcW w:w="544" w:type="pct"/>
            <w:tcBorders>
              <w:left w:val="double" w:sz="4" w:space="0" w:color="auto"/>
            </w:tcBorders>
            <w:tcMar>
              <w:top w:w="57" w:type="dxa"/>
              <w:left w:w="57" w:type="dxa"/>
              <w:bottom w:w="57" w:type="dxa"/>
              <w:right w:w="57" w:type="dxa"/>
            </w:tcMar>
            <w:vAlign w:val="center"/>
          </w:tcPr>
          <w:p w14:paraId="35BB281E" w14:textId="77777777" w:rsidR="008C05BD" w:rsidRPr="00D86314" w:rsidRDefault="008C05BD" w:rsidP="00076C25">
            <w:pPr>
              <w:rPr>
                <w:noProof/>
                <w:sz w:val="20"/>
                <w:szCs w:val="20"/>
              </w:rPr>
            </w:pPr>
          </w:p>
        </w:tc>
        <w:tc>
          <w:tcPr>
            <w:tcW w:w="639" w:type="pct"/>
            <w:tcMar>
              <w:top w:w="57" w:type="dxa"/>
              <w:left w:w="57" w:type="dxa"/>
              <w:bottom w:w="57" w:type="dxa"/>
              <w:right w:w="57" w:type="dxa"/>
            </w:tcMar>
            <w:vAlign w:val="center"/>
          </w:tcPr>
          <w:p w14:paraId="67FEC5FC" w14:textId="77777777" w:rsidR="008C05BD" w:rsidRPr="00D86314" w:rsidRDefault="008C05BD" w:rsidP="00076C25">
            <w:pPr>
              <w:rPr>
                <w:noProof/>
                <w:sz w:val="20"/>
                <w:szCs w:val="20"/>
              </w:rPr>
            </w:pPr>
          </w:p>
        </w:tc>
        <w:tc>
          <w:tcPr>
            <w:tcW w:w="625" w:type="pct"/>
            <w:tcMar>
              <w:top w:w="57" w:type="dxa"/>
              <w:left w:w="57" w:type="dxa"/>
              <w:bottom w:w="57" w:type="dxa"/>
              <w:right w:w="57" w:type="dxa"/>
            </w:tcMar>
            <w:vAlign w:val="center"/>
          </w:tcPr>
          <w:p w14:paraId="33FE5281" w14:textId="7FE0E05D" w:rsidR="008C05BD" w:rsidRPr="00D86314" w:rsidRDefault="008C05BD" w:rsidP="00076C25">
            <w:pPr>
              <w:rPr>
                <w:noProof/>
                <w:sz w:val="20"/>
                <w:szCs w:val="20"/>
              </w:rPr>
            </w:pPr>
          </w:p>
        </w:tc>
        <w:tc>
          <w:tcPr>
            <w:tcW w:w="695" w:type="pct"/>
            <w:tcMar>
              <w:top w:w="57" w:type="dxa"/>
              <w:left w:w="57" w:type="dxa"/>
              <w:bottom w:w="57" w:type="dxa"/>
              <w:right w:w="57" w:type="dxa"/>
            </w:tcMar>
            <w:vAlign w:val="center"/>
          </w:tcPr>
          <w:p w14:paraId="3EAFDF4D" w14:textId="77777777" w:rsidR="008C05BD" w:rsidRPr="00D86314" w:rsidRDefault="008C05BD" w:rsidP="00076C25">
            <w:pPr>
              <w:rPr>
                <w:noProof/>
                <w:sz w:val="20"/>
                <w:szCs w:val="20"/>
              </w:rPr>
            </w:pPr>
          </w:p>
        </w:tc>
        <w:tc>
          <w:tcPr>
            <w:tcW w:w="638" w:type="pct"/>
            <w:tcMar>
              <w:top w:w="57" w:type="dxa"/>
              <w:left w:w="57" w:type="dxa"/>
              <w:bottom w:w="57" w:type="dxa"/>
              <w:right w:w="57" w:type="dxa"/>
            </w:tcMar>
            <w:vAlign w:val="center"/>
          </w:tcPr>
          <w:p w14:paraId="7C166EE7" w14:textId="03737888" w:rsidR="008C05BD" w:rsidRPr="00D86314" w:rsidRDefault="008C05BD" w:rsidP="00076C25">
            <w:pPr>
              <w:rPr>
                <w:noProof/>
                <w:sz w:val="20"/>
                <w:szCs w:val="20"/>
              </w:rPr>
            </w:pPr>
          </w:p>
        </w:tc>
        <w:tc>
          <w:tcPr>
            <w:tcW w:w="611" w:type="pct"/>
            <w:tcMar>
              <w:top w:w="57" w:type="dxa"/>
              <w:left w:w="57" w:type="dxa"/>
              <w:bottom w:w="57" w:type="dxa"/>
              <w:right w:w="57" w:type="dxa"/>
            </w:tcMar>
            <w:vAlign w:val="center"/>
          </w:tcPr>
          <w:p w14:paraId="3CB7BE94" w14:textId="77777777" w:rsidR="004C3310" w:rsidRPr="00D86314" w:rsidRDefault="004C3310" w:rsidP="004C3310">
            <w:pPr>
              <w:rPr>
                <w:noProof/>
                <w:sz w:val="20"/>
                <w:szCs w:val="20"/>
              </w:rPr>
            </w:pPr>
            <w:r w:rsidRPr="00D86314">
              <w:rPr>
                <w:noProof/>
                <w:sz w:val="20"/>
                <w:szCs w:val="20"/>
              </w:rPr>
              <w:t>At EU level for all spectrum measures (including terrestrial authorisation above) a progressive growth to additional 10  FTE for EC and 15 FTE for BEREC Office is to be considered and is quantified in the governance section.</w:t>
            </w:r>
          </w:p>
          <w:p w14:paraId="03A97D45" w14:textId="77777777" w:rsidR="008C05BD" w:rsidRPr="00D86314" w:rsidRDefault="008C05BD" w:rsidP="00076C25">
            <w:pPr>
              <w:rPr>
                <w:noProof/>
                <w:sz w:val="20"/>
                <w:szCs w:val="20"/>
              </w:rPr>
            </w:pPr>
          </w:p>
        </w:tc>
      </w:tr>
      <w:tr w:rsidR="00CA2555" w:rsidRPr="00D86314" w14:paraId="0A5DDE00" w14:textId="77777777" w:rsidTr="00196549">
        <w:trPr>
          <w:trHeight w:val="307"/>
        </w:trPr>
        <w:tc>
          <w:tcPr>
            <w:tcW w:w="475" w:type="pct"/>
            <w:vMerge/>
            <w:tcMar>
              <w:top w:w="57" w:type="dxa"/>
              <w:left w:w="57" w:type="dxa"/>
              <w:bottom w:w="57" w:type="dxa"/>
              <w:right w:w="57" w:type="dxa"/>
            </w:tcMar>
            <w:vAlign w:val="center"/>
          </w:tcPr>
          <w:p w14:paraId="2497534E" w14:textId="77777777" w:rsidR="008C05BD" w:rsidRPr="00D86314" w:rsidRDefault="008C05BD" w:rsidP="00076C25">
            <w:pPr>
              <w:rPr>
                <w:noProof/>
                <w:sz w:val="20"/>
                <w:szCs w:val="20"/>
              </w:rPr>
            </w:pPr>
          </w:p>
        </w:tc>
        <w:tc>
          <w:tcPr>
            <w:tcW w:w="772" w:type="pct"/>
            <w:tcBorders>
              <w:right w:val="double" w:sz="4" w:space="0" w:color="auto"/>
            </w:tcBorders>
            <w:tcMar>
              <w:top w:w="57" w:type="dxa"/>
              <w:left w:w="57" w:type="dxa"/>
              <w:bottom w:w="57" w:type="dxa"/>
              <w:right w:w="57" w:type="dxa"/>
            </w:tcMar>
            <w:vAlign w:val="center"/>
          </w:tcPr>
          <w:p w14:paraId="5C639E24" w14:textId="77777777" w:rsidR="008C05BD" w:rsidRPr="00D86314" w:rsidRDefault="008C05BD" w:rsidP="00076C25">
            <w:pPr>
              <w:jc w:val="left"/>
              <w:rPr>
                <w:noProof/>
                <w:sz w:val="20"/>
                <w:szCs w:val="20"/>
              </w:rPr>
            </w:pPr>
            <w:r w:rsidRPr="00D86314">
              <w:rPr>
                <w:noProof/>
                <w:sz w:val="20"/>
                <w:szCs w:val="20"/>
              </w:rPr>
              <w:t>Direct administrative costs</w:t>
            </w:r>
          </w:p>
        </w:tc>
        <w:tc>
          <w:tcPr>
            <w:tcW w:w="544" w:type="pct"/>
            <w:tcBorders>
              <w:left w:val="double" w:sz="4" w:space="0" w:color="auto"/>
            </w:tcBorders>
            <w:tcMar>
              <w:top w:w="57" w:type="dxa"/>
              <w:left w:w="57" w:type="dxa"/>
              <w:bottom w:w="57" w:type="dxa"/>
              <w:right w:w="57" w:type="dxa"/>
            </w:tcMar>
            <w:vAlign w:val="center"/>
          </w:tcPr>
          <w:p w14:paraId="74B6BDDE" w14:textId="77777777" w:rsidR="008C05BD" w:rsidRPr="00D86314" w:rsidRDefault="008C05BD" w:rsidP="00076C25">
            <w:pPr>
              <w:rPr>
                <w:noProof/>
                <w:sz w:val="20"/>
                <w:szCs w:val="20"/>
              </w:rPr>
            </w:pPr>
          </w:p>
        </w:tc>
        <w:tc>
          <w:tcPr>
            <w:tcW w:w="639" w:type="pct"/>
            <w:tcMar>
              <w:top w:w="57" w:type="dxa"/>
              <w:left w:w="57" w:type="dxa"/>
              <w:bottom w:w="57" w:type="dxa"/>
              <w:right w:w="57" w:type="dxa"/>
            </w:tcMar>
            <w:vAlign w:val="center"/>
          </w:tcPr>
          <w:p w14:paraId="219ED1FB" w14:textId="77777777" w:rsidR="008C05BD" w:rsidRPr="00D86314" w:rsidRDefault="008C05BD" w:rsidP="00076C25">
            <w:pPr>
              <w:rPr>
                <w:noProof/>
                <w:sz w:val="20"/>
                <w:szCs w:val="20"/>
              </w:rPr>
            </w:pPr>
          </w:p>
        </w:tc>
        <w:tc>
          <w:tcPr>
            <w:tcW w:w="625" w:type="pct"/>
            <w:tcMar>
              <w:top w:w="57" w:type="dxa"/>
              <w:left w:w="57" w:type="dxa"/>
              <w:bottom w:w="57" w:type="dxa"/>
              <w:right w:w="57" w:type="dxa"/>
            </w:tcMar>
            <w:vAlign w:val="center"/>
          </w:tcPr>
          <w:p w14:paraId="64EA460D" w14:textId="70B5B016" w:rsidR="008C05BD" w:rsidRPr="00D86314" w:rsidRDefault="00106766" w:rsidP="00076C25">
            <w:pPr>
              <w:rPr>
                <w:noProof/>
                <w:sz w:val="20"/>
                <w:szCs w:val="20"/>
              </w:rPr>
            </w:pPr>
            <w:r w:rsidRPr="00D86314">
              <w:rPr>
                <w:noProof/>
                <w:sz w:val="20"/>
                <w:szCs w:val="20"/>
              </w:rPr>
              <w:t xml:space="preserve">Satellite providers in </w:t>
            </w:r>
            <w:r w:rsidR="007C74CF" w:rsidRPr="00D86314">
              <w:rPr>
                <w:noProof/>
                <w:sz w:val="20"/>
                <w:szCs w:val="20"/>
              </w:rPr>
              <w:t>multi-Member States, modest one-off costs to adapt to harmonised conditions.</w:t>
            </w:r>
          </w:p>
        </w:tc>
        <w:tc>
          <w:tcPr>
            <w:tcW w:w="695" w:type="pct"/>
            <w:tcMar>
              <w:top w:w="57" w:type="dxa"/>
              <w:left w:w="57" w:type="dxa"/>
              <w:bottom w:w="57" w:type="dxa"/>
              <w:right w:w="57" w:type="dxa"/>
            </w:tcMar>
            <w:vAlign w:val="center"/>
          </w:tcPr>
          <w:p w14:paraId="0A8E3F96" w14:textId="2BA71F66" w:rsidR="008C05BD" w:rsidRPr="00D86314" w:rsidRDefault="00F30C08" w:rsidP="00076C25">
            <w:pPr>
              <w:rPr>
                <w:noProof/>
                <w:sz w:val="20"/>
                <w:szCs w:val="20"/>
              </w:rPr>
            </w:pPr>
            <w:r w:rsidRPr="00D86314">
              <w:rPr>
                <w:noProof/>
                <w:sz w:val="20"/>
                <w:szCs w:val="20"/>
              </w:rPr>
              <w:t>Low recurrent costs of monitoring/ information exchange</w:t>
            </w:r>
          </w:p>
        </w:tc>
        <w:tc>
          <w:tcPr>
            <w:tcW w:w="638" w:type="pct"/>
            <w:tcMar>
              <w:top w:w="57" w:type="dxa"/>
              <w:left w:w="57" w:type="dxa"/>
              <w:bottom w:w="57" w:type="dxa"/>
              <w:right w:w="57" w:type="dxa"/>
            </w:tcMar>
            <w:vAlign w:val="center"/>
          </w:tcPr>
          <w:p w14:paraId="0E2A0F53" w14:textId="4BDE4076" w:rsidR="008C05BD" w:rsidRPr="00D86314" w:rsidRDefault="005E4322" w:rsidP="00076C25">
            <w:pPr>
              <w:rPr>
                <w:noProof/>
                <w:sz w:val="20"/>
                <w:szCs w:val="20"/>
              </w:rPr>
            </w:pPr>
            <w:r w:rsidRPr="00D86314">
              <w:rPr>
                <w:noProof/>
                <w:sz w:val="20"/>
                <w:szCs w:val="20"/>
              </w:rPr>
              <w:t>For satellite authorisat</w:t>
            </w:r>
            <w:r w:rsidR="006844EB" w:rsidRPr="00D86314">
              <w:rPr>
                <w:noProof/>
                <w:sz w:val="20"/>
                <w:szCs w:val="20"/>
              </w:rPr>
              <w:t>ions: o</w:t>
            </w:r>
            <w:r w:rsidRPr="00D86314">
              <w:rPr>
                <w:noProof/>
                <w:sz w:val="20"/>
                <w:szCs w:val="20"/>
              </w:rPr>
              <w:t>ne-off costs to establish new coordination mechanisms.</w:t>
            </w:r>
            <w:r w:rsidR="001D6375" w:rsidRPr="00D86314">
              <w:rPr>
                <w:noProof/>
                <w:sz w:val="20"/>
                <w:szCs w:val="20"/>
              </w:rPr>
              <w:t xml:space="preserve"> And one-off transition costs to Member States </w:t>
            </w:r>
          </w:p>
        </w:tc>
        <w:tc>
          <w:tcPr>
            <w:tcW w:w="611" w:type="pct"/>
            <w:tcMar>
              <w:top w:w="57" w:type="dxa"/>
              <w:left w:w="57" w:type="dxa"/>
              <w:bottom w:w="57" w:type="dxa"/>
              <w:right w:w="57" w:type="dxa"/>
            </w:tcMar>
            <w:vAlign w:val="center"/>
          </w:tcPr>
          <w:p w14:paraId="7E9A8E9B" w14:textId="160C4662" w:rsidR="00642E68" w:rsidRPr="00D86314" w:rsidRDefault="00642E68" w:rsidP="00A017B8">
            <w:pPr>
              <w:rPr>
                <w:noProof/>
                <w:sz w:val="20"/>
                <w:szCs w:val="20"/>
              </w:rPr>
            </w:pPr>
            <w:r w:rsidRPr="00D86314">
              <w:rPr>
                <w:noProof/>
                <w:sz w:val="20"/>
                <w:szCs w:val="20"/>
              </w:rPr>
              <w:t>Substantial costs due to EU-level authorisation and, in the case of spectrum scarcity for satellite providers, selection, spectrum assignment, monitoring</w:t>
            </w:r>
            <w:r w:rsidR="00F61404" w:rsidRPr="00D86314">
              <w:rPr>
                <w:noProof/>
                <w:sz w:val="20"/>
                <w:szCs w:val="20"/>
              </w:rPr>
              <w:t>.</w:t>
            </w:r>
          </w:p>
        </w:tc>
      </w:tr>
      <w:tr w:rsidR="00CA2555" w:rsidRPr="00D86314" w14:paraId="438777E2" w14:textId="77777777" w:rsidTr="00196549">
        <w:trPr>
          <w:trHeight w:val="307"/>
        </w:trPr>
        <w:tc>
          <w:tcPr>
            <w:tcW w:w="475" w:type="pct"/>
            <w:vMerge/>
            <w:tcMar>
              <w:top w:w="57" w:type="dxa"/>
              <w:left w:w="57" w:type="dxa"/>
              <w:bottom w:w="57" w:type="dxa"/>
              <w:right w:w="57" w:type="dxa"/>
            </w:tcMar>
            <w:vAlign w:val="center"/>
          </w:tcPr>
          <w:p w14:paraId="4E1A6C0F" w14:textId="77777777" w:rsidR="008C05BD" w:rsidRPr="00D86314" w:rsidRDefault="008C05BD" w:rsidP="00076C25">
            <w:pPr>
              <w:rPr>
                <w:noProof/>
                <w:sz w:val="20"/>
                <w:szCs w:val="20"/>
              </w:rPr>
            </w:pPr>
          </w:p>
        </w:tc>
        <w:tc>
          <w:tcPr>
            <w:tcW w:w="772" w:type="pct"/>
            <w:tcBorders>
              <w:right w:val="double" w:sz="4" w:space="0" w:color="auto"/>
            </w:tcBorders>
            <w:tcMar>
              <w:top w:w="57" w:type="dxa"/>
              <w:left w:w="57" w:type="dxa"/>
              <w:bottom w:w="57" w:type="dxa"/>
              <w:right w:w="57" w:type="dxa"/>
            </w:tcMar>
            <w:vAlign w:val="center"/>
          </w:tcPr>
          <w:p w14:paraId="66B04EEB" w14:textId="77777777" w:rsidR="008C05BD" w:rsidRPr="00D86314" w:rsidRDefault="008C05BD" w:rsidP="00076C25">
            <w:pPr>
              <w:jc w:val="left"/>
              <w:rPr>
                <w:noProof/>
                <w:sz w:val="20"/>
                <w:szCs w:val="20"/>
              </w:rPr>
            </w:pPr>
            <w:r w:rsidRPr="00D86314">
              <w:rPr>
                <w:noProof/>
                <w:sz w:val="20"/>
                <w:szCs w:val="20"/>
              </w:rPr>
              <w:t>Direct regulatory fees and charges</w:t>
            </w:r>
          </w:p>
        </w:tc>
        <w:tc>
          <w:tcPr>
            <w:tcW w:w="544" w:type="pct"/>
            <w:tcBorders>
              <w:left w:val="double" w:sz="4" w:space="0" w:color="auto"/>
            </w:tcBorders>
            <w:tcMar>
              <w:top w:w="57" w:type="dxa"/>
              <w:left w:w="57" w:type="dxa"/>
              <w:bottom w:w="57" w:type="dxa"/>
              <w:right w:w="57" w:type="dxa"/>
            </w:tcMar>
            <w:vAlign w:val="center"/>
          </w:tcPr>
          <w:p w14:paraId="14D0748D" w14:textId="77777777" w:rsidR="008C05BD" w:rsidRPr="00D86314" w:rsidRDefault="008C05BD" w:rsidP="00076C25">
            <w:pPr>
              <w:rPr>
                <w:noProof/>
                <w:sz w:val="20"/>
                <w:szCs w:val="20"/>
              </w:rPr>
            </w:pPr>
          </w:p>
        </w:tc>
        <w:tc>
          <w:tcPr>
            <w:tcW w:w="639" w:type="pct"/>
            <w:tcMar>
              <w:top w:w="57" w:type="dxa"/>
              <w:left w:w="57" w:type="dxa"/>
              <w:bottom w:w="57" w:type="dxa"/>
              <w:right w:w="57" w:type="dxa"/>
            </w:tcMar>
            <w:vAlign w:val="center"/>
          </w:tcPr>
          <w:p w14:paraId="1C13FD46" w14:textId="77777777" w:rsidR="008C05BD" w:rsidRPr="00D86314" w:rsidRDefault="008C05BD" w:rsidP="00076C25">
            <w:pPr>
              <w:rPr>
                <w:noProof/>
                <w:sz w:val="20"/>
                <w:szCs w:val="20"/>
              </w:rPr>
            </w:pPr>
          </w:p>
        </w:tc>
        <w:tc>
          <w:tcPr>
            <w:tcW w:w="625" w:type="pct"/>
            <w:tcMar>
              <w:top w:w="57" w:type="dxa"/>
              <w:left w:w="57" w:type="dxa"/>
              <w:bottom w:w="57" w:type="dxa"/>
              <w:right w:w="57" w:type="dxa"/>
            </w:tcMar>
            <w:vAlign w:val="center"/>
          </w:tcPr>
          <w:p w14:paraId="45E814CF" w14:textId="3046049E" w:rsidR="008C05BD" w:rsidRPr="00D86314" w:rsidRDefault="006A3025" w:rsidP="00076C25">
            <w:pPr>
              <w:rPr>
                <w:noProof/>
                <w:sz w:val="20"/>
                <w:szCs w:val="20"/>
              </w:rPr>
            </w:pPr>
            <w:r w:rsidRPr="00D86314">
              <w:rPr>
                <w:noProof/>
                <w:sz w:val="20"/>
                <w:szCs w:val="20"/>
              </w:rPr>
              <w:t>Satellite operators will no longer pay multiple fees</w:t>
            </w:r>
            <w:r w:rsidR="00A409DE" w:rsidRPr="00D86314">
              <w:rPr>
                <w:noProof/>
                <w:sz w:val="20"/>
                <w:szCs w:val="20"/>
              </w:rPr>
              <w:t xml:space="preserve"> and administrative charges</w:t>
            </w:r>
            <w:r w:rsidRPr="00D86314">
              <w:rPr>
                <w:noProof/>
                <w:sz w:val="20"/>
                <w:szCs w:val="20"/>
              </w:rPr>
              <w:t xml:space="preserve">; instead, a single fee </w:t>
            </w:r>
            <w:r w:rsidR="008B2E0A" w:rsidRPr="00D86314">
              <w:rPr>
                <w:noProof/>
                <w:sz w:val="20"/>
                <w:szCs w:val="20"/>
              </w:rPr>
              <w:t xml:space="preserve">and </w:t>
            </w:r>
            <w:r w:rsidR="00115AD2" w:rsidRPr="00D86314">
              <w:rPr>
                <w:noProof/>
                <w:sz w:val="20"/>
                <w:szCs w:val="20"/>
              </w:rPr>
              <w:t>administrative</w:t>
            </w:r>
            <w:r w:rsidR="008B2E0A" w:rsidRPr="00D86314">
              <w:rPr>
                <w:noProof/>
                <w:sz w:val="20"/>
                <w:szCs w:val="20"/>
              </w:rPr>
              <w:t xml:space="preserve"> charge</w:t>
            </w:r>
            <w:r w:rsidRPr="00D86314">
              <w:rPr>
                <w:noProof/>
                <w:sz w:val="20"/>
                <w:szCs w:val="20"/>
              </w:rPr>
              <w:t xml:space="preserve"> will be paid to </w:t>
            </w:r>
            <w:r w:rsidR="000B23AD" w:rsidRPr="00D86314">
              <w:rPr>
                <w:noProof/>
                <w:sz w:val="20"/>
                <w:szCs w:val="20"/>
              </w:rPr>
              <w:t xml:space="preserve"> </w:t>
            </w:r>
            <w:r w:rsidRPr="00D86314">
              <w:rPr>
                <w:noProof/>
                <w:sz w:val="20"/>
                <w:szCs w:val="20"/>
              </w:rPr>
              <w:t>one European Authority</w:t>
            </w:r>
          </w:p>
        </w:tc>
        <w:tc>
          <w:tcPr>
            <w:tcW w:w="695" w:type="pct"/>
            <w:tcMar>
              <w:top w:w="57" w:type="dxa"/>
              <w:left w:w="57" w:type="dxa"/>
              <w:bottom w:w="57" w:type="dxa"/>
              <w:right w:w="57" w:type="dxa"/>
            </w:tcMar>
            <w:vAlign w:val="center"/>
          </w:tcPr>
          <w:p w14:paraId="737333BF" w14:textId="77777777" w:rsidR="008C05BD" w:rsidRPr="00D86314" w:rsidRDefault="008C05BD" w:rsidP="00076C25">
            <w:pPr>
              <w:rPr>
                <w:noProof/>
                <w:sz w:val="20"/>
                <w:szCs w:val="20"/>
              </w:rPr>
            </w:pPr>
          </w:p>
        </w:tc>
        <w:tc>
          <w:tcPr>
            <w:tcW w:w="638" w:type="pct"/>
            <w:tcMar>
              <w:top w:w="57" w:type="dxa"/>
              <w:left w:w="57" w:type="dxa"/>
              <w:bottom w:w="57" w:type="dxa"/>
              <w:right w:w="57" w:type="dxa"/>
            </w:tcMar>
            <w:vAlign w:val="center"/>
          </w:tcPr>
          <w:p w14:paraId="25950B78" w14:textId="7A0AB490" w:rsidR="008C05BD" w:rsidRPr="00D86314" w:rsidRDefault="00052653" w:rsidP="00076C25">
            <w:pPr>
              <w:rPr>
                <w:noProof/>
                <w:sz w:val="20"/>
                <w:szCs w:val="20"/>
              </w:rPr>
            </w:pPr>
            <w:r w:rsidRPr="00D86314">
              <w:rPr>
                <w:noProof/>
                <w:sz w:val="20"/>
                <w:szCs w:val="20"/>
              </w:rPr>
              <w:t>F</w:t>
            </w:r>
            <w:r w:rsidR="00FA7B8C" w:rsidRPr="00D86314">
              <w:rPr>
                <w:noProof/>
                <w:sz w:val="20"/>
                <w:szCs w:val="20"/>
              </w:rPr>
              <w:t xml:space="preserve">ee collection </w:t>
            </w:r>
            <w:r w:rsidR="00A409DE" w:rsidRPr="00D86314">
              <w:rPr>
                <w:noProof/>
                <w:sz w:val="20"/>
                <w:szCs w:val="20"/>
              </w:rPr>
              <w:t>and administrative charges</w:t>
            </w:r>
            <w:r w:rsidR="00FA7B8C" w:rsidRPr="00D86314">
              <w:rPr>
                <w:noProof/>
                <w:sz w:val="20"/>
                <w:szCs w:val="20"/>
              </w:rPr>
              <w:t xml:space="preserve"> will be transferred from competent national authorities to </w:t>
            </w:r>
            <w:r w:rsidRPr="00D86314">
              <w:rPr>
                <w:noProof/>
                <w:sz w:val="20"/>
                <w:szCs w:val="20"/>
              </w:rPr>
              <w:t xml:space="preserve">the </w:t>
            </w:r>
            <w:r w:rsidR="00FA7B8C" w:rsidRPr="00D86314">
              <w:rPr>
                <w:noProof/>
                <w:sz w:val="20"/>
                <w:szCs w:val="20"/>
              </w:rPr>
              <w:t>European</w:t>
            </w:r>
            <w:r w:rsidRPr="00D86314">
              <w:rPr>
                <w:noProof/>
                <w:sz w:val="20"/>
                <w:szCs w:val="20"/>
              </w:rPr>
              <w:t xml:space="preserve"> Authority</w:t>
            </w:r>
          </w:p>
        </w:tc>
        <w:tc>
          <w:tcPr>
            <w:tcW w:w="611" w:type="pct"/>
            <w:tcMar>
              <w:top w:w="57" w:type="dxa"/>
              <w:left w:w="57" w:type="dxa"/>
              <w:bottom w:w="57" w:type="dxa"/>
              <w:right w:w="57" w:type="dxa"/>
            </w:tcMar>
            <w:vAlign w:val="center"/>
          </w:tcPr>
          <w:p w14:paraId="61E5AF6B" w14:textId="77777777" w:rsidR="008C05BD" w:rsidRPr="00D86314" w:rsidRDefault="008C05BD" w:rsidP="00076C25">
            <w:pPr>
              <w:rPr>
                <w:noProof/>
                <w:sz w:val="20"/>
                <w:szCs w:val="20"/>
              </w:rPr>
            </w:pPr>
          </w:p>
        </w:tc>
      </w:tr>
      <w:tr w:rsidR="00CA2555" w:rsidRPr="00D86314" w14:paraId="0261E834" w14:textId="77777777" w:rsidTr="00196549">
        <w:trPr>
          <w:trHeight w:val="307"/>
        </w:trPr>
        <w:tc>
          <w:tcPr>
            <w:tcW w:w="475" w:type="pct"/>
            <w:vMerge/>
            <w:tcMar>
              <w:top w:w="57" w:type="dxa"/>
              <w:left w:w="57" w:type="dxa"/>
              <w:bottom w:w="57" w:type="dxa"/>
              <w:right w:w="57" w:type="dxa"/>
            </w:tcMar>
            <w:vAlign w:val="center"/>
          </w:tcPr>
          <w:p w14:paraId="3F0EF50A" w14:textId="77777777" w:rsidR="008C05BD" w:rsidRPr="00D86314" w:rsidRDefault="008C05BD" w:rsidP="00076C25">
            <w:pPr>
              <w:rPr>
                <w:noProof/>
                <w:sz w:val="20"/>
                <w:szCs w:val="20"/>
              </w:rPr>
            </w:pPr>
          </w:p>
        </w:tc>
        <w:tc>
          <w:tcPr>
            <w:tcW w:w="772" w:type="pct"/>
            <w:tcBorders>
              <w:right w:val="double" w:sz="4" w:space="0" w:color="auto"/>
            </w:tcBorders>
            <w:tcMar>
              <w:top w:w="57" w:type="dxa"/>
              <w:left w:w="57" w:type="dxa"/>
              <w:bottom w:w="57" w:type="dxa"/>
              <w:right w:w="57" w:type="dxa"/>
            </w:tcMar>
            <w:vAlign w:val="center"/>
          </w:tcPr>
          <w:p w14:paraId="3BDB559A" w14:textId="77777777" w:rsidR="008C05BD" w:rsidRPr="00D86314" w:rsidRDefault="008C05BD" w:rsidP="00076C25">
            <w:pPr>
              <w:jc w:val="left"/>
              <w:rPr>
                <w:noProof/>
                <w:sz w:val="20"/>
                <w:szCs w:val="20"/>
              </w:rPr>
            </w:pPr>
            <w:r w:rsidRPr="00D86314">
              <w:rPr>
                <w:noProof/>
                <w:sz w:val="20"/>
                <w:szCs w:val="20"/>
              </w:rPr>
              <w:t>Direct enforcement costs</w:t>
            </w:r>
          </w:p>
        </w:tc>
        <w:tc>
          <w:tcPr>
            <w:tcW w:w="544" w:type="pct"/>
            <w:tcBorders>
              <w:left w:val="double" w:sz="4" w:space="0" w:color="auto"/>
            </w:tcBorders>
            <w:tcMar>
              <w:top w:w="57" w:type="dxa"/>
              <w:left w:w="57" w:type="dxa"/>
              <w:bottom w:w="57" w:type="dxa"/>
              <w:right w:w="57" w:type="dxa"/>
            </w:tcMar>
            <w:vAlign w:val="center"/>
          </w:tcPr>
          <w:p w14:paraId="686FCE08" w14:textId="77777777" w:rsidR="008C05BD" w:rsidRPr="00D86314" w:rsidRDefault="008C05BD" w:rsidP="00076C25">
            <w:pPr>
              <w:rPr>
                <w:noProof/>
                <w:sz w:val="20"/>
                <w:szCs w:val="20"/>
              </w:rPr>
            </w:pPr>
          </w:p>
        </w:tc>
        <w:tc>
          <w:tcPr>
            <w:tcW w:w="639" w:type="pct"/>
            <w:tcMar>
              <w:top w:w="57" w:type="dxa"/>
              <w:left w:w="57" w:type="dxa"/>
              <w:bottom w:w="57" w:type="dxa"/>
              <w:right w:w="57" w:type="dxa"/>
            </w:tcMar>
            <w:vAlign w:val="center"/>
          </w:tcPr>
          <w:p w14:paraId="244007FD" w14:textId="77777777" w:rsidR="008C05BD" w:rsidRPr="00D86314" w:rsidRDefault="008C05BD" w:rsidP="00076C25">
            <w:pPr>
              <w:rPr>
                <w:noProof/>
                <w:sz w:val="20"/>
                <w:szCs w:val="20"/>
              </w:rPr>
            </w:pPr>
          </w:p>
        </w:tc>
        <w:tc>
          <w:tcPr>
            <w:tcW w:w="625" w:type="pct"/>
            <w:tcMar>
              <w:top w:w="57" w:type="dxa"/>
              <w:left w:w="57" w:type="dxa"/>
              <w:bottom w:w="57" w:type="dxa"/>
              <w:right w:w="57" w:type="dxa"/>
            </w:tcMar>
            <w:vAlign w:val="center"/>
          </w:tcPr>
          <w:p w14:paraId="477F2AC9" w14:textId="0FAE3611" w:rsidR="008C05BD" w:rsidRPr="00D86314" w:rsidRDefault="00A60CCA" w:rsidP="00076C25">
            <w:pPr>
              <w:rPr>
                <w:noProof/>
                <w:sz w:val="20"/>
                <w:szCs w:val="20"/>
              </w:rPr>
            </w:pPr>
            <w:r w:rsidRPr="00D86314">
              <w:rPr>
                <w:noProof/>
                <w:sz w:val="20"/>
                <w:szCs w:val="20"/>
              </w:rPr>
              <w:t>Satellite operators will be able to establish dedicated teams focused on enforcement, responding to requests from a single organisation. This streamlined approach will reduce internal regulatory compliance costs.</w:t>
            </w:r>
          </w:p>
        </w:tc>
        <w:tc>
          <w:tcPr>
            <w:tcW w:w="695" w:type="pct"/>
            <w:tcMar>
              <w:top w:w="57" w:type="dxa"/>
              <w:left w:w="57" w:type="dxa"/>
              <w:bottom w:w="57" w:type="dxa"/>
              <w:right w:w="57" w:type="dxa"/>
            </w:tcMar>
            <w:vAlign w:val="center"/>
          </w:tcPr>
          <w:p w14:paraId="74992B7F" w14:textId="77777777" w:rsidR="008C05BD" w:rsidRPr="00D86314" w:rsidRDefault="008C05BD" w:rsidP="00076C25">
            <w:pPr>
              <w:rPr>
                <w:noProof/>
                <w:sz w:val="20"/>
                <w:szCs w:val="20"/>
              </w:rPr>
            </w:pPr>
          </w:p>
        </w:tc>
        <w:tc>
          <w:tcPr>
            <w:tcW w:w="638" w:type="pct"/>
            <w:tcMar>
              <w:top w:w="57" w:type="dxa"/>
              <w:left w:w="57" w:type="dxa"/>
              <w:bottom w:w="57" w:type="dxa"/>
              <w:right w:w="57" w:type="dxa"/>
            </w:tcMar>
            <w:vAlign w:val="center"/>
          </w:tcPr>
          <w:p w14:paraId="3326961B" w14:textId="7E45BF53" w:rsidR="008C05BD" w:rsidRPr="00D86314" w:rsidRDefault="008227A2" w:rsidP="00AA6F53">
            <w:pPr>
              <w:rPr>
                <w:noProof/>
                <w:sz w:val="20"/>
                <w:szCs w:val="20"/>
              </w:rPr>
            </w:pPr>
            <w:r w:rsidRPr="00D86314">
              <w:rPr>
                <w:noProof/>
                <w:sz w:val="20"/>
                <w:szCs w:val="20"/>
              </w:rPr>
              <w:t>Increased</w:t>
            </w:r>
            <w:r w:rsidR="00472F36" w:rsidRPr="00D86314">
              <w:rPr>
                <w:noProof/>
                <w:sz w:val="20"/>
                <w:szCs w:val="20"/>
              </w:rPr>
              <w:t xml:space="preserve"> costs due to EU-level selection, general, spectrum assignment, monitoring and enforcement</w:t>
            </w:r>
          </w:p>
        </w:tc>
        <w:tc>
          <w:tcPr>
            <w:tcW w:w="611" w:type="pct"/>
            <w:tcMar>
              <w:top w:w="57" w:type="dxa"/>
              <w:left w:w="57" w:type="dxa"/>
              <w:bottom w:w="57" w:type="dxa"/>
              <w:right w:w="57" w:type="dxa"/>
            </w:tcMar>
            <w:vAlign w:val="center"/>
          </w:tcPr>
          <w:p w14:paraId="6A596418" w14:textId="2F4EBFF4" w:rsidR="008C05BD" w:rsidRPr="00D86314" w:rsidRDefault="00CB47FB" w:rsidP="00076C25">
            <w:pPr>
              <w:rPr>
                <w:noProof/>
                <w:sz w:val="20"/>
                <w:szCs w:val="20"/>
              </w:rPr>
            </w:pPr>
            <w:r w:rsidRPr="00D86314">
              <w:rPr>
                <w:noProof/>
                <w:sz w:val="20"/>
                <w:szCs w:val="20"/>
              </w:rPr>
              <w:t>EU s</w:t>
            </w:r>
            <w:r w:rsidR="00D25253" w:rsidRPr="00D86314">
              <w:rPr>
                <w:noProof/>
                <w:sz w:val="20"/>
                <w:szCs w:val="20"/>
              </w:rPr>
              <w:t>ubstantial costs for enforcement responsibilities</w:t>
            </w:r>
          </w:p>
        </w:tc>
      </w:tr>
      <w:tr w:rsidR="00CA2555" w:rsidRPr="00D86314" w14:paraId="4427CC23" w14:textId="77777777" w:rsidTr="00196549">
        <w:tc>
          <w:tcPr>
            <w:tcW w:w="475" w:type="pct"/>
            <w:vMerge/>
            <w:tcMar>
              <w:top w:w="57" w:type="dxa"/>
              <w:left w:w="57" w:type="dxa"/>
              <w:bottom w:w="57" w:type="dxa"/>
              <w:right w:w="57" w:type="dxa"/>
            </w:tcMar>
          </w:tcPr>
          <w:p w14:paraId="0115D38F" w14:textId="77777777" w:rsidR="008C05BD" w:rsidRPr="00D86314" w:rsidRDefault="008C05BD" w:rsidP="00076C25">
            <w:pPr>
              <w:rPr>
                <w:noProof/>
                <w:sz w:val="20"/>
                <w:szCs w:val="20"/>
              </w:rPr>
            </w:pPr>
          </w:p>
        </w:tc>
        <w:tc>
          <w:tcPr>
            <w:tcW w:w="772" w:type="pct"/>
            <w:tcBorders>
              <w:bottom w:val="double" w:sz="4" w:space="0" w:color="auto"/>
              <w:right w:val="double" w:sz="4" w:space="0" w:color="auto"/>
            </w:tcBorders>
            <w:tcMar>
              <w:top w:w="57" w:type="dxa"/>
              <w:left w:w="57" w:type="dxa"/>
              <w:bottom w:w="57" w:type="dxa"/>
              <w:right w:w="57" w:type="dxa"/>
            </w:tcMar>
          </w:tcPr>
          <w:p w14:paraId="3D61BF10" w14:textId="77777777" w:rsidR="008C05BD" w:rsidRPr="00D86314" w:rsidRDefault="008C05BD" w:rsidP="00076C25">
            <w:pPr>
              <w:jc w:val="left"/>
              <w:rPr>
                <w:noProof/>
                <w:sz w:val="20"/>
                <w:szCs w:val="20"/>
              </w:rPr>
            </w:pPr>
            <w:r w:rsidRPr="00D86314">
              <w:rPr>
                <w:noProof/>
                <w:sz w:val="20"/>
                <w:szCs w:val="20"/>
              </w:rPr>
              <w:t>Indirect costs</w:t>
            </w:r>
          </w:p>
        </w:tc>
        <w:tc>
          <w:tcPr>
            <w:tcW w:w="544" w:type="pct"/>
            <w:tcBorders>
              <w:left w:val="double" w:sz="4" w:space="0" w:color="auto"/>
              <w:bottom w:val="double" w:sz="4" w:space="0" w:color="auto"/>
            </w:tcBorders>
            <w:tcMar>
              <w:top w:w="57" w:type="dxa"/>
              <w:left w:w="57" w:type="dxa"/>
              <w:bottom w:w="57" w:type="dxa"/>
              <w:right w:w="57" w:type="dxa"/>
            </w:tcMar>
          </w:tcPr>
          <w:p w14:paraId="69EB966E" w14:textId="77777777" w:rsidR="008C05BD" w:rsidRPr="00D86314" w:rsidRDefault="008C05BD" w:rsidP="00076C25">
            <w:pPr>
              <w:rPr>
                <w:noProof/>
                <w:sz w:val="20"/>
                <w:szCs w:val="20"/>
              </w:rPr>
            </w:pPr>
          </w:p>
        </w:tc>
        <w:tc>
          <w:tcPr>
            <w:tcW w:w="639" w:type="pct"/>
            <w:tcBorders>
              <w:bottom w:val="double" w:sz="4" w:space="0" w:color="auto"/>
            </w:tcBorders>
            <w:tcMar>
              <w:top w:w="57" w:type="dxa"/>
              <w:left w:w="57" w:type="dxa"/>
              <w:bottom w:w="57" w:type="dxa"/>
              <w:right w:w="57" w:type="dxa"/>
            </w:tcMar>
          </w:tcPr>
          <w:p w14:paraId="0DF6EDF4" w14:textId="77777777" w:rsidR="008C05BD" w:rsidRPr="00D86314" w:rsidRDefault="008C05BD" w:rsidP="00076C25">
            <w:pPr>
              <w:rPr>
                <w:noProof/>
                <w:sz w:val="20"/>
                <w:szCs w:val="20"/>
              </w:rPr>
            </w:pPr>
          </w:p>
        </w:tc>
        <w:tc>
          <w:tcPr>
            <w:tcW w:w="625" w:type="pct"/>
            <w:tcBorders>
              <w:bottom w:val="double" w:sz="4" w:space="0" w:color="auto"/>
            </w:tcBorders>
            <w:tcMar>
              <w:top w:w="57" w:type="dxa"/>
              <w:left w:w="57" w:type="dxa"/>
              <w:bottom w:w="57" w:type="dxa"/>
              <w:right w:w="57" w:type="dxa"/>
            </w:tcMar>
          </w:tcPr>
          <w:p w14:paraId="55136402" w14:textId="77777777" w:rsidR="008C05BD" w:rsidRPr="00D86314" w:rsidRDefault="008C05BD" w:rsidP="00076C25">
            <w:pPr>
              <w:rPr>
                <w:noProof/>
                <w:sz w:val="20"/>
                <w:szCs w:val="20"/>
              </w:rPr>
            </w:pPr>
          </w:p>
        </w:tc>
        <w:tc>
          <w:tcPr>
            <w:tcW w:w="695" w:type="pct"/>
            <w:tcBorders>
              <w:bottom w:val="double" w:sz="4" w:space="0" w:color="auto"/>
            </w:tcBorders>
            <w:tcMar>
              <w:top w:w="57" w:type="dxa"/>
              <w:left w:w="57" w:type="dxa"/>
              <w:bottom w:w="57" w:type="dxa"/>
              <w:right w:w="57" w:type="dxa"/>
            </w:tcMar>
          </w:tcPr>
          <w:p w14:paraId="63F08DAC" w14:textId="50F2B0C4" w:rsidR="008C05BD" w:rsidRPr="00D86314" w:rsidRDefault="008C05BD" w:rsidP="00076C25">
            <w:pPr>
              <w:rPr>
                <w:noProof/>
                <w:sz w:val="20"/>
                <w:szCs w:val="20"/>
              </w:rPr>
            </w:pPr>
          </w:p>
        </w:tc>
        <w:tc>
          <w:tcPr>
            <w:tcW w:w="638" w:type="pct"/>
            <w:tcBorders>
              <w:bottom w:val="double" w:sz="4" w:space="0" w:color="auto"/>
            </w:tcBorders>
            <w:tcMar>
              <w:top w:w="57" w:type="dxa"/>
              <w:left w:w="57" w:type="dxa"/>
              <w:bottom w:w="57" w:type="dxa"/>
              <w:right w:w="57" w:type="dxa"/>
            </w:tcMar>
          </w:tcPr>
          <w:p w14:paraId="1E77DD5F" w14:textId="77777777" w:rsidR="008C05BD" w:rsidRPr="00D86314" w:rsidRDefault="008C05BD" w:rsidP="00076C25">
            <w:pPr>
              <w:rPr>
                <w:noProof/>
                <w:sz w:val="20"/>
                <w:szCs w:val="20"/>
              </w:rPr>
            </w:pPr>
          </w:p>
        </w:tc>
        <w:tc>
          <w:tcPr>
            <w:tcW w:w="611" w:type="pct"/>
            <w:tcBorders>
              <w:bottom w:val="double" w:sz="4" w:space="0" w:color="auto"/>
            </w:tcBorders>
            <w:tcMar>
              <w:top w:w="57" w:type="dxa"/>
              <w:left w:w="57" w:type="dxa"/>
              <w:bottom w:w="57" w:type="dxa"/>
              <w:right w:w="57" w:type="dxa"/>
            </w:tcMar>
          </w:tcPr>
          <w:p w14:paraId="77744FD6" w14:textId="77777777" w:rsidR="008C05BD" w:rsidRPr="00D86314" w:rsidRDefault="008C05BD" w:rsidP="00076C25">
            <w:pPr>
              <w:rPr>
                <w:noProof/>
                <w:sz w:val="20"/>
                <w:szCs w:val="20"/>
              </w:rPr>
            </w:pPr>
          </w:p>
        </w:tc>
      </w:tr>
    </w:tbl>
    <w:p w14:paraId="45CF3D3F" w14:textId="77777777" w:rsidR="008C05BD" w:rsidRPr="00D86314" w:rsidRDefault="008C05BD" w:rsidP="00A00C17">
      <w:pPr>
        <w:pStyle w:val="ListParagraph"/>
        <w:numPr>
          <w:ilvl w:val="0"/>
          <w:numId w:val="28"/>
        </w:numPr>
        <w:rPr>
          <w:i/>
          <w:noProof/>
          <w:sz w:val="20"/>
        </w:rPr>
      </w:pPr>
      <w:r w:rsidRPr="00D86314">
        <w:rPr>
          <w:i/>
          <w:noProof/>
          <w:sz w:val="20"/>
        </w:rPr>
        <w:t xml:space="preserve">Estimates (gross values) to be provided with respect to the baseline; (2) costs are provided for each identifiable action/obligation of the </w:t>
      </w:r>
      <w:r w:rsidRPr="00D86314">
        <w:rPr>
          <w:i/>
          <w:noProof/>
          <w:sz w:val="20"/>
          <w:u w:val="single"/>
        </w:rPr>
        <w:t>preferred</w:t>
      </w:r>
      <w:r w:rsidRPr="00D86314">
        <w:rPr>
          <w:i/>
          <w:noProof/>
          <w:sz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 </w:t>
      </w:r>
    </w:p>
    <w:p w14:paraId="4477F2DA" w14:textId="4A068CB0" w:rsidR="0050342C" w:rsidRPr="00D86314" w:rsidRDefault="0050342C" w:rsidP="00A00C17">
      <w:pPr>
        <w:pStyle w:val="Heading2"/>
        <w:numPr>
          <w:ilvl w:val="1"/>
          <w:numId w:val="8"/>
        </w:numPr>
        <w:rPr>
          <w:noProof/>
        </w:rPr>
      </w:pPr>
      <w:bookmarkStart w:id="32" w:name="_Toc219718349"/>
      <w:r w:rsidRPr="00D86314">
        <w:rPr>
          <w:noProof/>
        </w:rPr>
        <w:t>Regulatory governance</w:t>
      </w:r>
      <w:bookmarkEnd w:id="32"/>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359"/>
        <w:gridCol w:w="3796"/>
        <w:gridCol w:w="3427"/>
      </w:tblGrid>
      <w:tr w:rsidR="0050342C" w:rsidRPr="00D86314" w14:paraId="438FF28A" w14:textId="77777777" w:rsidTr="1F63671A">
        <w:tc>
          <w:tcPr>
            <w:tcW w:w="5000" w:type="pct"/>
            <w:gridSpan w:val="3"/>
            <w:tcBorders>
              <w:top w:val="double" w:sz="4" w:space="0" w:color="auto"/>
              <w:bottom w:val="single" w:sz="4" w:space="0" w:color="auto"/>
            </w:tcBorders>
            <w:shd w:val="clear" w:color="auto" w:fill="C6D9F1" w:themeFill="text2" w:themeFillTint="33"/>
          </w:tcPr>
          <w:p w14:paraId="1B23B2D2" w14:textId="6DE3C0F9" w:rsidR="0050342C" w:rsidRPr="00D86314" w:rsidRDefault="0050342C">
            <w:pPr>
              <w:spacing w:after="0"/>
              <w:rPr>
                <w:b/>
                <w:noProof/>
                <w:sz w:val="20"/>
              </w:rPr>
            </w:pPr>
            <w:r w:rsidRPr="00D86314">
              <w:rPr>
                <w:b/>
                <w:noProof/>
                <w:sz w:val="20"/>
              </w:rPr>
              <w:t>I. Overview of Benefits (</w:t>
            </w:r>
            <w:r w:rsidR="00657E48" w:rsidRPr="00D86314">
              <w:rPr>
                <w:b/>
                <w:noProof/>
                <w:sz w:val="20"/>
              </w:rPr>
              <w:t>Regulatory governance</w:t>
            </w:r>
            <w:r w:rsidRPr="00D86314">
              <w:rPr>
                <w:b/>
                <w:noProof/>
                <w:sz w:val="20"/>
              </w:rPr>
              <w:t>) – Preferred Option</w:t>
            </w:r>
          </w:p>
        </w:tc>
      </w:tr>
      <w:tr w:rsidR="0050342C" w:rsidRPr="00D86314" w14:paraId="1386BD69" w14:textId="77777777" w:rsidTr="00450750">
        <w:tc>
          <w:tcPr>
            <w:tcW w:w="1231" w:type="pct"/>
            <w:tcBorders>
              <w:top w:val="single" w:sz="4" w:space="0" w:color="auto"/>
            </w:tcBorders>
            <w:shd w:val="clear" w:color="auto" w:fill="C6D9F1" w:themeFill="text2" w:themeFillTint="33"/>
          </w:tcPr>
          <w:p w14:paraId="04586038" w14:textId="77777777" w:rsidR="0050342C" w:rsidRPr="00D86314" w:rsidRDefault="0050342C" w:rsidP="1F63671A">
            <w:pPr>
              <w:spacing w:after="0"/>
              <w:jc w:val="center"/>
              <w:rPr>
                <w:b/>
                <w:bCs/>
                <w:i/>
                <w:iCs/>
                <w:noProof/>
                <w:sz w:val="20"/>
                <w:szCs w:val="20"/>
              </w:rPr>
            </w:pPr>
            <w:r w:rsidRPr="00D86314">
              <w:rPr>
                <w:b/>
                <w:bCs/>
                <w:i/>
                <w:iCs/>
                <w:noProof/>
                <w:sz w:val="20"/>
                <w:szCs w:val="20"/>
              </w:rPr>
              <w:t>Description</w:t>
            </w:r>
          </w:p>
        </w:tc>
        <w:tc>
          <w:tcPr>
            <w:tcW w:w="1981" w:type="pct"/>
            <w:tcBorders>
              <w:top w:val="single" w:sz="4" w:space="0" w:color="auto"/>
            </w:tcBorders>
            <w:shd w:val="clear" w:color="auto" w:fill="C6D9F1" w:themeFill="text2" w:themeFillTint="33"/>
          </w:tcPr>
          <w:p w14:paraId="4D6FEDC7" w14:textId="77777777" w:rsidR="0050342C" w:rsidRPr="00D86314" w:rsidRDefault="0050342C">
            <w:pPr>
              <w:spacing w:after="0"/>
              <w:jc w:val="center"/>
              <w:rPr>
                <w:b/>
                <w:i/>
                <w:noProof/>
                <w:sz w:val="20"/>
              </w:rPr>
            </w:pPr>
            <w:r w:rsidRPr="00D86314">
              <w:rPr>
                <w:b/>
                <w:i/>
                <w:noProof/>
                <w:sz w:val="20"/>
              </w:rPr>
              <w:t>Amount</w:t>
            </w:r>
          </w:p>
        </w:tc>
        <w:tc>
          <w:tcPr>
            <w:tcW w:w="1788" w:type="pct"/>
            <w:tcBorders>
              <w:top w:val="single" w:sz="4" w:space="0" w:color="auto"/>
            </w:tcBorders>
            <w:shd w:val="clear" w:color="auto" w:fill="C6D9F1" w:themeFill="text2" w:themeFillTint="33"/>
            <w:tcMar>
              <w:top w:w="57" w:type="dxa"/>
              <w:left w:w="57" w:type="dxa"/>
              <w:bottom w:w="57" w:type="dxa"/>
              <w:right w:w="57" w:type="dxa"/>
            </w:tcMar>
          </w:tcPr>
          <w:p w14:paraId="5A01D64A" w14:textId="6CF81B34" w:rsidR="0050342C" w:rsidRPr="00D86314" w:rsidRDefault="0050342C" w:rsidP="1F63671A">
            <w:pPr>
              <w:spacing w:after="0"/>
              <w:jc w:val="center"/>
              <w:rPr>
                <w:b/>
                <w:bCs/>
                <w:i/>
                <w:iCs/>
                <w:noProof/>
                <w:sz w:val="20"/>
                <w:szCs w:val="20"/>
              </w:rPr>
            </w:pPr>
            <w:r w:rsidRPr="00D86314">
              <w:rPr>
                <w:b/>
                <w:bCs/>
                <w:i/>
                <w:iCs/>
                <w:noProof/>
                <w:sz w:val="20"/>
                <w:szCs w:val="20"/>
              </w:rPr>
              <w:t>Comments</w:t>
            </w:r>
          </w:p>
        </w:tc>
      </w:tr>
      <w:tr w:rsidR="0050342C" w:rsidRPr="00D86314" w14:paraId="008263B4" w14:textId="77777777" w:rsidTr="1F63671A">
        <w:tc>
          <w:tcPr>
            <w:tcW w:w="5000" w:type="pct"/>
            <w:gridSpan w:val="3"/>
            <w:tcBorders>
              <w:top w:val="double" w:sz="4" w:space="0" w:color="auto"/>
              <w:bottom w:val="double" w:sz="4" w:space="0" w:color="auto"/>
            </w:tcBorders>
            <w:shd w:val="clear" w:color="auto" w:fill="F2F2F2" w:themeFill="background1" w:themeFillShade="F2"/>
          </w:tcPr>
          <w:p w14:paraId="331D2788" w14:textId="77777777" w:rsidR="0050342C" w:rsidRPr="00D86314" w:rsidRDefault="0050342C">
            <w:pPr>
              <w:spacing w:after="0"/>
              <w:jc w:val="center"/>
              <w:rPr>
                <w:b/>
                <w:i/>
                <w:noProof/>
                <w:sz w:val="20"/>
              </w:rPr>
            </w:pPr>
            <w:r w:rsidRPr="00D86314">
              <w:rPr>
                <w:b/>
                <w:i/>
                <w:noProof/>
                <w:sz w:val="20"/>
              </w:rPr>
              <w:t>Direct benefits</w:t>
            </w:r>
          </w:p>
        </w:tc>
      </w:tr>
      <w:tr w:rsidR="0050342C" w:rsidRPr="00D86314" w14:paraId="189F0CCC" w14:textId="77777777" w:rsidTr="00450750">
        <w:tc>
          <w:tcPr>
            <w:tcW w:w="1231" w:type="pct"/>
            <w:tcBorders>
              <w:top w:val="double" w:sz="4" w:space="0" w:color="auto"/>
              <w:bottom w:val="single" w:sz="4" w:space="0" w:color="auto"/>
            </w:tcBorders>
          </w:tcPr>
          <w:p w14:paraId="253794F5" w14:textId="77777777" w:rsidR="0050342C" w:rsidRPr="00D86314" w:rsidRDefault="0050342C">
            <w:pPr>
              <w:spacing w:after="0"/>
              <w:rPr>
                <w:noProof/>
                <w:sz w:val="20"/>
              </w:rPr>
            </w:pPr>
            <w:r w:rsidRPr="00D86314">
              <w:rPr>
                <w:noProof/>
                <w:sz w:val="20"/>
              </w:rPr>
              <w:t>Costs savings for EU budget</w:t>
            </w:r>
          </w:p>
        </w:tc>
        <w:tc>
          <w:tcPr>
            <w:tcW w:w="1981" w:type="pct"/>
            <w:tcBorders>
              <w:top w:val="double" w:sz="4" w:space="0" w:color="auto"/>
              <w:bottom w:val="single" w:sz="4" w:space="0" w:color="auto"/>
            </w:tcBorders>
            <w:tcMar>
              <w:top w:w="57" w:type="dxa"/>
              <w:left w:w="57" w:type="dxa"/>
              <w:bottom w:w="57" w:type="dxa"/>
              <w:right w:w="57" w:type="dxa"/>
            </w:tcMar>
          </w:tcPr>
          <w:p w14:paraId="605A470E" w14:textId="77777777" w:rsidR="0050342C" w:rsidRPr="00D86314" w:rsidRDefault="0050342C">
            <w:pPr>
              <w:spacing w:after="0"/>
              <w:rPr>
                <w:noProof/>
                <w:sz w:val="20"/>
                <w:szCs w:val="20"/>
              </w:rPr>
            </w:pPr>
            <w:r w:rsidRPr="00D86314">
              <w:rPr>
                <w:noProof/>
                <w:sz w:val="20"/>
                <w:szCs w:val="20"/>
              </w:rPr>
              <w:t xml:space="preserve">Costs savings / increased efficiency by transfer of administrative and substantive responsibilities to BEREC Office and RSPG. </w:t>
            </w:r>
          </w:p>
          <w:p w14:paraId="0264D771" w14:textId="77777777" w:rsidR="0050342C" w:rsidRPr="00D86314" w:rsidRDefault="0050342C">
            <w:pPr>
              <w:spacing w:after="0"/>
              <w:rPr>
                <w:noProof/>
                <w:sz w:val="20"/>
                <w:szCs w:val="20"/>
              </w:rPr>
            </w:pPr>
            <w:r w:rsidRPr="00D86314">
              <w:rPr>
                <w:noProof/>
                <w:sz w:val="20"/>
                <w:szCs w:val="20"/>
              </w:rPr>
              <w:t>This Option would also reduce direct costs for the Commission (albeit with limited effect on the EU budget).</w:t>
            </w:r>
          </w:p>
        </w:tc>
        <w:tc>
          <w:tcPr>
            <w:tcW w:w="1788" w:type="pct"/>
            <w:tcBorders>
              <w:top w:val="double" w:sz="4" w:space="0" w:color="auto"/>
              <w:bottom w:val="single" w:sz="4" w:space="0" w:color="auto"/>
            </w:tcBorders>
            <w:tcMar>
              <w:top w:w="57" w:type="dxa"/>
              <w:left w:w="57" w:type="dxa"/>
              <w:bottom w:w="57" w:type="dxa"/>
              <w:right w:w="57" w:type="dxa"/>
            </w:tcMar>
          </w:tcPr>
          <w:p w14:paraId="71A9C2B2" w14:textId="77777777" w:rsidR="0050342C" w:rsidRPr="00D86314" w:rsidRDefault="0050342C">
            <w:pPr>
              <w:spacing w:after="0"/>
              <w:rPr>
                <w:noProof/>
                <w:sz w:val="20"/>
              </w:rPr>
            </w:pPr>
            <w:r w:rsidRPr="00D86314">
              <w:rPr>
                <w:noProof/>
                <w:sz w:val="20"/>
              </w:rPr>
              <w:t>Expected direct cost savings are moderate, but could be amplified by increase in task linked to DNA</w:t>
            </w:r>
          </w:p>
        </w:tc>
      </w:tr>
      <w:tr w:rsidR="0050342C" w:rsidRPr="00D86314" w14:paraId="09903DCC" w14:textId="77777777" w:rsidTr="00450750">
        <w:tc>
          <w:tcPr>
            <w:tcW w:w="1231" w:type="pct"/>
            <w:tcBorders>
              <w:top w:val="single" w:sz="4" w:space="0" w:color="auto"/>
            </w:tcBorders>
          </w:tcPr>
          <w:p w14:paraId="28BAA855" w14:textId="77777777" w:rsidR="0050342C" w:rsidRPr="00D86314" w:rsidRDefault="0050342C">
            <w:pPr>
              <w:rPr>
                <w:noProof/>
                <w:sz w:val="20"/>
                <w:szCs w:val="20"/>
              </w:rPr>
            </w:pPr>
            <w:r w:rsidRPr="00D86314">
              <w:rPr>
                <w:noProof/>
                <w:sz w:val="20"/>
              </w:rPr>
              <w:t>Costs savings for MS budget</w:t>
            </w:r>
          </w:p>
        </w:tc>
        <w:tc>
          <w:tcPr>
            <w:tcW w:w="1981" w:type="pct"/>
            <w:tcBorders>
              <w:top w:val="single" w:sz="4" w:space="0" w:color="auto"/>
            </w:tcBorders>
            <w:tcMar>
              <w:top w:w="57" w:type="dxa"/>
              <w:left w:w="57" w:type="dxa"/>
              <w:bottom w:w="57" w:type="dxa"/>
              <w:right w:w="57" w:type="dxa"/>
            </w:tcMar>
          </w:tcPr>
          <w:p w14:paraId="1BD87D87" w14:textId="77777777" w:rsidR="0050342C" w:rsidRPr="00D86314" w:rsidRDefault="0050342C">
            <w:pPr>
              <w:spacing w:after="0"/>
              <w:rPr>
                <w:noProof/>
                <w:sz w:val="20"/>
                <w:szCs w:val="20"/>
              </w:rPr>
            </w:pPr>
            <w:r w:rsidRPr="00D86314">
              <w:rPr>
                <w:noProof/>
                <w:sz w:val="20"/>
                <w:szCs w:val="20"/>
              </w:rPr>
              <w:t>Cost savings due to transfer to certain cross-border decisions to the EU level.</w:t>
            </w:r>
          </w:p>
          <w:p w14:paraId="4F85C5C7" w14:textId="0C623702" w:rsidR="0050342C" w:rsidRPr="00D86314" w:rsidRDefault="0050342C">
            <w:pPr>
              <w:spacing w:after="0"/>
              <w:rPr>
                <w:noProof/>
                <w:sz w:val="20"/>
                <w:szCs w:val="20"/>
              </w:rPr>
            </w:pPr>
          </w:p>
          <w:p w14:paraId="5A014B5E" w14:textId="77777777" w:rsidR="0050342C" w:rsidRPr="00D86314" w:rsidRDefault="0050342C">
            <w:pPr>
              <w:spacing w:after="0"/>
              <w:rPr>
                <w:noProof/>
                <w:sz w:val="20"/>
                <w:szCs w:val="20"/>
              </w:rPr>
            </w:pPr>
            <w:r w:rsidRPr="00D86314">
              <w:rPr>
                <w:noProof/>
                <w:sz w:val="20"/>
                <w:szCs w:val="20"/>
              </w:rPr>
              <w:t xml:space="preserve">The BEREC Office would take on more ‘substance-related’ responsibilities and this would relieve some of the pressure on NRAs. In view of the above, it is estimated that in preferred Option, NRAs’ costs would increase only incrementally, notwithstanding the need for their increased collaboration in BEREC. </w:t>
            </w:r>
          </w:p>
        </w:tc>
        <w:tc>
          <w:tcPr>
            <w:tcW w:w="1788" w:type="pct"/>
            <w:tcBorders>
              <w:top w:val="single" w:sz="4" w:space="0" w:color="auto"/>
            </w:tcBorders>
            <w:tcMar>
              <w:top w:w="57" w:type="dxa"/>
              <w:left w:w="57" w:type="dxa"/>
              <w:bottom w:w="57" w:type="dxa"/>
              <w:right w:w="57" w:type="dxa"/>
            </w:tcMar>
          </w:tcPr>
          <w:p w14:paraId="7EB53A73" w14:textId="77777777" w:rsidR="0050342C" w:rsidRPr="00D86314" w:rsidRDefault="0050342C">
            <w:pPr>
              <w:spacing w:after="0"/>
              <w:rPr>
                <w:noProof/>
                <w:sz w:val="20"/>
              </w:rPr>
            </w:pPr>
            <w:r w:rsidRPr="00D86314">
              <w:rPr>
                <w:noProof/>
                <w:sz w:val="20"/>
              </w:rPr>
              <w:t>Expected direct cost savings are moderate, but could be amplified by increase in task linked to DNA</w:t>
            </w:r>
          </w:p>
        </w:tc>
      </w:tr>
      <w:tr w:rsidR="0050342C" w:rsidRPr="00D86314" w14:paraId="4573A178" w14:textId="77777777" w:rsidTr="1F63671A">
        <w:tc>
          <w:tcPr>
            <w:tcW w:w="5000" w:type="pct"/>
            <w:gridSpan w:val="3"/>
            <w:shd w:val="clear" w:color="auto" w:fill="F2F2F2" w:themeFill="background1" w:themeFillShade="F2"/>
          </w:tcPr>
          <w:p w14:paraId="39BA91AE" w14:textId="77777777" w:rsidR="0050342C" w:rsidRPr="00D86314" w:rsidRDefault="0050342C">
            <w:pPr>
              <w:spacing w:after="0"/>
              <w:jc w:val="center"/>
              <w:rPr>
                <w:b/>
                <w:i/>
                <w:noProof/>
                <w:sz w:val="20"/>
              </w:rPr>
            </w:pPr>
            <w:r w:rsidRPr="00D86314">
              <w:rPr>
                <w:b/>
                <w:i/>
                <w:noProof/>
                <w:sz w:val="20"/>
              </w:rPr>
              <w:t>Indirect benefits</w:t>
            </w:r>
          </w:p>
        </w:tc>
      </w:tr>
      <w:tr w:rsidR="0050342C" w:rsidRPr="00D86314" w14:paraId="11F0DF31" w14:textId="77777777" w:rsidTr="00450750">
        <w:tc>
          <w:tcPr>
            <w:tcW w:w="1231" w:type="pct"/>
            <w:tcBorders>
              <w:top w:val="double" w:sz="4" w:space="0" w:color="auto"/>
            </w:tcBorders>
          </w:tcPr>
          <w:p w14:paraId="00064998" w14:textId="77777777" w:rsidR="0050342C" w:rsidRPr="00D86314" w:rsidRDefault="0050342C">
            <w:pPr>
              <w:spacing w:after="0"/>
              <w:rPr>
                <w:noProof/>
                <w:sz w:val="20"/>
              </w:rPr>
            </w:pPr>
            <w:r w:rsidRPr="00D86314">
              <w:rPr>
                <w:noProof/>
                <w:sz w:val="20"/>
              </w:rPr>
              <w:t>Regulatory outcomes</w:t>
            </w:r>
          </w:p>
        </w:tc>
        <w:tc>
          <w:tcPr>
            <w:tcW w:w="1981" w:type="pct"/>
            <w:tcBorders>
              <w:top w:val="double" w:sz="4" w:space="0" w:color="auto"/>
            </w:tcBorders>
            <w:tcMar>
              <w:top w:w="57" w:type="dxa"/>
              <w:left w:w="57" w:type="dxa"/>
              <w:bottom w:w="57" w:type="dxa"/>
              <w:right w:w="57" w:type="dxa"/>
            </w:tcMar>
          </w:tcPr>
          <w:p w14:paraId="0C420D43" w14:textId="77777777" w:rsidR="0050342C" w:rsidRPr="00D86314" w:rsidRDefault="0050342C">
            <w:pPr>
              <w:spacing w:after="0"/>
              <w:rPr>
                <w:noProof/>
                <w:sz w:val="20"/>
                <w:szCs w:val="20"/>
              </w:rPr>
            </w:pPr>
            <w:r w:rsidRPr="00D86314">
              <w:rPr>
                <w:noProof/>
                <w:sz w:val="20"/>
                <w:szCs w:val="20"/>
              </w:rPr>
              <w:t xml:space="preserve">Enhanced harmonisation due to increased decision-making power by EC and BEREC Office as a fully-fledged agency, and RPSG as an independent advisor. </w:t>
            </w:r>
          </w:p>
          <w:p w14:paraId="5D0369EE" w14:textId="77777777" w:rsidR="0050342C" w:rsidRPr="00D86314" w:rsidRDefault="0050342C">
            <w:pPr>
              <w:spacing w:after="0"/>
              <w:rPr>
                <w:noProof/>
                <w:sz w:val="20"/>
                <w:szCs w:val="20"/>
              </w:rPr>
            </w:pPr>
          </w:p>
        </w:tc>
        <w:tc>
          <w:tcPr>
            <w:tcW w:w="1788" w:type="pct"/>
            <w:tcBorders>
              <w:top w:val="double" w:sz="4" w:space="0" w:color="auto"/>
            </w:tcBorders>
            <w:tcMar>
              <w:top w:w="57" w:type="dxa"/>
              <w:left w:w="57" w:type="dxa"/>
              <w:bottom w:w="57" w:type="dxa"/>
              <w:right w:w="57" w:type="dxa"/>
            </w:tcMar>
          </w:tcPr>
          <w:p w14:paraId="6703A57F" w14:textId="77777777" w:rsidR="0050342C" w:rsidRPr="00D86314" w:rsidRDefault="0050342C">
            <w:pPr>
              <w:spacing w:after="0"/>
              <w:rPr>
                <w:noProof/>
                <w:sz w:val="20"/>
                <w:szCs w:val="20"/>
              </w:rPr>
            </w:pPr>
            <w:r w:rsidRPr="00D86314">
              <w:rPr>
                <w:noProof/>
                <w:sz w:val="20"/>
                <w:szCs w:val="20"/>
              </w:rPr>
              <w:t xml:space="preserve">More consistent regulatory outcomes across MS ultimately contributes to increased harmonisation / level playing field for market operators, and reduction of compliance costs for economic operators. </w:t>
            </w:r>
          </w:p>
        </w:tc>
      </w:tr>
      <w:tr w:rsidR="0050342C" w:rsidRPr="00D86314" w14:paraId="2F7C43F2" w14:textId="77777777" w:rsidTr="00450750">
        <w:tc>
          <w:tcPr>
            <w:tcW w:w="1231" w:type="pct"/>
          </w:tcPr>
          <w:p w14:paraId="60AF1D69" w14:textId="77777777" w:rsidR="0050342C" w:rsidRPr="00D86314" w:rsidRDefault="0050342C">
            <w:pPr>
              <w:spacing w:after="0"/>
              <w:rPr>
                <w:noProof/>
                <w:sz w:val="20"/>
              </w:rPr>
            </w:pPr>
            <w:r w:rsidRPr="00D86314">
              <w:rPr>
                <w:noProof/>
                <w:sz w:val="20"/>
              </w:rPr>
              <w:t>Market development</w:t>
            </w:r>
          </w:p>
        </w:tc>
        <w:tc>
          <w:tcPr>
            <w:tcW w:w="1981" w:type="pct"/>
            <w:tcMar>
              <w:top w:w="57" w:type="dxa"/>
              <w:left w:w="57" w:type="dxa"/>
              <w:bottom w:w="57" w:type="dxa"/>
              <w:right w:w="57" w:type="dxa"/>
            </w:tcMar>
          </w:tcPr>
          <w:p w14:paraId="39083157" w14:textId="77777777" w:rsidR="0050342C" w:rsidRPr="00D86314" w:rsidRDefault="0050342C">
            <w:pPr>
              <w:spacing w:after="0"/>
              <w:rPr>
                <w:noProof/>
                <w:sz w:val="20"/>
              </w:rPr>
            </w:pPr>
            <w:r w:rsidRPr="00D86314">
              <w:rPr>
                <w:noProof/>
                <w:sz w:val="20"/>
              </w:rPr>
              <w:t>Further empowerment of NRAs and NCA, contributing to enhanced market development</w:t>
            </w:r>
          </w:p>
        </w:tc>
        <w:tc>
          <w:tcPr>
            <w:tcW w:w="1788" w:type="pct"/>
            <w:tcMar>
              <w:top w:w="57" w:type="dxa"/>
              <w:left w:w="57" w:type="dxa"/>
              <w:bottom w:w="57" w:type="dxa"/>
              <w:right w:w="57" w:type="dxa"/>
            </w:tcMar>
          </w:tcPr>
          <w:p w14:paraId="0A59BB8A" w14:textId="77777777" w:rsidR="0050342C" w:rsidRPr="00D86314" w:rsidRDefault="0050342C">
            <w:pPr>
              <w:spacing w:after="0"/>
              <w:rPr>
                <w:noProof/>
                <w:sz w:val="20"/>
                <w:szCs w:val="20"/>
              </w:rPr>
            </w:pPr>
            <w:r w:rsidRPr="00D86314">
              <w:rPr>
                <w:noProof/>
                <w:sz w:val="20"/>
                <w:szCs w:val="20"/>
              </w:rPr>
              <w:t>Ultimately leads to lower compliance costs for cross-border operators, and in terms of satellite spectrum/EU authorisation fosters innovation and investment in new technologies.</w:t>
            </w:r>
          </w:p>
        </w:tc>
      </w:tr>
    </w:tbl>
    <w:p w14:paraId="392AFA63" w14:textId="6E7DC295" w:rsidR="0050342C" w:rsidRPr="00D86314" w:rsidRDefault="0050342C" w:rsidP="0050342C">
      <w:pPr>
        <w:rPr>
          <w:i/>
          <w:noProof/>
          <w:sz w:val="20"/>
        </w:rPr>
      </w:pPr>
      <w:r w:rsidRPr="00D86314">
        <w:rPr>
          <w:i/>
          <w:noProof/>
          <w:sz w:val="20"/>
        </w:rPr>
        <w:t xml:space="preserve">(1) Estimates are gross values relative to the baseline for the preferred option as a whole (i.e. the impact of individual actions/obligations of the </w:t>
      </w:r>
      <w:r w:rsidRPr="00D86314">
        <w:rPr>
          <w:i/>
          <w:noProof/>
          <w:sz w:val="20"/>
          <w:u w:val="single"/>
        </w:rPr>
        <w:t>preferred</w:t>
      </w:r>
      <w:r w:rsidRPr="00D86314">
        <w:rPr>
          <w:i/>
          <w:noProof/>
          <w:sz w:val="20"/>
        </w:rPr>
        <w:t xml:space="preserve"> option are aggregated together); (2) Please indicate in the comments column which stakeholder group is the main recipient of the benefit;(3) For reductions in regulatory costs, please describe in the comments column the details as to how the saving arises (e.g. reductions in adjustment costs, administrative costs, regulatory charges, enforcement costs, etc.). </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777"/>
        <w:gridCol w:w="1345"/>
        <w:gridCol w:w="775"/>
        <w:gridCol w:w="951"/>
        <w:gridCol w:w="872"/>
        <w:gridCol w:w="903"/>
        <w:gridCol w:w="1356"/>
        <w:gridCol w:w="2603"/>
      </w:tblGrid>
      <w:tr w:rsidR="0050342C" w:rsidRPr="00D86314" w14:paraId="152346FB" w14:textId="77777777" w:rsidTr="63B38752">
        <w:tc>
          <w:tcPr>
            <w:tcW w:w="5000" w:type="pct"/>
            <w:gridSpan w:val="8"/>
            <w:shd w:val="clear" w:color="auto" w:fill="C6D9F1" w:themeFill="text2" w:themeFillTint="33"/>
            <w:tcMar>
              <w:top w:w="57" w:type="dxa"/>
              <w:left w:w="57" w:type="dxa"/>
              <w:bottom w:w="57" w:type="dxa"/>
              <w:right w:w="57" w:type="dxa"/>
            </w:tcMar>
          </w:tcPr>
          <w:p w14:paraId="1FAB9942" w14:textId="77777777" w:rsidR="0050342C" w:rsidRPr="00D86314" w:rsidRDefault="0050342C" w:rsidP="00335A49">
            <w:pPr>
              <w:spacing w:after="0"/>
              <w:rPr>
                <w:noProof/>
                <w:sz w:val="20"/>
                <w:szCs w:val="20"/>
                <w:lang w:eastAsia="en-GB"/>
              </w:rPr>
            </w:pPr>
            <w:r w:rsidRPr="00D86314">
              <w:rPr>
                <w:noProof/>
                <w:sz w:val="20"/>
                <w:szCs w:val="20"/>
                <w:lang w:eastAsia="en-GB"/>
              </w:rPr>
              <w:t>II. Overview of costs – Preferred option</w:t>
            </w:r>
          </w:p>
        </w:tc>
      </w:tr>
      <w:tr w:rsidR="00E14F6E" w:rsidRPr="00D86314" w14:paraId="0BD1D147" w14:textId="77777777" w:rsidTr="00196549">
        <w:tc>
          <w:tcPr>
            <w:tcW w:w="1248"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0566C209" w14:textId="77777777" w:rsidR="0050342C" w:rsidRPr="00D86314" w:rsidRDefault="0050342C">
            <w:pPr>
              <w:spacing w:after="0"/>
              <w:rPr>
                <w:noProof/>
                <w:sz w:val="20"/>
                <w:szCs w:val="20"/>
              </w:rPr>
            </w:pPr>
          </w:p>
        </w:tc>
        <w:tc>
          <w:tcPr>
            <w:tcW w:w="1009" w:type="pct"/>
            <w:gridSpan w:val="2"/>
            <w:tcBorders>
              <w:left w:val="double" w:sz="4" w:space="0" w:color="auto"/>
            </w:tcBorders>
            <w:tcMar>
              <w:top w:w="57" w:type="dxa"/>
              <w:left w:w="57" w:type="dxa"/>
              <w:bottom w:w="57" w:type="dxa"/>
              <w:right w:w="57" w:type="dxa"/>
            </w:tcMar>
          </w:tcPr>
          <w:p w14:paraId="522E853F" w14:textId="77777777" w:rsidR="0050342C" w:rsidRPr="00D86314" w:rsidRDefault="0050342C" w:rsidP="00670A3F">
            <w:pPr>
              <w:spacing w:after="0"/>
              <w:jc w:val="center"/>
              <w:rPr>
                <w:noProof/>
                <w:sz w:val="20"/>
                <w:szCs w:val="20"/>
              </w:rPr>
            </w:pPr>
            <w:r w:rsidRPr="00D86314">
              <w:rPr>
                <w:noProof/>
                <w:sz w:val="20"/>
                <w:szCs w:val="20"/>
              </w:rPr>
              <w:t>Citizens/Consumers</w:t>
            </w:r>
          </w:p>
        </w:tc>
        <w:tc>
          <w:tcPr>
            <w:tcW w:w="1042" w:type="pct"/>
            <w:gridSpan w:val="2"/>
            <w:tcMar>
              <w:top w:w="57" w:type="dxa"/>
              <w:left w:w="57" w:type="dxa"/>
              <w:bottom w:w="57" w:type="dxa"/>
              <w:right w:w="57" w:type="dxa"/>
            </w:tcMar>
          </w:tcPr>
          <w:p w14:paraId="5DBAA1A5" w14:textId="77777777" w:rsidR="0050342C" w:rsidRPr="00D86314" w:rsidRDefault="0050342C" w:rsidP="00670A3F">
            <w:pPr>
              <w:spacing w:after="0"/>
              <w:jc w:val="center"/>
              <w:rPr>
                <w:noProof/>
                <w:sz w:val="20"/>
                <w:szCs w:val="20"/>
                <w:lang w:eastAsia="en-GB"/>
              </w:rPr>
            </w:pPr>
            <w:r w:rsidRPr="00D86314">
              <w:rPr>
                <w:noProof/>
                <w:sz w:val="20"/>
                <w:szCs w:val="20"/>
                <w:lang w:eastAsia="en-GB"/>
              </w:rPr>
              <w:t>Businesses</w:t>
            </w:r>
          </w:p>
        </w:tc>
        <w:tc>
          <w:tcPr>
            <w:tcW w:w="1701" w:type="pct"/>
            <w:gridSpan w:val="2"/>
            <w:tcMar>
              <w:top w:w="57" w:type="dxa"/>
              <w:left w:w="57" w:type="dxa"/>
              <w:bottom w:w="57" w:type="dxa"/>
              <w:right w:w="57" w:type="dxa"/>
            </w:tcMar>
          </w:tcPr>
          <w:p w14:paraId="5BD81606" w14:textId="77777777" w:rsidR="0050342C" w:rsidRPr="00D86314" w:rsidRDefault="0050342C" w:rsidP="00670A3F">
            <w:pPr>
              <w:spacing w:after="0"/>
              <w:jc w:val="center"/>
              <w:rPr>
                <w:noProof/>
                <w:sz w:val="20"/>
                <w:szCs w:val="20"/>
                <w:lang w:eastAsia="en-GB"/>
              </w:rPr>
            </w:pPr>
            <w:r w:rsidRPr="00D86314">
              <w:rPr>
                <w:noProof/>
                <w:sz w:val="20"/>
                <w:szCs w:val="20"/>
                <w:lang w:eastAsia="en-GB"/>
              </w:rPr>
              <w:t>Administrations</w:t>
            </w:r>
          </w:p>
        </w:tc>
      </w:tr>
      <w:tr w:rsidR="002F604F" w:rsidRPr="00D86314" w14:paraId="754CEF5A" w14:textId="77777777" w:rsidTr="00196549">
        <w:tc>
          <w:tcPr>
            <w:tcW w:w="1248" w:type="pct"/>
            <w:gridSpan w:val="2"/>
            <w:vMerge/>
            <w:tcBorders>
              <w:tl2br w:val="double" w:sz="4" w:space="0" w:color="auto"/>
            </w:tcBorders>
            <w:tcMar>
              <w:top w:w="57" w:type="dxa"/>
              <w:left w:w="57" w:type="dxa"/>
              <w:bottom w:w="57" w:type="dxa"/>
              <w:right w:w="57" w:type="dxa"/>
            </w:tcMar>
          </w:tcPr>
          <w:p w14:paraId="0B565641" w14:textId="77777777" w:rsidR="0050342C" w:rsidRPr="00D86314" w:rsidRDefault="0050342C">
            <w:pPr>
              <w:spacing w:after="0"/>
              <w:rPr>
                <w:noProof/>
                <w:sz w:val="20"/>
                <w:szCs w:val="20"/>
              </w:rPr>
            </w:pPr>
          </w:p>
        </w:tc>
        <w:tc>
          <w:tcPr>
            <w:tcW w:w="453" w:type="pct"/>
            <w:tcBorders>
              <w:left w:val="double" w:sz="4" w:space="0" w:color="auto"/>
              <w:bottom w:val="double" w:sz="4" w:space="0" w:color="auto"/>
            </w:tcBorders>
            <w:tcMar>
              <w:top w:w="57" w:type="dxa"/>
              <w:left w:w="57" w:type="dxa"/>
              <w:bottom w:w="57" w:type="dxa"/>
              <w:right w:w="57" w:type="dxa"/>
            </w:tcMar>
          </w:tcPr>
          <w:p w14:paraId="0A37BDB4" w14:textId="77777777" w:rsidR="0050342C" w:rsidRPr="00D86314" w:rsidRDefault="0050342C" w:rsidP="00670A3F">
            <w:pPr>
              <w:spacing w:after="0"/>
              <w:jc w:val="center"/>
              <w:rPr>
                <w:noProof/>
                <w:sz w:val="20"/>
                <w:szCs w:val="20"/>
                <w:lang w:eastAsia="en-GB"/>
              </w:rPr>
            </w:pPr>
            <w:r w:rsidRPr="00D86314">
              <w:rPr>
                <w:noProof/>
                <w:sz w:val="20"/>
                <w:szCs w:val="20"/>
                <w:lang w:eastAsia="en-GB"/>
              </w:rPr>
              <w:t>One-off</w:t>
            </w:r>
          </w:p>
        </w:tc>
        <w:tc>
          <w:tcPr>
            <w:tcW w:w="556" w:type="pct"/>
            <w:tcBorders>
              <w:bottom w:val="double" w:sz="4" w:space="0" w:color="auto"/>
            </w:tcBorders>
            <w:tcMar>
              <w:top w:w="57" w:type="dxa"/>
              <w:left w:w="57" w:type="dxa"/>
              <w:bottom w:w="57" w:type="dxa"/>
              <w:right w:w="57" w:type="dxa"/>
            </w:tcMar>
          </w:tcPr>
          <w:p w14:paraId="17755DD0" w14:textId="77777777" w:rsidR="0050342C" w:rsidRPr="00D86314" w:rsidRDefault="0050342C" w:rsidP="00670A3F">
            <w:pPr>
              <w:spacing w:after="0"/>
              <w:jc w:val="center"/>
              <w:rPr>
                <w:noProof/>
                <w:sz w:val="20"/>
                <w:szCs w:val="20"/>
                <w:lang w:eastAsia="en-GB"/>
              </w:rPr>
            </w:pPr>
            <w:r w:rsidRPr="00D86314">
              <w:rPr>
                <w:noProof/>
                <w:sz w:val="20"/>
                <w:szCs w:val="20"/>
                <w:lang w:eastAsia="en-GB"/>
              </w:rPr>
              <w:t>Recurrent</w:t>
            </w:r>
          </w:p>
        </w:tc>
        <w:tc>
          <w:tcPr>
            <w:tcW w:w="556" w:type="pct"/>
            <w:tcBorders>
              <w:bottom w:val="double" w:sz="4" w:space="0" w:color="auto"/>
            </w:tcBorders>
            <w:tcMar>
              <w:top w:w="57" w:type="dxa"/>
              <w:left w:w="57" w:type="dxa"/>
              <w:bottom w:w="57" w:type="dxa"/>
              <w:right w:w="57" w:type="dxa"/>
            </w:tcMar>
          </w:tcPr>
          <w:p w14:paraId="0C9CA99D" w14:textId="77777777" w:rsidR="0050342C" w:rsidRPr="00D86314" w:rsidRDefault="0050342C" w:rsidP="00670A3F">
            <w:pPr>
              <w:spacing w:after="0"/>
              <w:jc w:val="center"/>
              <w:rPr>
                <w:noProof/>
                <w:sz w:val="20"/>
                <w:szCs w:val="20"/>
                <w:lang w:eastAsia="en-GB"/>
              </w:rPr>
            </w:pPr>
            <w:r w:rsidRPr="00D86314">
              <w:rPr>
                <w:noProof/>
                <w:sz w:val="20"/>
                <w:szCs w:val="20"/>
                <w:lang w:eastAsia="en-GB"/>
              </w:rPr>
              <w:t>One-off</w:t>
            </w:r>
          </w:p>
        </w:tc>
        <w:tc>
          <w:tcPr>
            <w:tcW w:w="486" w:type="pct"/>
            <w:tcBorders>
              <w:bottom w:val="double" w:sz="4" w:space="0" w:color="auto"/>
            </w:tcBorders>
            <w:tcMar>
              <w:top w:w="57" w:type="dxa"/>
              <w:left w:w="57" w:type="dxa"/>
              <w:bottom w:w="57" w:type="dxa"/>
              <w:right w:w="57" w:type="dxa"/>
            </w:tcMar>
          </w:tcPr>
          <w:p w14:paraId="7123B696" w14:textId="77777777" w:rsidR="0050342C" w:rsidRPr="00D86314" w:rsidRDefault="0050342C" w:rsidP="00670A3F">
            <w:pPr>
              <w:spacing w:after="0"/>
              <w:jc w:val="center"/>
              <w:rPr>
                <w:noProof/>
                <w:sz w:val="20"/>
                <w:szCs w:val="20"/>
                <w:lang w:eastAsia="en-GB"/>
              </w:rPr>
            </w:pPr>
            <w:r w:rsidRPr="00D86314">
              <w:rPr>
                <w:noProof/>
                <w:sz w:val="20"/>
                <w:szCs w:val="20"/>
                <w:lang w:eastAsia="en-GB"/>
              </w:rPr>
              <w:t>Recurrent</w:t>
            </w:r>
          </w:p>
        </w:tc>
        <w:tc>
          <w:tcPr>
            <w:tcW w:w="833" w:type="pct"/>
            <w:tcBorders>
              <w:bottom w:val="double" w:sz="4" w:space="0" w:color="auto"/>
            </w:tcBorders>
            <w:tcMar>
              <w:top w:w="57" w:type="dxa"/>
              <w:left w:w="57" w:type="dxa"/>
              <w:bottom w:w="57" w:type="dxa"/>
              <w:right w:w="57" w:type="dxa"/>
            </w:tcMar>
          </w:tcPr>
          <w:p w14:paraId="02208E6F" w14:textId="77777777" w:rsidR="0050342C" w:rsidRPr="00D86314" w:rsidRDefault="0050342C" w:rsidP="00670A3F">
            <w:pPr>
              <w:spacing w:after="0"/>
              <w:jc w:val="center"/>
              <w:rPr>
                <w:noProof/>
                <w:sz w:val="20"/>
                <w:szCs w:val="20"/>
                <w:lang w:eastAsia="en-GB"/>
              </w:rPr>
            </w:pPr>
            <w:r w:rsidRPr="00D86314">
              <w:rPr>
                <w:noProof/>
                <w:sz w:val="20"/>
                <w:szCs w:val="20"/>
                <w:lang w:eastAsia="en-GB"/>
              </w:rPr>
              <w:t>One-off</w:t>
            </w:r>
          </w:p>
        </w:tc>
        <w:tc>
          <w:tcPr>
            <w:tcW w:w="868" w:type="pct"/>
            <w:tcBorders>
              <w:bottom w:val="double" w:sz="4" w:space="0" w:color="auto"/>
            </w:tcBorders>
            <w:tcMar>
              <w:top w:w="57" w:type="dxa"/>
              <w:left w:w="57" w:type="dxa"/>
              <w:bottom w:w="57" w:type="dxa"/>
              <w:right w:w="57" w:type="dxa"/>
            </w:tcMar>
          </w:tcPr>
          <w:p w14:paraId="3604E834" w14:textId="77777777" w:rsidR="0050342C" w:rsidRPr="00D86314" w:rsidRDefault="0050342C" w:rsidP="00670A3F">
            <w:pPr>
              <w:spacing w:after="0"/>
              <w:jc w:val="center"/>
              <w:rPr>
                <w:noProof/>
                <w:sz w:val="20"/>
                <w:szCs w:val="20"/>
                <w:lang w:eastAsia="en-GB"/>
              </w:rPr>
            </w:pPr>
            <w:r w:rsidRPr="00D86314">
              <w:rPr>
                <w:noProof/>
                <w:sz w:val="20"/>
                <w:szCs w:val="20"/>
                <w:lang w:eastAsia="en-GB"/>
              </w:rPr>
              <w:t>Recurrent</w:t>
            </w:r>
          </w:p>
        </w:tc>
      </w:tr>
      <w:tr w:rsidR="002F604F" w:rsidRPr="00D86314" w14:paraId="1AFA7C8F" w14:textId="77777777" w:rsidTr="00196549">
        <w:trPr>
          <w:trHeight w:val="307"/>
        </w:trPr>
        <w:tc>
          <w:tcPr>
            <w:tcW w:w="476" w:type="pct"/>
            <w:vMerge w:val="restart"/>
            <w:tcMar>
              <w:top w:w="57" w:type="dxa"/>
              <w:left w:w="57" w:type="dxa"/>
              <w:bottom w:w="57" w:type="dxa"/>
              <w:right w:w="57" w:type="dxa"/>
            </w:tcMar>
            <w:vAlign w:val="center"/>
          </w:tcPr>
          <w:p w14:paraId="23874616" w14:textId="69CFB679" w:rsidR="0050342C" w:rsidRPr="00D86314" w:rsidRDefault="0050342C" w:rsidP="00E93B0E">
            <w:pPr>
              <w:spacing w:after="0"/>
              <w:rPr>
                <w:noProof/>
                <w:sz w:val="20"/>
                <w:szCs w:val="20"/>
              </w:rPr>
            </w:pPr>
            <w:r w:rsidRPr="00D86314">
              <w:rPr>
                <w:noProof/>
                <w:sz w:val="20"/>
                <w:szCs w:val="20"/>
              </w:rPr>
              <w:t xml:space="preserve">Action (a) </w:t>
            </w:r>
          </w:p>
        </w:tc>
        <w:tc>
          <w:tcPr>
            <w:tcW w:w="772" w:type="pct"/>
            <w:tcBorders>
              <w:right w:val="double" w:sz="4" w:space="0" w:color="auto"/>
            </w:tcBorders>
            <w:tcMar>
              <w:top w:w="57" w:type="dxa"/>
              <w:left w:w="57" w:type="dxa"/>
              <w:bottom w:w="57" w:type="dxa"/>
              <w:right w:w="57" w:type="dxa"/>
            </w:tcMar>
            <w:vAlign w:val="center"/>
          </w:tcPr>
          <w:p w14:paraId="17986D2C" w14:textId="2C370DC4" w:rsidR="0050342C" w:rsidRPr="00D86314" w:rsidRDefault="0050342C" w:rsidP="00E93B0E">
            <w:pPr>
              <w:spacing w:after="0"/>
              <w:jc w:val="left"/>
              <w:rPr>
                <w:noProof/>
                <w:sz w:val="20"/>
                <w:szCs w:val="20"/>
              </w:rPr>
            </w:pPr>
            <w:r w:rsidRPr="00D86314">
              <w:rPr>
                <w:noProof/>
                <w:sz w:val="20"/>
                <w:szCs w:val="20"/>
              </w:rPr>
              <w:t>Direct adjustment costs</w:t>
            </w:r>
          </w:p>
        </w:tc>
        <w:tc>
          <w:tcPr>
            <w:tcW w:w="453" w:type="pct"/>
            <w:tcBorders>
              <w:left w:val="double" w:sz="4" w:space="0" w:color="auto"/>
            </w:tcBorders>
            <w:tcMar>
              <w:top w:w="57" w:type="dxa"/>
              <w:left w:w="57" w:type="dxa"/>
              <w:bottom w:w="57" w:type="dxa"/>
              <w:right w:w="57" w:type="dxa"/>
            </w:tcMar>
            <w:vAlign w:val="center"/>
          </w:tcPr>
          <w:p w14:paraId="4DA0E6C8" w14:textId="77777777" w:rsidR="0050342C" w:rsidRPr="00D86314" w:rsidRDefault="0050342C" w:rsidP="00E93B0E">
            <w:pPr>
              <w:spacing w:after="0"/>
              <w:rPr>
                <w:noProof/>
                <w:sz w:val="20"/>
                <w:szCs w:val="20"/>
              </w:rPr>
            </w:pPr>
          </w:p>
        </w:tc>
        <w:tc>
          <w:tcPr>
            <w:tcW w:w="556" w:type="pct"/>
            <w:tcMar>
              <w:top w:w="57" w:type="dxa"/>
              <w:left w:w="57" w:type="dxa"/>
              <w:bottom w:w="57" w:type="dxa"/>
              <w:right w:w="57" w:type="dxa"/>
            </w:tcMar>
            <w:vAlign w:val="center"/>
          </w:tcPr>
          <w:p w14:paraId="30C27088" w14:textId="77777777" w:rsidR="0050342C" w:rsidRPr="00D86314" w:rsidRDefault="0050342C" w:rsidP="00E93B0E">
            <w:pPr>
              <w:spacing w:after="0"/>
              <w:rPr>
                <w:noProof/>
                <w:sz w:val="20"/>
                <w:szCs w:val="20"/>
              </w:rPr>
            </w:pPr>
          </w:p>
        </w:tc>
        <w:tc>
          <w:tcPr>
            <w:tcW w:w="556" w:type="pct"/>
            <w:tcMar>
              <w:top w:w="57" w:type="dxa"/>
              <w:left w:w="57" w:type="dxa"/>
              <w:bottom w:w="57" w:type="dxa"/>
              <w:right w:w="57" w:type="dxa"/>
            </w:tcMar>
            <w:vAlign w:val="center"/>
          </w:tcPr>
          <w:p w14:paraId="2E63DE22" w14:textId="77777777" w:rsidR="0050342C" w:rsidRPr="00D86314" w:rsidRDefault="0050342C" w:rsidP="00E93B0E">
            <w:pPr>
              <w:spacing w:after="0"/>
              <w:rPr>
                <w:noProof/>
                <w:sz w:val="20"/>
                <w:szCs w:val="20"/>
              </w:rPr>
            </w:pPr>
          </w:p>
        </w:tc>
        <w:tc>
          <w:tcPr>
            <w:tcW w:w="486" w:type="pct"/>
            <w:tcMar>
              <w:top w:w="57" w:type="dxa"/>
              <w:left w:w="57" w:type="dxa"/>
              <w:bottom w:w="57" w:type="dxa"/>
              <w:right w:w="57" w:type="dxa"/>
            </w:tcMar>
            <w:vAlign w:val="center"/>
          </w:tcPr>
          <w:p w14:paraId="484D9831" w14:textId="77777777" w:rsidR="0050342C" w:rsidRPr="00D86314" w:rsidRDefault="0050342C" w:rsidP="00E93B0E">
            <w:pPr>
              <w:spacing w:after="0"/>
              <w:rPr>
                <w:noProof/>
                <w:sz w:val="20"/>
                <w:szCs w:val="20"/>
              </w:rPr>
            </w:pPr>
          </w:p>
        </w:tc>
        <w:tc>
          <w:tcPr>
            <w:tcW w:w="833" w:type="pct"/>
            <w:tcMar>
              <w:top w:w="57" w:type="dxa"/>
              <w:left w:w="57" w:type="dxa"/>
              <w:bottom w:w="57" w:type="dxa"/>
              <w:right w:w="57" w:type="dxa"/>
            </w:tcMar>
            <w:vAlign w:val="center"/>
          </w:tcPr>
          <w:p w14:paraId="15A9CEFF" w14:textId="77777777" w:rsidR="0050342C" w:rsidRPr="00D86314" w:rsidRDefault="0050342C" w:rsidP="00E93B0E">
            <w:pPr>
              <w:spacing w:after="0"/>
              <w:rPr>
                <w:noProof/>
                <w:sz w:val="20"/>
                <w:szCs w:val="20"/>
              </w:rPr>
            </w:pPr>
            <w:r w:rsidRPr="00D86314">
              <w:rPr>
                <w:noProof/>
                <w:sz w:val="20"/>
                <w:szCs w:val="20"/>
              </w:rPr>
              <w:t>EC: limited one-off costs for transition to a new model.</w:t>
            </w:r>
          </w:p>
          <w:p w14:paraId="2E76B89F" w14:textId="77777777" w:rsidR="0050342C" w:rsidRPr="00D86314" w:rsidRDefault="0050342C" w:rsidP="00E93B0E">
            <w:pPr>
              <w:spacing w:after="0"/>
              <w:rPr>
                <w:noProof/>
                <w:sz w:val="20"/>
                <w:szCs w:val="20"/>
              </w:rPr>
            </w:pPr>
          </w:p>
          <w:p w14:paraId="1B957724" w14:textId="77777777" w:rsidR="0050342C" w:rsidRPr="00D86314" w:rsidRDefault="0050342C" w:rsidP="00E93B0E">
            <w:pPr>
              <w:spacing w:after="0"/>
              <w:rPr>
                <w:noProof/>
                <w:sz w:val="20"/>
                <w:szCs w:val="20"/>
              </w:rPr>
            </w:pPr>
            <w:r w:rsidRPr="00D86314">
              <w:rPr>
                <w:noProof/>
                <w:sz w:val="20"/>
                <w:szCs w:val="20"/>
              </w:rPr>
              <w:t>BEREC Office, supporting RSPG: moderate one-off costs for adaptation to new role.</w:t>
            </w:r>
          </w:p>
          <w:p w14:paraId="50086F94" w14:textId="77777777" w:rsidR="0050342C" w:rsidRPr="00D86314" w:rsidRDefault="0050342C" w:rsidP="00E93B0E">
            <w:pPr>
              <w:spacing w:after="0"/>
              <w:rPr>
                <w:noProof/>
                <w:sz w:val="20"/>
                <w:szCs w:val="20"/>
              </w:rPr>
            </w:pPr>
          </w:p>
          <w:p w14:paraId="63D46179" w14:textId="77777777" w:rsidR="0050342C" w:rsidRPr="00D86314" w:rsidRDefault="0050342C" w:rsidP="00E93B0E">
            <w:pPr>
              <w:spacing w:after="0"/>
              <w:rPr>
                <w:noProof/>
                <w:sz w:val="20"/>
                <w:szCs w:val="20"/>
              </w:rPr>
            </w:pPr>
          </w:p>
        </w:tc>
        <w:tc>
          <w:tcPr>
            <w:tcW w:w="868" w:type="pct"/>
            <w:tcMar>
              <w:top w:w="57" w:type="dxa"/>
              <w:left w:w="57" w:type="dxa"/>
              <w:bottom w:w="57" w:type="dxa"/>
              <w:right w:w="57" w:type="dxa"/>
            </w:tcMar>
            <w:vAlign w:val="center"/>
          </w:tcPr>
          <w:p w14:paraId="6EAD4FE3" w14:textId="30309A0F" w:rsidR="0050342C" w:rsidRPr="00D86314" w:rsidRDefault="0050342C" w:rsidP="00E93B0E">
            <w:pPr>
              <w:spacing w:after="0"/>
              <w:rPr>
                <w:noProof/>
                <w:sz w:val="20"/>
                <w:szCs w:val="20"/>
              </w:rPr>
            </w:pPr>
            <w:r w:rsidRPr="00D86314">
              <w:rPr>
                <w:noProof/>
                <w:sz w:val="20"/>
                <w:szCs w:val="20"/>
              </w:rPr>
              <w:t xml:space="preserve">The BEREC Office would be strengthened by recurrent 25 FTEs to fulfil new tasks, including support to the COM and RSPG (currently </w:t>
            </w:r>
            <w:r w:rsidR="006F5F99" w:rsidRPr="00D86314">
              <w:rPr>
                <w:noProof/>
                <w:sz w:val="20"/>
                <w:szCs w:val="20"/>
              </w:rPr>
              <w:t>BEREC</w:t>
            </w:r>
            <w:r w:rsidR="621D32CD" w:rsidRPr="00D86314">
              <w:rPr>
                <w:noProof/>
                <w:sz w:val="20"/>
                <w:szCs w:val="20"/>
              </w:rPr>
              <w:t xml:space="preserve"> Office has </w:t>
            </w:r>
            <w:r w:rsidRPr="00D86314">
              <w:rPr>
                <w:noProof/>
                <w:sz w:val="20"/>
                <w:szCs w:val="20"/>
              </w:rPr>
              <w:t>staff 4</w:t>
            </w:r>
            <w:r w:rsidR="00BE1180" w:rsidRPr="00D86314">
              <w:rPr>
                <w:noProof/>
                <w:sz w:val="20"/>
                <w:szCs w:val="20"/>
              </w:rPr>
              <w:t>8</w:t>
            </w:r>
            <w:r w:rsidRPr="00D86314">
              <w:rPr>
                <w:noProof/>
                <w:sz w:val="20"/>
                <w:szCs w:val="20"/>
              </w:rPr>
              <w:t xml:space="preserve"> FTEs).</w:t>
            </w:r>
          </w:p>
          <w:p w14:paraId="09DEB07A" w14:textId="67473D06" w:rsidR="0050342C" w:rsidRPr="00C20A01" w:rsidRDefault="0050342C" w:rsidP="00E93B0E">
            <w:pPr>
              <w:spacing w:after="0"/>
              <w:rPr>
                <w:noProof/>
                <w:sz w:val="20"/>
                <w:szCs w:val="20"/>
              </w:rPr>
            </w:pPr>
            <w:r w:rsidRPr="00D86314">
              <w:rPr>
                <w:noProof/>
                <w:sz w:val="20"/>
                <w:szCs w:val="20"/>
              </w:rPr>
              <w:t xml:space="preserve">The annual cost of </w:t>
            </w:r>
            <w:r w:rsidR="00410938" w:rsidRPr="00D86314">
              <w:rPr>
                <w:noProof/>
                <w:sz w:val="20"/>
                <w:szCs w:val="20"/>
              </w:rPr>
              <w:t xml:space="preserve">new </w:t>
            </w:r>
            <w:r w:rsidRPr="00D86314">
              <w:rPr>
                <w:noProof/>
                <w:sz w:val="20"/>
                <w:szCs w:val="20"/>
              </w:rPr>
              <w:t xml:space="preserve">BEREC Office is estimated for approx. </w:t>
            </w:r>
            <w:r w:rsidRPr="00C20A01">
              <w:rPr>
                <w:noProof/>
                <w:sz w:val="20"/>
                <w:szCs w:val="20"/>
              </w:rPr>
              <w:t>EUR</w:t>
            </w:r>
            <w:r w:rsidR="0010318A" w:rsidRPr="00C20A01">
              <w:rPr>
                <w:noProof/>
                <w:sz w:val="20"/>
                <w:szCs w:val="20"/>
              </w:rPr>
              <w:t> </w:t>
            </w:r>
            <w:r w:rsidRPr="00C20A01">
              <w:rPr>
                <w:noProof/>
                <w:sz w:val="20"/>
                <w:szCs w:val="20"/>
              </w:rPr>
              <w:t>12 m (currently EU</w:t>
            </w:r>
            <w:r w:rsidR="00CA7303" w:rsidRPr="00C20A01">
              <w:rPr>
                <w:noProof/>
                <w:sz w:val="20"/>
                <w:szCs w:val="20"/>
              </w:rPr>
              <w:t>R</w:t>
            </w:r>
            <w:r w:rsidR="004A758B">
              <w:rPr>
                <w:noProof/>
                <w:sz w:val="20"/>
                <w:szCs w:val="20"/>
              </w:rPr>
              <w:t> </w:t>
            </w:r>
            <w:r w:rsidRPr="00C20A01">
              <w:rPr>
                <w:noProof/>
                <w:sz w:val="20"/>
                <w:szCs w:val="20"/>
              </w:rPr>
              <w:t xml:space="preserve">8.1 m). </w:t>
            </w:r>
          </w:p>
          <w:p w14:paraId="3F24F949" w14:textId="77777777" w:rsidR="0050342C" w:rsidRPr="00C20A01" w:rsidRDefault="0050342C" w:rsidP="00E93B0E">
            <w:pPr>
              <w:spacing w:after="0"/>
              <w:rPr>
                <w:noProof/>
                <w:sz w:val="20"/>
                <w:szCs w:val="20"/>
              </w:rPr>
            </w:pPr>
          </w:p>
          <w:p w14:paraId="087C2B82" w14:textId="704F60EB" w:rsidR="0050342C" w:rsidRPr="00D86314" w:rsidRDefault="0A052478" w:rsidP="00E93B0E">
            <w:pPr>
              <w:spacing w:after="0"/>
              <w:rPr>
                <w:noProof/>
                <w:sz w:val="20"/>
                <w:szCs w:val="20"/>
              </w:rPr>
            </w:pPr>
            <w:r w:rsidRPr="00D86314">
              <w:rPr>
                <w:noProof/>
                <w:sz w:val="20"/>
                <w:szCs w:val="20"/>
              </w:rPr>
              <w:t>1</w:t>
            </w:r>
            <w:r w:rsidR="000B23AD" w:rsidRPr="00D86314">
              <w:rPr>
                <w:noProof/>
                <w:sz w:val="20"/>
                <w:szCs w:val="20"/>
              </w:rPr>
              <w:t>0</w:t>
            </w:r>
            <w:r w:rsidRPr="00D86314">
              <w:rPr>
                <w:noProof/>
                <w:sz w:val="20"/>
                <w:szCs w:val="20"/>
              </w:rPr>
              <w:t xml:space="preserve"> </w:t>
            </w:r>
            <w:r w:rsidR="0050342C" w:rsidRPr="00D86314">
              <w:rPr>
                <w:noProof/>
                <w:sz w:val="20"/>
                <w:szCs w:val="20"/>
              </w:rPr>
              <w:t>FTEs estimated to cover additional tasks by the COM.</w:t>
            </w:r>
          </w:p>
          <w:p w14:paraId="65AC3858" w14:textId="77777777" w:rsidR="0050342C" w:rsidRPr="00D86314" w:rsidRDefault="0050342C" w:rsidP="00E93B0E">
            <w:pPr>
              <w:spacing w:after="0"/>
              <w:rPr>
                <w:noProof/>
                <w:sz w:val="20"/>
                <w:szCs w:val="20"/>
              </w:rPr>
            </w:pPr>
          </w:p>
        </w:tc>
      </w:tr>
      <w:tr w:rsidR="002F604F" w:rsidRPr="00D86314" w14:paraId="4EB004EE" w14:textId="77777777" w:rsidTr="00196549">
        <w:trPr>
          <w:trHeight w:val="307"/>
        </w:trPr>
        <w:tc>
          <w:tcPr>
            <w:tcW w:w="476" w:type="pct"/>
            <w:vMerge/>
            <w:tcMar>
              <w:top w:w="57" w:type="dxa"/>
              <w:left w:w="57" w:type="dxa"/>
              <w:bottom w:w="57" w:type="dxa"/>
              <w:right w:w="57" w:type="dxa"/>
            </w:tcMar>
            <w:vAlign w:val="center"/>
          </w:tcPr>
          <w:p w14:paraId="168945B4" w14:textId="77777777" w:rsidR="0050342C" w:rsidRPr="00D86314" w:rsidRDefault="0050342C" w:rsidP="00370D3F">
            <w:pPr>
              <w:spacing w:after="0"/>
              <w:rPr>
                <w:noProof/>
                <w:sz w:val="20"/>
                <w:szCs w:val="20"/>
              </w:rPr>
            </w:pPr>
          </w:p>
        </w:tc>
        <w:tc>
          <w:tcPr>
            <w:tcW w:w="772" w:type="pct"/>
            <w:tcBorders>
              <w:right w:val="double" w:sz="4" w:space="0" w:color="auto"/>
            </w:tcBorders>
            <w:tcMar>
              <w:top w:w="57" w:type="dxa"/>
              <w:left w:w="57" w:type="dxa"/>
              <w:bottom w:w="57" w:type="dxa"/>
              <w:right w:w="57" w:type="dxa"/>
            </w:tcMar>
            <w:vAlign w:val="center"/>
          </w:tcPr>
          <w:p w14:paraId="2B43D65F" w14:textId="77777777" w:rsidR="0050342C" w:rsidRPr="00D86314" w:rsidRDefault="0050342C" w:rsidP="00370D3F">
            <w:pPr>
              <w:spacing w:after="0"/>
              <w:jc w:val="left"/>
              <w:rPr>
                <w:noProof/>
                <w:sz w:val="20"/>
                <w:szCs w:val="20"/>
              </w:rPr>
            </w:pPr>
            <w:r w:rsidRPr="00D86314">
              <w:rPr>
                <w:noProof/>
                <w:sz w:val="20"/>
                <w:szCs w:val="20"/>
              </w:rPr>
              <w:t>Direct administrative costs</w:t>
            </w:r>
          </w:p>
        </w:tc>
        <w:tc>
          <w:tcPr>
            <w:tcW w:w="453" w:type="pct"/>
            <w:tcBorders>
              <w:left w:val="double" w:sz="4" w:space="0" w:color="auto"/>
            </w:tcBorders>
            <w:tcMar>
              <w:top w:w="57" w:type="dxa"/>
              <w:left w:w="57" w:type="dxa"/>
              <w:bottom w:w="57" w:type="dxa"/>
              <w:right w:w="57" w:type="dxa"/>
            </w:tcMar>
            <w:vAlign w:val="center"/>
          </w:tcPr>
          <w:p w14:paraId="6483B507" w14:textId="77777777" w:rsidR="0050342C" w:rsidRPr="00D86314" w:rsidRDefault="0050342C" w:rsidP="00370D3F">
            <w:pPr>
              <w:spacing w:after="0"/>
              <w:rPr>
                <w:noProof/>
                <w:sz w:val="20"/>
                <w:szCs w:val="20"/>
              </w:rPr>
            </w:pPr>
          </w:p>
        </w:tc>
        <w:tc>
          <w:tcPr>
            <w:tcW w:w="556" w:type="pct"/>
            <w:tcMar>
              <w:top w:w="57" w:type="dxa"/>
              <w:left w:w="57" w:type="dxa"/>
              <w:bottom w:w="57" w:type="dxa"/>
              <w:right w:w="57" w:type="dxa"/>
            </w:tcMar>
            <w:vAlign w:val="center"/>
          </w:tcPr>
          <w:p w14:paraId="2BC4C86D" w14:textId="77777777" w:rsidR="0050342C" w:rsidRPr="00D86314" w:rsidRDefault="0050342C" w:rsidP="00370D3F">
            <w:pPr>
              <w:spacing w:after="0"/>
              <w:rPr>
                <w:noProof/>
                <w:sz w:val="20"/>
                <w:szCs w:val="20"/>
              </w:rPr>
            </w:pPr>
          </w:p>
        </w:tc>
        <w:tc>
          <w:tcPr>
            <w:tcW w:w="556" w:type="pct"/>
            <w:tcMar>
              <w:top w:w="57" w:type="dxa"/>
              <w:left w:w="57" w:type="dxa"/>
              <w:bottom w:w="57" w:type="dxa"/>
              <w:right w:w="57" w:type="dxa"/>
            </w:tcMar>
            <w:vAlign w:val="center"/>
          </w:tcPr>
          <w:p w14:paraId="3749D33E" w14:textId="1AC177BB" w:rsidR="0050342C" w:rsidRPr="00D86314" w:rsidRDefault="0050342C" w:rsidP="00370D3F">
            <w:pPr>
              <w:spacing w:after="0"/>
              <w:rPr>
                <w:noProof/>
                <w:sz w:val="20"/>
                <w:szCs w:val="20"/>
              </w:rPr>
            </w:pPr>
          </w:p>
        </w:tc>
        <w:tc>
          <w:tcPr>
            <w:tcW w:w="486" w:type="pct"/>
            <w:tcMar>
              <w:top w:w="57" w:type="dxa"/>
              <w:left w:w="57" w:type="dxa"/>
              <w:bottom w:w="57" w:type="dxa"/>
              <w:right w:w="57" w:type="dxa"/>
            </w:tcMar>
            <w:vAlign w:val="center"/>
          </w:tcPr>
          <w:p w14:paraId="2639BC9A" w14:textId="1A5575B1" w:rsidR="0050342C" w:rsidRPr="00D86314" w:rsidRDefault="0050342C" w:rsidP="00370D3F">
            <w:pPr>
              <w:spacing w:after="0"/>
              <w:rPr>
                <w:noProof/>
                <w:sz w:val="20"/>
                <w:szCs w:val="20"/>
              </w:rPr>
            </w:pPr>
          </w:p>
        </w:tc>
        <w:tc>
          <w:tcPr>
            <w:tcW w:w="833" w:type="pct"/>
            <w:tcMar>
              <w:top w:w="57" w:type="dxa"/>
              <w:left w:w="57" w:type="dxa"/>
              <w:bottom w:w="57" w:type="dxa"/>
              <w:right w:w="57" w:type="dxa"/>
            </w:tcMar>
            <w:vAlign w:val="center"/>
          </w:tcPr>
          <w:p w14:paraId="100539F0" w14:textId="4434029F" w:rsidR="0050342C" w:rsidRPr="00D86314" w:rsidRDefault="0050342C" w:rsidP="00370D3F">
            <w:pPr>
              <w:spacing w:after="0"/>
              <w:rPr>
                <w:noProof/>
                <w:sz w:val="20"/>
                <w:szCs w:val="20"/>
              </w:rPr>
            </w:pPr>
          </w:p>
        </w:tc>
        <w:tc>
          <w:tcPr>
            <w:tcW w:w="868" w:type="pct"/>
            <w:tcMar>
              <w:top w:w="57" w:type="dxa"/>
              <w:left w:w="57" w:type="dxa"/>
              <w:bottom w:w="57" w:type="dxa"/>
              <w:right w:w="57" w:type="dxa"/>
            </w:tcMar>
            <w:vAlign w:val="center"/>
          </w:tcPr>
          <w:p w14:paraId="24E99B16" w14:textId="2CF14611" w:rsidR="0050342C" w:rsidRPr="00D86314" w:rsidRDefault="0050342C" w:rsidP="00370D3F">
            <w:pPr>
              <w:spacing w:after="0"/>
              <w:rPr>
                <w:noProof/>
                <w:sz w:val="20"/>
                <w:szCs w:val="20"/>
              </w:rPr>
            </w:pPr>
            <w:r w:rsidRPr="00D86314">
              <w:rPr>
                <w:noProof/>
                <w:sz w:val="20"/>
                <w:szCs w:val="20"/>
              </w:rPr>
              <w:t>Participating costs in working groups for NRAs and CAs expected for i) BEREC: EUR</w:t>
            </w:r>
            <w:r w:rsidR="00A22175" w:rsidRPr="00D86314">
              <w:rPr>
                <w:noProof/>
                <w:sz w:val="20"/>
                <w:szCs w:val="20"/>
              </w:rPr>
              <w:t> </w:t>
            </w:r>
            <w:r w:rsidRPr="00D86314">
              <w:rPr>
                <w:noProof/>
                <w:sz w:val="20"/>
                <w:szCs w:val="20"/>
              </w:rPr>
              <w:t>26</w:t>
            </w:r>
            <w:r w:rsidR="00F307ED">
              <w:rPr>
                <w:noProof/>
                <w:sz w:val="20"/>
                <w:szCs w:val="20"/>
              </w:rPr>
              <w:t xml:space="preserve"> </w:t>
            </w:r>
            <w:r w:rsidRPr="00D86314">
              <w:rPr>
                <w:noProof/>
                <w:sz w:val="20"/>
                <w:szCs w:val="20"/>
              </w:rPr>
              <w:t>400 per year (corresponding with c.a. 550 hours), ii) Member States: EUR</w:t>
            </w:r>
            <w:r w:rsidR="0010318A" w:rsidRPr="00D86314">
              <w:rPr>
                <w:noProof/>
                <w:sz w:val="20"/>
                <w:szCs w:val="20"/>
              </w:rPr>
              <w:t> </w:t>
            </w:r>
            <w:r w:rsidRPr="00D86314">
              <w:rPr>
                <w:noProof/>
                <w:sz w:val="20"/>
                <w:szCs w:val="20"/>
              </w:rPr>
              <w:t>5</w:t>
            </w:r>
            <w:r w:rsidR="00F307ED">
              <w:rPr>
                <w:noProof/>
                <w:sz w:val="20"/>
                <w:szCs w:val="20"/>
              </w:rPr>
              <w:t xml:space="preserve"> </w:t>
            </w:r>
            <w:r w:rsidRPr="00D86314">
              <w:rPr>
                <w:noProof/>
                <w:sz w:val="20"/>
                <w:szCs w:val="20"/>
              </w:rPr>
              <w:t xml:space="preserve">500 (corresponding to 115 hours). </w:t>
            </w:r>
          </w:p>
          <w:p w14:paraId="2C1C2479" w14:textId="77777777" w:rsidR="0050342C" w:rsidRPr="00D86314" w:rsidRDefault="0050342C" w:rsidP="00370D3F">
            <w:pPr>
              <w:spacing w:after="0"/>
              <w:rPr>
                <w:noProof/>
                <w:sz w:val="20"/>
                <w:szCs w:val="20"/>
              </w:rPr>
            </w:pPr>
          </w:p>
        </w:tc>
      </w:tr>
      <w:tr w:rsidR="002F604F" w:rsidRPr="00D86314" w14:paraId="4A08AA8E" w14:textId="77777777" w:rsidTr="00196549">
        <w:trPr>
          <w:trHeight w:val="307"/>
        </w:trPr>
        <w:tc>
          <w:tcPr>
            <w:tcW w:w="476" w:type="pct"/>
            <w:vMerge/>
            <w:tcMar>
              <w:top w:w="57" w:type="dxa"/>
              <w:left w:w="57" w:type="dxa"/>
              <w:bottom w:w="57" w:type="dxa"/>
              <w:right w:w="57" w:type="dxa"/>
            </w:tcMar>
            <w:vAlign w:val="center"/>
          </w:tcPr>
          <w:p w14:paraId="51BA0988" w14:textId="77777777" w:rsidR="0050342C" w:rsidRPr="00D86314" w:rsidRDefault="0050342C" w:rsidP="00370D3F">
            <w:pPr>
              <w:spacing w:after="0"/>
              <w:rPr>
                <w:noProof/>
                <w:sz w:val="20"/>
                <w:szCs w:val="20"/>
              </w:rPr>
            </w:pPr>
          </w:p>
        </w:tc>
        <w:tc>
          <w:tcPr>
            <w:tcW w:w="772" w:type="pct"/>
            <w:tcBorders>
              <w:right w:val="double" w:sz="4" w:space="0" w:color="auto"/>
            </w:tcBorders>
            <w:tcMar>
              <w:top w:w="57" w:type="dxa"/>
              <w:left w:w="57" w:type="dxa"/>
              <w:bottom w:w="57" w:type="dxa"/>
              <w:right w:w="57" w:type="dxa"/>
            </w:tcMar>
            <w:vAlign w:val="center"/>
          </w:tcPr>
          <w:p w14:paraId="690C95E6" w14:textId="77777777" w:rsidR="0050342C" w:rsidRPr="00D86314" w:rsidRDefault="0050342C" w:rsidP="00370D3F">
            <w:pPr>
              <w:spacing w:after="0"/>
              <w:jc w:val="left"/>
              <w:rPr>
                <w:noProof/>
                <w:sz w:val="20"/>
                <w:szCs w:val="20"/>
              </w:rPr>
            </w:pPr>
            <w:r w:rsidRPr="00D86314">
              <w:rPr>
                <w:noProof/>
                <w:sz w:val="20"/>
                <w:szCs w:val="20"/>
              </w:rPr>
              <w:t>Direct regulatory fees and charges</w:t>
            </w:r>
          </w:p>
        </w:tc>
        <w:tc>
          <w:tcPr>
            <w:tcW w:w="453" w:type="pct"/>
            <w:tcBorders>
              <w:left w:val="double" w:sz="4" w:space="0" w:color="auto"/>
            </w:tcBorders>
            <w:tcMar>
              <w:top w:w="57" w:type="dxa"/>
              <w:left w:w="57" w:type="dxa"/>
              <w:bottom w:w="57" w:type="dxa"/>
              <w:right w:w="57" w:type="dxa"/>
            </w:tcMar>
            <w:vAlign w:val="center"/>
          </w:tcPr>
          <w:p w14:paraId="22DF7D2F" w14:textId="77777777" w:rsidR="0050342C" w:rsidRPr="00D86314" w:rsidRDefault="0050342C" w:rsidP="00370D3F">
            <w:pPr>
              <w:spacing w:after="0"/>
              <w:rPr>
                <w:noProof/>
                <w:sz w:val="20"/>
                <w:szCs w:val="20"/>
              </w:rPr>
            </w:pPr>
          </w:p>
        </w:tc>
        <w:tc>
          <w:tcPr>
            <w:tcW w:w="556" w:type="pct"/>
            <w:tcMar>
              <w:top w:w="57" w:type="dxa"/>
              <w:left w:w="57" w:type="dxa"/>
              <w:bottom w:w="57" w:type="dxa"/>
              <w:right w:w="57" w:type="dxa"/>
            </w:tcMar>
            <w:vAlign w:val="center"/>
          </w:tcPr>
          <w:p w14:paraId="72D24BBD" w14:textId="77777777" w:rsidR="0050342C" w:rsidRPr="00D86314" w:rsidRDefault="0050342C" w:rsidP="00370D3F">
            <w:pPr>
              <w:spacing w:after="0"/>
              <w:rPr>
                <w:noProof/>
                <w:sz w:val="20"/>
                <w:szCs w:val="20"/>
              </w:rPr>
            </w:pPr>
          </w:p>
        </w:tc>
        <w:tc>
          <w:tcPr>
            <w:tcW w:w="556" w:type="pct"/>
            <w:tcMar>
              <w:top w:w="57" w:type="dxa"/>
              <w:left w:w="57" w:type="dxa"/>
              <w:bottom w:w="57" w:type="dxa"/>
              <w:right w:w="57" w:type="dxa"/>
            </w:tcMar>
            <w:vAlign w:val="center"/>
          </w:tcPr>
          <w:p w14:paraId="08B07F6F" w14:textId="541ABC25" w:rsidR="0050342C" w:rsidRPr="00D86314" w:rsidRDefault="0050342C" w:rsidP="00370D3F">
            <w:pPr>
              <w:spacing w:after="0"/>
              <w:rPr>
                <w:noProof/>
                <w:sz w:val="20"/>
                <w:szCs w:val="20"/>
              </w:rPr>
            </w:pPr>
          </w:p>
        </w:tc>
        <w:tc>
          <w:tcPr>
            <w:tcW w:w="486" w:type="pct"/>
            <w:tcMar>
              <w:top w:w="57" w:type="dxa"/>
              <w:left w:w="57" w:type="dxa"/>
              <w:bottom w:w="57" w:type="dxa"/>
              <w:right w:w="57" w:type="dxa"/>
            </w:tcMar>
            <w:vAlign w:val="center"/>
          </w:tcPr>
          <w:p w14:paraId="76157CD8" w14:textId="77777777" w:rsidR="0050342C" w:rsidRPr="00D86314" w:rsidRDefault="0050342C" w:rsidP="00370D3F">
            <w:pPr>
              <w:spacing w:after="0"/>
              <w:rPr>
                <w:noProof/>
                <w:sz w:val="20"/>
                <w:szCs w:val="20"/>
              </w:rPr>
            </w:pPr>
          </w:p>
        </w:tc>
        <w:tc>
          <w:tcPr>
            <w:tcW w:w="833" w:type="pct"/>
            <w:tcMar>
              <w:top w:w="57" w:type="dxa"/>
              <w:left w:w="57" w:type="dxa"/>
              <w:bottom w:w="57" w:type="dxa"/>
              <w:right w:w="57" w:type="dxa"/>
            </w:tcMar>
            <w:vAlign w:val="center"/>
          </w:tcPr>
          <w:p w14:paraId="31635B2A" w14:textId="05DD8454" w:rsidR="0050342C" w:rsidRPr="00D86314" w:rsidRDefault="0050342C" w:rsidP="00370D3F">
            <w:pPr>
              <w:spacing w:after="0"/>
              <w:rPr>
                <w:noProof/>
                <w:sz w:val="20"/>
                <w:szCs w:val="20"/>
              </w:rPr>
            </w:pPr>
          </w:p>
        </w:tc>
        <w:tc>
          <w:tcPr>
            <w:tcW w:w="868" w:type="pct"/>
            <w:tcMar>
              <w:top w:w="57" w:type="dxa"/>
              <w:left w:w="57" w:type="dxa"/>
              <w:bottom w:w="57" w:type="dxa"/>
              <w:right w:w="57" w:type="dxa"/>
            </w:tcMar>
            <w:vAlign w:val="center"/>
          </w:tcPr>
          <w:p w14:paraId="1ED278D5" w14:textId="59247A73" w:rsidR="0050342C" w:rsidRPr="00D86314" w:rsidRDefault="0050342C" w:rsidP="00370D3F">
            <w:pPr>
              <w:spacing w:after="0"/>
              <w:rPr>
                <w:noProof/>
                <w:sz w:val="20"/>
                <w:szCs w:val="20"/>
              </w:rPr>
            </w:pPr>
            <w:r w:rsidRPr="00D86314">
              <w:rPr>
                <w:noProof/>
                <w:sz w:val="20"/>
                <w:szCs w:val="20"/>
              </w:rPr>
              <w:t xml:space="preserve">Fees </w:t>
            </w:r>
            <w:r w:rsidR="00AA29D9" w:rsidRPr="00D86314">
              <w:rPr>
                <w:noProof/>
                <w:sz w:val="20"/>
                <w:szCs w:val="20"/>
              </w:rPr>
              <w:t>(</w:t>
            </w:r>
            <w:r w:rsidR="001F1730" w:rsidRPr="00D86314">
              <w:rPr>
                <w:noProof/>
                <w:sz w:val="20"/>
                <w:szCs w:val="20"/>
              </w:rPr>
              <w:t xml:space="preserve">ranging </w:t>
            </w:r>
            <w:r w:rsidR="00621BEB" w:rsidRPr="00D86314">
              <w:rPr>
                <w:noProof/>
                <w:sz w:val="20"/>
                <w:szCs w:val="20"/>
              </w:rPr>
              <w:t xml:space="preserve">between </w:t>
            </w:r>
            <w:r w:rsidR="00D352AA" w:rsidRPr="00D86314">
              <w:rPr>
                <w:noProof/>
                <w:sz w:val="20"/>
                <w:szCs w:val="20"/>
              </w:rPr>
              <w:t>EUR</w:t>
            </w:r>
            <w:r w:rsidR="00AD16F6" w:rsidRPr="00D86314">
              <w:rPr>
                <w:noProof/>
                <w:sz w:val="20"/>
                <w:szCs w:val="20"/>
              </w:rPr>
              <w:t> </w:t>
            </w:r>
            <w:r w:rsidR="00621BEB" w:rsidRPr="00D86314">
              <w:rPr>
                <w:noProof/>
                <w:sz w:val="20"/>
                <w:szCs w:val="20"/>
              </w:rPr>
              <w:t>2.3</w:t>
            </w:r>
            <w:r w:rsidR="00D352AA" w:rsidRPr="00D86314">
              <w:rPr>
                <w:noProof/>
                <w:sz w:val="20"/>
                <w:szCs w:val="20"/>
              </w:rPr>
              <w:t xml:space="preserve"> m in 2028 </w:t>
            </w:r>
            <w:r w:rsidR="00E7708D" w:rsidRPr="00D86314">
              <w:rPr>
                <w:noProof/>
                <w:sz w:val="20"/>
                <w:szCs w:val="20"/>
              </w:rPr>
              <w:t xml:space="preserve">to </w:t>
            </w:r>
            <w:r w:rsidR="00787D4A" w:rsidRPr="00D86314">
              <w:rPr>
                <w:noProof/>
                <w:sz w:val="20"/>
                <w:szCs w:val="20"/>
              </w:rPr>
              <w:t>EUR</w:t>
            </w:r>
            <w:r w:rsidR="00AD16F6" w:rsidRPr="00D86314">
              <w:rPr>
                <w:noProof/>
                <w:sz w:val="20"/>
                <w:szCs w:val="20"/>
              </w:rPr>
              <w:t> </w:t>
            </w:r>
            <w:r w:rsidR="00E7708D" w:rsidRPr="00D86314">
              <w:rPr>
                <w:noProof/>
                <w:sz w:val="20"/>
                <w:szCs w:val="20"/>
              </w:rPr>
              <w:t>5.2 m in 2034</w:t>
            </w:r>
            <w:r w:rsidR="00AA29D9" w:rsidRPr="00D86314">
              <w:rPr>
                <w:noProof/>
                <w:sz w:val="20"/>
                <w:szCs w:val="20"/>
              </w:rPr>
              <w:t xml:space="preserve">) </w:t>
            </w:r>
            <w:r w:rsidR="00F67D10" w:rsidRPr="00D86314">
              <w:rPr>
                <w:noProof/>
                <w:sz w:val="20"/>
                <w:szCs w:val="20"/>
              </w:rPr>
              <w:t xml:space="preserve">are considered for </w:t>
            </w:r>
            <w:r w:rsidR="00CE6D94" w:rsidRPr="00D86314">
              <w:rPr>
                <w:noProof/>
                <w:sz w:val="20"/>
                <w:szCs w:val="20"/>
              </w:rPr>
              <w:t>satellite spectrum authorisation, and, if available, fees for the rights of use of pan-European numbering resources</w:t>
            </w:r>
            <w:r w:rsidR="00E83773" w:rsidRPr="00D86314">
              <w:rPr>
                <w:noProof/>
                <w:sz w:val="20"/>
                <w:szCs w:val="20"/>
              </w:rPr>
              <w:t>.</w:t>
            </w:r>
          </w:p>
          <w:p w14:paraId="3D4C8973" w14:textId="77777777" w:rsidR="00FE4762" w:rsidRPr="00D86314" w:rsidRDefault="00FE4762" w:rsidP="00370D3F">
            <w:pPr>
              <w:spacing w:after="0"/>
              <w:rPr>
                <w:noProof/>
                <w:sz w:val="20"/>
                <w:szCs w:val="20"/>
              </w:rPr>
            </w:pPr>
          </w:p>
          <w:p w14:paraId="33000BD9" w14:textId="484DD9A4" w:rsidR="00FE4762" w:rsidRPr="00D86314" w:rsidRDefault="00FE4762" w:rsidP="00370D3F">
            <w:pPr>
              <w:spacing w:after="0"/>
              <w:rPr>
                <w:noProof/>
                <w:sz w:val="20"/>
                <w:szCs w:val="20"/>
              </w:rPr>
            </w:pPr>
            <w:r w:rsidRPr="00D86314">
              <w:rPr>
                <w:noProof/>
                <w:sz w:val="20"/>
                <w:szCs w:val="20"/>
              </w:rPr>
              <w:t>The satellite fees are linked to the spectrum fees linked to procedures for upcoming EU-level spectrum assignment/extension/renewals established in the DNA and MSS (first procedure for 2 GHz MSS band expected to take place in 2027).</w:t>
            </w:r>
          </w:p>
          <w:p w14:paraId="6D54B330" w14:textId="77777777" w:rsidR="008E6A58" w:rsidRPr="00D86314" w:rsidRDefault="008E6A58" w:rsidP="00370D3F">
            <w:pPr>
              <w:spacing w:after="0"/>
              <w:rPr>
                <w:noProof/>
                <w:sz w:val="20"/>
                <w:szCs w:val="20"/>
              </w:rPr>
            </w:pPr>
          </w:p>
          <w:p w14:paraId="4BAD14ED" w14:textId="3E3E3759" w:rsidR="0050342C" w:rsidRPr="00D86314" w:rsidRDefault="008E6A58" w:rsidP="00370D3F">
            <w:pPr>
              <w:spacing w:after="0"/>
              <w:rPr>
                <w:noProof/>
                <w:sz w:val="20"/>
                <w:szCs w:val="20"/>
              </w:rPr>
            </w:pPr>
            <w:r w:rsidRPr="00D86314">
              <w:rPr>
                <w:noProof/>
                <w:sz w:val="20"/>
                <w:szCs w:val="20"/>
              </w:rPr>
              <w:t>As complement, if needed and operationally feasible, administrative charges/spectrum fees could be collected from undertakings subject to EU satellite authorisation after the entry into force of the DNA.</w:t>
            </w:r>
          </w:p>
        </w:tc>
      </w:tr>
      <w:tr w:rsidR="002F604F" w:rsidRPr="00D86314" w14:paraId="3E7581FB" w14:textId="77777777" w:rsidTr="00196549">
        <w:trPr>
          <w:trHeight w:val="307"/>
        </w:trPr>
        <w:tc>
          <w:tcPr>
            <w:tcW w:w="476" w:type="pct"/>
            <w:vMerge/>
            <w:tcMar>
              <w:top w:w="57" w:type="dxa"/>
              <w:left w:w="57" w:type="dxa"/>
              <w:bottom w:w="57" w:type="dxa"/>
              <w:right w:w="57" w:type="dxa"/>
            </w:tcMar>
            <w:vAlign w:val="center"/>
          </w:tcPr>
          <w:p w14:paraId="4983D6FD" w14:textId="77777777" w:rsidR="0050342C" w:rsidRPr="00D86314" w:rsidRDefault="0050342C" w:rsidP="00370D3F">
            <w:pPr>
              <w:spacing w:after="0"/>
              <w:rPr>
                <w:noProof/>
                <w:sz w:val="20"/>
                <w:szCs w:val="20"/>
              </w:rPr>
            </w:pPr>
          </w:p>
        </w:tc>
        <w:tc>
          <w:tcPr>
            <w:tcW w:w="772" w:type="pct"/>
            <w:tcBorders>
              <w:right w:val="double" w:sz="4" w:space="0" w:color="auto"/>
            </w:tcBorders>
            <w:tcMar>
              <w:top w:w="57" w:type="dxa"/>
              <w:left w:w="57" w:type="dxa"/>
              <w:bottom w:w="57" w:type="dxa"/>
              <w:right w:w="57" w:type="dxa"/>
            </w:tcMar>
            <w:vAlign w:val="center"/>
          </w:tcPr>
          <w:p w14:paraId="61DB73BC" w14:textId="77777777" w:rsidR="0050342C" w:rsidRPr="00D86314" w:rsidRDefault="0050342C" w:rsidP="00370D3F">
            <w:pPr>
              <w:spacing w:after="0"/>
              <w:jc w:val="left"/>
              <w:rPr>
                <w:noProof/>
                <w:sz w:val="20"/>
                <w:szCs w:val="20"/>
              </w:rPr>
            </w:pPr>
            <w:r w:rsidRPr="00D86314">
              <w:rPr>
                <w:noProof/>
                <w:sz w:val="20"/>
                <w:szCs w:val="20"/>
              </w:rPr>
              <w:t>Direct enforcement costs</w:t>
            </w:r>
          </w:p>
        </w:tc>
        <w:tc>
          <w:tcPr>
            <w:tcW w:w="453" w:type="pct"/>
            <w:tcBorders>
              <w:left w:val="double" w:sz="4" w:space="0" w:color="auto"/>
            </w:tcBorders>
            <w:tcMar>
              <w:top w:w="57" w:type="dxa"/>
              <w:left w:w="57" w:type="dxa"/>
              <w:bottom w:w="57" w:type="dxa"/>
              <w:right w:w="57" w:type="dxa"/>
            </w:tcMar>
            <w:vAlign w:val="center"/>
          </w:tcPr>
          <w:p w14:paraId="3AF3EC9B" w14:textId="77777777" w:rsidR="0050342C" w:rsidRPr="00D86314" w:rsidRDefault="0050342C" w:rsidP="00370D3F">
            <w:pPr>
              <w:spacing w:after="0"/>
              <w:rPr>
                <w:noProof/>
                <w:sz w:val="20"/>
                <w:szCs w:val="20"/>
              </w:rPr>
            </w:pPr>
          </w:p>
        </w:tc>
        <w:tc>
          <w:tcPr>
            <w:tcW w:w="556" w:type="pct"/>
            <w:tcMar>
              <w:top w:w="57" w:type="dxa"/>
              <w:left w:w="57" w:type="dxa"/>
              <w:bottom w:w="57" w:type="dxa"/>
              <w:right w:w="57" w:type="dxa"/>
            </w:tcMar>
            <w:vAlign w:val="center"/>
          </w:tcPr>
          <w:p w14:paraId="3AC8D312" w14:textId="77777777" w:rsidR="0050342C" w:rsidRPr="00D86314" w:rsidRDefault="0050342C" w:rsidP="00370D3F">
            <w:pPr>
              <w:spacing w:after="0"/>
              <w:rPr>
                <w:noProof/>
                <w:sz w:val="20"/>
                <w:szCs w:val="20"/>
              </w:rPr>
            </w:pPr>
          </w:p>
        </w:tc>
        <w:tc>
          <w:tcPr>
            <w:tcW w:w="556" w:type="pct"/>
            <w:tcMar>
              <w:top w:w="57" w:type="dxa"/>
              <w:left w:w="57" w:type="dxa"/>
              <w:bottom w:w="57" w:type="dxa"/>
              <w:right w:w="57" w:type="dxa"/>
            </w:tcMar>
            <w:vAlign w:val="center"/>
          </w:tcPr>
          <w:p w14:paraId="45562E6F" w14:textId="12C62E79" w:rsidR="0050342C" w:rsidRPr="00D86314" w:rsidRDefault="0050342C" w:rsidP="00370D3F">
            <w:pPr>
              <w:spacing w:after="0"/>
              <w:rPr>
                <w:noProof/>
                <w:sz w:val="20"/>
                <w:szCs w:val="20"/>
              </w:rPr>
            </w:pPr>
          </w:p>
        </w:tc>
        <w:tc>
          <w:tcPr>
            <w:tcW w:w="486" w:type="pct"/>
            <w:tcMar>
              <w:top w:w="57" w:type="dxa"/>
              <w:left w:w="57" w:type="dxa"/>
              <w:bottom w:w="57" w:type="dxa"/>
              <w:right w:w="57" w:type="dxa"/>
            </w:tcMar>
            <w:vAlign w:val="center"/>
          </w:tcPr>
          <w:p w14:paraId="16402A73" w14:textId="77777777" w:rsidR="0050342C" w:rsidRPr="00D86314" w:rsidRDefault="0050342C" w:rsidP="00370D3F">
            <w:pPr>
              <w:spacing w:after="0"/>
              <w:rPr>
                <w:noProof/>
                <w:sz w:val="20"/>
                <w:szCs w:val="20"/>
              </w:rPr>
            </w:pPr>
          </w:p>
        </w:tc>
        <w:tc>
          <w:tcPr>
            <w:tcW w:w="833" w:type="pct"/>
            <w:tcMar>
              <w:top w:w="57" w:type="dxa"/>
              <w:left w:w="57" w:type="dxa"/>
              <w:bottom w:w="57" w:type="dxa"/>
              <w:right w:w="57" w:type="dxa"/>
            </w:tcMar>
            <w:vAlign w:val="center"/>
          </w:tcPr>
          <w:p w14:paraId="1446571D" w14:textId="77777777" w:rsidR="0050342C" w:rsidRPr="00D86314" w:rsidRDefault="0050342C" w:rsidP="00370D3F">
            <w:pPr>
              <w:spacing w:after="0"/>
              <w:rPr>
                <w:noProof/>
                <w:sz w:val="20"/>
                <w:szCs w:val="20"/>
              </w:rPr>
            </w:pPr>
          </w:p>
        </w:tc>
        <w:tc>
          <w:tcPr>
            <w:tcW w:w="868" w:type="pct"/>
            <w:tcMar>
              <w:top w:w="57" w:type="dxa"/>
              <w:left w:w="57" w:type="dxa"/>
              <w:bottom w:w="57" w:type="dxa"/>
              <w:right w:w="57" w:type="dxa"/>
            </w:tcMar>
            <w:vAlign w:val="center"/>
          </w:tcPr>
          <w:p w14:paraId="6988C189" w14:textId="5CF238FD" w:rsidR="0050342C" w:rsidRPr="00D86314" w:rsidRDefault="0050342C" w:rsidP="00370D3F">
            <w:pPr>
              <w:spacing w:after="0"/>
              <w:rPr>
                <w:noProof/>
                <w:sz w:val="20"/>
                <w:szCs w:val="20"/>
              </w:rPr>
            </w:pPr>
          </w:p>
        </w:tc>
      </w:tr>
      <w:tr w:rsidR="002F604F" w:rsidRPr="00D86314" w14:paraId="52E2FE99" w14:textId="77777777" w:rsidTr="00196549">
        <w:tc>
          <w:tcPr>
            <w:tcW w:w="476" w:type="pct"/>
            <w:vMerge/>
            <w:tcMar>
              <w:top w:w="57" w:type="dxa"/>
              <w:left w:w="57" w:type="dxa"/>
              <w:bottom w:w="57" w:type="dxa"/>
              <w:right w:w="57" w:type="dxa"/>
            </w:tcMar>
          </w:tcPr>
          <w:p w14:paraId="3D085286" w14:textId="77777777" w:rsidR="0050342C" w:rsidRPr="00D86314" w:rsidRDefault="0050342C" w:rsidP="00370D3F">
            <w:pPr>
              <w:spacing w:after="0"/>
              <w:rPr>
                <w:noProof/>
                <w:sz w:val="20"/>
                <w:szCs w:val="20"/>
              </w:rPr>
            </w:pPr>
          </w:p>
        </w:tc>
        <w:tc>
          <w:tcPr>
            <w:tcW w:w="772" w:type="pct"/>
            <w:tcBorders>
              <w:bottom w:val="double" w:sz="4" w:space="0" w:color="auto"/>
              <w:right w:val="double" w:sz="4" w:space="0" w:color="auto"/>
            </w:tcBorders>
            <w:tcMar>
              <w:top w:w="57" w:type="dxa"/>
              <w:left w:w="57" w:type="dxa"/>
              <w:bottom w:w="57" w:type="dxa"/>
              <w:right w:w="57" w:type="dxa"/>
            </w:tcMar>
          </w:tcPr>
          <w:p w14:paraId="0352BE71" w14:textId="77777777" w:rsidR="0050342C" w:rsidRPr="00D86314" w:rsidRDefault="0050342C" w:rsidP="00370D3F">
            <w:pPr>
              <w:spacing w:after="0"/>
              <w:jc w:val="left"/>
              <w:rPr>
                <w:noProof/>
                <w:sz w:val="20"/>
                <w:szCs w:val="20"/>
              </w:rPr>
            </w:pPr>
            <w:r w:rsidRPr="00D86314">
              <w:rPr>
                <w:noProof/>
                <w:sz w:val="20"/>
                <w:szCs w:val="20"/>
              </w:rPr>
              <w:t>Indirect costs</w:t>
            </w:r>
          </w:p>
        </w:tc>
        <w:tc>
          <w:tcPr>
            <w:tcW w:w="453" w:type="pct"/>
            <w:tcBorders>
              <w:left w:val="double" w:sz="4" w:space="0" w:color="auto"/>
              <w:bottom w:val="double" w:sz="4" w:space="0" w:color="auto"/>
            </w:tcBorders>
            <w:tcMar>
              <w:top w:w="57" w:type="dxa"/>
              <w:left w:w="57" w:type="dxa"/>
              <w:bottom w:w="57" w:type="dxa"/>
              <w:right w:w="57" w:type="dxa"/>
            </w:tcMar>
          </w:tcPr>
          <w:p w14:paraId="1860ADC6" w14:textId="77777777" w:rsidR="0050342C" w:rsidRPr="00D86314" w:rsidRDefault="0050342C" w:rsidP="00370D3F">
            <w:pPr>
              <w:spacing w:after="0"/>
              <w:rPr>
                <w:noProof/>
                <w:sz w:val="20"/>
                <w:szCs w:val="20"/>
              </w:rPr>
            </w:pPr>
          </w:p>
        </w:tc>
        <w:tc>
          <w:tcPr>
            <w:tcW w:w="556" w:type="pct"/>
            <w:tcBorders>
              <w:bottom w:val="double" w:sz="4" w:space="0" w:color="auto"/>
            </w:tcBorders>
            <w:tcMar>
              <w:top w:w="57" w:type="dxa"/>
              <w:left w:w="57" w:type="dxa"/>
              <w:bottom w:w="57" w:type="dxa"/>
              <w:right w:w="57" w:type="dxa"/>
            </w:tcMar>
          </w:tcPr>
          <w:p w14:paraId="4FF74BAA" w14:textId="77777777" w:rsidR="0050342C" w:rsidRPr="00D86314" w:rsidRDefault="0050342C" w:rsidP="00370D3F">
            <w:pPr>
              <w:spacing w:after="0"/>
              <w:rPr>
                <w:noProof/>
                <w:sz w:val="20"/>
                <w:szCs w:val="20"/>
              </w:rPr>
            </w:pPr>
          </w:p>
        </w:tc>
        <w:tc>
          <w:tcPr>
            <w:tcW w:w="556" w:type="pct"/>
            <w:tcBorders>
              <w:bottom w:val="double" w:sz="4" w:space="0" w:color="auto"/>
            </w:tcBorders>
            <w:tcMar>
              <w:top w:w="57" w:type="dxa"/>
              <w:left w:w="57" w:type="dxa"/>
              <w:bottom w:w="57" w:type="dxa"/>
              <w:right w:w="57" w:type="dxa"/>
            </w:tcMar>
          </w:tcPr>
          <w:p w14:paraId="5D1E9538" w14:textId="77777777" w:rsidR="0050342C" w:rsidRPr="00D86314" w:rsidRDefault="0050342C" w:rsidP="00370D3F">
            <w:pPr>
              <w:spacing w:after="0"/>
              <w:rPr>
                <w:noProof/>
                <w:sz w:val="20"/>
                <w:szCs w:val="20"/>
              </w:rPr>
            </w:pPr>
          </w:p>
        </w:tc>
        <w:tc>
          <w:tcPr>
            <w:tcW w:w="486" w:type="pct"/>
            <w:tcBorders>
              <w:bottom w:val="double" w:sz="4" w:space="0" w:color="auto"/>
            </w:tcBorders>
            <w:tcMar>
              <w:top w:w="57" w:type="dxa"/>
              <w:left w:w="57" w:type="dxa"/>
              <w:bottom w:w="57" w:type="dxa"/>
              <w:right w:w="57" w:type="dxa"/>
            </w:tcMar>
          </w:tcPr>
          <w:p w14:paraId="794F64B9" w14:textId="7D2D178F" w:rsidR="0050342C" w:rsidRPr="00D86314" w:rsidRDefault="0050342C" w:rsidP="00370D3F">
            <w:pPr>
              <w:spacing w:after="0"/>
              <w:rPr>
                <w:noProof/>
                <w:sz w:val="20"/>
                <w:szCs w:val="20"/>
              </w:rPr>
            </w:pPr>
          </w:p>
        </w:tc>
        <w:tc>
          <w:tcPr>
            <w:tcW w:w="833" w:type="pct"/>
            <w:tcBorders>
              <w:bottom w:val="double" w:sz="4" w:space="0" w:color="auto"/>
            </w:tcBorders>
            <w:tcMar>
              <w:top w:w="57" w:type="dxa"/>
              <w:left w:w="57" w:type="dxa"/>
              <w:bottom w:w="57" w:type="dxa"/>
              <w:right w:w="57" w:type="dxa"/>
            </w:tcMar>
          </w:tcPr>
          <w:p w14:paraId="75D8162C" w14:textId="77777777" w:rsidR="0050342C" w:rsidRPr="00D86314" w:rsidRDefault="0050342C" w:rsidP="00370D3F">
            <w:pPr>
              <w:spacing w:after="0"/>
              <w:rPr>
                <w:noProof/>
                <w:sz w:val="20"/>
                <w:szCs w:val="20"/>
              </w:rPr>
            </w:pPr>
          </w:p>
        </w:tc>
        <w:tc>
          <w:tcPr>
            <w:tcW w:w="868" w:type="pct"/>
            <w:tcBorders>
              <w:bottom w:val="double" w:sz="4" w:space="0" w:color="auto"/>
            </w:tcBorders>
            <w:tcMar>
              <w:top w:w="57" w:type="dxa"/>
              <w:left w:w="57" w:type="dxa"/>
              <w:bottom w:w="57" w:type="dxa"/>
              <w:right w:w="57" w:type="dxa"/>
            </w:tcMar>
          </w:tcPr>
          <w:p w14:paraId="7DD797AF" w14:textId="77777777" w:rsidR="0050342C" w:rsidRPr="00D86314" w:rsidRDefault="0050342C" w:rsidP="00370D3F">
            <w:pPr>
              <w:spacing w:after="0"/>
              <w:rPr>
                <w:noProof/>
                <w:sz w:val="20"/>
                <w:szCs w:val="20"/>
              </w:rPr>
            </w:pPr>
          </w:p>
        </w:tc>
      </w:tr>
    </w:tbl>
    <w:p w14:paraId="694E0E51" w14:textId="77777777" w:rsidR="0050342C" w:rsidRPr="00D86314" w:rsidRDefault="0050342C" w:rsidP="00A00C17">
      <w:pPr>
        <w:pStyle w:val="ListParagraph"/>
        <w:numPr>
          <w:ilvl w:val="0"/>
          <w:numId w:val="42"/>
        </w:numPr>
        <w:rPr>
          <w:i/>
          <w:noProof/>
          <w:sz w:val="20"/>
        </w:rPr>
      </w:pPr>
      <w:r w:rsidRPr="00D86314">
        <w:rPr>
          <w:i/>
          <w:noProof/>
          <w:sz w:val="20"/>
        </w:rPr>
        <w:t xml:space="preserve">Estimates (gross values) to be provided with respect to the baseline; (2) costs are provided for each identifiable action/obligation of the </w:t>
      </w:r>
      <w:r w:rsidRPr="00D86314">
        <w:rPr>
          <w:i/>
          <w:noProof/>
          <w:sz w:val="20"/>
          <w:u w:val="single"/>
        </w:rPr>
        <w:t>preferred</w:t>
      </w:r>
      <w:r w:rsidRPr="00D86314">
        <w:rPr>
          <w:i/>
          <w:noProof/>
          <w:sz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 </w:t>
      </w:r>
    </w:p>
    <w:p w14:paraId="318F9165" w14:textId="068C8C30" w:rsidR="00E15F6E" w:rsidRPr="00D86314" w:rsidRDefault="0010675E" w:rsidP="00A00C17">
      <w:pPr>
        <w:pStyle w:val="Heading1"/>
        <w:numPr>
          <w:ilvl w:val="0"/>
          <w:numId w:val="9"/>
        </w:numPr>
        <w:spacing w:before="360"/>
        <w:ind w:left="482" w:hanging="482"/>
        <w:rPr>
          <w:noProof/>
          <w:lang w:val="en-GB"/>
        </w:rPr>
      </w:pPr>
      <w:bookmarkStart w:id="33" w:name="_Toc219718350"/>
      <w:r w:rsidRPr="00D86314">
        <w:rPr>
          <w:noProof/>
          <w:lang w:val="en-GB"/>
        </w:rPr>
        <w:t>Application of ‘One In’ ‘One Out’ appro</w:t>
      </w:r>
      <w:r w:rsidR="00AF5B13" w:rsidRPr="00D86314">
        <w:rPr>
          <w:noProof/>
          <w:lang w:val="en-GB"/>
        </w:rPr>
        <w:t>a</w:t>
      </w:r>
      <w:r w:rsidRPr="00D86314">
        <w:rPr>
          <w:noProof/>
          <w:lang w:val="en-GB"/>
        </w:rPr>
        <w:t>ch</w:t>
      </w:r>
      <w:bookmarkEnd w:id="33"/>
    </w:p>
    <w:tbl>
      <w:tblPr>
        <w:tblW w:w="5000" w:type="pct"/>
        <w:tblCellMar>
          <w:left w:w="0" w:type="dxa"/>
          <w:right w:w="0" w:type="dxa"/>
        </w:tblCellMar>
        <w:tblLook w:val="04A0" w:firstRow="1" w:lastRow="0" w:firstColumn="1" w:lastColumn="0" w:noHBand="0" w:noVBand="1"/>
      </w:tblPr>
      <w:tblGrid>
        <w:gridCol w:w="2351"/>
        <w:gridCol w:w="2503"/>
        <w:gridCol w:w="2756"/>
        <w:gridCol w:w="1972"/>
      </w:tblGrid>
      <w:tr w:rsidR="00AF5B13" w:rsidRPr="00D86314" w14:paraId="12A2E77A" w14:textId="77777777" w:rsidTr="00C01F8C">
        <w:tc>
          <w:tcPr>
            <w:tcW w:w="5000" w:type="pct"/>
            <w:gridSpan w:val="4"/>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hideMark/>
          </w:tcPr>
          <w:p w14:paraId="1541A6A6" w14:textId="6E2DF0FB" w:rsidR="00AF5B13" w:rsidRPr="00D86314" w:rsidRDefault="00AF5B13" w:rsidP="004B46A0">
            <w:pPr>
              <w:keepNext/>
              <w:keepLines/>
              <w:spacing w:after="0"/>
              <w:rPr>
                <w:rFonts w:eastAsia="Times New Roman"/>
                <w:b/>
                <w:noProof/>
                <w:sz w:val="20"/>
                <w:szCs w:val="20"/>
                <w:lang w:eastAsia="en-GB"/>
              </w:rPr>
            </w:pPr>
            <w:r w:rsidRPr="00D86314">
              <w:rPr>
                <w:rFonts w:eastAsia="Times New Roman"/>
                <w:b/>
                <w:noProof/>
                <w:sz w:val="20"/>
                <w:szCs w:val="20"/>
                <w:lang w:eastAsia="en-GB"/>
              </w:rPr>
              <w:t>III. Application of the ‘one in, one out’ approach – Preferred option(s)</w:t>
            </w:r>
          </w:p>
        </w:tc>
      </w:tr>
      <w:tr w:rsidR="00AF5B13" w:rsidRPr="00D86314" w14:paraId="071A9BB7" w14:textId="77777777" w:rsidTr="00C01F8C">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0E96FD81" w14:textId="655B981F" w:rsidR="00AF5B13" w:rsidRPr="00D86314" w:rsidRDefault="00AF5B13" w:rsidP="004B46A0">
            <w:pPr>
              <w:keepNext/>
              <w:keepLines/>
              <w:spacing w:before="60" w:after="60"/>
              <w:jc w:val="right"/>
              <w:rPr>
                <w:rFonts w:ascii="Calibri" w:hAnsi="Calibri" w:cs="Calibri"/>
                <w:b/>
                <w:bCs/>
                <w:noProof/>
                <w:sz w:val="20"/>
              </w:rPr>
            </w:pPr>
            <w:r w:rsidRPr="00D86314">
              <w:rPr>
                <w:b/>
                <w:bCs/>
                <w:noProof/>
                <w:sz w:val="20"/>
              </w:rPr>
              <w:t>[</w:t>
            </w:r>
            <w:r w:rsidR="006F289F" w:rsidRPr="00D86314">
              <w:rPr>
                <w:b/>
                <w:bCs/>
                <w:noProof/>
                <w:sz w:val="20"/>
              </w:rPr>
              <w:t xml:space="preserve">million </w:t>
            </w:r>
            <w:r w:rsidR="00D863FF" w:rsidRPr="00D86314">
              <w:rPr>
                <w:b/>
                <w:bCs/>
                <w:noProof/>
                <w:sz w:val="20"/>
              </w:rPr>
              <w:t>EUR</w:t>
            </w:r>
            <w:r w:rsidRPr="00D86314">
              <w:rPr>
                <w:b/>
                <w:bCs/>
                <w:noProof/>
                <w:sz w:val="20"/>
              </w:rPr>
              <w:t>]</w:t>
            </w:r>
          </w:p>
        </w:tc>
        <w:tc>
          <w:tcPr>
            <w:tcW w:w="13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87EA98" w14:textId="77777777" w:rsidR="00AF5B13" w:rsidRPr="00D86314" w:rsidRDefault="00AF5B13" w:rsidP="004B46A0">
            <w:pPr>
              <w:keepNext/>
              <w:keepLines/>
              <w:spacing w:before="60"/>
              <w:jc w:val="center"/>
              <w:rPr>
                <w:b/>
                <w:bCs/>
                <w:noProof/>
                <w:sz w:val="20"/>
              </w:rPr>
            </w:pPr>
            <w:r w:rsidRPr="00D86314">
              <w:rPr>
                <w:b/>
                <w:bCs/>
                <w:noProof/>
                <w:sz w:val="20"/>
              </w:rPr>
              <w:t>One-off</w:t>
            </w:r>
          </w:p>
          <w:p w14:paraId="663FB3EA" w14:textId="77777777" w:rsidR="00AF5B13" w:rsidRPr="00D86314" w:rsidRDefault="00AF5B13" w:rsidP="004B46A0">
            <w:pPr>
              <w:keepNext/>
              <w:keepLines/>
              <w:spacing w:after="60"/>
              <w:jc w:val="center"/>
              <w:rPr>
                <w:noProof/>
                <w:sz w:val="20"/>
              </w:rPr>
            </w:pPr>
            <w:r w:rsidRPr="00D86314">
              <w:rPr>
                <w:noProof/>
                <w:sz w:val="20"/>
              </w:rPr>
              <w:t>(annualised total net present value over the relevant period)</w:t>
            </w:r>
          </w:p>
        </w:tc>
        <w:tc>
          <w:tcPr>
            <w:tcW w:w="1438" w:type="pct"/>
            <w:tcBorders>
              <w:top w:val="nil"/>
              <w:left w:val="nil"/>
              <w:bottom w:val="single" w:sz="8" w:space="0" w:color="auto"/>
              <w:right w:val="double" w:sz="4" w:space="0" w:color="auto"/>
            </w:tcBorders>
            <w:tcMar>
              <w:top w:w="0" w:type="dxa"/>
              <w:left w:w="108" w:type="dxa"/>
              <w:bottom w:w="0" w:type="dxa"/>
              <w:right w:w="108" w:type="dxa"/>
            </w:tcMar>
            <w:vAlign w:val="center"/>
          </w:tcPr>
          <w:p w14:paraId="34E60B06" w14:textId="77777777" w:rsidR="00AF5B13" w:rsidRPr="00D86314" w:rsidRDefault="00AF5B13" w:rsidP="004B46A0">
            <w:pPr>
              <w:keepNext/>
              <w:keepLines/>
              <w:spacing w:before="60"/>
              <w:jc w:val="center"/>
              <w:rPr>
                <w:b/>
                <w:bCs/>
                <w:noProof/>
                <w:sz w:val="20"/>
              </w:rPr>
            </w:pPr>
            <w:r w:rsidRPr="00D86314">
              <w:rPr>
                <w:b/>
                <w:bCs/>
                <w:noProof/>
                <w:sz w:val="20"/>
              </w:rPr>
              <w:t>Recurrent</w:t>
            </w:r>
          </w:p>
          <w:p w14:paraId="7841B80C" w14:textId="77777777" w:rsidR="00AF5B13" w:rsidRPr="00D86314" w:rsidRDefault="00AF5B13" w:rsidP="004B46A0">
            <w:pPr>
              <w:keepNext/>
              <w:keepLines/>
              <w:spacing w:after="60"/>
              <w:jc w:val="center"/>
              <w:rPr>
                <w:b/>
                <w:bCs/>
                <w:noProof/>
                <w:sz w:val="20"/>
              </w:rPr>
            </w:pPr>
            <w:r w:rsidRPr="00D86314">
              <w:rPr>
                <w:noProof/>
                <w:sz w:val="20"/>
              </w:rPr>
              <w:t>(nominal values per year)</w:t>
            </w:r>
          </w:p>
          <w:p w14:paraId="0C3EA085" w14:textId="77777777" w:rsidR="00AF5B13" w:rsidRPr="00D86314" w:rsidRDefault="00AF5B13" w:rsidP="004B46A0">
            <w:pPr>
              <w:keepNext/>
              <w:keepLines/>
              <w:spacing w:before="60" w:after="60"/>
              <w:jc w:val="center"/>
              <w:rPr>
                <w:b/>
                <w:bCs/>
                <w:noProof/>
                <w:sz w:val="20"/>
              </w:rPr>
            </w:pPr>
          </w:p>
        </w:tc>
        <w:tc>
          <w:tcPr>
            <w:tcW w:w="1029" w:type="pct"/>
            <w:tcBorders>
              <w:top w:val="nil"/>
              <w:left w:val="nil"/>
              <w:bottom w:val="single" w:sz="8" w:space="0" w:color="auto"/>
              <w:right w:val="double" w:sz="4" w:space="0" w:color="auto"/>
            </w:tcBorders>
          </w:tcPr>
          <w:p w14:paraId="59A0C10B" w14:textId="77777777" w:rsidR="00AF5B13" w:rsidRPr="00D86314" w:rsidRDefault="00AF5B13" w:rsidP="004B46A0">
            <w:pPr>
              <w:keepNext/>
              <w:keepLines/>
              <w:spacing w:before="60"/>
              <w:jc w:val="center"/>
              <w:rPr>
                <w:b/>
                <w:bCs/>
                <w:noProof/>
                <w:sz w:val="20"/>
              </w:rPr>
            </w:pPr>
            <w:r w:rsidRPr="00D86314">
              <w:rPr>
                <w:b/>
                <w:bCs/>
                <w:noProof/>
                <w:sz w:val="20"/>
              </w:rPr>
              <w:t>Total</w:t>
            </w:r>
          </w:p>
        </w:tc>
      </w:tr>
      <w:tr w:rsidR="00AF5B13" w:rsidRPr="00D86314" w14:paraId="4B0D7A89" w14:textId="77777777" w:rsidTr="00C01F8C">
        <w:tc>
          <w:tcPr>
            <w:tcW w:w="5000" w:type="pct"/>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22D4715B" w14:textId="77777777" w:rsidR="00AF5B13" w:rsidRPr="00D86314" w:rsidRDefault="00AF5B13" w:rsidP="004B46A0">
            <w:pPr>
              <w:keepNext/>
              <w:keepLines/>
              <w:spacing w:before="120" w:after="120"/>
              <w:rPr>
                <w:b/>
                <w:bCs/>
                <w:noProof/>
                <w:sz w:val="20"/>
                <w:lang w:eastAsia="en-GB"/>
              </w:rPr>
            </w:pPr>
            <w:r w:rsidRPr="00D86314">
              <w:rPr>
                <w:b/>
                <w:bCs/>
                <w:noProof/>
                <w:sz w:val="20"/>
              </w:rPr>
              <w:t>Businesses</w:t>
            </w:r>
          </w:p>
        </w:tc>
      </w:tr>
      <w:tr w:rsidR="00AF5B13" w:rsidRPr="00D86314" w14:paraId="7099F31D" w14:textId="77777777" w:rsidTr="00C01F8C">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F22C8BD" w14:textId="77777777" w:rsidR="00AF5B13" w:rsidRPr="00D86314" w:rsidRDefault="00AF5B13" w:rsidP="004B46A0">
            <w:pPr>
              <w:keepNext/>
              <w:keepLines/>
              <w:spacing w:before="60" w:after="60"/>
              <w:ind w:left="22"/>
              <w:rPr>
                <w:noProof/>
                <w:sz w:val="20"/>
              </w:rPr>
            </w:pPr>
            <w:r w:rsidRPr="00D86314">
              <w:rPr>
                <w:noProof/>
                <w:sz w:val="20"/>
              </w:rPr>
              <w:t>New administrative burdens (INs)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547BD4DF" w14:textId="601669E8" w:rsidR="00AF5B13" w:rsidRPr="00D86314" w:rsidRDefault="00AF5B13" w:rsidP="004B46A0">
            <w:pPr>
              <w:keepNext/>
              <w:keepLines/>
              <w:rPr>
                <w:noProof/>
                <w:sz w:val="20"/>
                <w:lang w:eastAsia="en-GB"/>
              </w:rPr>
            </w:pPr>
            <w:r w:rsidRPr="00D86314">
              <w:rPr>
                <w:noProof/>
                <w:sz w:val="20"/>
                <w:szCs w:val="16"/>
              </w:rPr>
              <w:t xml:space="preserve">Low </w:t>
            </w:r>
            <w:r w:rsidR="0056309A" w:rsidRPr="00D86314">
              <w:rPr>
                <w:noProof/>
                <w:sz w:val="20"/>
                <w:szCs w:val="16"/>
              </w:rPr>
              <w:t xml:space="preserve">(EUR 73 m) </w:t>
            </w:r>
            <w:r w:rsidRPr="00D86314">
              <w:rPr>
                <w:noProof/>
                <w:sz w:val="20"/>
                <w:szCs w:val="16"/>
              </w:rPr>
              <w:t xml:space="preserve">– </w:t>
            </w:r>
            <w:r w:rsidR="0056309A" w:rsidRPr="00D86314">
              <w:rPr>
                <w:noProof/>
                <w:sz w:val="20"/>
                <w:szCs w:val="16"/>
              </w:rPr>
              <w:t>FTTH and copper switch-off plans</w:t>
            </w:r>
            <w:r w:rsidRPr="00D86314">
              <w:rPr>
                <w:noProof/>
                <w:sz w:val="20"/>
                <w:szCs w:val="16"/>
              </w:rPr>
              <w:t xml:space="preserve"> </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11BD92C4" w14:textId="5D39CA84" w:rsidR="00AF5B13" w:rsidRPr="00D86314" w:rsidRDefault="00AF5B13" w:rsidP="004B46A0">
            <w:pPr>
              <w:keepNext/>
              <w:keepLines/>
              <w:rPr>
                <w:noProof/>
                <w:sz w:val="20"/>
                <w:szCs w:val="16"/>
              </w:rPr>
            </w:pPr>
            <w:r w:rsidRPr="00D86314">
              <w:rPr>
                <w:noProof/>
                <w:sz w:val="20"/>
                <w:szCs w:val="16"/>
              </w:rPr>
              <w:t xml:space="preserve">Low </w:t>
            </w:r>
            <w:r w:rsidR="00F014DC" w:rsidRPr="00D86314">
              <w:rPr>
                <w:noProof/>
                <w:sz w:val="20"/>
                <w:szCs w:val="16"/>
              </w:rPr>
              <w:t>(</w:t>
            </w:r>
            <w:r w:rsidR="00C31B51" w:rsidRPr="00D86314">
              <w:rPr>
                <w:noProof/>
                <w:sz w:val="20"/>
                <w:szCs w:val="16"/>
              </w:rPr>
              <w:t>EUR </w:t>
            </w:r>
            <w:r w:rsidR="00A57722" w:rsidRPr="00D86314">
              <w:rPr>
                <w:noProof/>
                <w:sz w:val="20"/>
                <w:szCs w:val="16"/>
              </w:rPr>
              <w:t>3</w:t>
            </w:r>
            <w:r w:rsidR="00F014DC" w:rsidRPr="00D86314">
              <w:rPr>
                <w:noProof/>
                <w:sz w:val="20"/>
                <w:szCs w:val="16"/>
              </w:rPr>
              <w:t>8</w:t>
            </w:r>
            <w:r w:rsidR="009360F1" w:rsidRPr="00D86314">
              <w:rPr>
                <w:noProof/>
                <w:sz w:val="20"/>
                <w:szCs w:val="16"/>
              </w:rPr>
              <w:t> </w:t>
            </w:r>
            <w:r w:rsidR="00C31B51" w:rsidRPr="00D86314">
              <w:rPr>
                <w:noProof/>
                <w:sz w:val="20"/>
                <w:szCs w:val="16"/>
              </w:rPr>
              <w:t>m</w:t>
            </w:r>
            <w:r w:rsidRPr="00D86314">
              <w:rPr>
                <w:noProof/>
                <w:sz w:val="20"/>
                <w:szCs w:val="16"/>
              </w:rPr>
              <w:t xml:space="preserve">) – </w:t>
            </w:r>
            <w:r w:rsidR="0056309A" w:rsidRPr="00D86314">
              <w:rPr>
                <w:noProof/>
                <w:sz w:val="20"/>
                <w:szCs w:val="16"/>
              </w:rPr>
              <w:t xml:space="preserve">Additional data gathering for forecasts and declarations </w:t>
            </w:r>
          </w:p>
          <w:p w14:paraId="2DA26387" w14:textId="6BB0F644" w:rsidR="00AF5B13" w:rsidRPr="00D86314" w:rsidRDefault="00AF5B13" w:rsidP="004B46A0">
            <w:pPr>
              <w:keepNext/>
              <w:keepLines/>
              <w:rPr>
                <w:noProof/>
                <w:sz w:val="20"/>
                <w:lang w:eastAsia="en-GB"/>
              </w:rPr>
            </w:pPr>
          </w:p>
        </w:tc>
        <w:tc>
          <w:tcPr>
            <w:tcW w:w="1029" w:type="pct"/>
            <w:tcBorders>
              <w:top w:val="nil"/>
              <w:left w:val="nil"/>
              <w:bottom w:val="single" w:sz="8" w:space="0" w:color="auto"/>
              <w:right w:val="double" w:sz="4" w:space="0" w:color="auto"/>
            </w:tcBorders>
          </w:tcPr>
          <w:p w14:paraId="49D0F6D4" w14:textId="206AF61E" w:rsidR="00AF5B13" w:rsidRPr="00D86314" w:rsidRDefault="00AF5B13" w:rsidP="004B46A0">
            <w:pPr>
              <w:keepNext/>
              <w:keepLines/>
              <w:jc w:val="center"/>
              <w:rPr>
                <w:noProof/>
                <w:sz w:val="20"/>
                <w:lang w:eastAsia="en-GB"/>
              </w:rPr>
            </w:pPr>
            <w:r w:rsidRPr="00D86314">
              <w:rPr>
                <w:noProof/>
                <w:sz w:val="20"/>
                <w:szCs w:val="16"/>
              </w:rPr>
              <w:t>Low (</w:t>
            </w:r>
            <w:r w:rsidR="0056309A" w:rsidRPr="00D86314">
              <w:rPr>
                <w:noProof/>
                <w:sz w:val="20"/>
                <w:szCs w:val="16"/>
              </w:rPr>
              <w:t xml:space="preserve">EUR 73m one-off and </w:t>
            </w:r>
            <w:r w:rsidR="00C31B51" w:rsidRPr="00D86314">
              <w:rPr>
                <w:noProof/>
                <w:sz w:val="20"/>
                <w:szCs w:val="16"/>
              </w:rPr>
              <w:t>EUR </w:t>
            </w:r>
            <w:r w:rsidR="0056309A" w:rsidRPr="00D86314">
              <w:rPr>
                <w:noProof/>
                <w:sz w:val="20"/>
                <w:szCs w:val="16"/>
              </w:rPr>
              <w:t>3</w:t>
            </w:r>
            <w:r w:rsidR="001C42C1" w:rsidRPr="00D86314">
              <w:rPr>
                <w:noProof/>
                <w:sz w:val="20"/>
                <w:szCs w:val="16"/>
              </w:rPr>
              <w:t>8</w:t>
            </w:r>
            <w:r w:rsidRPr="00D86314">
              <w:rPr>
                <w:noProof/>
                <w:sz w:val="20"/>
                <w:szCs w:val="16"/>
              </w:rPr>
              <w:t xml:space="preserve"> </w:t>
            </w:r>
            <w:r w:rsidR="00C31B51" w:rsidRPr="00D86314">
              <w:rPr>
                <w:noProof/>
                <w:sz w:val="20"/>
                <w:szCs w:val="16"/>
              </w:rPr>
              <w:t>m</w:t>
            </w:r>
            <w:r w:rsidR="0056309A" w:rsidRPr="00D86314">
              <w:rPr>
                <w:noProof/>
                <w:sz w:val="20"/>
                <w:szCs w:val="16"/>
              </w:rPr>
              <w:t xml:space="preserve"> recurring</w:t>
            </w:r>
            <w:r w:rsidRPr="00D86314">
              <w:rPr>
                <w:noProof/>
                <w:sz w:val="20"/>
                <w:szCs w:val="16"/>
              </w:rPr>
              <w:t>)</w:t>
            </w:r>
          </w:p>
        </w:tc>
      </w:tr>
      <w:tr w:rsidR="00AF5B13" w:rsidRPr="00D86314" w14:paraId="6587E5E9" w14:textId="77777777" w:rsidTr="00C01F8C">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D10800B" w14:textId="77777777" w:rsidR="00AF5B13" w:rsidRPr="00D86314" w:rsidRDefault="00AF5B13" w:rsidP="004B46A0">
            <w:pPr>
              <w:keepNext/>
              <w:keepLines/>
              <w:spacing w:before="60" w:after="60"/>
              <w:ind w:left="22"/>
              <w:rPr>
                <w:noProof/>
                <w:sz w:val="20"/>
              </w:rPr>
            </w:pPr>
            <w:r w:rsidRPr="00D86314">
              <w:rPr>
                <w:noProof/>
                <w:sz w:val="20"/>
              </w:rPr>
              <w:t>Removed administrative burdens (OUTs)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20370267" w14:textId="77777777" w:rsidR="00C86097" w:rsidRPr="00D86314" w:rsidRDefault="00C86097" w:rsidP="00C86097">
            <w:pPr>
              <w:keepNext/>
              <w:keepLines/>
              <w:spacing w:after="0"/>
              <w:rPr>
                <w:noProof/>
                <w:sz w:val="20"/>
                <w:szCs w:val="20"/>
              </w:rPr>
            </w:pPr>
            <w:r w:rsidRPr="00D86314">
              <w:rPr>
                <w:noProof/>
                <w:sz w:val="20"/>
                <w:szCs w:val="20"/>
              </w:rPr>
              <w:t xml:space="preserve">Satellite: </w:t>
            </w:r>
          </w:p>
          <w:p w14:paraId="5D0CFE09" w14:textId="7963DA0B" w:rsidR="00AF5B13" w:rsidRPr="00D86314" w:rsidRDefault="00C86097" w:rsidP="004B46A0">
            <w:pPr>
              <w:keepNext/>
              <w:keepLines/>
              <w:rPr>
                <w:noProof/>
                <w:sz w:val="20"/>
                <w:lang w:eastAsia="en-GB"/>
              </w:rPr>
            </w:pPr>
            <w:r w:rsidRPr="00D86314">
              <w:rPr>
                <w:noProof/>
                <w:sz w:val="20"/>
                <w:szCs w:val="20"/>
              </w:rPr>
              <w:t xml:space="preserve">Administrative costs will be indicatively reduced around </w:t>
            </w:r>
            <w:r w:rsidRPr="00D86314">
              <w:rPr>
                <w:b/>
                <w:noProof/>
                <w:sz w:val="20"/>
                <w:szCs w:val="20"/>
              </w:rPr>
              <w:t>EUR 3.2 m</w:t>
            </w:r>
            <w:r w:rsidRPr="00D86314">
              <w:rPr>
                <w:noProof/>
                <w:sz w:val="20"/>
                <w:szCs w:val="20"/>
              </w:rPr>
              <w:t xml:space="preserve"> across all MS</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7A471FB6" w14:textId="0D1B2451" w:rsidR="00A57722" w:rsidRPr="00D86314" w:rsidRDefault="00A57722" w:rsidP="004B46A0">
            <w:pPr>
              <w:keepNext/>
              <w:keepLines/>
              <w:spacing w:after="0"/>
              <w:rPr>
                <w:noProof/>
                <w:sz w:val="20"/>
                <w:szCs w:val="20"/>
              </w:rPr>
            </w:pPr>
            <w:r w:rsidRPr="00D86314">
              <w:rPr>
                <w:b/>
                <w:bCs/>
                <w:noProof/>
                <w:sz w:val="20"/>
                <w:szCs w:val="20"/>
              </w:rPr>
              <w:t xml:space="preserve">EUR 6-11 m yearly </w:t>
            </w:r>
            <w:r w:rsidRPr="00D86314">
              <w:rPr>
                <w:noProof/>
                <w:sz w:val="20"/>
                <w:szCs w:val="20"/>
              </w:rPr>
              <w:t>per operator</w:t>
            </w:r>
            <w:r w:rsidR="00C86097" w:rsidRPr="00D86314">
              <w:rPr>
                <w:noProof/>
                <w:sz w:val="20"/>
                <w:szCs w:val="20"/>
              </w:rPr>
              <w:t>, resulting an overall yearly EUR 60m cost saving, calculating with min. 10 operators.</w:t>
            </w:r>
          </w:p>
          <w:p w14:paraId="159891DD" w14:textId="77777777" w:rsidR="00A57722" w:rsidRPr="00D86314" w:rsidRDefault="00A57722" w:rsidP="004B46A0">
            <w:pPr>
              <w:keepNext/>
              <w:keepLines/>
              <w:spacing w:after="0"/>
              <w:rPr>
                <w:noProof/>
                <w:sz w:val="20"/>
                <w:szCs w:val="20"/>
              </w:rPr>
            </w:pPr>
          </w:p>
          <w:p w14:paraId="567A8984" w14:textId="20C1F6B2" w:rsidR="00AF5B13" w:rsidRPr="00D86314" w:rsidRDefault="00AF5B13" w:rsidP="004B46A0">
            <w:pPr>
              <w:keepNext/>
              <w:keepLines/>
              <w:rPr>
                <w:noProof/>
                <w:sz w:val="20"/>
                <w:lang w:eastAsia="en-GB"/>
              </w:rPr>
            </w:pPr>
          </w:p>
        </w:tc>
        <w:tc>
          <w:tcPr>
            <w:tcW w:w="1029" w:type="pct"/>
            <w:tcBorders>
              <w:top w:val="nil"/>
              <w:left w:val="nil"/>
              <w:bottom w:val="single" w:sz="8" w:space="0" w:color="auto"/>
              <w:right w:val="double" w:sz="4" w:space="0" w:color="auto"/>
            </w:tcBorders>
          </w:tcPr>
          <w:p w14:paraId="3D25C6AB" w14:textId="50C88827" w:rsidR="00A57722" w:rsidRPr="00D86314" w:rsidRDefault="00A57722" w:rsidP="004B46A0">
            <w:pPr>
              <w:keepNext/>
              <w:keepLines/>
              <w:spacing w:after="0"/>
              <w:rPr>
                <w:noProof/>
                <w:sz w:val="20"/>
                <w:szCs w:val="20"/>
              </w:rPr>
            </w:pPr>
            <w:r w:rsidRPr="00D86314">
              <w:rPr>
                <w:b/>
                <w:bCs/>
                <w:noProof/>
                <w:sz w:val="20"/>
                <w:szCs w:val="20"/>
              </w:rPr>
              <w:t>EUR 6-11</w:t>
            </w:r>
            <w:r w:rsidR="00F374EB" w:rsidRPr="00D86314">
              <w:rPr>
                <w:b/>
                <w:bCs/>
                <w:noProof/>
                <w:sz w:val="20"/>
                <w:szCs w:val="20"/>
              </w:rPr>
              <w:t> </w:t>
            </w:r>
            <w:r w:rsidRPr="00D86314">
              <w:rPr>
                <w:b/>
                <w:bCs/>
                <w:noProof/>
                <w:sz w:val="20"/>
                <w:szCs w:val="20"/>
              </w:rPr>
              <w:t xml:space="preserve">m yearly </w:t>
            </w:r>
            <w:r w:rsidRPr="00D86314">
              <w:rPr>
                <w:noProof/>
                <w:sz w:val="20"/>
                <w:szCs w:val="20"/>
              </w:rPr>
              <w:t>per operator.</w:t>
            </w:r>
            <w:r w:rsidR="00C86097" w:rsidRPr="00D86314">
              <w:rPr>
                <w:noProof/>
                <w:sz w:val="20"/>
                <w:szCs w:val="20"/>
              </w:rPr>
              <w:t xml:space="preserve"> Resulting an overall EUR 60</w:t>
            </w:r>
            <w:r w:rsidR="00B86892">
              <w:rPr>
                <w:noProof/>
                <w:sz w:val="20"/>
                <w:szCs w:val="20"/>
              </w:rPr>
              <w:t xml:space="preserve"> </w:t>
            </w:r>
            <w:r w:rsidR="00C86097" w:rsidRPr="00D86314">
              <w:rPr>
                <w:noProof/>
                <w:sz w:val="20"/>
                <w:szCs w:val="20"/>
              </w:rPr>
              <w:t>m cost saving</w:t>
            </w:r>
          </w:p>
          <w:p w14:paraId="6D436A48" w14:textId="77777777" w:rsidR="00A57722" w:rsidRPr="00D86314" w:rsidRDefault="00A57722" w:rsidP="004B46A0">
            <w:pPr>
              <w:keepNext/>
              <w:keepLines/>
              <w:spacing w:after="0"/>
              <w:rPr>
                <w:noProof/>
                <w:sz w:val="20"/>
                <w:szCs w:val="20"/>
              </w:rPr>
            </w:pPr>
          </w:p>
          <w:p w14:paraId="4E513608" w14:textId="77777777" w:rsidR="00A57722" w:rsidRPr="00D86314" w:rsidRDefault="00A57722" w:rsidP="004B46A0">
            <w:pPr>
              <w:keepNext/>
              <w:keepLines/>
              <w:spacing w:after="0"/>
              <w:rPr>
                <w:noProof/>
                <w:sz w:val="20"/>
                <w:szCs w:val="20"/>
              </w:rPr>
            </w:pPr>
            <w:r w:rsidRPr="00D86314">
              <w:rPr>
                <w:noProof/>
                <w:sz w:val="20"/>
                <w:szCs w:val="20"/>
              </w:rPr>
              <w:t xml:space="preserve">Satellite: </w:t>
            </w:r>
          </w:p>
          <w:p w14:paraId="35FA7C86" w14:textId="6109FCA6" w:rsidR="00AF5B13" w:rsidRPr="00D86314" w:rsidRDefault="00A57722" w:rsidP="004B46A0">
            <w:pPr>
              <w:keepNext/>
              <w:keepLines/>
              <w:jc w:val="center"/>
              <w:rPr>
                <w:noProof/>
                <w:sz w:val="20"/>
                <w:lang w:eastAsia="en-GB"/>
              </w:rPr>
            </w:pPr>
            <w:r w:rsidRPr="00D86314">
              <w:rPr>
                <w:noProof/>
                <w:sz w:val="20"/>
                <w:szCs w:val="20"/>
              </w:rPr>
              <w:t xml:space="preserve">Administrative costs will be indicatively reduced around </w:t>
            </w:r>
            <w:r w:rsidRPr="00D86314">
              <w:rPr>
                <w:b/>
                <w:noProof/>
                <w:sz w:val="20"/>
                <w:szCs w:val="20"/>
              </w:rPr>
              <w:t>EUR</w:t>
            </w:r>
            <w:r w:rsidR="002532BF" w:rsidRPr="00D86314">
              <w:rPr>
                <w:b/>
                <w:noProof/>
                <w:sz w:val="20"/>
                <w:szCs w:val="20"/>
              </w:rPr>
              <w:t> </w:t>
            </w:r>
            <w:r w:rsidRPr="00D86314">
              <w:rPr>
                <w:b/>
                <w:noProof/>
                <w:sz w:val="20"/>
                <w:szCs w:val="20"/>
              </w:rPr>
              <w:t>3.2</w:t>
            </w:r>
            <w:r w:rsidR="002532BF" w:rsidRPr="00D86314">
              <w:rPr>
                <w:b/>
                <w:noProof/>
                <w:sz w:val="20"/>
                <w:szCs w:val="20"/>
              </w:rPr>
              <w:t xml:space="preserve"> m</w:t>
            </w:r>
            <w:r w:rsidRPr="00D86314">
              <w:rPr>
                <w:noProof/>
                <w:sz w:val="20"/>
                <w:szCs w:val="20"/>
              </w:rPr>
              <w:t xml:space="preserve"> across all MS</w:t>
            </w:r>
          </w:p>
        </w:tc>
      </w:tr>
      <w:tr w:rsidR="00AF5B13" w:rsidRPr="00D86314" w14:paraId="7DC78EBB" w14:textId="77777777" w:rsidTr="00C01F8C">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298C158E" w14:textId="77777777" w:rsidR="00AF5B13" w:rsidRPr="00D86314" w:rsidRDefault="00AF5B13" w:rsidP="004B46A0">
            <w:pPr>
              <w:keepNext/>
              <w:keepLines/>
              <w:spacing w:before="60" w:after="60"/>
              <w:ind w:left="284"/>
              <w:rPr>
                <w:b/>
                <w:bCs/>
                <w:i/>
                <w:iCs/>
                <w:noProof/>
                <w:sz w:val="20"/>
              </w:rPr>
            </w:pPr>
            <w:r w:rsidRPr="00D86314">
              <w:rPr>
                <w:b/>
                <w:bCs/>
                <w:i/>
                <w:iCs/>
                <w:noProof/>
                <w:sz w:val="20"/>
              </w:rPr>
              <w:t>Net administrative burdens*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7E23B05D" w14:textId="60E6BDAE" w:rsidR="00AF5B13" w:rsidRPr="00D86314" w:rsidRDefault="00A57722" w:rsidP="004B46A0">
            <w:pPr>
              <w:keepNext/>
              <w:keepLines/>
              <w:jc w:val="center"/>
              <w:rPr>
                <w:noProof/>
                <w:sz w:val="20"/>
                <w:lang w:eastAsia="en-GB"/>
              </w:rPr>
            </w:pPr>
            <w:r w:rsidRPr="00D86314">
              <w:rPr>
                <w:noProof/>
                <w:sz w:val="20"/>
                <w:szCs w:val="16"/>
              </w:rPr>
              <w:t>-</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3A31E070" w14:textId="5AAEF5FD" w:rsidR="00AF5B13" w:rsidRPr="00D86314" w:rsidRDefault="00F92C58" w:rsidP="004B46A0">
            <w:pPr>
              <w:keepNext/>
              <w:keepLines/>
              <w:jc w:val="center"/>
              <w:rPr>
                <w:noProof/>
                <w:sz w:val="20"/>
                <w:lang w:eastAsia="en-GB"/>
              </w:rPr>
            </w:pPr>
            <w:r w:rsidRPr="00D86314">
              <w:rPr>
                <w:noProof/>
                <w:sz w:val="20"/>
                <w:szCs w:val="16"/>
              </w:rPr>
              <w:t>Negative (Net OUT_</w:t>
            </w:r>
          </w:p>
        </w:tc>
        <w:tc>
          <w:tcPr>
            <w:tcW w:w="1029" w:type="pct"/>
            <w:tcBorders>
              <w:top w:val="nil"/>
              <w:left w:val="nil"/>
              <w:bottom w:val="single" w:sz="8" w:space="0" w:color="auto"/>
              <w:right w:val="double" w:sz="4" w:space="0" w:color="auto"/>
            </w:tcBorders>
          </w:tcPr>
          <w:p w14:paraId="267BFDE2" w14:textId="77777777" w:rsidR="00AF5B13" w:rsidRPr="00D86314" w:rsidRDefault="00AF5B13" w:rsidP="004B46A0">
            <w:pPr>
              <w:keepNext/>
              <w:keepLines/>
              <w:jc w:val="center"/>
              <w:rPr>
                <w:noProof/>
                <w:sz w:val="20"/>
                <w:lang w:eastAsia="en-GB"/>
              </w:rPr>
            </w:pPr>
            <w:r w:rsidRPr="00D86314">
              <w:rPr>
                <w:noProof/>
                <w:sz w:val="20"/>
                <w:szCs w:val="16"/>
              </w:rPr>
              <w:t>Negative (Net OUT)</w:t>
            </w:r>
          </w:p>
        </w:tc>
      </w:tr>
      <w:tr w:rsidR="00AF5B13" w:rsidRPr="00D86314" w14:paraId="36AC27F2" w14:textId="77777777" w:rsidTr="00C01F8C">
        <w:trPr>
          <w:trHeight w:val="549"/>
        </w:trPr>
        <w:tc>
          <w:tcPr>
            <w:tcW w:w="1227"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6BBB8EA5" w14:textId="77777777" w:rsidR="00AF5B13" w:rsidRPr="00D86314" w:rsidRDefault="00AF5B13" w:rsidP="004B46A0">
            <w:pPr>
              <w:keepNext/>
              <w:keepLines/>
              <w:spacing w:before="60" w:after="60"/>
              <w:ind w:left="284"/>
              <w:rPr>
                <w:i/>
                <w:iCs/>
                <w:noProof/>
                <w:sz w:val="20"/>
              </w:rPr>
            </w:pPr>
            <w:r w:rsidRPr="00D86314">
              <w:rPr>
                <w:noProof/>
                <w:sz w:val="20"/>
              </w:rPr>
              <w:t>Adjustment costs**</w:t>
            </w:r>
          </w:p>
        </w:tc>
        <w:tc>
          <w:tcPr>
            <w:tcW w:w="1306" w:type="pct"/>
            <w:tcBorders>
              <w:top w:val="single" w:sz="8" w:space="0" w:color="auto"/>
              <w:left w:val="nil"/>
              <w:bottom w:val="double" w:sz="4" w:space="0" w:color="auto"/>
              <w:right w:val="single" w:sz="8" w:space="0" w:color="auto"/>
            </w:tcBorders>
            <w:tcMar>
              <w:top w:w="0" w:type="dxa"/>
              <w:left w:w="108" w:type="dxa"/>
              <w:bottom w:w="0" w:type="dxa"/>
              <w:right w:w="108" w:type="dxa"/>
            </w:tcMar>
            <w:hideMark/>
          </w:tcPr>
          <w:p w14:paraId="155C53BE" w14:textId="1961A5A4" w:rsidR="00AF5B13" w:rsidRPr="00D86314" w:rsidRDefault="00AF5B13" w:rsidP="004B46A0">
            <w:pPr>
              <w:keepNext/>
              <w:keepLines/>
              <w:spacing w:before="60" w:after="60"/>
              <w:jc w:val="center"/>
              <w:rPr>
                <w:noProof/>
                <w:sz w:val="20"/>
              </w:rPr>
            </w:pPr>
          </w:p>
        </w:tc>
        <w:tc>
          <w:tcPr>
            <w:tcW w:w="1438" w:type="pct"/>
            <w:tcBorders>
              <w:top w:val="nil"/>
              <w:left w:val="single" w:sz="8" w:space="0" w:color="auto"/>
              <w:bottom w:val="double" w:sz="4" w:space="0" w:color="auto"/>
              <w:right w:val="double" w:sz="4" w:space="0" w:color="auto"/>
            </w:tcBorders>
          </w:tcPr>
          <w:p w14:paraId="120566FC" w14:textId="77777777" w:rsidR="00AF5B13" w:rsidRPr="00D86314" w:rsidRDefault="00AF5B13" w:rsidP="004B46A0">
            <w:pPr>
              <w:keepNext/>
              <w:keepLines/>
              <w:spacing w:before="60" w:after="60"/>
              <w:jc w:val="center"/>
              <w:rPr>
                <w:noProof/>
                <w:sz w:val="20"/>
              </w:rPr>
            </w:pPr>
            <w:r w:rsidRPr="00D86314">
              <w:rPr>
                <w:noProof/>
                <w:sz w:val="20"/>
                <w:szCs w:val="16"/>
              </w:rPr>
              <w:t>–</w:t>
            </w:r>
          </w:p>
        </w:tc>
        <w:tc>
          <w:tcPr>
            <w:tcW w:w="1029" w:type="pct"/>
            <w:tcBorders>
              <w:top w:val="single" w:sz="8" w:space="0" w:color="auto"/>
              <w:left w:val="single" w:sz="4" w:space="0" w:color="auto"/>
              <w:bottom w:val="double" w:sz="4" w:space="0" w:color="auto"/>
              <w:right w:val="double" w:sz="4" w:space="0" w:color="auto"/>
              <w:tl2br w:val="double" w:sz="4" w:space="0" w:color="auto"/>
            </w:tcBorders>
          </w:tcPr>
          <w:p w14:paraId="744C858B" w14:textId="414F6B84" w:rsidR="00AF5B13" w:rsidRPr="00D86314" w:rsidRDefault="00A57722" w:rsidP="004B46A0">
            <w:pPr>
              <w:keepNext/>
              <w:keepLines/>
              <w:spacing w:before="60" w:after="60"/>
              <w:jc w:val="center"/>
              <w:rPr>
                <w:noProof/>
                <w:sz w:val="20"/>
              </w:rPr>
            </w:pPr>
            <w:r w:rsidRPr="00D86314">
              <w:rPr>
                <w:noProof/>
                <w:sz w:val="20"/>
                <w:szCs w:val="16"/>
              </w:rPr>
              <w:t>-</w:t>
            </w:r>
          </w:p>
        </w:tc>
      </w:tr>
      <w:tr w:rsidR="00AF5B13" w:rsidRPr="00D86314" w14:paraId="66A39601" w14:textId="77777777" w:rsidTr="00C01F8C">
        <w:tc>
          <w:tcPr>
            <w:tcW w:w="5000" w:type="pct"/>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058551E6" w14:textId="77777777" w:rsidR="00AF5B13" w:rsidRPr="00D86314" w:rsidRDefault="00AF5B13" w:rsidP="004B46A0">
            <w:pPr>
              <w:keepNext/>
              <w:keepLines/>
              <w:spacing w:before="120" w:after="120"/>
              <w:rPr>
                <w:b/>
                <w:bCs/>
                <w:noProof/>
                <w:sz w:val="20"/>
                <w:lang w:eastAsia="en-GB"/>
              </w:rPr>
            </w:pPr>
            <w:r w:rsidRPr="00D86314">
              <w:rPr>
                <w:b/>
                <w:bCs/>
                <w:noProof/>
                <w:sz w:val="20"/>
              </w:rPr>
              <w:t>Citizens</w:t>
            </w:r>
          </w:p>
        </w:tc>
      </w:tr>
      <w:tr w:rsidR="00AF5B13" w:rsidRPr="00D86314" w14:paraId="411C85F0" w14:textId="77777777" w:rsidTr="00C01F8C">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2CBEA012" w14:textId="77777777" w:rsidR="00AF5B13" w:rsidRPr="00D86314" w:rsidRDefault="00AF5B13" w:rsidP="004B46A0">
            <w:pPr>
              <w:keepNext/>
              <w:keepLines/>
              <w:spacing w:before="60" w:after="60"/>
              <w:rPr>
                <w:noProof/>
                <w:sz w:val="20"/>
              </w:rPr>
            </w:pPr>
            <w:r w:rsidRPr="00D86314">
              <w:rPr>
                <w:noProof/>
                <w:sz w:val="20"/>
              </w:rPr>
              <w:t>New administrative burdens (INs)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280FA81C" w14:textId="77777777" w:rsidR="00AF5B13" w:rsidRPr="00D86314" w:rsidRDefault="00AF5B13" w:rsidP="004B46A0">
            <w:pPr>
              <w:keepNext/>
              <w:keepLines/>
              <w:rPr>
                <w:noProof/>
                <w:sz w:val="20"/>
                <w:lang w:eastAsia="en-GB"/>
              </w:rPr>
            </w:pPr>
            <w:r w:rsidRPr="00D86314">
              <w:rPr>
                <w:noProof/>
                <w:sz w:val="20"/>
                <w:szCs w:val="16"/>
              </w:rPr>
              <w:t>0</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7BB0FE47" w14:textId="77777777" w:rsidR="00AF5B13" w:rsidRPr="00D86314" w:rsidRDefault="00AF5B13" w:rsidP="004B46A0">
            <w:pPr>
              <w:keepNext/>
              <w:keepLines/>
              <w:rPr>
                <w:noProof/>
                <w:sz w:val="20"/>
                <w:lang w:eastAsia="en-GB"/>
              </w:rPr>
            </w:pPr>
            <w:r w:rsidRPr="00D86314">
              <w:rPr>
                <w:noProof/>
                <w:sz w:val="20"/>
                <w:szCs w:val="16"/>
              </w:rPr>
              <w:t>0</w:t>
            </w:r>
          </w:p>
        </w:tc>
        <w:tc>
          <w:tcPr>
            <w:tcW w:w="1029" w:type="pct"/>
            <w:tcBorders>
              <w:top w:val="nil"/>
              <w:left w:val="nil"/>
              <w:bottom w:val="single" w:sz="8" w:space="0" w:color="auto"/>
              <w:right w:val="double" w:sz="4" w:space="0" w:color="auto"/>
            </w:tcBorders>
          </w:tcPr>
          <w:p w14:paraId="5017EE44" w14:textId="77777777" w:rsidR="00AF5B13" w:rsidRPr="00D86314" w:rsidRDefault="00AF5B13" w:rsidP="004B46A0">
            <w:pPr>
              <w:keepNext/>
              <w:keepLines/>
              <w:jc w:val="center"/>
              <w:rPr>
                <w:noProof/>
                <w:sz w:val="20"/>
                <w:lang w:eastAsia="en-GB"/>
              </w:rPr>
            </w:pPr>
            <w:r w:rsidRPr="00D86314">
              <w:rPr>
                <w:noProof/>
                <w:sz w:val="20"/>
                <w:szCs w:val="16"/>
              </w:rPr>
              <w:t>0</w:t>
            </w:r>
          </w:p>
        </w:tc>
      </w:tr>
      <w:tr w:rsidR="00AF5B13" w:rsidRPr="00D86314" w14:paraId="07A844D9" w14:textId="77777777" w:rsidTr="00C01F8C">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7E4B1CDA" w14:textId="77777777" w:rsidR="00AF5B13" w:rsidRPr="00D86314" w:rsidRDefault="00AF5B13" w:rsidP="004B46A0">
            <w:pPr>
              <w:keepNext/>
              <w:keepLines/>
              <w:spacing w:before="60" w:after="60"/>
              <w:rPr>
                <w:noProof/>
                <w:sz w:val="20"/>
              </w:rPr>
            </w:pPr>
            <w:r w:rsidRPr="00D86314">
              <w:rPr>
                <w:noProof/>
                <w:sz w:val="20"/>
              </w:rPr>
              <w:t>Removed administrative burdens (OUTs)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229EE124" w14:textId="77777777" w:rsidR="00AF5B13" w:rsidRPr="00D86314" w:rsidRDefault="00AF5B13" w:rsidP="004B46A0">
            <w:pPr>
              <w:keepNext/>
              <w:keepLines/>
              <w:rPr>
                <w:noProof/>
                <w:sz w:val="20"/>
                <w:lang w:eastAsia="en-GB"/>
              </w:rPr>
            </w:pPr>
            <w:r w:rsidRPr="00D86314">
              <w:rPr>
                <w:noProof/>
                <w:sz w:val="20"/>
                <w:szCs w:val="16"/>
              </w:rPr>
              <w:t>0</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442FE4FD" w14:textId="77777777" w:rsidR="00AF5B13" w:rsidRPr="00D86314" w:rsidRDefault="00AF5B13" w:rsidP="004B46A0">
            <w:pPr>
              <w:keepNext/>
              <w:keepLines/>
              <w:rPr>
                <w:noProof/>
                <w:sz w:val="20"/>
                <w:lang w:eastAsia="en-GB"/>
              </w:rPr>
            </w:pPr>
            <w:r w:rsidRPr="00D86314">
              <w:rPr>
                <w:noProof/>
                <w:sz w:val="20"/>
                <w:szCs w:val="16"/>
              </w:rPr>
              <w:t>0</w:t>
            </w:r>
          </w:p>
        </w:tc>
        <w:tc>
          <w:tcPr>
            <w:tcW w:w="1029" w:type="pct"/>
            <w:tcBorders>
              <w:top w:val="nil"/>
              <w:left w:val="nil"/>
              <w:bottom w:val="single" w:sz="8" w:space="0" w:color="auto"/>
              <w:right w:val="double" w:sz="4" w:space="0" w:color="auto"/>
            </w:tcBorders>
          </w:tcPr>
          <w:p w14:paraId="7C709F9D" w14:textId="77777777" w:rsidR="00AF5B13" w:rsidRPr="00D86314" w:rsidRDefault="00AF5B13" w:rsidP="004B46A0">
            <w:pPr>
              <w:keepNext/>
              <w:keepLines/>
              <w:jc w:val="center"/>
              <w:rPr>
                <w:noProof/>
                <w:sz w:val="20"/>
                <w:lang w:eastAsia="en-GB"/>
              </w:rPr>
            </w:pPr>
            <w:r w:rsidRPr="00D86314">
              <w:rPr>
                <w:noProof/>
                <w:sz w:val="20"/>
                <w:szCs w:val="16"/>
              </w:rPr>
              <w:t>0</w:t>
            </w:r>
          </w:p>
        </w:tc>
      </w:tr>
      <w:tr w:rsidR="00AF5B13" w:rsidRPr="00D86314" w14:paraId="27018196" w14:textId="77777777" w:rsidTr="00C01F8C">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D65E138" w14:textId="77777777" w:rsidR="00AF5B13" w:rsidRPr="00D86314" w:rsidRDefault="00AF5B13" w:rsidP="004B46A0">
            <w:pPr>
              <w:keepNext/>
              <w:keepLines/>
              <w:spacing w:before="60" w:after="60"/>
              <w:rPr>
                <w:b/>
                <w:bCs/>
                <w:noProof/>
                <w:sz w:val="20"/>
              </w:rPr>
            </w:pPr>
            <w:r w:rsidRPr="00D86314">
              <w:rPr>
                <w:b/>
                <w:bCs/>
                <w:i/>
                <w:iCs/>
                <w:noProof/>
                <w:sz w:val="20"/>
              </w:rPr>
              <w:t>Net administrative burdens*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287DF783" w14:textId="77777777" w:rsidR="00AF5B13" w:rsidRPr="00D86314" w:rsidRDefault="00AF5B13" w:rsidP="004B46A0">
            <w:pPr>
              <w:keepNext/>
              <w:keepLines/>
              <w:rPr>
                <w:noProof/>
                <w:sz w:val="20"/>
                <w:lang w:eastAsia="en-GB"/>
              </w:rPr>
            </w:pPr>
            <w:r w:rsidRPr="00D86314">
              <w:rPr>
                <w:noProof/>
                <w:sz w:val="20"/>
                <w:szCs w:val="16"/>
              </w:rPr>
              <w:t>0</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038D3216" w14:textId="77777777" w:rsidR="00AF5B13" w:rsidRPr="00D86314" w:rsidRDefault="00AF5B13" w:rsidP="004B46A0">
            <w:pPr>
              <w:keepNext/>
              <w:keepLines/>
              <w:rPr>
                <w:noProof/>
                <w:sz w:val="20"/>
                <w:lang w:eastAsia="en-GB"/>
              </w:rPr>
            </w:pPr>
            <w:r w:rsidRPr="00D86314">
              <w:rPr>
                <w:noProof/>
                <w:sz w:val="20"/>
                <w:szCs w:val="16"/>
              </w:rPr>
              <w:t>0</w:t>
            </w:r>
          </w:p>
        </w:tc>
        <w:tc>
          <w:tcPr>
            <w:tcW w:w="1029" w:type="pct"/>
            <w:tcBorders>
              <w:top w:val="nil"/>
              <w:left w:val="nil"/>
              <w:bottom w:val="single" w:sz="8" w:space="0" w:color="auto"/>
              <w:right w:val="double" w:sz="4" w:space="0" w:color="auto"/>
            </w:tcBorders>
          </w:tcPr>
          <w:p w14:paraId="5AC73322" w14:textId="77777777" w:rsidR="00AF5B13" w:rsidRPr="00D86314" w:rsidRDefault="00AF5B13" w:rsidP="004B46A0">
            <w:pPr>
              <w:keepNext/>
              <w:keepLines/>
              <w:jc w:val="center"/>
              <w:rPr>
                <w:noProof/>
                <w:sz w:val="20"/>
                <w:lang w:eastAsia="en-GB"/>
              </w:rPr>
            </w:pPr>
            <w:r w:rsidRPr="00D86314">
              <w:rPr>
                <w:noProof/>
                <w:sz w:val="20"/>
                <w:szCs w:val="16"/>
              </w:rPr>
              <w:t>0</w:t>
            </w:r>
          </w:p>
        </w:tc>
      </w:tr>
      <w:tr w:rsidR="00AF5B13" w:rsidRPr="00D86314" w14:paraId="7A0AD2C7" w14:textId="77777777" w:rsidTr="00450750">
        <w:trPr>
          <w:trHeight w:val="463"/>
        </w:trPr>
        <w:tc>
          <w:tcPr>
            <w:tcW w:w="1227"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7FD50FFC" w14:textId="77777777" w:rsidR="00AF5B13" w:rsidRPr="00D86314" w:rsidRDefault="00AF5B13" w:rsidP="004B46A0">
            <w:pPr>
              <w:keepNext/>
              <w:keepLines/>
              <w:spacing w:before="60" w:after="60"/>
              <w:rPr>
                <w:i/>
                <w:iCs/>
                <w:noProof/>
                <w:sz w:val="20"/>
              </w:rPr>
            </w:pPr>
            <w:r w:rsidRPr="00D86314">
              <w:rPr>
                <w:noProof/>
                <w:sz w:val="20"/>
              </w:rPr>
              <w:t>Adjustment costs**</w:t>
            </w:r>
          </w:p>
        </w:tc>
        <w:tc>
          <w:tcPr>
            <w:tcW w:w="1306" w:type="pct"/>
            <w:tcBorders>
              <w:top w:val="single" w:sz="8" w:space="0" w:color="auto"/>
              <w:left w:val="nil"/>
              <w:bottom w:val="double" w:sz="4" w:space="0" w:color="auto"/>
              <w:right w:val="single" w:sz="8" w:space="0" w:color="auto"/>
            </w:tcBorders>
            <w:tcMar>
              <w:top w:w="0" w:type="dxa"/>
              <w:left w:w="108" w:type="dxa"/>
              <w:bottom w:w="0" w:type="dxa"/>
              <w:right w:w="108" w:type="dxa"/>
            </w:tcMar>
            <w:hideMark/>
          </w:tcPr>
          <w:p w14:paraId="2BD3351A" w14:textId="77777777" w:rsidR="00AF5B13" w:rsidRPr="00D86314" w:rsidRDefault="00AF5B13" w:rsidP="004B46A0">
            <w:pPr>
              <w:keepNext/>
              <w:keepLines/>
              <w:spacing w:before="60" w:after="60"/>
              <w:jc w:val="center"/>
              <w:rPr>
                <w:noProof/>
                <w:sz w:val="20"/>
              </w:rPr>
            </w:pPr>
            <w:r w:rsidRPr="00D86314">
              <w:rPr>
                <w:noProof/>
                <w:sz w:val="20"/>
                <w:szCs w:val="16"/>
              </w:rPr>
              <w:t>0</w:t>
            </w:r>
          </w:p>
        </w:tc>
        <w:tc>
          <w:tcPr>
            <w:tcW w:w="1438" w:type="pct"/>
            <w:tcBorders>
              <w:top w:val="nil"/>
              <w:left w:val="single" w:sz="8" w:space="0" w:color="auto"/>
              <w:bottom w:val="double" w:sz="4" w:space="0" w:color="auto"/>
              <w:right w:val="double" w:sz="4" w:space="0" w:color="auto"/>
            </w:tcBorders>
          </w:tcPr>
          <w:p w14:paraId="60A8F857" w14:textId="77777777" w:rsidR="00AF5B13" w:rsidRPr="00D86314" w:rsidRDefault="00AF5B13" w:rsidP="004B46A0">
            <w:pPr>
              <w:keepNext/>
              <w:keepLines/>
              <w:spacing w:before="60" w:after="60"/>
              <w:jc w:val="center"/>
              <w:rPr>
                <w:noProof/>
                <w:sz w:val="20"/>
              </w:rPr>
            </w:pPr>
            <w:r w:rsidRPr="00D86314">
              <w:rPr>
                <w:noProof/>
                <w:sz w:val="20"/>
                <w:szCs w:val="16"/>
              </w:rPr>
              <w:t>0</w:t>
            </w:r>
          </w:p>
        </w:tc>
        <w:tc>
          <w:tcPr>
            <w:tcW w:w="1029" w:type="pct"/>
            <w:tcBorders>
              <w:top w:val="single" w:sz="8" w:space="0" w:color="auto"/>
              <w:left w:val="single" w:sz="4" w:space="0" w:color="auto"/>
              <w:bottom w:val="double" w:sz="4" w:space="0" w:color="auto"/>
              <w:right w:val="double" w:sz="4" w:space="0" w:color="auto"/>
              <w:tl2br w:val="double" w:sz="4" w:space="0" w:color="auto"/>
            </w:tcBorders>
          </w:tcPr>
          <w:p w14:paraId="4D4C0FE6" w14:textId="77777777" w:rsidR="00AF5B13" w:rsidRPr="00D86314" w:rsidRDefault="00AF5B13" w:rsidP="004B46A0">
            <w:pPr>
              <w:keepNext/>
              <w:keepLines/>
              <w:spacing w:before="60" w:after="60"/>
              <w:jc w:val="center"/>
              <w:rPr>
                <w:noProof/>
                <w:sz w:val="20"/>
              </w:rPr>
            </w:pPr>
            <w:r w:rsidRPr="00D86314">
              <w:rPr>
                <w:noProof/>
                <w:sz w:val="20"/>
                <w:szCs w:val="16"/>
              </w:rPr>
              <w:t>0</w:t>
            </w:r>
          </w:p>
        </w:tc>
      </w:tr>
      <w:tr w:rsidR="00AF5B13" w:rsidRPr="00D86314" w14:paraId="367EC0F4" w14:textId="77777777" w:rsidTr="00C01F8C">
        <w:trPr>
          <w:trHeight w:val="467"/>
        </w:trPr>
        <w:tc>
          <w:tcPr>
            <w:tcW w:w="1227" w:type="pct"/>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0C450F89" w14:textId="77777777" w:rsidR="00AF5B13" w:rsidRPr="00D86314" w:rsidRDefault="00AF5B13" w:rsidP="004B46A0">
            <w:pPr>
              <w:keepNext/>
              <w:keepLines/>
              <w:spacing w:before="60" w:after="60"/>
              <w:ind w:left="35"/>
              <w:rPr>
                <w:noProof/>
                <w:sz w:val="20"/>
              </w:rPr>
            </w:pPr>
            <w:r w:rsidRPr="00D86314">
              <w:rPr>
                <w:b/>
                <w:bCs/>
                <w:noProof/>
                <w:sz w:val="20"/>
              </w:rPr>
              <w:t>Total administrative burdens***</w:t>
            </w:r>
          </w:p>
        </w:tc>
        <w:tc>
          <w:tcPr>
            <w:tcW w:w="1306" w:type="pct"/>
            <w:tcBorders>
              <w:top w:val="double" w:sz="4" w:space="0" w:color="auto"/>
              <w:left w:val="nil"/>
              <w:bottom w:val="double" w:sz="4" w:space="0" w:color="auto"/>
              <w:right w:val="single" w:sz="8" w:space="0" w:color="auto"/>
            </w:tcBorders>
            <w:tcMar>
              <w:top w:w="0" w:type="dxa"/>
              <w:left w:w="108" w:type="dxa"/>
              <w:bottom w:w="0" w:type="dxa"/>
              <w:right w:w="108" w:type="dxa"/>
            </w:tcMar>
          </w:tcPr>
          <w:p w14:paraId="5071BC55" w14:textId="5956D4A3" w:rsidR="00AF5B13" w:rsidRPr="00D86314" w:rsidRDefault="00A71A8D" w:rsidP="004B46A0">
            <w:pPr>
              <w:keepNext/>
              <w:keepLines/>
              <w:spacing w:before="60" w:after="60"/>
              <w:jc w:val="center"/>
              <w:rPr>
                <w:b/>
                <w:bCs/>
                <w:i/>
                <w:iCs/>
                <w:noProof/>
                <w:sz w:val="20"/>
              </w:rPr>
            </w:pPr>
            <w:r w:rsidRPr="00D86314">
              <w:rPr>
                <w:noProof/>
                <w:sz w:val="20"/>
                <w:szCs w:val="16"/>
              </w:rPr>
              <w:t>+</w:t>
            </w:r>
            <w:r w:rsidR="00D73B4E" w:rsidRPr="00D86314">
              <w:rPr>
                <w:noProof/>
                <w:sz w:val="20"/>
                <w:szCs w:val="16"/>
              </w:rPr>
              <w:t>EUR </w:t>
            </w:r>
            <w:r w:rsidR="00A57722" w:rsidRPr="00D86314">
              <w:rPr>
                <w:noProof/>
                <w:sz w:val="20"/>
                <w:szCs w:val="16"/>
              </w:rPr>
              <w:t>7</w:t>
            </w:r>
            <w:r w:rsidR="00635A9D" w:rsidRPr="00D86314">
              <w:rPr>
                <w:noProof/>
                <w:sz w:val="20"/>
                <w:szCs w:val="16"/>
              </w:rPr>
              <w:t>3</w:t>
            </w:r>
            <w:r w:rsidR="00F374EB" w:rsidRPr="00D86314">
              <w:rPr>
                <w:noProof/>
                <w:sz w:val="20"/>
                <w:szCs w:val="16"/>
              </w:rPr>
              <w:t> </w:t>
            </w:r>
            <w:r w:rsidR="00D73B4E" w:rsidRPr="00D86314">
              <w:rPr>
                <w:noProof/>
                <w:sz w:val="20"/>
                <w:szCs w:val="16"/>
              </w:rPr>
              <w:t>m</w:t>
            </w:r>
          </w:p>
        </w:tc>
        <w:tc>
          <w:tcPr>
            <w:tcW w:w="1438" w:type="pct"/>
            <w:tcBorders>
              <w:top w:val="double" w:sz="4" w:space="0" w:color="auto"/>
              <w:left w:val="single" w:sz="8" w:space="0" w:color="auto"/>
              <w:bottom w:val="double" w:sz="4" w:space="0" w:color="auto"/>
              <w:right w:val="double" w:sz="4" w:space="0" w:color="auto"/>
            </w:tcBorders>
          </w:tcPr>
          <w:p w14:paraId="3652E03F" w14:textId="1ABFA1E8" w:rsidR="00AF5B13" w:rsidRPr="00D86314" w:rsidRDefault="00A71A8D" w:rsidP="004B46A0">
            <w:pPr>
              <w:keepNext/>
              <w:keepLines/>
              <w:spacing w:before="60" w:after="60"/>
              <w:jc w:val="center"/>
              <w:rPr>
                <w:b/>
                <w:bCs/>
                <w:noProof/>
                <w:sz w:val="20"/>
              </w:rPr>
            </w:pPr>
            <w:r w:rsidRPr="00D86314">
              <w:rPr>
                <w:noProof/>
                <w:sz w:val="20"/>
                <w:szCs w:val="16"/>
              </w:rPr>
              <w:t>Negative (Net OUT)</w:t>
            </w:r>
          </w:p>
        </w:tc>
        <w:tc>
          <w:tcPr>
            <w:tcW w:w="1029" w:type="pct"/>
            <w:tcBorders>
              <w:top w:val="double" w:sz="4" w:space="0" w:color="auto"/>
              <w:left w:val="single" w:sz="4" w:space="0" w:color="auto"/>
              <w:bottom w:val="double" w:sz="4" w:space="0" w:color="auto"/>
              <w:right w:val="double" w:sz="4" w:space="0" w:color="auto"/>
            </w:tcBorders>
          </w:tcPr>
          <w:p w14:paraId="2471A2C9" w14:textId="62772B2D" w:rsidR="00AF5B13" w:rsidRPr="00D86314" w:rsidRDefault="00A71A8D" w:rsidP="004B46A0">
            <w:pPr>
              <w:keepNext/>
              <w:keepLines/>
              <w:spacing w:before="60" w:after="60"/>
              <w:jc w:val="center"/>
              <w:rPr>
                <w:b/>
                <w:noProof/>
                <w:sz w:val="20"/>
                <w:szCs w:val="20"/>
              </w:rPr>
            </w:pPr>
            <w:r w:rsidRPr="00D86314">
              <w:rPr>
                <w:noProof/>
                <w:sz w:val="20"/>
                <w:szCs w:val="20"/>
              </w:rPr>
              <w:t>Negative</w:t>
            </w:r>
            <w:r w:rsidR="00AF5B13" w:rsidRPr="00D86314">
              <w:rPr>
                <w:noProof/>
                <w:sz w:val="20"/>
                <w:szCs w:val="20"/>
              </w:rPr>
              <w:t xml:space="preserve"> (Net OUT)</w:t>
            </w:r>
          </w:p>
        </w:tc>
      </w:tr>
    </w:tbl>
    <w:p w14:paraId="02AA243C" w14:textId="77777777" w:rsidR="00E15F6E" w:rsidRPr="00D86314" w:rsidRDefault="00E15F6E" w:rsidP="00647778">
      <w:pPr>
        <w:rPr>
          <w:noProof/>
        </w:rPr>
      </w:pPr>
    </w:p>
    <w:p w14:paraId="37D9D5C3" w14:textId="785027C2" w:rsidR="00BB2C31" w:rsidRPr="00D86314" w:rsidRDefault="00BB2C31" w:rsidP="00A00C17">
      <w:pPr>
        <w:pStyle w:val="Heading1"/>
        <w:numPr>
          <w:ilvl w:val="0"/>
          <w:numId w:val="9"/>
        </w:numPr>
        <w:rPr>
          <w:noProof/>
          <w:lang w:val="en-GB"/>
        </w:rPr>
      </w:pPr>
      <w:bookmarkStart w:id="34" w:name="_Toc208239216"/>
      <w:bookmarkStart w:id="35" w:name="_Toc219718351"/>
      <w:r w:rsidRPr="00D86314">
        <w:rPr>
          <w:noProof/>
          <w:lang w:val="en-GB"/>
        </w:rPr>
        <w:t>Relevant sustainable development goals</w:t>
      </w:r>
      <w:bookmarkEnd w:id="34"/>
      <w:bookmarkEnd w:id="35"/>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358"/>
        <w:gridCol w:w="3796"/>
        <w:gridCol w:w="3428"/>
      </w:tblGrid>
      <w:tr w:rsidR="00C25A81" w:rsidRPr="00D86314" w14:paraId="01C2396A" w14:textId="77777777" w:rsidTr="003C0FC8">
        <w:tc>
          <w:tcPr>
            <w:tcW w:w="5000" w:type="pct"/>
            <w:gridSpan w:val="3"/>
            <w:tcBorders>
              <w:top w:val="double" w:sz="4" w:space="0" w:color="auto"/>
              <w:bottom w:val="single" w:sz="4" w:space="0" w:color="auto"/>
            </w:tcBorders>
            <w:shd w:val="clear" w:color="auto" w:fill="C6D9F1" w:themeFill="text2" w:themeFillTint="33"/>
          </w:tcPr>
          <w:p w14:paraId="4EE351B4" w14:textId="710EB024" w:rsidR="009409F1" w:rsidRPr="00D86314" w:rsidRDefault="00315B43" w:rsidP="003B5A0E">
            <w:pPr>
              <w:spacing w:after="0"/>
              <w:rPr>
                <w:noProof/>
                <w:sz w:val="20"/>
                <w:lang w:eastAsia="en-GB"/>
              </w:rPr>
            </w:pPr>
            <w:r w:rsidRPr="00D86314">
              <w:rPr>
                <w:noProof/>
                <w:sz w:val="20"/>
                <w:lang w:eastAsia="en-GB"/>
              </w:rPr>
              <w:t>IV</w:t>
            </w:r>
            <w:r w:rsidR="009409F1" w:rsidRPr="00D86314">
              <w:rPr>
                <w:noProof/>
                <w:sz w:val="20"/>
                <w:lang w:eastAsia="en-GB"/>
              </w:rPr>
              <w:t>. Overview of relevant Sustainable Development Goals – Preferred Option(s)</w:t>
            </w:r>
          </w:p>
        </w:tc>
      </w:tr>
      <w:tr w:rsidR="00C25A81" w:rsidRPr="00D86314" w14:paraId="0CE86597" w14:textId="77777777" w:rsidTr="004D05D6">
        <w:tc>
          <w:tcPr>
            <w:tcW w:w="1230" w:type="pct"/>
            <w:tcBorders>
              <w:top w:val="single" w:sz="4" w:space="0" w:color="auto"/>
            </w:tcBorders>
            <w:shd w:val="clear" w:color="auto" w:fill="C6D9F1" w:themeFill="text2" w:themeFillTint="33"/>
          </w:tcPr>
          <w:p w14:paraId="132154E1" w14:textId="77777777" w:rsidR="009409F1" w:rsidRPr="00D86314" w:rsidRDefault="009409F1" w:rsidP="003B5A0E">
            <w:pPr>
              <w:spacing w:after="0"/>
              <w:rPr>
                <w:noProof/>
                <w:sz w:val="20"/>
                <w:lang w:eastAsia="en-GB"/>
              </w:rPr>
            </w:pPr>
            <w:r w:rsidRPr="00D86314">
              <w:rPr>
                <w:noProof/>
                <w:sz w:val="20"/>
                <w:lang w:eastAsia="en-GB"/>
              </w:rPr>
              <w:t>Relevant SDG</w:t>
            </w:r>
          </w:p>
        </w:tc>
        <w:tc>
          <w:tcPr>
            <w:tcW w:w="1981" w:type="pct"/>
            <w:tcBorders>
              <w:top w:val="single" w:sz="4" w:space="0" w:color="auto"/>
            </w:tcBorders>
            <w:shd w:val="clear" w:color="auto" w:fill="C6D9F1" w:themeFill="text2" w:themeFillTint="33"/>
          </w:tcPr>
          <w:p w14:paraId="00C1E627" w14:textId="77777777" w:rsidR="009409F1" w:rsidRPr="00D86314" w:rsidRDefault="009409F1" w:rsidP="003B5A0E">
            <w:pPr>
              <w:spacing w:after="0"/>
              <w:rPr>
                <w:noProof/>
                <w:sz w:val="20"/>
                <w:lang w:eastAsia="en-GB"/>
              </w:rPr>
            </w:pPr>
            <w:r w:rsidRPr="00D86314">
              <w:rPr>
                <w:noProof/>
                <w:sz w:val="20"/>
                <w:lang w:eastAsia="en-GB"/>
              </w:rPr>
              <w:t>Expected progress towards the Goal</w:t>
            </w:r>
          </w:p>
        </w:tc>
        <w:tc>
          <w:tcPr>
            <w:tcW w:w="1789" w:type="pct"/>
            <w:tcBorders>
              <w:top w:val="single" w:sz="4" w:space="0" w:color="auto"/>
            </w:tcBorders>
            <w:shd w:val="clear" w:color="auto" w:fill="C6D9F1" w:themeFill="text2" w:themeFillTint="33"/>
            <w:tcMar>
              <w:top w:w="57" w:type="dxa"/>
              <w:left w:w="57" w:type="dxa"/>
              <w:bottom w:w="57" w:type="dxa"/>
              <w:right w:w="57" w:type="dxa"/>
            </w:tcMar>
          </w:tcPr>
          <w:p w14:paraId="29A7294E" w14:textId="77777777" w:rsidR="009409F1" w:rsidRPr="00D86314" w:rsidRDefault="009409F1" w:rsidP="003B5A0E">
            <w:pPr>
              <w:spacing w:after="0"/>
              <w:rPr>
                <w:noProof/>
                <w:sz w:val="20"/>
                <w:lang w:eastAsia="en-GB"/>
              </w:rPr>
            </w:pPr>
            <w:r w:rsidRPr="00D86314">
              <w:rPr>
                <w:noProof/>
                <w:sz w:val="20"/>
                <w:lang w:eastAsia="en-GB"/>
              </w:rPr>
              <w:t>Comments</w:t>
            </w:r>
          </w:p>
        </w:tc>
      </w:tr>
      <w:tr w:rsidR="0087785B" w:rsidRPr="00D86314" w14:paraId="4CCA0544" w14:textId="77777777" w:rsidTr="00BE3015">
        <w:tc>
          <w:tcPr>
            <w:tcW w:w="1230" w:type="pct"/>
            <w:tcBorders>
              <w:top w:val="double" w:sz="4" w:space="0" w:color="auto"/>
              <w:bottom w:val="double" w:sz="4" w:space="0" w:color="auto"/>
            </w:tcBorders>
          </w:tcPr>
          <w:p w14:paraId="4A8DFF13" w14:textId="47A7F1C0" w:rsidR="009409F1" w:rsidRPr="00D86314" w:rsidRDefault="009150CC" w:rsidP="00FF3EBC">
            <w:pPr>
              <w:spacing w:after="0"/>
              <w:rPr>
                <w:noProof/>
                <w:sz w:val="20"/>
              </w:rPr>
            </w:pPr>
            <w:r w:rsidRPr="00D86314">
              <w:rPr>
                <w:noProof/>
                <w:sz w:val="20"/>
              </w:rPr>
              <w:t>Relevant Green Deal</w:t>
            </w:r>
            <w:r w:rsidR="007A1BC0" w:rsidRPr="00D86314">
              <w:rPr>
                <w:noProof/>
                <w:sz w:val="20"/>
              </w:rPr>
              <w:t xml:space="preserve"> compliance</w:t>
            </w:r>
            <w:r w:rsidRPr="00D86314">
              <w:rPr>
                <w:noProof/>
                <w:sz w:val="20"/>
              </w:rPr>
              <w:t xml:space="preserve"> with EU Climate targets and contributing EU policies</w:t>
            </w:r>
          </w:p>
        </w:tc>
        <w:tc>
          <w:tcPr>
            <w:tcW w:w="1981" w:type="pct"/>
            <w:tcBorders>
              <w:top w:val="double" w:sz="4" w:space="0" w:color="auto"/>
              <w:bottom w:val="double" w:sz="4" w:space="0" w:color="auto"/>
            </w:tcBorders>
            <w:tcMar>
              <w:top w:w="57" w:type="dxa"/>
              <w:left w:w="57" w:type="dxa"/>
              <w:bottom w:w="57" w:type="dxa"/>
              <w:right w:w="57" w:type="dxa"/>
            </w:tcMar>
          </w:tcPr>
          <w:p w14:paraId="447F5A59" w14:textId="1F4BE683" w:rsidR="009409F1" w:rsidRPr="00D86314" w:rsidRDefault="00FA3204" w:rsidP="00FF3EBC">
            <w:pPr>
              <w:spacing w:after="0"/>
              <w:rPr>
                <w:noProof/>
                <w:sz w:val="20"/>
              </w:rPr>
            </w:pPr>
            <w:r w:rsidRPr="00D86314">
              <w:rPr>
                <w:noProof/>
                <w:sz w:val="20"/>
              </w:rPr>
              <w:t xml:space="preserve">The preferred option of the </w:t>
            </w:r>
            <w:r w:rsidR="004A738F" w:rsidRPr="00D86314">
              <w:rPr>
                <w:noProof/>
                <w:sz w:val="20"/>
              </w:rPr>
              <w:t xml:space="preserve">transition to fibre </w:t>
            </w:r>
            <w:r w:rsidR="00731367" w:rsidRPr="00D86314">
              <w:rPr>
                <w:noProof/>
                <w:sz w:val="20"/>
              </w:rPr>
              <w:t xml:space="preserve">switch-off initiatives will result in </w:t>
            </w:r>
            <w:r w:rsidR="009150CC" w:rsidRPr="00D86314">
              <w:rPr>
                <w:noProof/>
                <w:sz w:val="20"/>
              </w:rPr>
              <w:t>4</w:t>
            </w:r>
            <w:r w:rsidR="00304239" w:rsidRPr="00D86314">
              <w:rPr>
                <w:noProof/>
                <w:sz w:val="20"/>
              </w:rPr>
              <w:t> </w:t>
            </w:r>
            <w:r w:rsidR="009150CC" w:rsidRPr="00D86314">
              <w:rPr>
                <w:noProof/>
                <w:sz w:val="20"/>
              </w:rPr>
              <w:t>% decrease in CO2 emission (compared to Option 0) over the period 2025-2035</w:t>
            </w:r>
          </w:p>
        </w:tc>
        <w:tc>
          <w:tcPr>
            <w:tcW w:w="1789" w:type="pct"/>
            <w:tcBorders>
              <w:top w:val="double" w:sz="4" w:space="0" w:color="auto"/>
              <w:bottom w:val="double" w:sz="4" w:space="0" w:color="auto"/>
            </w:tcBorders>
            <w:tcMar>
              <w:top w:w="57" w:type="dxa"/>
              <w:left w:w="57" w:type="dxa"/>
              <w:bottom w:w="57" w:type="dxa"/>
              <w:right w:w="57" w:type="dxa"/>
            </w:tcMar>
          </w:tcPr>
          <w:p w14:paraId="64B9F3C7" w14:textId="364B82D3" w:rsidR="009409F1" w:rsidRPr="00D86314" w:rsidRDefault="006345C6" w:rsidP="00FF3EBC">
            <w:pPr>
              <w:spacing w:after="0"/>
              <w:rPr>
                <w:noProof/>
                <w:sz w:val="20"/>
              </w:rPr>
            </w:pPr>
            <w:r w:rsidRPr="00D86314">
              <w:rPr>
                <w:noProof/>
                <w:sz w:val="20"/>
              </w:rPr>
              <w:t>In addition to energy and CO2 savings, the copper switch-off may have other environmental benefits such as mitigation of water pollution.</w:t>
            </w:r>
          </w:p>
        </w:tc>
      </w:tr>
    </w:tbl>
    <w:p w14:paraId="15AC8BEE" w14:textId="263F8C69" w:rsidR="00F06942" w:rsidRPr="00D86314" w:rsidRDefault="00F06942" w:rsidP="00F06942">
      <w:pPr>
        <w:rPr>
          <w:noProof/>
        </w:rPr>
      </w:pPr>
      <w:bookmarkStart w:id="36" w:name="_Toc208239217"/>
    </w:p>
    <w:p w14:paraId="6EFA5429" w14:textId="77777777" w:rsidR="00F06942" w:rsidRPr="00D86314" w:rsidRDefault="00F06942">
      <w:pPr>
        <w:spacing w:after="200" w:line="276" w:lineRule="auto"/>
        <w:jc w:val="left"/>
        <w:rPr>
          <w:noProof/>
        </w:rPr>
      </w:pPr>
      <w:r w:rsidRPr="00D86314">
        <w:rPr>
          <w:noProof/>
        </w:rPr>
        <w:br w:type="page"/>
      </w:r>
    </w:p>
    <w:p w14:paraId="6A4420AA" w14:textId="0E2BEC1C" w:rsidR="006B087E" w:rsidRPr="00C20A01" w:rsidRDefault="006B087E" w:rsidP="009025E7">
      <w:pPr>
        <w:pStyle w:val="Heading1"/>
        <w:numPr>
          <w:ilvl w:val="0"/>
          <w:numId w:val="0"/>
        </w:numPr>
        <w:rPr>
          <w:noProof/>
          <w:lang w:val="en-GB"/>
        </w:rPr>
      </w:pPr>
      <w:bookmarkStart w:id="37" w:name="_Toc219718352"/>
      <w:r w:rsidRPr="00D86314">
        <w:rPr>
          <w:noProof/>
          <w:lang w:val="en-GB"/>
        </w:rPr>
        <w:t>Annex 4: Analytical methods</w:t>
      </w:r>
      <w:bookmarkEnd w:id="36"/>
      <w:bookmarkEnd w:id="37"/>
    </w:p>
    <w:p w14:paraId="2F5F34FC" w14:textId="08AF8F0C" w:rsidR="00477D7B" w:rsidRPr="00D86314" w:rsidRDefault="009478E3" w:rsidP="003249D5">
      <w:pPr>
        <w:spacing w:after="120"/>
        <w:rPr>
          <w:noProof/>
        </w:rPr>
      </w:pPr>
      <w:r w:rsidRPr="00D86314">
        <w:rPr>
          <w:rFonts w:eastAsia="Calibri"/>
          <w:noProof/>
        </w:rPr>
        <w:t xml:space="preserve">This Annex describes the analytical methodology used to estimate the socio economic and environmental </w:t>
      </w:r>
      <w:r w:rsidR="00FB55DE" w:rsidRPr="00D86314">
        <w:rPr>
          <w:rFonts w:eastAsia="Calibri"/>
          <w:noProof/>
        </w:rPr>
        <w:t xml:space="preserve">impacts </w:t>
      </w:r>
      <w:r w:rsidRPr="00D86314">
        <w:rPr>
          <w:rFonts w:eastAsia="Calibri"/>
          <w:noProof/>
        </w:rPr>
        <w:t>of the policy options assessed under the Digital Networks Act (DNA)</w:t>
      </w:r>
      <w:r w:rsidR="00FC3247" w:rsidRPr="00D86314">
        <w:rPr>
          <w:rFonts w:eastAsia="Calibri"/>
          <w:noProof/>
        </w:rPr>
        <w:t>, both for options affecting fix networks deploy</w:t>
      </w:r>
      <w:r w:rsidR="00656356" w:rsidRPr="00D86314">
        <w:rPr>
          <w:rFonts w:eastAsia="Calibri"/>
          <w:noProof/>
        </w:rPr>
        <w:t>ment (Section 1</w:t>
      </w:r>
      <w:r w:rsidRPr="00D86314">
        <w:rPr>
          <w:rFonts w:eastAsia="Calibri"/>
          <w:noProof/>
        </w:rPr>
        <w:t>)</w:t>
      </w:r>
      <w:r w:rsidR="004307B3" w:rsidRPr="00D86314">
        <w:rPr>
          <w:rFonts w:eastAsia="Calibri"/>
          <w:noProof/>
        </w:rPr>
        <w:t xml:space="preserve"> and </w:t>
      </w:r>
      <w:r w:rsidR="00656356" w:rsidRPr="00D86314">
        <w:rPr>
          <w:rFonts w:eastAsia="Calibri"/>
          <w:noProof/>
        </w:rPr>
        <w:t>high</w:t>
      </w:r>
      <w:r w:rsidR="008E0341" w:rsidRPr="00C20A01">
        <w:rPr>
          <w:rFonts w:eastAsia="Calibri"/>
          <w:noProof/>
        </w:rPr>
        <w:t>-</w:t>
      </w:r>
      <w:r w:rsidR="00656356" w:rsidRPr="00D86314">
        <w:rPr>
          <w:rFonts w:eastAsia="Calibri"/>
          <w:noProof/>
        </w:rPr>
        <w:t xml:space="preserve">quality mobile network deployment </w:t>
      </w:r>
      <w:r w:rsidR="00281A92" w:rsidRPr="00D86314">
        <w:rPr>
          <w:rFonts w:eastAsia="Calibri"/>
          <w:noProof/>
        </w:rPr>
        <w:t xml:space="preserve">(Section 2). </w:t>
      </w:r>
      <w:r w:rsidR="00861F54" w:rsidRPr="00D86314">
        <w:rPr>
          <w:rFonts w:eastAsia="Calibri"/>
          <w:noProof/>
        </w:rPr>
        <w:t>The Annex also presents in Section 3</w:t>
      </w:r>
      <w:r w:rsidR="00477D7B" w:rsidRPr="00D86314">
        <w:rPr>
          <w:rFonts w:eastAsia="Calibri"/>
          <w:noProof/>
        </w:rPr>
        <w:t xml:space="preserve"> </w:t>
      </w:r>
      <w:r w:rsidR="004307B3" w:rsidRPr="00D86314">
        <w:rPr>
          <w:rFonts w:eastAsia="Calibri"/>
          <w:noProof/>
        </w:rPr>
        <w:t>the</w:t>
      </w:r>
      <w:r w:rsidR="00477D7B" w:rsidRPr="00D86314">
        <w:rPr>
          <w:rFonts w:eastAsia="Calibri"/>
          <w:noProof/>
        </w:rPr>
        <w:t xml:space="preserve"> </w:t>
      </w:r>
      <w:r w:rsidR="00477D7B" w:rsidRPr="00D86314">
        <w:rPr>
          <w:noProof/>
        </w:rPr>
        <w:t xml:space="preserve">methodology for the regression analysis </w:t>
      </w:r>
      <w:r w:rsidR="00397867" w:rsidRPr="00D86314">
        <w:rPr>
          <w:noProof/>
        </w:rPr>
        <w:t xml:space="preserve">analysing </w:t>
      </w:r>
      <w:r w:rsidR="009867A3" w:rsidRPr="00D86314">
        <w:rPr>
          <w:noProof/>
        </w:rPr>
        <w:t>possible links betwee</w:t>
      </w:r>
      <w:r w:rsidR="00763844" w:rsidRPr="00D86314">
        <w:rPr>
          <w:noProof/>
        </w:rPr>
        <w:t>n</w:t>
      </w:r>
      <w:r w:rsidR="00397867" w:rsidRPr="00D86314">
        <w:rPr>
          <w:noProof/>
        </w:rPr>
        <w:t xml:space="preserve"> regulatory approaches and </w:t>
      </w:r>
      <w:r w:rsidR="00763844" w:rsidRPr="00D86314">
        <w:rPr>
          <w:noProof/>
        </w:rPr>
        <w:t>market</w:t>
      </w:r>
      <w:r w:rsidR="00397867" w:rsidRPr="00D86314">
        <w:rPr>
          <w:noProof/>
        </w:rPr>
        <w:t xml:space="preserve"> outcomes.</w:t>
      </w:r>
    </w:p>
    <w:p w14:paraId="7B66B01E" w14:textId="2C77855C" w:rsidR="00C50D5E" w:rsidRPr="00D86314" w:rsidRDefault="009478E3" w:rsidP="003249D5">
      <w:pPr>
        <w:rPr>
          <w:noProof/>
        </w:rPr>
      </w:pPr>
      <w:r w:rsidRPr="00D86314">
        <w:rPr>
          <w:rFonts w:eastAsia="Calibri"/>
          <w:noProof/>
        </w:rPr>
        <w:t xml:space="preserve">The description is based on the </w:t>
      </w:r>
      <w:r w:rsidR="00C50D5E" w:rsidRPr="00D86314">
        <w:rPr>
          <w:rFonts w:eastAsia="Calibri"/>
          <w:noProof/>
        </w:rPr>
        <w:t>studies</w:t>
      </w:r>
      <w:r w:rsidRPr="00D86314">
        <w:rPr>
          <w:rFonts w:eastAsia="Calibri"/>
          <w:noProof/>
        </w:rPr>
        <w:t xml:space="preserve"> accompanying the Impact Assessment for a Digital Networks Act”</w:t>
      </w:r>
      <w:r w:rsidR="00073416" w:rsidRPr="00D86314">
        <w:rPr>
          <w:rFonts w:eastAsia="Calibri"/>
          <w:noProof/>
        </w:rPr>
        <w:t xml:space="preserve"> </w:t>
      </w:r>
      <w:r w:rsidR="00C50D5E" w:rsidRPr="00D86314">
        <w:rPr>
          <w:noProof/>
        </w:rPr>
        <w:t>Study 2024-025 on "Completing the Digital Single Market (DSM): Regulatory enablers for cross border networks - FWC No FW-00141705;</w:t>
      </w:r>
      <w:r w:rsidR="00800588" w:rsidRPr="00D86314">
        <w:rPr>
          <w:noProof/>
        </w:rPr>
        <w:t xml:space="preserve"> and </w:t>
      </w:r>
      <w:r w:rsidR="00C50D5E" w:rsidRPr="00D86314">
        <w:rPr>
          <w:noProof/>
        </w:rPr>
        <w:t>Study 2024-026 on 'Review of Access Regulation under the European Electronic Communications Code and analysis of future Access policy in full fibre environment' - FwC No FW-00141705</w:t>
      </w:r>
      <w:r w:rsidR="00E059B1" w:rsidRPr="00D86314">
        <w:rPr>
          <w:noProof/>
        </w:rPr>
        <w:t>.</w:t>
      </w:r>
    </w:p>
    <w:p w14:paraId="152525CA" w14:textId="4F5C8730" w:rsidR="00CB3E4E" w:rsidRPr="00D86314" w:rsidRDefault="00CB3E4E" w:rsidP="00CB3E4E">
      <w:pPr>
        <w:pStyle w:val="Heading1"/>
        <w:rPr>
          <w:noProof/>
          <w:lang w:val="en-GB"/>
        </w:rPr>
      </w:pPr>
      <w:bookmarkStart w:id="38" w:name="_Toc219718353"/>
      <w:r w:rsidRPr="00D86314">
        <w:rPr>
          <w:noProof/>
          <w:lang w:val="en-GB"/>
        </w:rPr>
        <w:t>Methodology for the demand modelling and quantitative Impact Assessment of the copper-Switch-off and Access options</w:t>
      </w:r>
      <w:bookmarkEnd w:id="38"/>
    </w:p>
    <w:p w14:paraId="3B9D2D71" w14:textId="65895B7B" w:rsidR="002A1F4D" w:rsidRPr="00D86314" w:rsidRDefault="0048164B" w:rsidP="00703057">
      <w:pPr>
        <w:pStyle w:val="Heading2"/>
        <w:rPr>
          <w:noProof/>
        </w:rPr>
      </w:pPr>
      <w:bookmarkStart w:id="39" w:name="_Toc219718354"/>
      <w:r w:rsidRPr="00D86314">
        <w:rPr>
          <w:noProof/>
        </w:rPr>
        <w:t>Analytical approach to the socio-economic and environmental Impact Assessment</w:t>
      </w:r>
      <w:bookmarkEnd w:id="39"/>
      <w:r w:rsidRPr="00D86314">
        <w:rPr>
          <w:noProof/>
        </w:rPr>
        <w:t xml:space="preserve"> </w:t>
      </w:r>
    </w:p>
    <w:p w14:paraId="1A452AF5" w14:textId="1C2A5D3D" w:rsidR="002A1F4D" w:rsidRPr="00D86314" w:rsidRDefault="002B0D9D" w:rsidP="00BF39B2">
      <w:pPr>
        <w:spacing w:after="120"/>
        <w:rPr>
          <w:noProof/>
        </w:rPr>
      </w:pPr>
      <w:r w:rsidRPr="00D86314">
        <w:rPr>
          <w:noProof/>
        </w:rPr>
        <w:t xml:space="preserve">The quantification of economic and environmental impacts </w:t>
      </w:r>
      <w:r w:rsidR="009D000F" w:rsidRPr="00D86314">
        <w:rPr>
          <w:noProof/>
        </w:rPr>
        <w:t>of</w:t>
      </w:r>
      <w:r w:rsidRPr="00D86314">
        <w:rPr>
          <w:noProof/>
        </w:rPr>
        <w:t xml:space="preserve"> the different </w:t>
      </w:r>
      <w:r w:rsidR="009D000F" w:rsidRPr="00D86314">
        <w:rPr>
          <w:noProof/>
        </w:rPr>
        <w:t xml:space="preserve">policy </w:t>
      </w:r>
      <w:r w:rsidRPr="00D86314">
        <w:rPr>
          <w:noProof/>
        </w:rPr>
        <w:t>options for the Digital Networks Act is based on a 3-step process. This process is illustrated for fixed broadband in the diagram</w:t>
      </w:r>
      <w:r w:rsidR="00EC70CD" w:rsidRPr="00D86314">
        <w:rPr>
          <w:noProof/>
        </w:rPr>
        <w:t xml:space="preserve"> below</w:t>
      </w:r>
      <w:r w:rsidRPr="00D86314">
        <w:rPr>
          <w:noProof/>
        </w:rPr>
        <w:t>.</w:t>
      </w:r>
    </w:p>
    <w:p w14:paraId="67649166" w14:textId="20E01127" w:rsidR="00CC66D5" w:rsidRPr="00D86314" w:rsidRDefault="00CC66D5" w:rsidP="00CC66D5">
      <w:pPr>
        <w:pStyle w:val="Abbberschrift"/>
        <w:rPr>
          <w:rFonts w:ascii="Times New Roman" w:hAnsi="Times New Roman"/>
          <w:i/>
          <w:noProof/>
          <w:color w:val="1F497D" w:themeColor="text2"/>
        </w:rPr>
      </w:pPr>
      <w:bookmarkStart w:id="40" w:name="_Toc206772734"/>
      <w:bookmarkStart w:id="41" w:name="_Toc209525796"/>
      <w:r w:rsidRPr="00D86314">
        <w:rPr>
          <w:rFonts w:ascii="Times New Roman" w:hAnsi="Times New Roman"/>
          <w:i/>
          <w:noProof/>
        </w:rPr>
        <w:t xml:space="preserve">Figure A4 </w:t>
      </w:r>
      <w:r w:rsidR="008558DC" w:rsidRPr="00D86314">
        <w:rPr>
          <w:rFonts w:ascii="Times New Roman" w:hAnsi="Times New Roman"/>
          <w:i/>
          <w:noProof/>
        </w:rPr>
        <w:t>1</w:t>
      </w:r>
      <w:r w:rsidRPr="00D86314">
        <w:rPr>
          <w:rFonts w:ascii="Times New Roman" w:hAnsi="Times New Roman"/>
          <w:i/>
          <w:noProof/>
        </w:rPr>
        <w:noBreakHyphen/>
      </w:r>
      <w:r w:rsidR="001F10E6" w:rsidRPr="00D86314">
        <w:rPr>
          <w:rFonts w:ascii="Times New Roman" w:hAnsi="Times New Roman"/>
          <w:i/>
          <w:noProof/>
        </w:rPr>
        <w:fldChar w:fldCharType="begin"/>
      </w:r>
      <w:r w:rsidR="001F10E6" w:rsidRPr="00D86314">
        <w:rPr>
          <w:rFonts w:ascii="Times New Roman" w:hAnsi="Times New Roman"/>
          <w:i/>
          <w:noProof/>
        </w:rPr>
        <w:instrText xml:space="preserve"> STYLEREF 1 \s </w:instrText>
      </w:r>
      <w:r w:rsidR="001F10E6" w:rsidRPr="00D86314">
        <w:rPr>
          <w:rFonts w:ascii="Times New Roman" w:hAnsi="Times New Roman"/>
          <w:i/>
          <w:noProof/>
        </w:rPr>
        <w:fldChar w:fldCharType="separate"/>
      </w:r>
      <w:r w:rsidR="00870CA9" w:rsidRPr="00C20A01">
        <w:rPr>
          <w:rFonts w:ascii="Times New Roman" w:hAnsi="Times New Roman"/>
          <w:i/>
          <w:noProof/>
        </w:rPr>
        <w:t>1</w:t>
      </w:r>
      <w:r w:rsidR="001F10E6" w:rsidRPr="00D86314">
        <w:rPr>
          <w:rFonts w:ascii="Times New Roman" w:hAnsi="Times New Roman"/>
          <w:i/>
          <w:noProof/>
        </w:rPr>
        <w:fldChar w:fldCharType="end"/>
      </w:r>
      <w:r w:rsidRPr="00D86314">
        <w:rPr>
          <w:rFonts w:ascii="Times New Roman" w:hAnsi="Times New Roman"/>
          <w:i/>
          <w:noProof/>
        </w:rPr>
        <w:t xml:space="preserve">: </w:t>
      </w:r>
      <w:bookmarkEnd w:id="40"/>
      <w:r w:rsidRPr="00D86314">
        <w:rPr>
          <w:rFonts w:ascii="Times New Roman" w:hAnsi="Times New Roman"/>
          <w:i/>
          <w:noProof/>
        </w:rPr>
        <w:t>Three-step approach to assessing socio-economic and environmental impacts</w:t>
      </w:r>
      <w:bookmarkEnd w:id="41"/>
    </w:p>
    <w:p w14:paraId="182ADDC2" w14:textId="77777777" w:rsidR="00CC66D5" w:rsidRPr="00D86314" w:rsidRDefault="00CC66D5" w:rsidP="00CC66D5">
      <w:pPr>
        <w:pStyle w:val="StandardAbbildung"/>
        <w:rPr>
          <w:noProof/>
          <w:lang w:val="en-GB"/>
        </w:rPr>
      </w:pPr>
      <w:r w:rsidRPr="00E46BC9">
        <w:rPr>
          <w:noProof/>
          <w:lang w:val="en-GB" w:eastAsia="en-GB"/>
        </w:rPr>
        <w:drawing>
          <wp:inline distT="0" distB="0" distL="0" distR="0" wp14:anchorId="30AB5E73" wp14:editId="39532896">
            <wp:extent cx="4629150" cy="2819400"/>
            <wp:effectExtent l="0" t="0" r="0" b="0"/>
            <wp:docPr id="266965603" name="Grafik 6" descr="Ein Bild, das Text, Screenshot, Schrif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65603" name="Grafik 6" descr="Ein Bild, das Text, Screenshot, Schrift, Design enthält.&#10;&#10;KI-generierte Inhalte können fehlerhaft sei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0" cy="2819400"/>
                    </a:xfrm>
                    <a:prstGeom prst="rect">
                      <a:avLst/>
                    </a:prstGeom>
                    <a:noFill/>
                    <a:ln>
                      <a:noFill/>
                    </a:ln>
                  </pic:spPr>
                </pic:pic>
              </a:graphicData>
            </a:graphic>
          </wp:inline>
        </w:drawing>
      </w:r>
    </w:p>
    <w:p w14:paraId="3F8A1DF0" w14:textId="77777777" w:rsidR="00CC66D5" w:rsidRPr="00D86314" w:rsidRDefault="00CC66D5" w:rsidP="00CC66D5">
      <w:pPr>
        <w:pStyle w:val="Quelle"/>
        <w:rPr>
          <w:rFonts w:ascii="Times New Roman" w:hAnsi="Times New Roman"/>
          <w:noProof/>
        </w:rPr>
      </w:pPr>
      <w:r w:rsidRPr="00D86314">
        <w:rPr>
          <w:rFonts w:ascii="Times New Roman" w:hAnsi="Times New Roman"/>
          <w:noProof/>
        </w:rPr>
        <w:t>Source:</w:t>
      </w:r>
      <w:r w:rsidRPr="00D86314">
        <w:rPr>
          <w:rFonts w:ascii="Times New Roman" w:hAnsi="Times New Roman"/>
          <w:noProof/>
        </w:rPr>
        <w:tab/>
        <w:t>WIK-Consult.</w:t>
      </w:r>
    </w:p>
    <w:p w14:paraId="12B46BB1" w14:textId="38906F21" w:rsidR="00B5292A" w:rsidRPr="00D86314" w:rsidRDefault="004D5469" w:rsidP="00BF39B2">
      <w:pPr>
        <w:spacing w:after="120"/>
        <w:rPr>
          <w:i/>
          <w:noProof/>
        </w:rPr>
      </w:pPr>
      <w:r w:rsidRPr="00D86314">
        <w:rPr>
          <w:i/>
          <w:iCs/>
          <w:noProof/>
        </w:rPr>
        <w:t>I</w:t>
      </w:r>
      <w:r w:rsidR="00F754D5" w:rsidRPr="00D86314">
        <w:rPr>
          <w:i/>
          <w:noProof/>
        </w:rPr>
        <w:t>mpacts on coverage, take-up and competition</w:t>
      </w:r>
    </w:p>
    <w:p w14:paraId="5A795DFC" w14:textId="6D2A42CD" w:rsidR="00172A03" w:rsidRPr="00D86314" w:rsidRDefault="00B5292A" w:rsidP="00BF39B2">
      <w:pPr>
        <w:spacing w:after="120"/>
        <w:rPr>
          <w:noProof/>
        </w:rPr>
      </w:pPr>
      <w:r w:rsidRPr="00D86314">
        <w:rPr>
          <w:noProof/>
        </w:rPr>
        <w:t xml:space="preserve">Each policy option is assessed in terms of its </w:t>
      </w:r>
      <w:r w:rsidR="00E2169D" w:rsidRPr="00D86314">
        <w:rPr>
          <w:noProof/>
        </w:rPr>
        <w:t>impact</w:t>
      </w:r>
      <w:r w:rsidR="00AD6E52" w:rsidRPr="00D86314">
        <w:rPr>
          <w:noProof/>
        </w:rPr>
        <w:t>s</w:t>
      </w:r>
      <w:r w:rsidR="00E2169D" w:rsidRPr="00D86314">
        <w:rPr>
          <w:noProof/>
        </w:rPr>
        <w:t xml:space="preserve"> </w:t>
      </w:r>
      <w:r w:rsidR="00172A03" w:rsidRPr="00D86314">
        <w:rPr>
          <w:noProof/>
        </w:rPr>
        <w:t xml:space="preserve">on FTTH coverage and take-up as well as competition in broadband quality (via infrastructure competition where viable or otherwise access regulation permitting full differentiation). </w:t>
      </w:r>
      <w:r w:rsidR="00912207" w:rsidRPr="00D86314">
        <w:rPr>
          <w:noProof/>
        </w:rPr>
        <w:t>These impacts translate in</w:t>
      </w:r>
      <w:r w:rsidR="00737A13" w:rsidRPr="00D86314">
        <w:rPr>
          <w:noProof/>
        </w:rPr>
        <w:t xml:space="preserve">to </w:t>
      </w:r>
      <w:r w:rsidR="00172A03" w:rsidRPr="00D86314">
        <w:rPr>
          <w:noProof/>
        </w:rPr>
        <w:t xml:space="preserve">projected increases </w:t>
      </w:r>
      <w:r w:rsidR="00887ACD" w:rsidRPr="00D86314">
        <w:rPr>
          <w:noProof/>
        </w:rPr>
        <w:t>o</w:t>
      </w:r>
      <w:r w:rsidR="00C761BC" w:rsidRPr="00D86314">
        <w:rPr>
          <w:noProof/>
        </w:rPr>
        <w:t xml:space="preserve">n </w:t>
      </w:r>
      <w:r w:rsidR="00172A03" w:rsidRPr="00D86314">
        <w:rPr>
          <w:noProof/>
        </w:rPr>
        <w:t xml:space="preserve">average </w:t>
      </w:r>
      <w:r w:rsidR="00A720FB" w:rsidRPr="00D86314">
        <w:rPr>
          <w:noProof/>
        </w:rPr>
        <w:t xml:space="preserve">download </w:t>
      </w:r>
      <w:r w:rsidR="00172A03" w:rsidRPr="00D86314">
        <w:rPr>
          <w:noProof/>
        </w:rPr>
        <w:t>speeds (</w:t>
      </w:r>
      <w:r w:rsidR="00434567" w:rsidRPr="00D86314">
        <w:rPr>
          <w:noProof/>
        </w:rPr>
        <w:t xml:space="preserve">e.g. </w:t>
      </w:r>
      <w:r w:rsidR="00172A03" w:rsidRPr="00D86314">
        <w:rPr>
          <w:noProof/>
        </w:rPr>
        <w:t xml:space="preserve">take-up of gigabit offers) and </w:t>
      </w:r>
      <w:r w:rsidR="003250E4" w:rsidRPr="00D86314">
        <w:rPr>
          <w:noProof/>
        </w:rPr>
        <w:t xml:space="preserve">data consumption </w:t>
      </w:r>
      <w:r w:rsidR="009328F2" w:rsidRPr="00D86314">
        <w:rPr>
          <w:noProof/>
        </w:rPr>
        <w:t>(</w:t>
      </w:r>
      <w:r w:rsidR="00172A03" w:rsidRPr="00D86314">
        <w:rPr>
          <w:noProof/>
        </w:rPr>
        <w:t xml:space="preserve">per user and </w:t>
      </w:r>
      <w:r w:rsidR="00887ACD" w:rsidRPr="00D86314">
        <w:rPr>
          <w:noProof/>
        </w:rPr>
        <w:t>o</w:t>
      </w:r>
      <w:r w:rsidR="009328F2" w:rsidRPr="00D86314">
        <w:rPr>
          <w:noProof/>
        </w:rPr>
        <w:t>n aggregate</w:t>
      </w:r>
      <w:r w:rsidR="00172A03" w:rsidRPr="00D86314">
        <w:rPr>
          <w:noProof/>
        </w:rPr>
        <w:t>).</w:t>
      </w:r>
    </w:p>
    <w:p w14:paraId="44A24F30" w14:textId="0A0DE489" w:rsidR="003A4353" w:rsidRPr="00D86314" w:rsidRDefault="003A4353" w:rsidP="004B46A0">
      <w:pPr>
        <w:keepNext/>
        <w:keepLines/>
        <w:spacing w:after="120"/>
        <w:rPr>
          <w:i/>
          <w:noProof/>
        </w:rPr>
      </w:pPr>
      <w:r w:rsidRPr="00D86314">
        <w:rPr>
          <w:i/>
          <w:noProof/>
        </w:rPr>
        <w:t xml:space="preserve">Quantification of GDP </w:t>
      </w:r>
      <w:r w:rsidRPr="00D86314">
        <w:rPr>
          <w:i/>
          <w:iCs/>
          <w:noProof/>
        </w:rPr>
        <w:t>impact</w:t>
      </w:r>
    </w:p>
    <w:p w14:paraId="7D1774EB" w14:textId="14A3A8AC" w:rsidR="00172A03" w:rsidRPr="00D86314" w:rsidRDefault="00A537A2" w:rsidP="00BF39B2">
      <w:pPr>
        <w:spacing w:after="120"/>
        <w:rPr>
          <w:noProof/>
        </w:rPr>
      </w:pPr>
      <w:r w:rsidRPr="00D86314">
        <w:rPr>
          <w:noProof/>
        </w:rPr>
        <w:t>Expected changes</w:t>
      </w:r>
      <w:r w:rsidR="00E2544A" w:rsidRPr="00D86314">
        <w:rPr>
          <w:noProof/>
        </w:rPr>
        <w:t xml:space="preserve"> in</w:t>
      </w:r>
      <w:r w:rsidR="00172A03" w:rsidRPr="00D86314">
        <w:rPr>
          <w:noProof/>
        </w:rPr>
        <w:t xml:space="preserve"> broadband speeds </w:t>
      </w:r>
      <w:r w:rsidR="00787770" w:rsidRPr="00D86314">
        <w:rPr>
          <w:noProof/>
        </w:rPr>
        <w:t xml:space="preserve">are </w:t>
      </w:r>
      <w:r w:rsidR="00D83706" w:rsidRPr="00D86314">
        <w:rPr>
          <w:noProof/>
        </w:rPr>
        <w:t>linked</w:t>
      </w:r>
      <w:r w:rsidR="00787770" w:rsidRPr="00D86314">
        <w:rPr>
          <w:noProof/>
        </w:rPr>
        <w:t xml:space="preserve"> with </w:t>
      </w:r>
      <w:r w:rsidR="00172A03" w:rsidRPr="00D86314">
        <w:rPr>
          <w:noProof/>
        </w:rPr>
        <w:t xml:space="preserve">GDP </w:t>
      </w:r>
      <w:r w:rsidR="00787770" w:rsidRPr="00D86314">
        <w:rPr>
          <w:noProof/>
        </w:rPr>
        <w:t xml:space="preserve">impacts </w:t>
      </w:r>
      <w:r w:rsidR="009E44F1" w:rsidRPr="00D86314">
        <w:rPr>
          <w:noProof/>
        </w:rPr>
        <w:t xml:space="preserve">using coefficients derived from </w:t>
      </w:r>
      <w:r w:rsidR="00172A03" w:rsidRPr="00D86314">
        <w:rPr>
          <w:noProof/>
        </w:rPr>
        <w:t>academic literature.</w:t>
      </w:r>
    </w:p>
    <w:p w14:paraId="1DE1B4F9" w14:textId="0907C321" w:rsidR="007B0395" w:rsidRPr="00D86314" w:rsidRDefault="007B0395" w:rsidP="00BF39B2">
      <w:pPr>
        <w:spacing w:after="120"/>
        <w:rPr>
          <w:i/>
          <w:noProof/>
        </w:rPr>
      </w:pPr>
      <w:r w:rsidRPr="00D86314">
        <w:rPr>
          <w:i/>
          <w:noProof/>
        </w:rPr>
        <w:t>Quantification of environmental</w:t>
      </w:r>
      <w:r w:rsidR="00B52AA2" w:rsidRPr="00D86314">
        <w:rPr>
          <w:i/>
          <w:iCs/>
          <w:noProof/>
        </w:rPr>
        <w:t xml:space="preserve"> impact</w:t>
      </w:r>
    </w:p>
    <w:p w14:paraId="07ED5C8D" w14:textId="23DDE5E6" w:rsidR="00172A03" w:rsidRPr="00D86314" w:rsidRDefault="00965190" w:rsidP="00BF39B2">
      <w:pPr>
        <w:spacing w:after="120"/>
        <w:rPr>
          <w:noProof/>
        </w:rPr>
      </w:pPr>
      <w:r w:rsidRPr="00D86314">
        <w:rPr>
          <w:noProof/>
        </w:rPr>
        <w:t xml:space="preserve">Expected changes in </w:t>
      </w:r>
      <w:r w:rsidR="00172A03" w:rsidRPr="00D86314">
        <w:rPr>
          <w:noProof/>
        </w:rPr>
        <w:t xml:space="preserve">broadband speeds </w:t>
      </w:r>
      <w:r w:rsidR="00C46774" w:rsidRPr="00D86314">
        <w:rPr>
          <w:noProof/>
        </w:rPr>
        <w:t>and</w:t>
      </w:r>
      <w:r w:rsidR="00172A03" w:rsidRPr="00D86314">
        <w:rPr>
          <w:noProof/>
        </w:rPr>
        <w:t xml:space="preserve"> data consumption </w:t>
      </w:r>
      <w:r w:rsidRPr="00D86314">
        <w:rPr>
          <w:noProof/>
        </w:rPr>
        <w:t>result in changes</w:t>
      </w:r>
      <w:r w:rsidR="008773D5" w:rsidRPr="00D86314">
        <w:rPr>
          <w:noProof/>
        </w:rPr>
        <w:t xml:space="preserve"> to</w:t>
      </w:r>
      <w:r w:rsidR="00172A03" w:rsidRPr="00D86314">
        <w:rPr>
          <w:noProof/>
        </w:rPr>
        <w:t xml:space="preserve"> electricity consumption and CO2 emissions</w:t>
      </w:r>
      <w:r w:rsidR="008773D5" w:rsidRPr="00D86314">
        <w:rPr>
          <w:noProof/>
        </w:rPr>
        <w:t>, based on technology-specific data</w:t>
      </w:r>
      <w:r w:rsidR="00172A03" w:rsidRPr="00D86314">
        <w:rPr>
          <w:noProof/>
        </w:rPr>
        <w:t>.</w:t>
      </w:r>
    </w:p>
    <w:p w14:paraId="54607CB8" w14:textId="54E82258" w:rsidR="00BE2D56" w:rsidRPr="00D86314" w:rsidRDefault="00CD79E7" w:rsidP="00703057">
      <w:pPr>
        <w:pStyle w:val="Heading2"/>
        <w:rPr>
          <w:noProof/>
        </w:rPr>
      </w:pPr>
      <w:bookmarkStart w:id="42" w:name="_Toc219718355"/>
      <w:r w:rsidRPr="00D86314">
        <w:rPr>
          <w:noProof/>
        </w:rPr>
        <w:t>Quantification</w:t>
      </w:r>
      <w:r w:rsidR="00BE2D56" w:rsidRPr="00D86314">
        <w:rPr>
          <w:noProof/>
        </w:rPr>
        <w:t xml:space="preserve"> of impact of the different options on FTTH coverage, take-up, average speeds and data consumption (all evidence combined in one document and summarised at the top)</w:t>
      </w:r>
      <w:bookmarkEnd w:id="42"/>
    </w:p>
    <w:p w14:paraId="627F3F08" w14:textId="703D08A5" w:rsidR="00C61BF8" w:rsidRPr="00D86314" w:rsidRDefault="00C61BF8" w:rsidP="00C61BF8">
      <w:pPr>
        <w:pStyle w:val="Text1"/>
        <w:ind w:left="0"/>
        <w:rPr>
          <w:noProof/>
        </w:rPr>
      </w:pPr>
      <w:r w:rsidRPr="00D86314">
        <w:rPr>
          <w:noProof/>
        </w:rPr>
        <w:t>This section elaborate</w:t>
      </w:r>
      <w:r w:rsidR="008452A2" w:rsidRPr="00D86314">
        <w:rPr>
          <w:noProof/>
        </w:rPr>
        <w:t>s</w:t>
      </w:r>
      <w:r w:rsidRPr="00D86314">
        <w:rPr>
          <w:noProof/>
        </w:rPr>
        <w:t xml:space="preserve"> on the assumptions</w:t>
      </w:r>
      <w:r w:rsidR="009803FE" w:rsidRPr="00D86314">
        <w:rPr>
          <w:noProof/>
        </w:rPr>
        <w:t>, data sources</w:t>
      </w:r>
      <w:r w:rsidRPr="00D86314">
        <w:rPr>
          <w:noProof/>
        </w:rPr>
        <w:t xml:space="preserve"> and </w:t>
      </w:r>
      <w:r w:rsidR="009803FE" w:rsidRPr="00D86314">
        <w:rPr>
          <w:noProof/>
        </w:rPr>
        <w:t xml:space="preserve">modelling parameters </w:t>
      </w:r>
      <w:r w:rsidRPr="00D86314">
        <w:rPr>
          <w:noProof/>
        </w:rPr>
        <w:t xml:space="preserve">used to estimate impacts on GDP and </w:t>
      </w:r>
      <w:r w:rsidR="009803FE" w:rsidRPr="00D86314">
        <w:rPr>
          <w:noProof/>
        </w:rPr>
        <w:t>CO2</w:t>
      </w:r>
      <w:r w:rsidRPr="00D86314">
        <w:rPr>
          <w:noProof/>
        </w:rPr>
        <w:t xml:space="preserve"> </w:t>
      </w:r>
      <w:r w:rsidR="00F938AF" w:rsidRPr="00D86314">
        <w:rPr>
          <w:noProof/>
        </w:rPr>
        <w:t xml:space="preserve">emissions </w:t>
      </w:r>
      <w:r w:rsidR="00427852" w:rsidRPr="00D86314">
        <w:rPr>
          <w:noProof/>
        </w:rPr>
        <w:t>for</w:t>
      </w:r>
      <w:r w:rsidRPr="00D86314">
        <w:rPr>
          <w:noProof/>
        </w:rPr>
        <w:t xml:space="preserve"> fixed and mobile broadband.</w:t>
      </w:r>
    </w:p>
    <w:p w14:paraId="4E404108" w14:textId="013C957D" w:rsidR="0007121C" w:rsidRPr="00D86314" w:rsidRDefault="0007121C" w:rsidP="00BF1175">
      <w:pPr>
        <w:spacing w:after="120"/>
        <w:rPr>
          <w:noProof/>
        </w:rPr>
      </w:pPr>
      <w:r w:rsidRPr="00D86314">
        <w:rPr>
          <w:noProof/>
        </w:rPr>
        <w:t xml:space="preserve">The diagram </w:t>
      </w:r>
      <w:r w:rsidR="00E70ABB" w:rsidRPr="00D86314">
        <w:rPr>
          <w:noProof/>
        </w:rPr>
        <w:t xml:space="preserve">below </w:t>
      </w:r>
      <w:r w:rsidRPr="00D86314">
        <w:rPr>
          <w:noProof/>
        </w:rPr>
        <w:t>shows the intervention logic linking access policy options, outcomes and impacts.</w:t>
      </w:r>
    </w:p>
    <w:p w14:paraId="38D6839E" w14:textId="3F2C9B48" w:rsidR="00334449" w:rsidRPr="00D86314" w:rsidRDefault="00334449" w:rsidP="001E6573">
      <w:pPr>
        <w:pStyle w:val="Abbberschrift"/>
        <w:ind w:left="2127" w:hanging="2127"/>
        <w:rPr>
          <w:rFonts w:ascii="Times New Roman" w:hAnsi="Times New Roman"/>
          <w:i/>
          <w:noProof/>
        </w:rPr>
      </w:pPr>
      <w:bookmarkStart w:id="43" w:name="_Toc209525797"/>
      <w:r w:rsidRPr="00D86314">
        <w:rPr>
          <w:rFonts w:ascii="Times New Roman" w:hAnsi="Times New Roman"/>
          <w:i/>
          <w:noProof/>
        </w:rPr>
        <w:t>Figure A4</w:t>
      </w:r>
      <w:r w:rsidR="008558DC" w:rsidRPr="00D86314">
        <w:rPr>
          <w:rFonts w:ascii="Times New Roman" w:hAnsi="Times New Roman"/>
          <w:i/>
          <w:noProof/>
        </w:rPr>
        <w:t xml:space="preserve"> 1</w:t>
      </w:r>
      <w:r w:rsidR="005B5146">
        <w:rPr>
          <w:rFonts w:ascii="Times New Roman" w:hAnsi="Times New Roman"/>
          <w:i/>
          <w:noProof/>
        </w:rPr>
        <w:noBreakHyphen/>
      </w:r>
      <w:r w:rsidR="00E122E2">
        <w:rPr>
          <w:rFonts w:ascii="Times New Roman" w:hAnsi="Times New Roman"/>
          <w:i/>
          <w:noProof/>
        </w:rPr>
        <w:t>2</w:t>
      </w:r>
      <w:r w:rsidRPr="00D86314">
        <w:rPr>
          <w:rFonts w:ascii="Times New Roman" w:hAnsi="Times New Roman"/>
          <w:i/>
          <w:noProof/>
        </w:rPr>
        <w:t>:Intervention logic linking policy initiatives with economic and environmental impacts</w:t>
      </w:r>
      <w:bookmarkEnd w:id="43"/>
    </w:p>
    <w:p w14:paraId="18841313" w14:textId="77777777" w:rsidR="00334449" w:rsidRPr="00D86314" w:rsidRDefault="00334449" w:rsidP="00334449">
      <w:pPr>
        <w:rPr>
          <w:noProof/>
        </w:rPr>
      </w:pPr>
      <w:r w:rsidRPr="00E46BC9">
        <w:rPr>
          <w:noProof/>
          <w:lang w:eastAsia="en-GB"/>
        </w:rPr>
        <w:drawing>
          <wp:inline distT="0" distB="0" distL="0" distR="0" wp14:anchorId="316AB210" wp14:editId="64F7C900">
            <wp:extent cx="4797179" cy="3688080"/>
            <wp:effectExtent l="0" t="0" r="0" b="0"/>
            <wp:docPr id="756767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27735" cy="3711572"/>
                    </a:xfrm>
                    <a:prstGeom prst="rect">
                      <a:avLst/>
                    </a:prstGeom>
                    <a:noFill/>
                    <a:ln>
                      <a:noFill/>
                    </a:ln>
                  </pic:spPr>
                </pic:pic>
              </a:graphicData>
            </a:graphic>
          </wp:inline>
        </w:drawing>
      </w:r>
    </w:p>
    <w:p w14:paraId="1DDC8F1B" w14:textId="77777777" w:rsidR="00334449" w:rsidRPr="00D86314" w:rsidRDefault="00334449" w:rsidP="00334449">
      <w:pPr>
        <w:pStyle w:val="Quelle"/>
        <w:ind w:left="0" w:firstLine="0"/>
        <w:rPr>
          <w:rFonts w:ascii="Times New Roman" w:hAnsi="Times New Roman"/>
          <w:noProof/>
        </w:rPr>
      </w:pPr>
      <w:r w:rsidRPr="00D86314">
        <w:rPr>
          <w:rFonts w:ascii="Times New Roman" w:hAnsi="Times New Roman"/>
          <w:noProof/>
        </w:rPr>
        <w:t>Source:</w:t>
      </w:r>
      <w:r w:rsidRPr="00D86314">
        <w:rPr>
          <w:rFonts w:ascii="Times New Roman" w:hAnsi="Times New Roman"/>
          <w:noProof/>
        </w:rPr>
        <w:tab/>
        <w:t>WIK-Consult.</w:t>
      </w:r>
    </w:p>
    <w:p w14:paraId="4D60E276" w14:textId="5720DF6B" w:rsidR="003F6BB7" w:rsidRPr="00D86314" w:rsidRDefault="009C122F" w:rsidP="00801A7B">
      <w:pPr>
        <w:rPr>
          <w:noProof/>
        </w:rPr>
      </w:pPr>
      <w:r w:rsidRPr="00D86314">
        <w:rPr>
          <w:noProof/>
        </w:rPr>
        <w:t xml:space="preserve">Based </w:t>
      </w:r>
      <w:r w:rsidR="00502FDD" w:rsidRPr="00D86314">
        <w:rPr>
          <w:noProof/>
        </w:rPr>
        <w:t xml:space="preserve">on the intervention logic, </w:t>
      </w:r>
      <w:r w:rsidRPr="00D86314">
        <w:rPr>
          <w:noProof/>
        </w:rPr>
        <w:t xml:space="preserve">the table below provides an </w:t>
      </w:r>
      <w:r w:rsidR="00502FDD" w:rsidRPr="00D86314">
        <w:rPr>
          <w:noProof/>
        </w:rPr>
        <w:t xml:space="preserve">overview of the directional effects of the </w:t>
      </w:r>
      <w:r w:rsidR="00241C02" w:rsidRPr="00D86314">
        <w:rPr>
          <w:noProof/>
        </w:rPr>
        <w:t>policy</w:t>
      </w:r>
      <w:r w:rsidR="00502FDD" w:rsidRPr="00D86314">
        <w:rPr>
          <w:noProof/>
        </w:rPr>
        <w:t xml:space="preserve"> options on outcomes </w:t>
      </w:r>
      <w:r w:rsidR="007C5498" w:rsidRPr="00D86314">
        <w:rPr>
          <w:noProof/>
        </w:rPr>
        <w:t xml:space="preserve">such as </w:t>
      </w:r>
      <w:r w:rsidR="00502FDD" w:rsidRPr="00D86314">
        <w:rPr>
          <w:noProof/>
        </w:rPr>
        <w:t xml:space="preserve">FTTH coverage, take-up and </w:t>
      </w:r>
      <w:r w:rsidR="007C5498" w:rsidRPr="00D86314">
        <w:rPr>
          <w:noProof/>
        </w:rPr>
        <w:t xml:space="preserve">related </w:t>
      </w:r>
      <w:r w:rsidR="00502FDD" w:rsidRPr="00D86314">
        <w:rPr>
          <w:noProof/>
        </w:rPr>
        <w:t xml:space="preserve">factors. The different elements of each option are separated to </w:t>
      </w:r>
      <w:r w:rsidR="00597715" w:rsidRPr="00D86314">
        <w:rPr>
          <w:noProof/>
        </w:rPr>
        <w:t xml:space="preserve">indicate </w:t>
      </w:r>
      <w:r w:rsidR="00502FDD" w:rsidRPr="00D86314">
        <w:rPr>
          <w:noProof/>
        </w:rPr>
        <w:t>the</w:t>
      </w:r>
      <w:r w:rsidR="00597715" w:rsidRPr="00D86314">
        <w:rPr>
          <w:noProof/>
        </w:rPr>
        <w:t>ir</w:t>
      </w:r>
      <w:r w:rsidR="00502FDD" w:rsidRPr="00D86314">
        <w:rPr>
          <w:noProof/>
        </w:rPr>
        <w:t xml:space="preserve"> directional effects (showed using + and -). These </w:t>
      </w:r>
      <w:r w:rsidR="007B3637" w:rsidRPr="00D86314">
        <w:rPr>
          <w:noProof/>
        </w:rPr>
        <w:t>directional effects</w:t>
      </w:r>
      <w:r w:rsidR="006E49AF" w:rsidRPr="00D86314">
        <w:rPr>
          <w:noProof/>
        </w:rPr>
        <w:t xml:space="preserve"> </w:t>
      </w:r>
      <w:r w:rsidR="001021D7" w:rsidRPr="00D86314">
        <w:rPr>
          <w:noProof/>
        </w:rPr>
        <w:t>serve</w:t>
      </w:r>
      <w:r w:rsidR="00502FDD" w:rsidRPr="00D86314">
        <w:rPr>
          <w:noProof/>
        </w:rPr>
        <w:t xml:space="preserve"> </w:t>
      </w:r>
      <w:r w:rsidR="0084377B" w:rsidRPr="00D86314">
        <w:rPr>
          <w:noProof/>
        </w:rPr>
        <w:t>as</w:t>
      </w:r>
      <w:r w:rsidR="00502FDD" w:rsidRPr="00D86314">
        <w:rPr>
          <w:noProof/>
        </w:rPr>
        <w:t xml:space="preserve"> inputs for quantif</w:t>
      </w:r>
      <w:r w:rsidR="006B3FAB" w:rsidRPr="00D86314">
        <w:rPr>
          <w:noProof/>
        </w:rPr>
        <w:t>y</w:t>
      </w:r>
      <w:r w:rsidR="00434B17" w:rsidRPr="00D86314">
        <w:rPr>
          <w:noProof/>
        </w:rPr>
        <w:t>ing</w:t>
      </w:r>
      <w:r w:rsidR="00502FDD" w:rsidRPr="00D86314">
        <w:rPr>
          <w:noProof/>
        </w:rPr>
        <w:t xml:space="preserve"> the impacts </w:t>
      </w:r>
      <w:r w:rsidR="0020472B" w:rsidRPr="00D86314">
        <w:rPr>
          <w:noProof/>
        </w:rPr>
        <w:t xml:space="preserve">of the </w:t>
      </w:r>
      <w:r w:rsidR="003B08F8" w:rsidRPr="00D86314">
        <w:rPr>
          <w:noProof/>
        </w:rPr>
        <w:t xml:space="preserve">entire option </w:t>
      </w:r>
      <w:r w:rsidR="00967A35" w:rsidRPr="00D86314">
        <w:rPr>
          <w:noProof/>
        </w:rPr>
        <w:t>(</w:t>
      </w:r>
      <w:r w:rsidR="00502FDD" w:rsidRPr="00D86314">
        <w:rPr>
          <w:noProof/>
        </w:rPr>
        <w:t>on FTTH coverage</w:t>
      </w:r>
      <w:r w:rsidR="00DF31AD" w:rsidRPr="00D86314">
        <w:rPr>
          <w:noProof/>
        </w:rPr>
        <w:t xml:space="preserve"> and</w:t>
      </w:r>
      <w:r w:rsidR="00502FDD" w:rsidRPr="00D86314">
        <w:rPr>
          <w:noProof/>
        </w:rPr>
        <w:t xml:space="preserve"> take-up</w:t>
      </w:r>
      <w:r w:rsidR="00DF31AD" w:rsidRPr="00D86314">
        <w:rPr>
          <w:noProof/>
        </w:rPr>
        <w:t>,</w:t>
      </w:r>
      <w:r w:rsidR="00502FDD" w:rsidRPr="00D86314" w:rsidDel="00DF31AD">
        <w:rPr>
          <w:noProof/>
        </w:rPr>
        <w:t xml:space="preserve"> </w:t>
      </w:r>
      <w:r w:rsidR="00502FDD" w:rsidRPr="00D86314">
        <w:rPr>
          <w:noProof/>
        </w:rPr>
        <w:t>the wider technology mix, average speeds and data consumption</w:t>
      </w:r>
      <w:r w:rsidR="00414E01" w:rsidRPr="00D86314">
        <w:rPr>
          <w:noProof/>
        </w:rPr>
        <w:t>)</w:t>
      </w:r>
      <w:r w:rsidR="00502FDD" w:rsidRPr="00D86314">
        <w:rPr>
          <w:noProof/>
        </w:rPr>
        <w:t xml:space="preserve">. </w:t>
      </w:r>
    </w:p>
    <w:p w14:paraId="3C9B4327" w14:textId="2327ED6E" w:rsidR="00DA52FA" w:rsidRPr="00D86314" w:rsidRDefault="00502FDD" w:rsidP="00801A7B">
      <w:pPr>
        <w:rPr>
          <w:noProof/>
        </w:rPr>
      </w:pPr>
      <w:r w:rsidRPr="00D86314">
        <w:rPr>
          <w:noProof/>
        </w:rPr>
        <w:t xml:space="preserve">The rationale for these assessments is provided in the </w:t>
      </w:r>
      <w:r w:rsidR="003F6BB7" w:rsidRPr="00D86314">
        <w:rPr>
          <w:noProof/>
        </w:rPr>
        <w:t>subsequent</w:t>
      </w:r>
      <w:r w:rsidR="005D60A5" w:rsidRPr="00D86314">
        <w:rPr>
          <w:noProof/>
        </w:rPr>
        <w:t xml:space="preserve"> </w:t>
      </w:r>
      <w:r w:rsidRPr="00D86314">
        <w:rPr>
          <w:noProof/>
        </w:rPr>
        <w:t>sections.</w:t>
      </w:r>
      <w:bookmarkStart w:id="44" w:name="_Ref214102035"/>
      <w:bookmarkStart w:id="45" w:name="_Toc214231528"/>
    </w:p>
    <w:p w14:paraId="77876DD3" w14:textId="1E10AB9E" w:rsidR="00801A7B" w:rsidRPr="00D86314" w:rsidRDefault="00801A7B" w:rsidP="00801A7B">
      <w:pPr>
        <w:rPr>
          <w:noProof/>
        </w:rPr>
      </w:pPr>
      <w:r w:rsidRPr="00D86314">
        <w:rPr>
          <w:noProof/>
        </w:rPr>
        <w:t xml:space="preserve">The quantification of the impact of the options on FTTH coverage, FTTH take-up and penetration, average speeds and average data consumption is the basis for the estimates of GDP and environmental impact. The impact on GDP is calculated </w:t>
      </w:r>
      <w:r w:rsidR="0085045D" w:rsidRPr="00D86314">
        <w:rPr>
          <w:noProof/>
        </w:rPr>
        <w:t>as a function of download</w:t>
      </w:r>
      <w:r w:rsidRPr="00D86314">
        <w:rPr>
          <w:noProof/>
        </w:rPr>
        <w:t xml:space="preserve"> speed</w:t>
      </w:r>
      <w:r w:rsidR="008B2789" w:rsidRPr="00D86314">
        <w:rPr>
          <w:noProof/>
        </w:rPr>
        <w:t>, while f</w:t>
      </w:r>
      <w:r w:rsidRPr="00D86314">
        <w:rPr>
          <w:noProof/>
        </w:rPr>
        <w:t>or the environmental impact</w:t>
      </w:r>
      <w:r w:rsidR="008B2789" w:rsidRPr="00D86314">
        <w:rPr>
          <w:noProof/>
        </w:rPr>
        <w:t>,</w:t>
      </w:r>
      <w:r w:rsidRPr="00D86314">
        <w:rPr>
          <w:noProof/>
        </w:rPr>
        <w:t xml:space="preserve"> CO2 emissions are calculated based on the share of subscribers by technology. The modelling also shows the data consumption per GB and the electricity intensity of the different options.</w:t>
      </w:r>
    </w:p>
    <w:p w14:paraId="7922D59A" w14:textId="1AFE6287" w:rsidR="006207ED" w:rsidRPr="00D86314" w:rsidRDefault="00363EAD" w:rsidP="00CB3E4E">
      <w:pPr>
        <w:pStyle w:val="Heading3"/>
        <w:rPr>
          <w:noProof/>
        </w:rPr>
      </w:pPr>
      <w:bookmarkStart w:id="46" w:name="_Toc219718356"/>
      <w:r w:rsidRPr="00D86314">
        <w:rPr>
          <w:noProof/>
        </w:rPr>
        <w:t>I</w:t>
      </w:r>
      <w:r w:rsidR="006207ED" w:rsidRPr="00D86314">
        <w:rPr>
          <w:noProof/>
        </w:rPr>
        <w:t>mpact on FTTH coverage</w:t>
      </w:r>
      <w:bookmarkEnd w:id="44"/>
      <w:bookmarkEnd w:id="45"/>
      <w:bookmarkEnd w:id="46"/>
    </w:p>
    <w:p w14:paraId="66B90916" w14:textId="36007FDA" w:rsidR="004F3533" w:rsidRPr="00D86314" w:rsidRDefault="004F3533" w:rsidP="004F3533">
      <w:pPr>
        <w:rPr>
          <w:noProof/>
        </w:rPr>
      </w:pPr>
      <w:r w:rsidRPr="00D86314">
        <w:rPr>
          <w:noProof/>
        </w:rPr>
        <w:t xml:space="preserve">The projected effects of the </w:t>
      </w:r>
      <w:r w:rsidR="0014073A" w:rsidRPr="00D86314">
        <w:rPr>
          <w:noProof/>
        </w:rPr>
        <w:t xml:space="preserve">policy </w:t>
      </w:r>
      <w:r w:rsidRPr="00D86314">
        <w:rPr>
          <w:noProof/>
        </w:rPr>
        <w:t xml:space="preserve">options on FTTH coverage over time is shown in </w:t>
      </w:r>
      <w:r w:rsidR="003B252E" w:rsidRPr="00D86314">
        <w:rPr>
          <w:noProof/>
        </w:rPr>
        <w:t>f</w:t>
      </w:r>
      <w:r w:rsidR="00CA22DD" w:rsidRPr="00D86314">
        <w:rPr>
          <w:noProof/>
        </w:rPr>
        <w:t>igure</w:t>
      </w:r>
      <w:r w:rsidR="008B2789" w:rsidRPr="00D86314">
        <w:rPr>
          <w:noProof/>
        </w:rPr>
        <w:t xml:space="preserve"> A4 1</w:t>
      </w:r>
      <w:r w:rsidR="008B2789" w:rsidRPr="00D86314">
        <w:rPr>
          <w:noProof/>
        </w:rPr>
        <w:noBreakHyphen/>
      </w:r>
      <w:r w:rsidR="00E122E2">
        <w:rPr>
          <w:noProof/>
        </w:rPr>
        <w:t>3</w:t>
      </w:r>
      <w:r w:rsidRPr="00D86314">
        <w:rPr>
          <w:noProof/>
        </w:rPr>
        <w:t>. The projection</w:t>
      </w:r>
      <w:r w:rsidR="00E22540" w:rsidRPr="00D86314">
        <w:rPr>
          <w:noProof/>
        </w:rPr>
        <w:t>s</w:t>
      </w:r>
      <w:r w:rsidRPr="00D86314">
        <w:rPr>
          <w:noProof/>
        </w:rPr>
        <w:t xml:space="preserve"> </w:t>
      </w:r>
      <w:r w:rsidR="00EE2BA7" w:rsidRPr="00D86314">
        <w:rPr>
          <w:noProof/>
        </w:rPr>
        <w:t>are</w:t>
      </w:r>
      <w:r w:rsidRPr="00D86314">
        <w:rPr>
          <w:noProof/>
        </w:rPr>
        <w:t xml:space="preserve"> based on the directional effects of </w:t>
      </w:r>
      <w:r w:rsidR="00D570AA" w:rsidRPr="00D86314">
        <w:rPr>
          <w:noProof/>
        </w:rPr>
        <w:t>the</w:t>
      </w:r>
      <w:r w:rsidR="00ED204C" w:rsidRPr="00D86314">
        <w:rPr>
          <w:noProof/>
        </w:rPr>
        <w:t xml:space="preserve"> </w:t>
      </w:r>
      <w:r w:rsidRPr="00D86314">
        <w:rPr>
          <w:noProof/>
        </w:rPr>
        <w:t>option</w:t>
      </w:r>
      <w:r w:rsidR="00D570AA" w:rsidRPr="00D86314">
        <w:rPr>
          <w:noProof/>
        </w:rPr>
        <w:t>s</w:t>
      </w:r>
      <w:r w:rsidRPr="00D86314">
        <w:rPr>
          <w:noProof/>
        </w:rPr>
        <w:t xml:space="preserve">. </w:t>
      </w:r>
    </w:p>
    <w:p w14:paraId="639E7339" w14:textId="38CD3167" w:rsidR="004F3533" w:rsidRPr="00D86314" w:rsidRDefault="6860339A" w:rsidP="004F3533">
      <w:pPr>
        <w:rPr>
          <w:noProof/>
        </w:rPr>
      </w:pPr>
      <w:r w:rsidRPr="00D86314">
        <w:rPr>
          <w:noProof/>
        </w:rPr>
        <w:t xml:space="preserve">The impact on coverage refers </w:t>
      </w:r>
      <w:r w:rsidR="00FF50B9" w:rsidRPr="00D86314">
        <w:rPr>
          <w:noProof/>
        </w:rPr>
        <w:t xml:space="preserve">specifically </w:t>
      </w:r>
      <w:r w:rsidRPr="00D86314">
        <w:rPr>
          <w:noProof/>
        </w:rPr>
        <w:t>to FTTH coverage</w:t>
      </w:r>
      <w:r w:rsidR="002B6B15" w:rsidRPr="00D86314">
        <w:rPr>
          <w:noProof/>
        </w:rPr>
        <w:t xml:space="preserve"> and</w:t>
      </w:r>
      <w:r w:rsidRPr="00D86314">
        <w:rPr>
          <w:noProof/>
        </w:rPr>
        <w:t xml:space="preserve"> excludes FTTB </w:t>
      </w:r>
      <w:r w:rsidR="007548DC" w:rsidRPr="00D86314">
        <w:rPr>
          <w:noProof/>
        </w:rPr>
        <w:t xml:space="preserve">using </w:t>
      </w:r>
      <w:r w:rsidRPr="00D86314">
        <w:rPr>
          <w:noProof/>
        </w:rPr>
        <w:t xml:space="preserve">G.fast. Where relevant, FTTB/HFC is </w:t>
      </w:r>
      <w:r w:rsidR="00E64F2A" w:rsidRPr="00D86314">
        <w:rPr>
          <w:noProof/>
        </w:rPr>
        <w:t>treated as</w:t>
      </w:r>
      <w:r w:rsidRPr="00D86314">
        <w:rPr>
          <w:noProof/>
        </w:rPr>
        <w:t xml:space="preserve"> cable coverage. Based on broadband coverage data differentiated by technology, on the number of su</w:t>
      </w:r>
      <w:r w:rsidR="005313F6" w:rsidRPr="00D86314">
        <w:rPr>
          <w:noProof/>
        </w:rPr>
        <w:t>b</w:t>
      </w:r>
      <w:r w:rsidRPr="00D86314">
        <w:rPr>
          <w:noProof/>
        </w:rPr>
        <w:t>scribers differentiated FTTH and FTTB from the FTTH Council market panorama, on data of NRAs which have differentiated between technologies as well as FTTB and FTTH and on information about regulation of in-building telecommun</w:t>
      </w:r>
      <w:r w:rsidR="79EDC110" w:rsidRPr="00D86314">
        <w:rPr>
          <w:noProof/>
        </w:rPr>
        <w:t>i</w:t>
      </w:r>
      <w:r w:rsidRPr="00D86314">
        <w:rPr>
          <w:noProof/>
        </w:rPr>
        <w:t>cations infrastructure (e.g. for building owners) it is possible to approximate in which countries FTTB means FTTB with HFC in the building or with G.fast/vectoring in the building.</w:t>
      </w:r>
    </w:p>
    <w:p w14:paraId="50B73091" w14:textId="42626E43" w:rsidR="004F3533" w:rsidRPr="00D86314" w:rsidRDefault="002579A4" w:rsidP="004F3533">
      <w:pPr>
        <w:rPr>
          <w:noProof/>
        </w:rPr>
      </w:pPr>
      <w:r w:rsidRPr="00D86314">
        <w:rPr>
          <w:noProof/>
        </w:rPr>
        <w:t xml:space="preserve">According to </w:t>
      </w:r>
      <w:r w:rsidR="004F3533" w:rsidRPr="00D86314">
        <w:rPr>
          <w:noProof/>
        </w:rPr>
        <w:t>FTTH Council forecasts</w:t>
      </w:r>
      <w:r w:rsidR="00C86C87" w:rsidRPr="00D86314">
        <w:rPr>
          <w:noProof/>
        </w:rPr>
        <w:t>,</w:t>
      </w:r>
      <w:r w:rsidR="004F3533" w:rsidRPr="00D86314">
        <w:rPr>
          <w:noProof/>
        </w:rPr>
        <w:t xml:space="preserve"> </w:t>
      </w:r>
      <w:r w:rsidR="00C86C87" w:rsidRPr="00D86314">
        <w:rPr>
          <w:noProof/>
        </w:rPr>
        <w:t>the</w:t>
      </w:r>
      <w:r w:rsidR="004F3533" w:rsidRPr="00D86314">
        <w:rPr>
          <w:noProof/>
        </w:rPr>
        <w:t xml:space="preserve"> share of FTTB </w:t>
      </w:r>
      <w:r w:rsidR="002F5237" w:rsidRPr="00D86314">
        <w:rPr>
          <w:noProof/>
        </w:rPr>
        <w:t>in Europe is expected to reach 27% in</w:t>
      </w:r>
      <w:r w:rsidR="004F3533" w:rsidRPr="00D86314">
        <w:rPr>
          <w:noProof/>
        </w:rPr>
        <w:t xml:space="preserve"> 2030. In 2018</w:t>
      </w:r>
      <w:r w:rsidR="000F72C9" w:rsidRPr="00D86314">
        <w:rPr>
          <w:noProof/>
        </w:rPr>
        <w:t>,</w:t>
      </w:r>
      <w:r w:rsidR="004F3533" w:rsidRPr="00D86314">
        <w:rPr>
          <w:noProof/>
        </w:rPr>
        <w:t xml:space="preserve"> the FTTH </w:t>
      </w:r>
      <w:r w:rsidR="000F72C9" w:rsidRPr="00D86314">
        <w:rPr>
          <w:noProof/>
        </w:rPr>
        <w:t xml:space="preserve">Council </w:t>
      </w:r>
      <w:r w:rsidR="004F3533" w:rsidRPr="00D86314">
        <w:rPr>
          <w:noProof/>
        </w:rPr>
        <w:t>forecast</w:t>
      </w:r>
      <w:r w:rsidR="00134A14" w:rsidRPr="00D86314">
        <w:rPr>
          <w:noProof/>
        </w:rPr>
        <w:t>ed</w:t>
      </w:r>
      <w:r w:rsidR="004F3533" w:rsidRPr="00D86314">
        <w:rPr>
          <w:noProof/>
        </w:rPr>
        <w:t xml:space="preserve"> </w:t>
      </w:r>
      <w:r w:rsidR="00134A14" w:rsidRPr="00D86314">
        <w:rPr>
          <w:noProof/>
        </w:rPr>
        <w:t>a 36.2%</w:t>
      </w:r>
      <w:r w:rsidR="0070266F" w:rsidRPr="00D86314">
        <w:rPr>
          <w:noProof/>
        </w:rPr>
        <w:t xml:space="preserve"> share</w:t>
      </w:r>
      <w:r w:rsidR="00134A14" w:rsidRPr="00D86314">
        <w:rPr>
          <w:noProof/>
        </w:rPr>
        <w:t xml:space="preserve"> </w:t>
      </w:r>
      <w:r w:rsidR="004F3533" w:rsidRPr="00D86314" w:rsidDel="00134A14">
        <w:rPr>
          <w:noProof/>
        </w:rPr>
        <w:t>for</w:t>
      </w:r>
      <w:r w:rsidR="004F3533" w:rsidRPr="00D86314">
        <w:rPr>
          <w:noProof/>
        </w:rPr>
        <w:t xml:space="preserve"> 2025 but </w:t>
      </w:r>
      <w:r w:rsidR="00F1380A" w:rsidRPr="00D86314">
        <w:rPr>
          <w:noProof/>
        </w:rPr>
        <w:t xml:space="preserve">the latest data indicate a share of </w:t>
      </w:r>
      <w:r w:rsidR="004F3533" w:rsidRPr="00D86314">
        <w:rPr>
          <w:noProof/>
        </w:rPr>
        <w:t xml:space="preserve">34% in 2024 (see figure below). </w:t>
      </w:r>
    </w:p>
    <w:p w14:paraId="1ECF02DE" w14:textId="09F1BE6A" w:rsidR="004F3533" w:rsidRPr="00D86314" w:rsidRDefault="004F3533" w:rsidP="00C20A01">
      <w:pPr>
        <w:pStyle w:val="Abbberschrift"/>
        <w:ind w:left="2127" w:hanging="2127"/>
        <w:rPr>
          <w:rFonts w:ascii="Times New Roman" w:hAnsi="Times New Roman"/>
          <w:i/>
          <w:noProof/>
        </w:rPr>
      </w:pPr>
      <w:r w:rsidRPr="00D86314">
        <w:rPr>
          <w:rFonts w:ascii="Times New Roman" w:hAnsi="Times New Roman"/>
          <w:i/>
          <w:noProof/>
        </w:rPr>
        <w:t xml:space="preserve">Figure </w:t>
      </w:r>
      <w:r w:rsidR="001A7B4E" w:rsidRPr="00D86314">
        <w:rPr>
          <w:rFonts w:ascii="Times New Roman" w:hAnsi="Times New Roman"/>
          <w:i/>
          <w:noProof/>
        </w:rPr>
        <w:t>A4 1</w:t>
      </w:r>
      <w:r w:rsidR="001F10E6" w:rsidRPr="00D86314">
        <w:rPr>
          <w:rFonts w:ascii="Times New Roman" w:hAnsi="Times New Roman"/>
          <w:i/>
          <w:noProof/>
        </w:rPr>
        <w:noBreakHyphen/>
      </w:r>
      <w:r w:rsidR="00E122E2">
        <w:rPr>
          <w:rFonts w:ascii="Times New Roman" w:hAnsi="Times New Roman"/>
          <w:i/>
          <w:noProof/>
        </w:rPr>
        <w:t>3</w:t>
      </w:r>
      <w:r w:rsidRPr="00D86314">
        <w:rPr>
          <w:rFonts w:ascii="Times New Roman" w:hAnsi="Times New Roman"/>
          <w:i/>
          <w:noProof/>
        </w:rPr>
        <w:t>:FTTH/B Architecture Evolution from FTTB to FTTH</w:t>
      </w:r>
    </w:p>
    <w:p w14:paraId="06ADD079" w14:textId="77777777" w:rsidR="004F3533" w:rsidRPr="00D86314" w:rsidRDefault="004F3533" w:rsidP="004F3533">
      <w:pPr>
        <w:rPr>
          <w:noProof/>
        </w:rPr>
      </w:pPr>
      <w:r w:rsidRPr="00E46BC9">
        <w:rPr>
          <w:noProof/>
          <w:lang w:eastAsia="en-GB"/>
        </w:rPr>
        <w:drawing>
          <wp:inline distT="0" distB="0" distL="0" distR="0" wp14:anchorId="70A0F199" wp14:editId="2E8D4FB1">
            <wp:extent cx="5612263" cy="1306040"/>
            <wp:effectExtent l="0" t="0" r="0" b="8890"/>
            <wp:docPr id="29466519" name="Grafik 6" descr="A blue and red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519" name="Grafik 6" descr="A blue and red pie char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46309" cy="1313963"/>
                    </a:xfrm>
                    <a:prstGeom prst="rect">
                      <a:avLst/>
                    </a:prstGeom>
                    <a:noFill/>
                  </pic:spPr>
                </pic:pic>
              </a:graphicData>
            </a:graphic>
          </wp:inline>
        </w:drawing>
      </w:r>
    </w:p>
    <w:p w14:paraId="552372EB" w14:textId="77777777" w:rsidR="004F3533" w:rsidRPr="00D86314" w:rsidRDefault="004F3533" w:rsidP="004F3533">
      <w:pPr>
        <w:pStyle w:val="Quelle"/>
        <w:rPr>
          <w:rFonts w:ascii="Times New Roman" w:hAnsi="Times New Roman"/>
          <w:noProof/>
        </w:rPr>
      </w:pPr>
      <w:r w:rsidRPr="00D86314">
        <w:rPr>
          <w:rFonts w:ascii="Times New Roman" w:hAnsi="Times New Roman"/>
          <w:noProof/>
        </w:rPr>
        <w:t>Source: FTTH Council (2025).</w:t>
      </w:r>
      <w:r w:rsidRPr="00D86314">
        <w:rPr>
          <w:rStyle w:val="FootnoteReference"/>
          <w:rFonts w:ascii="Times New Roman" w:hAnsi="Times New Roman"/>
          <w:noProof/>
        </w:rPr>
        <w:footnoteReference w:id="4"/>
      </w:r>
      <w:r w:rsidRPr="00D86314">
        <w:rPr>
          <w:rFonts w:ascii="Times New Roman" w:hAnsi="Times New Roman"/>
          <w:noProof/>
        </w:rPr>
        <w:t xml:space="preserve"> </w:t>
      </w:r>
    </w:p>
    <w:p w14:paraId="4BFC8DB8" w14:textId="7FDD889B" w:rsidR="004F3533" w:rsidRPr="00D86314" w:rsidRDefault="00430CCD" w:rsidP="004F3533">
      <w:pPr>
        <w:rPr>
          <w:noProof/>
        </w:rPr>
      </w:pPr>
      <w:r w:rsidRPr="00D86314">
        <w:rPr>
          <w:noProof/>
        </w:rPr>
        <w:t>A</w:t>
      </w:r>
      <w:r w:rsidR="004F3533" w:rsidRPr="00D86314">
        <w:rPr>
          <w:noProof/>
        </w:rPr>
        <w:t xml:space="preserve"> project</w:t>
      </w:r>
      <w:r w:rsidRPr="00D86314">
        <w:rPr>
          <w:noProof/>
        </w:rPr>
        <w:t>ion of</w:t>
      </w:r>
      <w:r w:rsidR="004F3533" w:rsidRPr="00D86314">
        <w:rPr>
          <w:noProof/>
        </w:rPr>
        <w:t xml:space="preserve"> the </w:t>
      </w:r>
      <w:r w:rsidR="000C7740" w:rsidRPr="00D86314">
        <w:rPr>
          <w:noProof/>
        </w:rPr>
        <w:t>decline in</w:t>
      </w:r>
      <w:r w:rsidR="004F3533" w:rsidRPr="00D86314">
        <w:rPr>
          <w:noProof/>
        </w:rPr>
        <w:t xml:space="preserve"> FTTB until 2035 would result in an FTTB G.fast share of around 4%</w:t>
      </w:r>
      <w:r w:rsidR="001D0BE3" w:rsidRPr="00D86314">
        <w:rPr>
          <w:noProof/>
        </w:rPr>
        <w:t xml:space="preserve"> under options 0, 1 and 3</w:t>
      </w:r>
      <w:r w:rsidR="004F3533" w:rsidRPr="00D86314">
        <w:rPr>
          <w:noProof/>
        </w:rPr>
        <w:t>. Under option 4</w:t>
      </w:r>
      <w:r w:rsidR="001D0BE3" w:rsidRPr="00D86314">
        <w:rPr>
          <w:noProof/>
        </w:rPr>
        <w:t>,</w:t>
      </w:r>
      <w:r w:rsidR="004F3533" w:rsidRPr="00D86314">
        <w:rPr>
          <w:noProof/>
        </w:rPr>
        <w:t xml:space="preserve"> FTTB G.fast ceases to be relevant in 2030 due to the CSO provisions. Under option 2</w:t>
      </w:r>
      <w:r w:rsidR="00E26945" w:rsidRPr="00D86314">
        <w:rPr>
          <w:noProof/>
        </w:rPr>
        <w:t>,</w:t>
      </w:r>
      <w:r w:rsidR="004F3533" w:rsidRPr="00D86314">
        <w:rPr>
          <w:noProof/>
        </w:rPr>
        <w:t xml:space="preserve"> FTTB G.fast </w:t>
      </w:r>
      <w:r w:rsidR="00875B71" w:rsidRPr="00D86314">
        <w:rPr>
          <w:noProof/>
        </w:rPr>
        <w:t>becomes negligible by</w:t>
      </w:r>
      <w:r w:rsidR="007B4D8E" w:rsidRPr="00D86314">
        <w:rPr>
          <w:noProof/>
        </w:rPr>
        <w:t xml:space="preserve"> </w:t>
      </w:r>
      <w:r w:rsidR="004F3533" w:rsidRPr="00D86314">
        <w:rPr>
          <w:noProof/>
        </w:rPr>
        <w:t xml:space="preserve">2035 due to the </w:t>
      </w:r>
      <w:r w:rsidR="007B4D8E" w:rsidRPr="00D86314">
        <w:rPr>
          <w:noProof/>
        </w:rPr>
        <w:t>mandatory copper switch-off (</w:t>
      </w:r>
      <w:r w:rsidR="004F3533" w:rsidRPr="00D86314">
        <w:rPr>
          <w:noProof/>
        </w:rPr>
        <w:t>CSO</w:t>
      </w:r>
      <w:r w:rsidR="007B4D8E" w:rsidRPr="00D86314">
        <w:rPr>
          <w:noProof/>
        </w:rPr>
        <w:t>)</w:t>
      </w:r>
      <w:r w:rsidR="004F3533" w:rsidRPr="00D86314">
        <w:rPr>
          <w:noProof/>
        </w:rPr>
        <w:t xml:space="preserve"> </w:t>
      </w:r>
      <w:r w:rsidR="00EF7D6C" w:rsidRPr="00D86314">
        <w:rPr>
          <w:noProof/>
        </w:rPr>
        <w:t>without</w:t>
      </w:r>
      <w:r w:rsidR="004F3533" w:rsidRPr="00D86314">
        <w:rPr>
          <w:noProof/>
        </w:rPr>
        <w:t xml:space="preserve"> a sustainability clause. The share of FTTB G.fast </w:t>
      </w:r>
      <w:r w:rsidR="00EF7D6C" w:rsidRPr="00D86314">
        <w:rPr>
          <w:noProof/>
        </w:rPr>
        <w:t xml:space="preserve">under </w:t>
      </w:r>
      <w:r w:rsidR="004F3533" w:rsidRPr="00D86314">
        <w:rPr>
          <w:noProof/>
        </w:rPr>
        <w:t>options 0, 1 and 3 decrease</w:t>
      </w:r>
      <w:r w:rsidR="00476ADE" w:rsidRPr="00D86314">
        <w:rPr>
          <w:noProof/>
        </w:rPr>
        <w:t>s gradually</w:t>
      </w:r>
      <w:r w:rsidR="004F3533" w:rsidRPr="00D86314">
        <w:rPr>
          <w:noProof/>
        </w:rPr>
        <w:t xml:space="preserve"> as shown in the figure below. </w:t>
      </w:r>
    </w:p>
    <w:p w14:paraId="32D59859" w14:textId="19BC3053" w:rsidR="004F3533" w:rsidRPr="00D86314" w:rsidRDefault="004F3533" w:rsidP="004F3533">
      <w:pPr>
        <w:pStyle w:val="Abbberschrift"/>
        <w:rPr>
          <w:rFonts w:ascii="Times New Roman" w:hAnsi="Times New Roman"/>
          <w:i/>
          <w:noProof/>
        </w:rPr>
      </w:pPr>
      <w:r w:rsidRPr="00D86314">
        <w:rPr>
          <w:rFonts w:ascii="Times New Roman" w:hAnsi="Times New Roman"/>
          <w:i/>
          <w:noProof/>
        </w:rPr>
        <w:t xml:space="preserve">Figure </w:t>
      </w:r>
      <w:r w:rsidR="001A7B4E" w:rsidRPr="00D86314">
        <w:rPr>
          <w:rFonts w:ascii="Times New Roman" w:hAnsi="Times New Roman"/>
          <w:i/>
          <w:noProof/>
        </w:rPr>
        <w:t>A4 1</w:t>
      </w:r>
      <w:r w:rsidR="001F10E6" w:rsidRPr="00D86314">
        <w:rPr>
          <w:rFonts w:ascii="Times New Roman" w:hAnsi="Times New Roman"/>
          <w:i/>
          <w:noProof/>
        </w:rPr>
        <w:noBreakHyphen/>
      </w:r>
      <w:r w:rsidR="00E122E2">
        <w:rPr>
          <w:rFonts w:ascii="Times New Roman" w:hAnsi="Times New Roman"/>
          <w:i/>
          <w:noProof/>
        </w:rPr>
        <w:t>4</w:t>
      </w:r>
      <w:r w:rsidRPr="00D86314">
        <w:rPr>
          <w:rFonts w:ascii="Times New Roman" w:hAnsi="Times New Roman"/>
          <w:i/>
          <w:noProof/>
        </w:rPr>
        <w:t>:Development of share of FTTB G.fast</w:t>
      </w:r>
    </w:p>
    <w:p w14:paraId="47425344" w14:textId="77777777" w:rsidR="004F3533" w:rsidRPr="00D86314" w:rsidRDefault="004F3533" w:rsidP="004F3533">
      <w:pPr>
        <w:spacing w:after="120"/>
        <w:jc w:val="center"/>
        <w:rPr>
          <w:noProof/>
        </w:rPr>
      </w:pPr>
      <w:r w:rsidRPr="00E46BC9">
        <w:rPr>
          <w:noProof/>
          <w:lang w:eastAsia="en-GB"/>
        </w:rPr>
        <w:drawing>
          <wp:inline distT="0" distB="0" distL="0" distR="0" wp14:anchorId="59A51A4D" wp14:editId="2D954BDC">
            <wp:extent cx="5678436" cy="2643371"/>
            <wp:effectExtent l="0" t="0" r="0" b="5080"/>
            <wp:docPr id="247953852" name="Grafik 7"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53852" name="Grafik 7" descr="A graph with a red lin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86519" cy="2647134"/>
                    </a:xfrm>
                    <a:prstGeom prst="rect">
                      <a:avLst/>
                    </a:prstGeom>
                    <a:noFill/>
                  </pic:spPr>
                </pic:pic>
              </a:graphicData>
            </a:graphic>
          </wp:inline>
        </w:drawing>
      </w:r>
    </w:p>
    <w:p w14:paraId="568135BD" w14:textId="77777777" w:rsidR="004F3533" w:rsidRPr="00D86314" w:rsidRDefault="004F3533" w:rsidP="004F3533">
      <w:pPr>
        <w:pStyle w:val="Quelle"/>
        <w:rPr>
          <w:rFonts w:ascii="Times New Roman" w:hAnsi="Times New Roman"/>
          <w:noProof/>
        </w:rPr>
      </w:pPr>
      <w:r w:rsidRPr="00D86314">
        <w:rPr>
          <w:rFonts w:ascii="Times New Roman" w:hAnsi="Times New Roman"/>
          <w:noProof/>
        </w:rPr>
        <w:t>Source: WIK based on FTTH Council</w:t>
      </w:r>
    </w:p>
    <w:p w14:paraId="35F76BED" w14:textId="55223157" w:rsidR="004F3533" w:rsidRPr="00D86314" w:rsidRDefault="004F3533" w:rsidP="004F3533">
      <w:pPr>
        <w:rPr>
          <w:noProof/>
        </w:rPr>
      </w:pPr>
      <w:r w:rsidRPr="00D86314">
        <w:rPr>
          <w:noProof/>
        </w:rPr>
        <w:t>Based on coverage and subscriber data</w:t>
      </w:r>
      <w:r w:rsidR="009F723A" w:rsidRPr="00D86314">
        <w:rPr>
          <w:noProof/>
        </w:rPr>
        <w:t>,</w:t>
      </w:r>
      <w:r w:rsidRPr="00D86314">
        <w:rPr>
          <w:noProof/>
        </w:rPr>
        <w:t xml:space="preserve"> FTTB </w:t>
      </w:r>
      <w:r w:rsidR="00D40A85" w:rsidRPr="00D86314">
        <w:rPr>
          <w:noProof/>
        </w:rPr>
        <w:t xml:space="preserve">using </w:t>
      </w:r>
      <w:r w:rsidRPr="00D86314">
        <w:rPr>
          <w:noProof/>
        </w:rPr>
        <w:t xml:space="preserve">G.fast/vectoring plays a </w:t>
      </w:r>
      <w:r w:rsidR="00C65665" w:rsidRPr="00D86314">
        <w:rPr>
          <w:noProof/>
        </w:rPr>
        <w:t xml:space="preserve">significant </w:t>
      </w:r>
      <w:r w:rsidRPr="00D86314">
        <w:rPr>
          <w:noProof/>
        </w:rPr>
        <w:t>role</w:t>
      </w:r>
      <w:r w:rsidRPr="00D86314" w:rsidDel="00C65665">
        <w:rPr>
          <w:noProof/>
        </w:rPr>
        <w:t xml:space="preserve"> </w:t>
      </w:r>
      <w:r w:rsidR="00C65665" w:rsidRPr="00D86314">
        <w:rPr>
          <w:noProof/>
        </w:rPr>
        <w:t xml:space="preserve">in </w:t>
      </w:r>
      <w:r w:rsidR="0031054D" w:rsidRPr="00D86314">
        <w:rPr>
          <w:noProof/>
        </w:rPr>
        <w:t>five</w:t>
      </w:r>
      <w:r w:rsidR="00C65665" w:rsidRPr="00D86314">
        <w:rPr>
          <w:noProof/>
        </w:rPr>
        <w:t xml:space="preserve"> </w:t>
      </w:r>
      <w:r w:rsidR="00E723E0" w:rsidRPr="00D86314">
        <w:rPr>
          <w:noProof/>
        </w:rPr>
        <w:t>Member States</w:t>
      </w:r>
      <w:r w:rsidR="00C65665" w:rsidRPr="00D86314">
        <w:rPr>
          <w:noProof/>
        </w:rPr>
        <w:t xml:space="preserve"> </w:t>
      </w:r>
      <w:r w:rsidRPr="00D86314">
        <w:rPr>
          <w:noProof/>
        </w:rPr>
        <w:t>(CZ, LT, EE, IT, SK)</w:t>
      </w:r>
      <w:r w:rsidR="00356C71" w:rsidRPr="00D86314">
        <w:rPr>
          <w:noProof/>
        </w:rPr>
        <w:t xml:space="preserve">, </w:t>
      </w:r>
      <w:r w:rsidR="003008B3" w:rsidRPr="00D86314">
        <w:rPr>
          <w:noProof/>
        </w:rPr>
        <w:t>whereas</w:t>
      </w:r>
      <w:r w:rsidRPr="00D86314" w:rsidDel="00356C71">
        <w:rPr>
          <w:noProof/>
        </w:rPr>
        <w:t xml:space="preserve"> </w:t>
      </w:r>
      <w:r w:rsidRPr="00D86314">
        <w:rPr>
          <w:noProof/>
        </w:rPr>
        <w:t>in countries such as BE, DE and PL</w:t>
      </w:r>
      <w:r w:rsidR="003008B3" w:rsidRPr="00D86314">
        <w:rPr>
          <w:noProof/>
        </w:rPr>
        <w:t>,</w:t>
      </w:r>
      <w:r w:rsidRPr="00D86314">
        <w:rPr>
          <w:noProof/>
        </w:rPr>
        <w:t xml:space="preserve"> FTTB with in-building HFC </w:t>
      </w:r>
      <w:r w:rsidR="00D200D7" w:rsidRPr="00D86314">
        <w:rPr>
          <w:noProof/>
        </w:rPr>
        <w:t xml:space="preserve">appears </w:t>
      </w:r>
      <w:r w:rsidRPr="00D86314">
        <w:rPr>
          <w:noProof/>
        </w:rPr>
        <w:t xml:space="preserve">more </w:t>
      </w:r>
      <w:r w:rsidR="00D200D7" w:rsidRPr="00D86314">
        <w:rPr>
          <w:noProof/>
        </w:rPr>
        <w:t>prevalent</w:t>
      </w:r>
      <w:r w:rsidRPr="00D86314">
        <w:rPr>
          <w:noProof/>
        </w:rPr>
        <w:t>.</w:t>
      </w:r>
    </w:p>
    <w:p w14:paraId="3F7D0D38" w14:textId="47D0FC2C" w:rsidR="00057D90" w:rsidRPr="00D86314" w:rsidRDefault="004F3533" w:rsidP="004F3533">
      <w:pPr>
        <w:rPr>
          <w:noProof/>
        </w:rPr>
      </w:pPr>
      <w:r w:rsidRPr="00D86314">
        <w:rPr>
          <w:noProof/>
        </w:rPr>
        <w:t xml:space="preserve">In practice, mobile or FWA technologies </w:t>
      </w:r>
      <w:r w:rsidR="00057D90" w:rsidRPr="00D86314">
        <w:rPr>
          <w:noProof/>
        </w:rPr>
        <w:t>have been used</w:t>
      </w:r>
      <w:r w:rsidR="002B17EE" w:rsidRPr="00D86314">
        <w:rPr>
          <w:noProof/>
        </w:rPr>
        <w:t xml:space="preserve"> as alternatives to</w:t>
      </w:r>
      <w:r w:rsidRPr="00D86314">
        <w:rPr>
          <w:noProof/>
        </w:rPr>
        <w:t xml:space="preserve"> FTTH to support connectivity in remote areas </w:t>
      </w:r>
      <w:r w:rsidR="00E61D29" w:rsidRPr="00D86314">
        <w:rPr>
          <w:noProof/>
        </w:rPr>
        <w:t xml:space="preserve">(e.g. Sweden and Estonia) </w:t>
      </w:r>
      <w:r w:rsidRPr="00D86314">
        <w:rPr>
          <w:noProof/>
        </w:rPr>
        <w:t>following copper switch-off. This</w:t>
      </w:r>
      <w:r w:rsidRPr="00D86314" w:rsidDel="00535FE2">
        <w:rPr>
          <w:noProof/>
        </w:rPr>
        <w:t xml:space="preserve"> </w:t>
      </w:r>
      <w:r w:rsidR="00535FE2" w:rsidRPr="00D86314">
        <w:rPr>
          <w:noProof/>
        </w:rPr>
        <w:t xml:space="preserve">approach </w:t>
      </w:r>
      <w:r w:rsidRPr="00D86314">
        <w:rPr>
          <w:noProof/>
        </w:rPr>
        <w:t>is also being discussed in countries that are further advanced in terms of fibre roll-out and copper switch-off.</w:t>
      </w:r>
      <w:r w:rsidRPr="00D86314">
        <w:rPr>
          <w:rStyle w:val="FootnoteReference"/>
          <w:noProof/>
        </w:rPr>
        <w:footnoteReference w:id="5"/>
      </w:r>
      <w:r w:rsidRPr="00D86314">
        <w:rPr>
          <w:noProof/>
        </w:rPr>
        <w:t xml:space="preserve"> However, countries with less dispersed rural populations might opt for greater coverage with FTTH.</w:t>
      </w:r>
    </w:p>
    <w:p w14:paraId="07AA56AC" w14:textId="03A50C97" w:rsidR="004F3533" w:rsidRPr="00D86314" w:rsidRDefault="00FD4FA5" w:rsidP="004F3533">
      <w:pPr>
        <w:rPr>
          <w:noProof/>
        </w:rPr>
      </w:pPr>
      <w:r w:rsidRPr="00D86314">
        <w:rPr>
          <w:noProof/>
        </w:rPr>
        <w:t>T</w:t>
      </w:r>
      <w:r w:rsidR="004F3533" w:rsidRPr="00D86314">
        <w:rPr>
          <w:noProof/>
        </w:rPr>
        <w:t>he highest FTTH coverage in 2030</w:t>
      </w:r>
      <w:r w:rsidR="001901B2" w:rsidRPr="00D86314">
        <w:rPr>
          <w:noProof/>
        </w:rPr>
        <w:t xml:space="preserve"> </w:t>
      </w:r>
      <w:r w:rsidR="00C92028" w:rsidRPr="00D86314">
        <w:rPr>
          <w:noProof/>
        </w:rPr>
        <w:t>is</w:t>
      </w:r>
      <w:r w:rsidR="004F3533" w:rsidRPr="00D86314">
        <w:rPr>
          <w:noProof/>
        </w:rPr>
        <w:t xml:space="preserve"> </w:t>
      </w:r>
      <w:r w:rsidR="00C92028" w:rsidRPr="00D86314">
        <w:rPr>
          <w:noProof/>
        </w:rPr>
        <w:t xml:space="preserve">projected </w:t>
      </w:r>
      <w:r w:rsidR="004F3533" w:rsidRPr="00D86314">
        <w:rPr>
          <w:noProof/>
        </w:rPr>
        <w:t>under options 2 and 4. Under option 4 accelerated fibre roll-out</w:t>
      </w:r>
      <w:r w:rsidR="001901B2" w:rsidRPr="00D86314">
        <w:rPr>
          <w:noProof/>
        </w:rPr>
        <w:t xml:space="preserve"> </w:t>
      </w:r>
      <w:r w:rsidR="0017010E" w:rsidRPr="00D86314">
        <w:rPr>
          <w:noProof/>
        </w:rPr>
        <w:t>occurs</w:t>
      </w:r>
      <w:r w:rsidR="004F3533" w:rsidRPr="00D86314">
        <w:rPr>
          <w:noProof/>
        </w:rPr>
        <w:t xml:space="preserve"> until 2030 due to </w:t>
      </w:r>
      <w:r w:rsidR="004F3533" w:rsidRPr="00D86314" w:rsidDel="00C75585">
        <w:rPr>
          <w:noProof/>
        </w:rPr>
        <w:t xml:space="preserve">the </w:t>
      </w:r>
      <w:r w:rsidR="004F3533" w:rsidRPr="00D86314">
        <w:rPr>
          <w:noProof/>
        </w:rPr>
        <w:t xml:space="preserve">mandatory </w:t>
      </w:r>
      <w:r w:rsidR="00C75585" w:rsidRPr="00D86314">
        <w:rPr>
          <w:noProof/>
        </w:rPr>
        <w:t>CSO</w:t>
      </w:r>
      <w:r w:rsidR="004F3533" w:rsidRPr="00D86314">
        <w:rPr>
          <w:noProof/>
        </w:rPr>
        <w:t xml:space="preserve"> by 2030</w:t>
      </w:r>
      <w:r w:rsidR="00DC4BA0" w:rsidRPr="00D86314">
        <w:rPr>
          <w:noProof/>
        </w:rPr>
        <w:t>,</w:t>
      </w:r>
      <w:r w:rsidR="004F3533" w:rsidRPr="00D86314">
        <w:rPr>
          <w:noProof/>
        </w:rPr>
        <w:t xml:space="preserve"> complemented by SMP</w:t>
      </w:r>
      <w:r w:rsidR="000324BA" w:rsidRPr="00D86314">
        <w:rPr>
          <w:noProof/>
        </w:rPr>
        <w:t>-based</w:t>
      </w:r>
      <w:r w:rsidR="004F3533" w:rsidRPr="00D86314">
        <w:rPr>
          <w:noProof/>
        </w:rPr>
        <w:t xml:space="preserve"> duct access obligation </w:t>
      </w:r>
      <w:r w:rsidR="001568CB" w:rsidRPr="00D86314">
        <w:rPr>
          <w:noProof/>
        </w:rPr>
        <w:t xml:space="preserve">that </w:t>
      </w:r>
      <w:r w:rsidR="004F3533" w:rsidRPr="00D86314">
        <w:rPr>
          <w:noProof/>
        </w:rPr>
        <w:t>support</w:t>
      </w:r>
      <w:r w:rsidR="001568CB" w:rsidRPr="00D86314">
        <w:rPr>
          <w:noProof/>
        </w:rPr>
        <w:t>s</w:t>
      </w:r>
      <w:r w:rsidR="004F3533" w:rsidRPr="00D86314">
        <w:rPr>
          <w:noProof/>
        </w:rPr>
        <w:t xml:space="preserve"> alternative fibre deployment. The lowest FTTH coverage </w:t>
      </w:r>
      <w:r w:rsidR="00E43479" w:rsidRPr="00D86314">
        <w:rPr>
          <w:noProof/>
        </w:rPr>
        <w:t>is</w:t>
      </w:r>
      <w:r w:rsidR="004F3533" w:rsidRPr="00D86314" w:rsidDel="00010DFE">
        <w:rPr>
          <w:noProof/>
        </w:rPr>
        <w:t xml:space="preserve"> </w:t>
      </w:r>
      <w:r w:rsidR="00010DFE" w:rsidRPr="00D86314">
        <w:rPr>
          <w:noProof/>
        </w:rPr>
        <w:t xml:space="preserve">projected </w:t>
      </w:r>
      <w:r w:rsidR="004F3533" w:rsidRPr="00D86314">
        <w:rPr>
          <w:noProof/>
        </w:rPr>
        <w:t>under option 3</w:t>
      </w:r>
      <w:r w:rsidR="00336582" w:rsidRPr="00D86314">
        <w:rPr>
          <w:noProof/>
        </w:rPr>
        <w:t>,</w:t>
      </w:r>
      <w:r w:rsidR="004F3533" w:rsidRPr="00D86314">
        <w:rPr>
          <w:noProof/>
        </w:rPr>
        <w:t xml:space="preserve"> as </w:t>
      </w:r>
      <w:r w:rsidR="00336582" w:rsidRPr="00D86314">
        <w:rPr>
          <w:noProof/>
        </w:rPr>
        <w:t>the absence of</w:t>
      </w:r>
      <w:r w:rsidR="00D13BA2" w:rsidRPr="00D86314">
        <w:rPr>
          <w:noProof/>
        </w:rPr>
        <w:t xml:space="preserve"> a CSO</w:t>
      </w:r>
      <w:r w:rsidR="004F3533" w:rsidRPr="00D86314" w:rsidDel="00336582">
        <w:rPr>
          <w:noProof/>
        </w:rPr>
        <w:t xml:space="preserve"> target </w:t>
      </w:r>
      <w:r w:rsidR="004F3533" w:rsidRPr="00D86314">
        <w:rPr>
          <w:noProof/>
        </w:rPr>
        <w:t xml:space="preserve">and </w:t>
      </w:r>
      <w:r w:rsidR="00667ECF" w:rsidRPr="00D86314">
        <w:rPr>
          <w:noProof/>
        </w:rPr>
        <w:t>more limited</w:t>
      </w:r>
      <w:r w:rsidR="004F3533" w:rsidRPr="00D86314" w:rsidDel="00667ECF">
        <w:rPr>
          <w:noProof/>
        </w:rPr>
        <w:t xml:space="preserve"> </w:t>
      </w:r>
      <w:r w:rsidR="004F3533" w:rsidRPr="00D86314">
        <w:rPr>
          <w:noProof/>
        </w:rPr>
        <w:t xml:space="preserve">access to physical infrastructure </w:t>
      </w:r>
      <w:r w:rsidR="00970D30" w:rsidRPr="00D86314">
        <w:rPr>
          <w:noProof/>
        </w:rPr>
        <w:t xml:space="preserve">reduce </w:t>
      </w:r>
      <w:r w:rsidR="00F63CE0" w:rsidRPr="00D86314">
        <w:rPr>
          <w:noProof/>
        </w:rPr>
        <w:t xml:space="preserve">incentives for </w:t>
      </w:r>
      <w:r w:rsidR="0029462A" w:rsidRPr="00D86314">
        <w:rPr>
          <w:noProof/>
        </w:rPr>
        <w:t>network roll-out</w:t>
      </w:r>
      <w:r w:rsidR="004F3533" w:rsidRPr="00D86314">
        <w:rPr>
          <w:noProof/>
        </w:rPr>
        <w:t>.</w:t>
      </w:r>
      <w:r w:rsidR="004F3533" w:rsidRPr="00D86314">
        <w:rPr>
          <w:rStyle w:val="FootnoteReference"/>
          <w:noProof/>
        </w:rPr>
        <w:footnoteReference w:id="6"/>
      </w:r>
      <w:r w:rsidR="004F3533" w:rsidRPr="00D86314">
        <w:rPr>
          <w:noProof/>
        </w:rPr>
        <w:t xml:space="preserve"> </w:t>
      </w:r>
    </w:p>
    <w:p w14:paraId="2CCBCAD8" w14:textId="2301D13C" w:rsidR="004F3533" w:rsidRPr="00D86314" w:rsidRDefault="004F3533" w:rsidP="001E6573">
      <w:pPr>
        <w:tabs>
          <w:tab w:val="left" w:pos="2268"/>
        </w:tabs>
        <w:jc w:val="left"/>
        <w:rPr>
          <w:noProof/>
        </w:rPr>
      </w:pPr>
      <w:r w:rsidRPr="00D86314">
        <w:rPr>
          <w:i/>
          <w:noProof/>
          <w:sz w:val="22"/>
          <w:szCs w:val="22"/>
        </w:rPr>
        <w:t xml:space="preserve">Figure </w:t>
      </w:r>
      <w:r w:rsidR="001A7B4E" w:rsidRPr="00D86314">
        <w:rPr>
          <w:i/>
          <w:noProof/>
          <w:sz w:val="22"/>
          <w:szCs w:val="22"/>
        </w:rPr>
        <w:t>A4 1</w:t>
      </w:r>
      <w:r w:rsidR="001F10E6" w:rsidRPr="00D86314">
        <w:rPr>
          <w:i/>
          <w:noProof/>
          <w:sz w:val="22"/>
          <w:szCs w:val="22"/>
        </w:rPr>
        <w:noBreakHyphen/>
      </w:r>
      <w:r w:rsidR="00E122E2">
        <w:rPr>
          <w:i/>
          <w:noProof/>
          <w:sz w:val="22"/>
          <w:szCs w:val="22"/>
        </w:rPr>
        <w:t>5</w:t>
      </w:r>
      <w:r w:rsidRPr="00D86314">
        <w:rPr>
          <w:i/>
          <w:noProof/>
          <w:sz w:val="22"/>
          <w:szCs w:val="22"/>
        </w:rPr>
        <w:t xml:space="preserve">:FTTH coverage by </w:t>
      </w:r>
      <w:r w:rsidRPr="00D86314">
        <w:rPr>
          <w:i/>
          <w:noProof/>
        </w:rPr>
        <w:t>option</w:t>
      </w:r>
      <w:r w:rsidRPr="00D86314">
        <w:rPr>
          <w:i/>
          <w:noProof/>
          <w:sz w:val="22"/>
          <w:szCs w:val="22"/>
        </w:rPr>
        <w:t xml:space="preserve"> (this does not include measures to address the</w:t>
      </w:r>
      <w:r w:rsidRPr="00D86314">
        <w:rPr>
          <w:i/>
          <w:noProof/>
        </w:rPr>
        <w:t xml:space="preserve"> </w:t>
      </w:r>
      <w:r w:rsidRPr="00D86314">
        <w:rPr>
          <w:i/>
          <w:noProof/>
          <w:sz w:val="22"/>
          <w:szCs w:val="22"/>
        </w:rPr>
        <w:t>connectivity gap and USO yet)</w:t>
      </w:r>
      <w:r w:rsidRPr="00E46BC9">
        <w:rPr>
          <w:noProof/>
          <w:lang w:eastAsia="en-GB"/>
        </w:rPr>
        <w:drawing>
          <wp:inline distT="0" distB="0" distL="0" distR="0" wp14:anchorId="42B20E83" wp14:editId="68F7C84C">
            <wp:extent cx="5473538" cy="3372878"/>
            <wp:effectExtent l="0" t="0" r="0" b="0"/>
            <wp:docPr id="1977094275" name="Grafik 8"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94275" name="Grafik 8" descr="A graph with different colored line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8895" cy="3382341"/>
                    </a:xfrm>
                    <a:prstGeom prst="rect">
                      <a:avLst/>
                    </a:prstGeom>
                    <a:noFill/>
                  </pic:spPr>
                </pic:pic>
              </a:graphicData>
            </a:graphic>
          </wp:inline>
        </w:drawing>
      </w:r>
    </w:p>
    <w:p w14:paraId="21318973" w14:textId="77777777" w:rsidR="004F3533" w:rsidRPr="00D86314" w:rsidRDefault="004F3533" w:rsidP="004F3533">
      <w:pPr>
        <w:pStyle w:val="Quelle"/>
        <w:spacing w:after="120"/>
        <w:rPr>
          <w:rFonts w:ascii="Times New Roman" w:hAnsi="Times New Roman"/>
          <w:noProof/>
        </w:rPr>
      </w:pPr>
      <w:r w:rsidRPr="00D86314">
        <w:rPr>
          <w:rFonts w:ascii="Times New Roman" w:hAnsi="Times New Roman"/>
          <w:noProof/>
        </w:rPr>
        <w:t>Note: FTTB G.fast coverage under all options is not included in the FTTH coverage.</w:t>
      </w:r>
    </w:p>
    <w:p w14:paraId="0472D779" w14:textId="77777777" w:rsidR="004F3533" w:rsidRPr="00D86314" w:rsidRDefault="004F3533" w:rsidP="004F3533">
      <w:pPr>
        <w:pStyle w:val="Quelle"/>
        <w:rPr>
          <w:rFonts w:ascii="Times New Roman" w:hAnsi="Times New Roman"/>
          <w:noProof/>
        </w:rPr>
      </w:pPr>
      <w:r w:rsidRPr="00D86314">
        <w:rPr>
          <w:rFonts w:ascii="Times New Roman" w:hAnsi="Times New Roman"/>
          <w:noProof/>
        </w:rPr>
        <w:t>Source:</w:t>
      </w:r>
      <w:r w:rsidRPr="00D86314">
        <w:rPr>
          <w:rFonts w:ascii="Times New Roman" w:hAnsi="Times New Roman"/>
          <w:noProof/>
        </w:rPr>
        <w:tab/>
        <w:t xml:space="preserve">WIK based on DESI dashboard for the Digital Decade (2023 onwards), </w:t>
      </w:r>
      <w:hyperlink r:id="rId25" w:history="1">
        <w:r w:rsidRPr="00D86314">
          <w:rPr>
            <w:rStyle w:val="Hyperlink"/>
            <w:rFonts w:ascii="Times New Roman" w:eastAsiaTheme="minorEastAsia" w:hAnsi="Times New Roman"/>
            <w:noProof/>
          </w:rPr>
          <w:t>https://digital-decade-desi.digital-strategy.ec.europa.eu/s/dbXJPLz04nqNw/</w:t>
        </w:r>
      </w:hyperlink>
    </w:p>
    <w:p w14:paraId="44C0F681" w14:textId="0421C1A0" w:rsidR="004F3533" w:rsidRPr="00D86314" w:rsidRDefault="004F3533" w:rsidP="004F3533">
      <w:pPr>
        <w:pStyle w:val="Tabberschrift"/>
        <w:rPr>
          <w:rFonts w:ascii="Times New Roman" w:hAnsi="Times New Roman"/>
          <w:noProof/>
          <w:color w:val="1E4E79"/>
        </w:rPr>
      </w:pPr>
      <w:bookmarkStart w:id="47" w:name="_Toc214231336"/>
      <w:r w:rsidRPr="00D86314">
        <w:rPr>
          <w:rFonts w:ascii="Times New Roman" w:hAnsi="Times New Roman"/>
          <w:noProof/>
        </w:rPr>
        <w:t xml:space="preserve">Table </w:t>
      </w:r>
      <w:r w:rsidR="001A7B4E" w:rsidRPr="00D86314">
        <w:rPr>
          <w:rFonts w:ascii="Times New Roman" w:hAnsi="Times New Roman"/>
          <w:noProof/>
        </w:rPr>
        <w:t>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1</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FTTH coverage in 2030</w:t>
      </w:r>
      <w:bookmarkEnd w:id="47"/>
    </w:p>
    <w:tbl>
      <w:tblPr>
        <w:tblStyle w:val="GridTable1Light-Accent1"/>
        <w:tblW w:w="0" w:type="auto"/>
        <w:tblLook w:val="04A0" w:firstRow="1" w:lastRow="0" w:firstColumn="1" w:lastColumn="0" w:noHBand="0" w:noVBand="1"/>
      </w:tblPr>
      <w:tblGrid>
        <w:gridCol w:w="1083"/>
        <w:gridCol w:w="1083"/>
        <w:gridCol w:w="1083"/>
        <w:gridCol w:w="1083"/>
        <w:gridCol w:w="1083"/>
      </w:tblGrid>
      <w:tr w:rsidR="004F3533" w:rsidRPr="00D86314" w14:paraId="75407F98" w14:textId="77777777" w:rsidTr="00BE30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BD7985" w14:textId="77777777" w:rsidR="004F3533" w:rsidRPr="00D86314" w:rsidRDefault="004F3533">
            <w:pPr>
              <w:spacing w:after="160" w:line="259" w:lineRule="auto"/>
              <w:jc w:val="center"/>
              <w:rPr>
                <w:rFonts w:ascii="Calibri" w:hAnsi="Calibri"/>
                <w:noProof/>
                <w:kern w:val="2"/>
              </w:rPr>
            </w:pPr>
            <w:r w:rsidRPr="00D86314">
              <w:rPr>
                <w:rFonts w:ascii="Calibri" w:hAnsi="Calibri"/>
                <w:noProof/>
                <w:kern w:val="2"/>
              </w:rPr>
              <w:t>Option 0</w:t>
            </w:r>
          </w:p>
        </w:tc>
        <w:tc>
          <w:tcPr>
            <w:tcW w:w="0" w:type="auto"/>
          </w:tcPr>
          <w:p w14:paraId="34EBC82C"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1</w:t>
            </w:r>
          </w:p>
        </w:tc>
        <w:tc>
          <w:tcPr>
            <w:tcW w:w="0" w:type="auto"/>
          </w:tcPr>
          <w:p w14:paraId="546B0631"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2</w:t>
            </w:r>
          </w:p>
        </w:tc>
        <w:tc>
          <w:tcPr>
            <w:tcW w:w="0" w:type="auto"/>
          </w:tcPr>
          <w:p w14:paraId="28D96736"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3</w:t>
            </w:r>
          </w:p>
        </w:tc>
        <w:tc>
          <w:tcPr>
            <w:tcW w:w="0" w:type="auto"/>
          </w:tcPr>
          <w:p w14:paraId="37593B30"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4</w:t>
            </w:r>
          </w:p>
        </w:tc>
      </w:tr>
      <w:tr w:rsidR="004F3533" w:rsidRPr="00D86314" w14:paraId="46BDCB84" w14:textId="77777777" w:rsidTr="00BE3015">
        <w:tc>
          <w:tcPr>
            <w:cnfStyle w:val="001000000000" w:firstRow="0" w:lastRow="0" w:firstColumn="1" w:lastColumn="0" w:oddVBand="0" w:evenVBand="0" w:oddHBand="0" w:evenHBand="0" w:firstRowFirstColumn="0" w:firstRowLastColumn="0" w:lastRowFirstColumn="0" w:lastRowLastColumn="0"/>
            <w:tcW w:w="0" w:type="auto"/>
          </w:tcPr>
          <w:p w14:paraId="466BDE48" w14:textId="77777777" w:rsidR="004F3533" w:rsidRPr="00D86314" w:rsidRDefault="004F3533">
            <w:pPr>
              <w:spacing w:after="160" w:line="259" w:lineRule="auto"/>
              <w:jc w:val="center"/>
              <w:rPr>
                <w:rFonts w:ascii="Calibri" w:hAnsi="Calibri"/>
                <w:noProof/>
                <w:kern w:val="2"/>
              </w:rPr>
            </w:pPr>
            <w:r w:rsidRPr="00D86314">
              <w:rPr>
                <w:rFonts w:ascii="Calibri" w:hAnsi="Calibri" w:cs="Calibri"/>
                <w:noProof/>
                <w:color w:val="000000"/>
                <w:kern w:val="2"/>
              </w:rPr>
              <w:t>77.9%</w:t>
            </w:r>
          </w:p>
        </w:tc>
        <w:tc>
          <w:tcPr>
            <w:tcW w:w="0" w:type="auto"/>
          </w:tcPr>
          <w:p w14:paraId="333B57EF"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kern w:val="2"/>
              </w:rPr>
              <w:t>79.1%</w:t>
            </w:r>
          </w:p>
        </w:tc>
        <w:tc>
          <w:tcPr>
            <w:tcW w:w="0" w:type="auto"/>
          </w:tcPr>
          <w:p w14:paraId="06A93542"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kern w:val="2"/>
              </w:rPr>
              <w:t>83.3%</w:t>
            </w:r>
          </w:p>
        </w:tc>
        <w:tc>
          <w:tcPr>
            <w:tcW w:w="0" w:type="auto"/>
          </w:tcPr>
          <w:p w14:paraId="246CD8C1"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kern w:val="2"/>
              </w:rPr>
              <w:t>77.0%</w:t>
            </w:r>
          </w:p>
        </w:tc>
        <w:tc>
          <w:tcPr>
            <w:tcW w:w="0" w:type="auto"/>
          </w:tcPr>
          <w:p w14:paraId="7EC42B4B"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kern w:val="2"/>
              </w:rPr>
            </w:pPr>
            <w:r w:rsidRPr="00D86314">
              <w:rPr>
                <w:rFonts w:ascii="Calibri" w:hAnsi="Calibri" w:cs="Calibri"/>
                <w:noProof/>
                <w:color w:val="000000"/>
                <w:kern w:val="2"/>
              </w:rPr>
              <w:t>84.2%</w:t>
            </w:r>
          </w:p>
        </w:tc>
      </w:tr>
    </w:tbl>
    <w:p w14:paraId="7A3556C0" w14:textId="77777777" w:rsidR="004F3533" w:rsidRPr="00D86314" w:rsidRDefault="004F3533" w:rsidP="004F3533">
      <w:pPr>
        <w:spacing w:before="120" w:after="360"/>
        <w:ind w:left="709" w:hanging="709"/>
        <w:jc w:val="left"/>
        <w:rPr>
          <w:rFonts w:eastAsia="Calibri"/>
          <w:noProof/>
          <w:kern w:val="2"/>
          <w:sz w:val="18"/>
          <w:szCs w:val="22"/>
          <w14:ligatures w14:val="standardContextual"/>
        </w:rPr>
      </w:pPr>
      <w:r w:rsidRPr="00D86314">
        <w:rPr>
          <w:rFonts w:eastAsia="Calibri"/>
          <w:noProof/>
          <w:kern w:val="2"/>
          <w:sz w:val="18"/>
          <w:szCs w:val="22"/>
          <w14:ligatures w14:val="standardContextual"/>
        </w:rPr>
        <w:t>Source: WIK.</w:t>
      </w:r>
    </w:p>
    <w:p w14:paraId="6B4DEEBF" w14:textId="7E89BC57" w:rsidR="004F3533" w:rsidRPr="00D86314" w:rsidRDefault="004F3533" w:rsidP="004F3533">
      <w:pPr>
        <w:pStyle w:val="Tabberschrift"/>
        <w:rPr>
          <w:rFonts w:ascii="Times New Roman" w:hAnsi="Times New Roman"/>
          <w:noProof/>
          <w:color w:val="1E4E79"/>
        </w:rPr>
      </w:pPr>
      <w:bookmarkStart w:id="48" w:name="_Toc214231337"/>
      <w:r w:rsidRPr="00D86314">
        <w:rPr>
          <w:rFonts w:ascii="Times New Roman" w:hAnsi="Times New Roman"/>
          <w:noProof/>
        </w:rPr>
        <w:t xml:space="preserve">Table </w:t>
      </w:r>
      <w:r w:rsidR="001A7B4E" w:rsidRPr="00D86314">
        <w:rPr>
          <w:rFonts w:ascii="Times New Roman" w:hAnsi="Times New Roman"/>
          <w:noProof/>
        </w:rPr>
        <w:t>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2</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FTTH coverage in 2035</w:t>
      </w:r>
      <w:bookmarkEnd w:id="48"/>
    </w:p>
    <w:tbl>
      <w:tblPr>
        <w:tblStyle w:val="GridTable1Light-Accent1"/>
        <w:tblW w:w="6278" w:type="dxa"/>
        <w:tblLook w:val="04A0" w:firstRow="1" w:lastRow="0" w:firstColumn="1" w:lastColumn="0" w:noHBand="0" w:noVBand="1"/>
      </w:tblPr>
      <w:tblGrid>
        <w:gridCol w:w="1255"/>
        <w:gridCol w:w="1255"/>
        <w:gridCol w:w="1256"/>
        <w:gridCol w:w="1256"/>
        <w:gridCol w:w="1256"/>
      </w:tblGrid>
      <w:tr w:rsidR="004F3533" w:rsidRPr="00D86314" w14:paraId="5AABCA62" w14:textId="77777777" w:rsidTr="007030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7CCFDEA" w14:textId="77777777" w:rsidR="004F3533" w:rsidRPr="00D86314" w:rsidRDefault="004F3533">
            <w:pPr>
              <w:spacing w:after="160" w:line="259" w:lineRule="auto"/>
              <w:jc w:val="center"/>
              <w:rPr>
                <w:rFonts w:ascii="Calibri" w:hAnsi="Calibri"/>
                <w:noProof/>
                <w:kern w:val="2"/>
              </w:rPr>
            </w:pPr>
            <w:r w:rsidRPr="00D86314">
              <w:rPr>
                <w:rFonts w:ascii="Calibri" w:hAnsi="Calibri"/>
                <w:noProof/>
                <w:kern w:val="2"/>
              </w:rPr>
              <w:t>Option 0</w:t>
            </w:r>
          </w:p>
        </w:tc>
        <w:tc>
          <w:tcPr>
            <w:tcW w:w="0" w:type="dxa"/>
          </w:tcPr>
          <w:p w14:paraId="7E35BC77"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1</w:t>
            </w:r>
          </w:p>
        </w:tc>
        <w:tc>
          <w:tcPr>
            <w:tcW w:w="0" w:type="dxa"/>
          </w:tcPr>
          <w:p w14:paraId="6E8C25DA"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2</w:t>
            </w:r>
          </w:p>
        </w:tc>
        <w:tc>
          <w:tcPr>
            <w:tcW w:w="0" w:type="dxa"/>
          </w:tcPr>
          <w:p w14:paraId="11950985"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3</w:t>
            </w:r>
          </w:p>
        </w:tc>
        <w:tc>
          <w:tcPr>
            <w:tcW w:w="0" w:type="dxa"/>
          </w:tcPr>
          <w:p w14:paraId="1D9AE765" w14:textId="77777777" w:rsidR="004F3533" w:rsidRPr="00D86314" w:rsidRDefault="004F353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4</w:t>
            </w:r>
          </w:p>
        </w:tc>
      </w:tr>
      <w:tr w:rsidR="004F3533" w:rsidRPr="00D86314" w14:paraId="55DB2871" w14:textId="77777777" w:rsidTr="00703057">
        <w:tc>
          <w:tcPr>
            <w:cnfStyle w:val="001000000000" w:firstRow="0" w:lastRow="0" w:firstColumn="1" w:lastColumn="0" w:oddVBand="0" w:evenVBand="0" w:oddHBand="0" w:evenHBand="0" w:firstRowFirstColumn="0" w:firstRowLastColumn="0" w:lastRowFirstColumn="0" w:lastRowLastColumn="0"/>
            <w:tcW w:w="0" w:type="dxa"/>
          </w:tcPr>
          <w:p w14:paraId="0B7FF064" w14:textId="77777777" w:rsidR="004F3533" w:rsidRPr="00D86314" w:rsidRDefault="004F3533">
            <w:pPr>
              <w:spacing w:after="160" w:line="259" w:lineRule="auto"/>
              <w:jc w:val="center"/>
              <w:rPr>
                <w:rFonts w:ascii="Calibri" w:hAnsi="Calibri"/>
                <w:noProof/>
                <w:kern w:val="2"/>
              </w:rPr>
            </w:pPr>
            <w:r w:rsidRPr="00D86314">
              <w:rPr>
                <w:rFonts w:ascii="Calibri" w:hAnsi="Calibri" w:cs="Calibri"/>
                <w:noProof/>
                <w:color w:val="000000"/>
                <w:kern w:val="2"/>
              </w:rPr>
              <w:t>90.6%</w:t>
            </w:r>
          </w:p>
        </w:tc>
        <w:tc>
          <w:tcPr>
            <w:tcW w:w="0" w:type="dxa"/>
          </w:tcPr>
          <w:p w14:paraId="4635D730"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kern w:val="2"/>
              </w:rPr>
              <w:t>92,5%</w:t>
            </w:r>
          </w:p>
        </w:tc>
        <w:tc>
          <w:tcPr>
            <w:tcW w:w="0" w:type="dxa"/>
          </w:tcPr>
          <w:p w14:paraId="1A8D2262"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kern w:val="2"/>
              </w:rPr>
              <w:t>98,0%</w:t>
            </w:r>
          </w:p>
        </w:tc>
        <w:tc>
          <w:tcPr>
            <w:tcW w:w="0" w:type="dxa"/>
          </w:tcPr>
          <w:p w14:paraId="336CCA31"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kern w:val="2"/>
              </w:rPr>
            </w:pPr>
            <w:r w:rsidRPr="00D86314">
              <w:rPr>
                <w:rFonts w:ascii="Calibri" w:hAnsi="Calibri" w:cs="Calibri"/>
                <w:noProof/>
                <w:color w:val="000000"/>
                <w:kern w:val="2"/>
              </w:rPr>
              <w:t>85,8%</w:t>
            </w:r>
          </w:p>
        </w:tc>
        <w:tc>
          <w:tcPr>
            <w:tcW w:w="0" w:type="dxa"/>
          </w:tcPr>
          <w:p w14:paraId="6F95834E" w14:textId="77777777" w:rsidR="004F3533" w:rsidRPr="00D86314" w:rsidRDefault="004F353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kern w:val="2"/>
              </w:rPr>
              <w:t>98,0%</w:t>
            </w:r>
          </w:p>
        </w:tc>
      </w:tr>
    </w:tbl>
    <w:p w14:paraId="53AB6079" w14:textId="77777777" w:rsidR="004F3533" w:rsidRPr="00D86314" w:rsidRDefault="004F3533" w:rsidP="004F3533">
      <w:pPr>
        <w:pStyle w:val="Quelle"/>
        <w:rPr>
          <w:rFonts w:ascii="Times New Roman" w:eastAsia="Calibri" w:hAnsi="Times New Roman"/>
          <w:noProof/>
          <w:lang w:eastAsia="en-US"/>
        </w:rPr>
      </w:pPr>
      <w:r w:rsidRPr="00D86314">
        <w:rPr>
          <w:rFonts w:ascii="Times New Roman" w:eastAsia="Calibri" w:hAnsi="Times New Roman"/>
          <w:noProof/>
          <w:lang w:eastAsia="en-US"/>
        </w:rPr>
        <w:t>Source: WIK.</w:t>
      </w:r>
    </w:p>
    <w:p w14:paraId="399225EB" w14:textId="77777777" w:rsidR="00D21D22" w:rsidRPr="00D86314" w:rsidRDefault="00D21D22" w:rsidP="00703057">
      <w:pPr>
        <w:pStyle w:val="Heading3"/>
        <w:rPr>
          <w:noProof/>
        </w:rPr>
      </w:pPr>
      <w:bookmarkStart w:id="49" w:name="_Toc219718357"/>
      <w:r w:rsidRPr="00D86314">
        <w:rPr>
          <w:noProof/>
        </w:rPr>
        <w:t>Impact on FTTH penetration and technology mix</w:t>
      </w:r>
      <w:bookmarkEnd w:id="49"/>
    </w:p>
    <w:p w14:paraId="3D41A7A1" w14:textId="1E2F369C" w:rsidR="00D8126D" w:rsidRPr="00D86314" w:rsidRDefault="00EA5706" w:rsidP="00EA5706">
      <w:pPr>
        <w:rPr>
          <w:noProof/>
        </w:rPr>
      </w:pPr>
      <w:r w:rsidRPr="00D86314">
        <w:rPr>
          <w:noProof/>
        </w:rPr>
        <w:t xml:space="preserve">FTTH penetration (FTTH subscriptions as a percent of households) differs </w:t>
      </w:r>
      <w:r w:rsidR="000836C7" w:rsidRPr="00D86314">
        <w:rPr>
          <w:noProof/>
        </w:rPr>
        <w:t xml:space="preserve">across the policy </w:t>
      </w:r>
      <w:r w:rsidRPr="00D86314">
        <w:rPr>
          <w:noProof/>
        </w:rPr>
        <w:t>options.</w:t>
      </w:r>
    </w:p>
    <w:p w14:paraId="267DD877" w14:textId="02146289" w:rsidR="00781403" w:rsidRPr="00D86314" w:rsidRDefault="00EA5706" w:rsidP="00EA5706">
      <w:pPr>
        <w:rPr>
          <w:noProof/>
        </w:rPr>
      </w:pPr>
      <w:r w:rsidRPr="00D86314">
        <w:rPr>
          <w:noProof/>
        </w:rPr>
        <w:t xml:space="preserve">Option 1 </w:t>
      </w:r>
      <w:r w:rsidR="004B38E0" w:rsidRPr="00D86314">
        <w:rPr>
          <w:noProof/>
        </w:rPr>
        <w:t xml:space="preserve">is </w:t>
      </w:r>
      <w:r w:rsidR="007D3BF7" w:rsidRPr="00D86314">
        <w:rPr>
          <w:noProof/>
        </w:rPr>
        <w:t xml:space="preserve">projected </w:t>
      </w:r>
      <w:r w:rsidRPr="00D86314">
        <w:rPr>
          <w:noProof/>
        </w:rPr>
        <w:t xml:space="preserve">to increase FTTH penetration </w:t>
      </w:r>
      <w:r w:rsidR="00C0585B" w:rsidRPr="00D86314">
        <w:rPr>
          <w:noProof/>
        </w:rPr>
        <w:t>by</w:t>
      </w:r>
      <w:r w:rsidRPr="00D86314">
        <w:rPr>
          <w:noProof/>
        </w:rPr>
        <w:t xml:space="preserve"> a </w:t>
      </w:r>
      <w:r w:rsidR="00054EA5" w:rsidRPr="00D86314">
        <w:rPr>
          <w:noProof/>
        </w:rPr>
        <w:t>Compound Annual Growth Rate (</w:t>
      </w:r>
      <w:r w:rsidRPr="00D86314">
        <w:rPr>
          <w:noProof/>
        </w:rPr>
        <w:t>CAGR</w:t>
      </w:r>
      <w:r w:rsidR="00054EA5" w:rsidRPr="00D86314">
        <w:rPr>
          <w:noProof/>
        </w:rPr>
        <w:t>)</w:t>
      </w:r>
      <w:r w:rsidRPr="00D86314">
        <w:rPr>
          <w:noProof/>
        </w:rPr>
        <w:t xml:space="preserve"> of approx. 5%</w:t>
      </w:r>
      <w:r w:rsidR="007A042B" w:rsidRPr="00D86314">
        <w:rPr>
          <w:noProof/>
        </w:rPr>
        <w:t>,</w:t>
      </w:r>
      <w:r w:rsidRPr="00D86314">
        <w:rPr>
          <w:noProof/>
        </w:rPr>
        <w:t xml:space="preserve"> slightly </w:t>
      </w:r>
      <w:r w:rsidR="007A042B" w:rsidRPr="00D86314">
        <w:rPr>
          <w:noProof/>
        </w:rPr>
        <w:t>above</w:t>
      </w:r>
      <w:r w:rsidRPr="00D86314">
        <w:rPr>
          <w:noProof/>
        </w:rPr>
        <w:t xml:space="preserve"> the 4% growth rate under the status quo.</w:t>
      </w:r>
      <w:r w:rsidRPr="00D86314">
        <w:rPr>
          <w:rStyle w:val="FootnoteReference"/>
          <w:noProof/>
        </w:rPr>
        <w:footnoteReference w:id="7"/>
      </w:r>
      <w:r w:rsidRPr="00D86314">
        <w:rPr>
          <w:noProof/>
        </w:rPr>
        <w:t xml:space="preserve"> </w:t>
      </w:r>
    </w:p>
    <w:p w14:paraId="3222C60C" w14:textId="638B2484" w:rsidR="0001236B" w:rsidRPr="00D86314" w:rsidRDefault="00EA5706" w:rsidP="00EA5706">
      <w:pPr>
        <w:rPr>
          <w:noProof/>
        </w:rPr>
      </w:pPr>
      <w:r w:rsidRPr="00D86314">
        <w:rPr>
          <w:noProof/>
        </w:rPr>
        <w:t xml:space="preserve">Option 4 </w:t>
      </w:r>
      <w:r w:rsidR="009B14FC" w:rsidRPr="00D86314">
        <w:rPr>
          <w:noProof/>
        </w:rPr>
        <w:t xml:space="preserve">is expected to </w:t>
      </w:r>
      <w:r w:rsidRPr="00D86314">
        <w:rPr>
          <w:noProof/>
        </w:rPr>
        <w:t xml:space="preserve">have the strongest effect on FTTH penetration as </w:t>
      </w:r>
      <w:r w:rsidR="00D5639C" w:rsidRPr="00D86314">
        <w:rPr>
          <w:noProof/>
        </w:rPr>
        <w:t>it does not include a</w:t>
      </w:r>
      <w:r w:rsidR="00D5639C" w:rsidRPr="00D86314" w:rsidDel="00D5639C">
        <w:rPr>
          <w:noProof/>
        </w:rPr>
        <w:t xml:space="preserve"> </w:t>
      </w:r>
      <w:r w:rsidRPr="00D86314">
        <w:rPr>
          <w:noProof/>
        </w:rPr>
        <w:t xml:space="preserve">sustainability clause </w:t>
      </w:r>
      <w:r w:rsidR="009D3AE1" w:rsidRPr="00D86314">
        <w:rPr>
          <w:noProof/>
        </w:rPr>
        <w:t>for</w:t>
      </w:r>
      <w:r w:rsidRPr="00D86314">
        <w:rPr>
          <w:noProof/>
        </w:rPr>
        <w:t xml:space="preserve"> the mandatory </w:t>
      </w:r>
      <w:r w:rsidR="009D3AE1" w:rsidRPr="00D86314">
        <w:rPr>
          <w:noProof/>
        </w:rPr>
        <w:t>CSO</w:t>
      </w:r>
      <w:r w:rsidRPr="00D86314">
        <w:rPr>
          <w:noProof/>
        </w:rPr>
        <w:t xml:space="preserve">. </w:t>
      </w:r>
    </w:p>
    <w:p w14:paraId="1E1CB875" w14:textId="1050F540" w:rsidR="00EA5706" w:rsidRPr="00D86314" w:rsidRDefault="00EA5706" w:rsidP="00EA5706">
      <w:pPr>
        <w:rPr>
          <w:noProof/>
        </w:rPr>
      </w:pPr>
      <w:r w:rsidRPr="00D86314">
        <w:rPr>
          <w:noProof/>
        </w:rPr>
        <w:t>Under option 2</w:t>
      </w:r>
      <w:r w:rsidR="00CF339F" w:rsidRPr="00D86314">
        <w:rPr>
          <w:noProof/>
        </w:rPr>
        <w:t>,</w:t>
      </w:r>
      <w:r w:rsidRPr="00D86314">
        <w:rPr>
          <w:noProof/>
        </w:rPr>
        <w:t xml:space="preserve"> which includes a sustainability clause, FTTH penetration </w:t>
      </w:r>
      <w:r w:rsidR="00B84AA3" w:rsidRPr="00D86314">
        <w:rPr>
          <w:noProof/>
        </w:rPr>
        <w:t xml:space="preserve">is projected </w:t>
      </w:r>
      <w:r w:rsidR="00995F42" w:rsidRPr="00D86314">
        <w:rPr>
          <w:noProof/>
        </w:rPr>
        <w:t xml:space="preserve">to </w:t>
      </w:r>
      <w:r w:rsidRPr="00D86314">
        <w:rPr>
          <w:noProof/>
        </w:rPr>
        <w:t xml:space="preserve">be slightly lower than under option 4 at 78% in 2035, but still significantly higher than the status quo. </w:t>
      </w:r>
    </w:p>
    <w:p w14:paraId="4EDD17BA" w14:textId="6C4BF452" w:rsidR="00EA5706" w:rsidRPr="00D86314" w:rsidRDefault="00EA5706" w:rsidP="00EA5706">
      <w:pPr>
        <w:rPr>
          <w:noProof/>
        </w:rPr>
      </w:pPr>
      <w:r w:rsidRPr="00D86314">
        <w:rPr>
          <w:noProof/>
        </w:rPr>
        <w:t>Under option 4</w:t>
      </w:r>
      <w:r w:rsidR="00CC5B22" w:rsidRPr="00D86314">
        <w:rPr>
          <w:noProof/>
        </w:rPr>
        <w:t>,</w:t>
      </w:r>
      <w:r w:rsidRPr="00D86314">
        <w:rPr>
          <w:noProof/>
        </w:rPr>
        <w:t xml:space="preserve"> FTTH penetration </w:t>
      </w:r>
      <w:r w:rsidR="00CC5B22" w:rsidRPr="00D86314">
        <w:rPr>
          <w:noProof/>
        </w:rPr>
        <w:t xml:space="preserve">increases </w:t>
      </w:r>
      <w:r w:rsidR="00B87BFF" w:rsidRPr="00D86314">
        <w:rPr>
          <w:noProof/>
        </w:rPr>
        <w:t>sharply</w:t>
      </w:r>
      <w:r w:rsidRPr="00D86314">
        <w:rPr>
          <w:noProof/>
        </w:rPr>
        <w:t xml:space="preserve"> in 2030 </w:t>
      </w:r>
      <w:r w:rsidR="00B87BFF" w:rsidRPr="00D86314">
        <w:rPr>
          <w:noProof/>
        </w:rPr>
        <w:t>due to</w:t>
      </w:r>
      <w:r w:rsidRPr="00D86314">
        <w:rPr>
          <w:noProof/>
        </w:rPr>
        <w:t xml:space="preserve"> </w:t>
      </w:r>
      <w:r w:rsidR="00B87BFF" w:rsidRPr="00D86314">
        <w:rPr>
          <w:noProof/>
        </w:rPr>
        <w:t>the</w:t>
      </w:r>
      <w:r w:rsidRPr="00D86314">
        <w:rPr>
          <w:noProof/>
        </w:rPr>
        <w:t xml:space="preserve"> strict </w:t>
      </w:r>
      <w:r w:rsidR="00B87BFF" w:rsidRPr="00D86314">
        <w:rPr>
          <w:noProof/>
        </w:rPr>
        <w:t>CSO</w:t>
      </w:r>
      <w:r w:rsidRPr="00D86314">
        <w:rPr>
          <w:noProof/>
        </w:rPr>
        <w:t xml:space="preserve"> deadline, result</w:t>
      </w:r>
      <w:r w:rsidR="00BC4ABB" w:rsidRPr="00D86314">
        <w:rPr>
          <w:noProof/>
        </w:rPr>
        <w:t>ing</w:t>
      </w:r>
      <w:r w:rsidRPr="00D86314">
        <w:rPr>
          <w:noProof/>
        </w:rPr>
        <w:t xml:space="preserve"> in the forced migration of customers </w:t>
      </w:r>
      <w:r w:rsidR="001E581E" w:rsidRPr="00D86314">
        <w:rPr>
          <w:noProof/>
        </w:rPr>
        <w:t xml:space="preserve">who </w:t>
      </w:r>
      <w:r w:rsidRPr="00D86314">
        <w:rPr>
          <w:noProof/>
        </w:rPr>
        <w:t>would otherwise have remained on copper.</w:t>
      </w:r>
      <w:r w:rsidRPr="00D86314" w:rsidDel="002A07D8">
        <w:rPr>
          <w:noProof/>
        </w:rPr>
        <w:t xml:space="preserve"> </w:t>
      </w:r>
      <w:r w:rsidR="002A07D8" w:rsidRPr="00D86314">
        <w:rPr>
          <w:noProof/>
        </w:rPr>
        <w:t>T</w:t>
      </w:r>
      <w:r w:rsidRPr="00D86314">
        <w:rPr>
          <w:noProof/>
        </w:rPr>
        <w:t xml:space="preserve">he mandatory </w:t>
      </w:r>
      <w:r w:rsidR="002A07D8" w:rsidRPr="00D86314">
        <w:rPr>
          <w:noProof/>
        </w:rPr>
        <w:t>CSO</w:t>
      </w:r>
      <w:r w:rsidRPr="00D86314">
        <w:rPr>
          <w:noProof/>
        </w:rPr>
        <w:t xml:space="preserve"> date is also likely to result in gap</w:t>
      </w:r>
      <w:r w:rsidR="000F0103" w:rsidRPr="00D86314">
        <w:rPr>
          <w:noProof/>
        </w:rPr>
        <w:t>s</w:t>
      </w:r>
      <w:r w:rsidRPr="00D86314">
        <w:rPr>
          <w:noProof/>
        </w:rPr>
        <w:t xml:space="preserve"> in </w:t>
      </w:r>
      <w:r w:rsidR="00A72841" w:rsidRPr="00D86314">
        <w:rPr>
          <w:noProof/>
        </w:rPr>
        <w:t xml:space="preserve">FTTH </w:t>
      </w:r>
      <w:r w:rsidRPr="00D86314">
        <w:rPr>
          <w:noProof/>
        </w:rPr>
        <w:t xml:space="preserve">coverage in certain countries. </w:t>
      </w:r>
      <w:r w:rsidR="009B2467" w:rsidRPr="00D86314">
        <w:rPr>
          <w:noProof/>
        </w:rPr>
        <w:t xml:space="preserve">In such cases, </w:t>
      </w:r>
      <w:r w:rsidRPr="00D86314">
        <w:rPr>
          <w:noProof/>
        </w:rPr>
        <w:t>affected end</w:t>
      </w:r>
      <w:r w:rsidR="009B2467" w:rsidRPr="00D86314">
        <w:rPr>
          <w:noProof/>
        </w:rPr>
        <w:t>-</w:t>
      </w:r>
      <w:r w:rsidRPr="00D86314">
        <w:rPr>
          <w:noProof/>
        </w:rPr>
        <w:t xml:space="preserve">users would be migrated to other technologies in 2030 (mandatory </w:t>
      </w:r>
      <w:r w:rsidR="005254F3" w:rsidRPr="00D86314">
        <w:rPr>
          <w:noProof/>
        </w:rPr>
        <w:t>CSO</w:t>
      </w:r>
      <w:r w:rsidRPr="00D86314">
        <w:rPr>
          <w:noProof/>
        </w:rPr>
        <w:t xml:space="preserve"> date)</w:t>
      </w:r>
      <w:r w:rsidR="005254F3" w:rsidRPr="00D86314">
        <w:rPr>
          <w:noProof/>
        </w:rPr>
        <w:t>,</w:t>
      </w:r>
      <w:r w:rsidRPr="00D86314">
        <w:rPr>
          <w:noProof/>
        </w:rPr>
        <w:t xml:space="preserve"> resulting in a higher share of FWA and 4G/5G mobile</w:t>
      </w:r>
      <w:r w:rsidR="00915998" w:rsidRPr="00D86314">
        <w:rPr>
          <w:noProof/>
        </w:rPr>
        <w:t xml:space="preserve"> connections</w:t>
      </w:r>
      <w:r w:rsidRPr="00D86314">
        <w:rPr>
          <w:noProof/>
        </w:rPr>
        <w:t xml:space="preserve"> </w:t>
      </w:r>
      <w:r w:rsidR="00915998" w:rsidRPr="00D86314">
        <w:rPr>
          <w:noProof/>
        </w:rPr>
        <w:t>under</w:t>
      </w:r>
      <w:r w:rsidRPr="00D86314">
        <w:rPr>
          <w:noProof/>
        </w:rPr>
        <w:t xml:space="preserve"> option 4 compared to options 1 and 2.</w:t>
      </w:r>
      <w:r w:rsidRPr="00D86314" w:rsidDel="00DE44AF">
        <w:rPr>
          <w:noProof/>
        </w:rPr>
        <w:t xml:space="preserve"> </w:t>
      </w:r>
      <w:r w:rsidRPr="00D86314">
        <w:rPr>
          <w:noProof/>
        </w:rPr>
        <w:t>After 2030 the share of FWA and mobile 4G/5G decrease</w:t>
      </w:r>
      <w:r w:rsidR="00BC5329" w:rsidRPr="00D86314">
        <w:rPr>
          <w:noProof/>
        </w:rPr>
        <w:t>s</w:t>
      </w:r>
      <w:r w:rsidRPr="00D86314">
        <w:rPr>
          <w:noProof/>
        </w:rPr>
        <w:t xml:space="preserve"> under option 4</w:t>
      </w:r>
      <w:r w:rsidR="000B4AC4" w:rsidRPr="00D86314">
        <w:rPr>
          <w:noProof/>
        </w:rPr>
        <w:t>,</w:t>
      </w:r>
      <w:r w:rsidRPr="00D86314">
        <w:rPr>
          <w:noProof/>
        </w:rPr>
        <w:t xml:space="preserve"> as FTTH coverage and take-up </w:t>
      </w:r>
      <w:r w:rsidR="000B4AC4" w:rsidRPr="00D86314">
        <w:rPr>
          <w:noProof/>
        </w:rPr>
        <w:t xml:space="preserve">continue to </w:t>
      </w:r>
      <w:r w:rsidRPr="00D86314">
        <w:rPr>
          <w:noProof/>
        </w:rPr>
        <w:t xml:space="preserve">progress after </w:t>
      </w:r>
      <w:r w:rsidR="000B4AC4" w:rsidRPr="00D86314">
        <w:rPr>
          <w:noProof/>
        </w:rPr>
        <w:t>the CSO</w:t>
      </w:r>
      <w:r w:rsidRPr="00D86314">
        <w:rPr>
          <w:noProof/>
        </w:rPr>
        <w:t>. However, if more performant full 5G and 5G</w:t>
      </w:r>
      <w:r w:rsidR="000E4039" w:rsidRPr="00D86314">
        <w:rPr>
          <w:noProof/>
        </w:rPr>
        <w:t>-based</w:t>
      </w:r>
      <w:r w:rsidRPr="00D86314">
        <w:rPr>
          <w:noProof/>
        </w:rPr>
        <w:t xml:space="preserve"> FWA technologies </w:t>
      </w:r>
      <w:r w:rsidR="000E4039" w:rsidRPr="00D86314">
        <w:rPr>
          <w:noProof/>
        </w:rPr>
        <w:t xml:space="preserve">become </w:t>
      </w:r>
      <w:r w:rsidRPr="00D86314">
        <w:rPr>
          <w:noProof/>
        </w:rPr>
        <w:t xml:space="preserve">available, customers may </w:t>
      </w:r>
      <w:r w:rsidR="00BF3E23" w:rsidRPr="00D86314">
        <w:rPr>
          <w:noProof/>
        </w:rPr>
        <w:t xml:space="preserve">have reduced </w:t>
      </w:r>
      <w:r w:rsidR="004C23D7" w:rsidRPr="00D86314">
        <w:rPr>
          <w:noProof/>
        </w:rPr>
        <w:t xml:space="preserve">incentives </w:t>
      </w:r>
      <w:r w:rsidRPr="00D86314">
        <w:rPr>
          <w:noProof/>
        </w:rPr>
        <w:t xml:space="preserve">to switch to FTTH </w:t>
      </w:r>
      <w:r w:rsidR="002B5E89" w:rsidRPr="00D86314">
        <w:rPr>
          <w:noProof/>
        </w:rPr>
        <w:t>once it becomes available</w:t>
      </w:r>
      <w:r w:rsidRPr="00D86314">
        <w:rPr>
          <w:noProof/>
        </w:rPr>
        <w:t>,</w:t>
      </w:r>
      <w:r w:rsidRPr="00D86314" w:rsidDel="00242465">
        <w:rPr>
          <w:noProof/>
        </w:rPr>
        <w:t xml:space="preserve"> </w:t>
      </w:r>
      <w:r w:rsidR="00242465" w:rsidRPr="00D86314">
        <w:rPr>
          <w:noProof/>
        </w:rPr>
        <w:t xml:space="preserve">potentially weakening the FTTH </w:t>
      </w:r>
      <w:r w:rsidRPr="00D86314">
        <w:rPr>
          <w:noProof/>
        </w:rPr>
        <w:t xml:space="preserve">business case. </w:t>
      </w:r>
      <w:r w:rsidR="00EF044F" w:rsidRPr="00D86314">
        <w:rPr>
          <w:noProof/>
        </w:rPr>
        <w:t>The extent to which these outcomes materialise remains uncertain</w:t>
      </w:r>
      <w:r w:rsidRPr="00D86314">
        <w:rPr>
          <w:noProof/>
        </w:rPr>
        <w:t xml:space="preserve">. </w:t>
      </w:r>
    </w:p>
    <w:p w14:paraId="12E40F64" w14:textId="7BEF4220" w:rsidR="00EA5706" w:rsidRPr="00D86314" w:rsidRDefault="00EA5706" w:rsidP="00EA5706">
      <w:pPr>
        <w:rPr>
          <w:noProof/>
        </w:rPr>
      </w:pPr>
      <w:r w:rsidRPr="00D86314">
        <w:rPr>
          <w:noProof/>
        </w:rPr>
        <w:t xml:space="preserve">ADSL </w:t>
      </w:r>
      <w:r w:rsidR="00DC15AF" w:rsidRPr="00D86314">
        <w:rPr>
          <w:noProof/>
        </w:rPr>
        <w:t>is expected to</w:t>
      </w:r>
      <w:r w:rsidRPr="00D86314">
        <w:rPr>
          <w:noProof/>
        </w:rPr>
        <w:t xml:space="preserve"> be gradually phased out across the EU, as customers transition to FTTH, DOCSIS 3.1, FWA or 4G/5G mobile broadband. </w:t>
      </w:r>
      <w:r w:rsidR="00BA4355" w:rsidRPr="00D86314">
        <w:rPr>
          <w:noProof/>
        </w:rPr>
        <w:t>Given that</w:t>
      </w:r>
      <w:r w:rsidRPr="00D86314">
        <w:rPr>
          <w:noProof/>
        </w:rPr>
        <w:t xml:space="preserve"> D</w:t>
      </w:r>
      <w:r w:rsidR="00132B72" w:rsidRPr="00D86314">
        <w:rPr>
          <w:noProof/>
        </w:rPr>
        <w:t>OCSIS</w:t>
      </w:r>
      <w:r w:rsidRPr="00D86314">
        <w:rPr>
          <w:noProof/>
        </w:rPr>
        <w:t xml:space="preserve"> 3.1 technology is capable of Gigabit download speeds (and DOCSIS 4.0 upgrades are planned in some countries as for example in the Netherlands</w:t>
      </w:r>
      <w:r w:rsidRPr="00D86314">
        <w:rPr>
          <w:rStyle w:val="FootnoteReference"/>
          <w:noProof/>
        </w:rPr>
        <w:footnoteReference w:id="8"/>
      </w:r>
      <w:r w:rsidRPr="00D86314">
        <w:rPr>
          <w:noProof/>
        </w:rPr>
        <w:t xml:space="preserve">), cable take-up </w:t>
      </w:r>
      <w:r w:rsidR="006F01D1" w:rsidRPr="00D86314">
        <w:rPr>
          <w:noProof/>
        </w:rPr>
        <w:t xml:space="preserve">is expected </w:t>
      </w:r>
      <w:r w:rsidRPr="00D86314">
        <w:rPr>
          <w:noProof/>
        </w:rPr>
        <w:t xml:space="preserve">to remain </w:t>
      </w:r>
      <w:r w:rsidR="00D614AE" w:rsidRPr="00D86314">
        <w:rPr>
          <w:noProof/>
        </w:rPr>
        <w:t>relativ</w:t>
      </w:r>
      <w:r w:rsidR="002B7B28" w:rsidRPr="00D86314">
        <w:rPr>
          <w:noProof/>
        </w:rPr>
        <w:t>e</w:t>
      </w:r>
      <w:r w:rsidR="00D614AE" w:rsidRPr="00D86314">
        <w:rPr>
          <w:noProof/>
        </w:rPr>
        <w:t xml:space="preserve">ly </w:t>
      </w:r>
      <w:r w:rsidRPr="00D86314">
        <w:rPr>
          <w:noProof/>
        </w:rPr>
        <w:t xml:space="preserve">stable in the near term, but decline </w:t>
      </w:r>
      <w:r w:rsidR="009D5FF8" w:rsidRPr="00D86314">
        <w:rPr>
          <w:noProof/>
        </w:rPr>
        <w:t>over time</w:t>
      </w:r>
      <w:r w:rsidRPr="00D86314">
        <w:rPr>
          <w:noProof/>
        </w:rPr>
        <w:t xml:space="preserve"> as customers transition (or are upgraded by their existing cable operators) to more performant and energy efficient FTTH/B. Meanwhile FWA penetration is expected to </w:t>
      </w:r>
      <w:r w:rsidR="00784C45" w:rsidRPr="00D86314">
        <w:rPr>
          <w:noProof/>
        </w:rPr>
        <w:t xml:space="preserve">increase </w:t>
      </w:r>
      <w:r w:rsidRPr="00D86314">
        <w:rPr>
          <w:noProof/>
        </w:rPr>
        <w:t xml:space="preserve">from a low base as 5G FWA offers </w:t>
      </w:r>
      <w:r w:rsidR="00784C45" w:rsidRPr="00D86314">
        <w:rPr>
          <w:noProof/>
        </w:rPr>
        <w:t>expand</w:t>
      </w:r>
      <w:r w:rsidRPr="00D86314">
        <w:rPr>
          <w:noProof/>
        </w:rPr>
        <w:t xml:space="preserve"> and</w:t>
      </w:r>
      <w:r w:rsidRPr="00D86314" w:rsidDel="002A774C">
        <w:rPr>
          <w:noProof/>
        </w:rPr>
        <w:t xml:space="preserve"> </w:t>
      </w:r>
      <w:r w:rsidRPr="00D86314">
        <w:rPr>
          <w:noProof/>
        </w:rPr>
        <w:t>replace DSL, in particular in less dense areas or in countries where FTTH/B is less widespread.</w:t>
      </w:r>
    </w:p>
    <w:p w14:paraId="522F3A7B" w14:textId="6F62B00D" w:rsidR="00EA5706" w:rsidRPr="00D86314" w:rsidRDefault="00784C45" w:rsidP="00EA5706">
      <w:pPr>
        <w:rPr>
          <w:noProof/>
        </w:rPr>
      </w:pPr>
      <w:r w:rsidRPr="00D86314">
        <w:rPr>
          <w:noProof/>
        </w:rPr>
        <w:t>Projected</w:t>
      </w:r>
      <w:r w:rsidR="00EA5706" w:rsidRPr="00D86314" w:rsidDel="00784C45">
        <w:rPr>
          <w:noProof/>
        </w:rPr>
        <w:t xml:space="preserve"> </w:t>
      </w:r>
      <w:r w:rsidR="00EA5706" w:rsidRPr="00D86314">
        <w:rPr>
          <w:noProof/>
        </w:rPr>
        <w:t xml:space="preserve">FTTH penetration under options 1, 2 and 4 includes the impact of a </w:t>
      </w:r>
      <w:r w:rsidR="002A07F1" w:rsidRPr="00D86314">
        <w:rPr>
          <w:noProof/>
        </w:rPr>
        <w:t>“</w:t>
      </w:r>
      <w:r w:rsidR="00EA5706" w:rsidRPr="00D86314">
        <w:rPr>
          <w:noProof/>
        </w:rPr>
        <w:t>right to connectivity</w:t>
      </w:r>
      <w:r w:rsidR="002A07F1" w:rsidRPr="00D86314">
        <w:rPr>
          <w:noProof/>
        </w:rPr>
        <w:t>”</w:t>
      </w:r>
      <w:r w:rsidR="00EA5706" w:rsidRPr="00D86314">
        <w:rPr>
          <w:noProof/>
        </w:rPr>
        <w:t xml:space="preserve"> for consumers in regions </w:t>
      </w:r>
      <w:r w:rsidR="002A07F1" w:rsidRPr="00D86314">
        <w:rPr>
          <w:noProof/>
        </w:rPr>
        <w:t>with close to full</w:t>
      </w:r>
      <w:r w:rsidR="00EA5706" w:rsidRPr="00D86314">
        <w:rPr>
          <w:noProof/>
        </w:rPr>
        <w:t xml:space="preserve"> FTTH</w:t>
      </w:r>
      <w:r w:rsidR="002A07F1" w:rsidRPr="00D86314">
        <w:rPr>
          <w:noProof/>
        </w:rPr>
        <w:t xml:space="preserve"> coverage</w:t>
      </w:r>
      <w:r w:rsidR="00EA5706" w:rsidRPr="00D86314">
        <w:rPr>
          <w:noProof/>
        </w:rPr>
        <w:t xml:space="preserve">. In </w:t>
      </w:r>
      <w:r w:rsidR="002A07F1" w:rsidRPr="00D86314">
        <w:rPr>
          <w:noProof/>
        </w:rPr>
        <w:t xml:space="preserve">such </w:t>
      </w:r>
      <w:r w:rsidR="00EA5706" w:rsidRPr="00D86314">
        <w:rPr>
          <w:noProof/>
        </w:rPr>
        <w:t xml:space="preserve">regions, the right to connectivity </w:t>
      </w:r>
      <w:r w:rsidR="00A5630B" w:rsidRPr="00D86314">
        <w:rPr>
          <w:noProof/>
        </w:rPr>
        <w:t>enables</w:t>
      </w:r>
      <w:r w:rsidR="00EA5706" w:rsidRPr="00D86314" w:rsidDel="00347BC4">
        <w:rPr>
          <w:noProof/>
        </w:rPr>
        <w:t xml:space="preserve"> </w:t>
      </w:r>
      <w:r w:rsidR="00EA5706" w:rsidRPr="00D86314">
        <w:rPr>
          <w:noProof/>
        </w:rPr>
        <w:t xml:space="preserve">homes passed </w:t>
      </w:r>
      <w:r w:rsidR="00347BC4" w:rsidRPr="00D86314">
        <w:rPr>
          <w:noProof/>
        </w:rPr>
        <w:t xml:space="preserve">by fibre (within a distance </w:t>
      </w:r>
      <w:r w:rsidR="00EA5706" w:rsidRPr="00D86314">
        <w:rPr>
          <w:noProof/>
        </w:rPr>
        <w:t>defined by the competent authority</w:t>
      </w:r>
      <w:r w:rsidR="00347BC4" w:rsidRPr="00D86314">
        <w:rPr>
          <w:noProof/>
        </w:rPr>
        <w:t>)</w:t>
      </w:r>
      <w:r w:rsidR="00EA5706" w:rsidRPr="00D86314">
        <w:rPr>
          <w:noProof/>
        </w:rPr>
        <w:t xml:space="preserve"> </w:t>
      </w:r>
      <w:r w:rsidR="003913B3" w:rsidRPr="00D86314">
        <w:rPr>
          <w:noProof/>
        </w:rPr>
        <w:t xml:space="preserve">to be </w:t>
      </w:r>
      <w:r w:rsidR="00EA5706" w:rsidRPr="00D86314">
        <w:rPr>
          <w:noProof/>
        </w:rPr>
        <w:t xml:space="preserve">connected </w:t>
      </w:r>
      <w:r w:rsidR="00EA5706" w:rsidRPr="00D86314" w:rsidDel="003913B3">
        <w:rPr>
          <w:noProof/>
        </w:rPr>
        <w:t xml:space="preserve">to </w:t>
      </w:r>
      <w:r w:rsidR="00F83E57" w:rsidRPr="00D86314">
        <w:rPr>
          <w:noProof/>
        </w:rPr>
        <w:t xml:space="preserve">FTTH </w:t>
      </w:r>
      <w:r w:rsidR="00EA5706" w:rsidRPr="00D86314">
        <w:rPr>
          <w:noProof/>
        </w:rPr>
        <w:t>at a standard tariff.</w:t>
      </w:r>
      <w:r w:rsidR="00EA5706" w:rsidRPr="00D86314">
        <w:rPr>
          <w:rStyle w:val="FootnoteReference"/>
          <w:noProof/>
        </w:rPr>
        <w:footnoteReference w:id="9"/>
      </w:r>
      <w:r w:rsidR="00EA5706" w:rsidRPr="00D86314">
        <w:rPr>
          <w:noProof/>
        </w:rPr>
        <w:t xml:space="preserve"> This </w:t>
      </w:r>
      <w:r w:rsidR="00AB1627" w:rsidRPr="00D86314">
        <w:rPr>
          <w:noProof/>
        </w:rPr>
        <w:t xml:space="preserve">applies </w:t>
      </w:r>
      <w:r w:rsidR="00EA5706" w:rsidRPr="00D86314">
        <w:rPr>
          <w:noProof/>
        </w:rPr>
        <w:t xml:space="preserve">only to regions where the </w:t>
      </w:r>
      <w:r w:rsidR="00AB1627" w:rsidRPr="00D86314">
        <w:rPr>
          <w:noProof/>
        </w:rPr>
        <w:t xml:space="preserve">fibre </w:t>
      </w:r>
      <w:r w:rsidR="00EA5706" w:rsidRPr="00D86314">
        <w:rPr>
          <w:noProof/>
        </w:rPr>
        <w:t xml:space="preserve">network has been commercially rolled out. </w:t>
      </w:r>
    </w:p>
    <w:p w14:paraId="78E361A3" w14:textId="77777777" w:rsidR="00EA5706" w:rsidRPr="00D86314" w:rsidRDefault="00EA5706" w:rsidP="00EA5706">
      <w:pPr>
        <w:rPr>
          <w:noProof/>
        </w:rPr>
      </w:pPr>
      <w:r w:rsidRPr="00D86314">
        <w:rPr>
          <w:noProof/>
        </w:rPr>
        <w:t xml:space="preserve">The graphs below show the technology mix (share of technology in % of households) including FTTH penetration associated with each option. </w:t>
      </w:r>
    </w:p>
    <w:p w14:paraId="4625AC11" w14:textId="6647FB2A" w:rsidR="00EA5706" w:rsidRPr="00D86314" w:rsidRDefault="00EA5706" w:rsidP="00EA5706">
      <w:pPr>
        <w:pStyle w:val="Abbberschrift"/>
        <w:rPr>
          <w:rFonts w:ascii="Times New Roman" w:hAnsi="Times New Roman"/>
          <w:i/>
          <w:noProof/>
        </w:rPr>
      </w:pPr>
      <w:bookmarkStart w:id="50" w:name="_Toc206774077"/>
      <w:r w:rsidRPr="00D86314">
        <w:rPr>
          <w:rFonts w:ascii="Times New Roman" w:hAnsi="Times New Roman"/>
          <w:i/>
          <w:noProof/>
        </w:rPr>
        <w:t xml:space="preserve">Figure </w:t>
      </w:r>
      <w:r w:rsidR="00753721" w:rsidRPr="00D86314">
        <w:rPr>
          <w:rFonts w:ascii="Times New Roman" w:hAnsi="Times New Roman"/>
          <w:i/>
          <w:noProof/>
        </w:rPr>
        <w:t>A4 1</w:t>
      </w:r>
      <w:r w:rsidR="001F10E6" w:rsidRPr="00D86314">
        <w:rPr>
          <w:rFonts w:ascii="Times New Roman" w:hAnsi="Times New Roman"/>
          <w:i/>
          <w:noProof/>
        </w:rPr>
        <w:noBreakHyphen/>
      </w:r>
      <w:r w:rsidR="00E122E2">
        <w:rPr>
          <w:rFonts w:ascii="Times New Roman" w:hAnsi="Times New Roman"/>
          <w:i/>
          <w:noProof/>
        </w:rPr>
        <w:t>6</w:t>
      </w:r>
      <w:r w:rsidRPr="00D86314">
        <w:rPr>
          <w:rFonts w:ascii="Times New Roman" w:hAnsi="Times New Roman"/>
          <w:i/>
          <w:noProof/>
        </w:rPr>
        <w:t>: Technology shares by option in 2030 (in % of households)</w:t>
      </w:r>
      <w:bookmarkEnd w:id="50"/>
    </w:p>
    <w:p w14:paraId="2E46D9C6" w14:textId="77777777" w:rsidR="00EA5706" w:rsidRPr="00D86314" w:rsidRDefault="00EA5706" w:rsidP="00EA5706">
      <w:pPr>
        <w:rPr>
          <w:noProof/>
        </w:rPr>
      </w:pPr>
      <w:r w:rsidRPr="00E46BC9">
        <w:rPr>
          <w:noProof/>
          <w:lang w:eastAsia="en-GB"/>
        </w:rPr>
        <w:drawing>
          <wp:inline distT="0" distB="0" distL="0" distR="0" wp14:anchorId="6C7DC426" wp14:editId="243F670E">
            <wp:extent cx="5258095" cy="3306692"/>
            <wp:effectExtent l="0" t="0" r="0" b="8255"/>
            <wp:docPr id="138668544" name="Grafik 9" descr="A graph of data with numbers and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68544" name="Grafik 9" descr="A graph of data with numbers and percentage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9686" cy="3313982"/>
                    </a:xfrm>
                    <a:prstGeom prst="rect">
                      <a:avLst/>
                    </a:prstGeom>
                    <a:noFill/>
                  </pic:spPr>
                </pic:pic>
              </a:graphicData>
            </a:graphic>
          </wp:inline>
        </w:drawing>
      </w:r>
    </w:p>
    <w:p w14:paraId="6F1D5359" w14:textId="77777777" w:rsidR="00EA5706" w:rsidRPr="00D86314" w:rsidRDefault="00EA5706" w:rsidP="00EA5706">
      <w:pPr>
        <w:pStyle w:val="Quelle"/>
        <w:rPr>
          <w:rFonts w:ascii="Times New Roman" w:hAnsi="Times New Roman"/>
          <w:noProof/>
        </w:rPr>
      </w:pPr>
      <w:r w:rsidRPr="00D86314">
        <w:rPr>
          <w:rFonts w:ascii="Times New Roman" w:hAnsi="Times New Roman"/>
          <w:noProof/>
        </w:rPr>
        <w:t>Source: WIK-Consult.</w:t>
      </w:r>
    </w:p>
    <w:p w14:paraId="5313760A" w14:textId="730CDE92" w:rsidR="00EA5706" w:rsidRPr="00D86314" w:rsidRDefault="00EA5706" w:rsidP="00EA5706">
      <w:pPr>
        <w:pStyle w:val="Abbberschrift"/>
        <w:rPr>
          <w:rFonts w:ascii="Times New Roman" w:hAnsi="Times New Roman"/>
          <w:i/>
          <w:noProof/>
        </w:rPr>
      </w:pPr>
      <w:bookmarkStart w:id="51" w:name="_Ref207962861"/>
      <w:bookmarkStart w:id="52" w:name="_Toc206774078"/>
      <w:r w:rsidRPr="00D86314">
        <w:rPr>
          <w:rFonts w:ascii="Times New Roman" w:hAnsi="Times New Roman"/>
          <w:i/>
          <w:noProof/>
        </w:rPr>
        <w:t xml:space="preserve">Figure </w:t>
      </w:r>
      <w:r w:rsidR="00753721" w:rsidRPr="00D86314">
        <w:rPr>
          <w:rFonts w:ascii="Times New Roman" w:hAnsi="Times New Roman"/>
          <w:i/>
          <w:noProof/>
        </w:rPr>
        <w:t>A4 1</w:t>
      </w:r>
      <w:bookmarkEnd w:id="51"/>
      <w:r w:rsidR="001F10E6" w:rsidRPr="00D86314">
        <w:rPr>
          <w:rFonts w:ascii="Times New Roman" w:hAnsi="Times New Roman"/>
          <w:i/>
          <w:noProof/>
        </w:rPr>
        <w:noBreakHyphen/>
      </w:r>
      <w:r w:rsidR="00E122E2">
        <w:rPr>
          <w:rFonts w:ascii="Times New Roman" w:hAnsi="Times New Roman"/>
          <w:i/>
          <w:noProof/>
        </w:rPr>
        <w:t>7</w:t>
      </w:r>
      <w:r w:rsidRPr="00D86314">
        <w:rPr>
          <w:rFonts w:ascii="Times New Roman" w:hAnsi="Times New Roman"/>
          <w:i/>
          <w:noProof/>
        </w:rPr>
        <w:t>:Technology shares by option in 2035 (in % of households)</w:t>
      </w:r>
      <w:bookmarkEnd w:id="52"/>
    </w:p>
    <w:p w14:paraId="2CA44F73" w14:textId="77777777" w:rsidR="00EA5706" w:rsidRPr="00D86314" w:rsidRDefault="00EA5706" w:rsidP="00EA5706">
      <w:pPr>
        <w:rPr>
          <w:noProof/>
        </w:rPr>
      </w:pPr>
      <w:r w:rsidRPr="00E46BC9">
        <w:rPr>
          <w:noProof/>
          <w:lang w:eastAsia="en-GB"/>
        </w:rPr>
        <w:drawing>
          <wp:inline distT="0" distB="0" distL="0" distR="0" wp14:anchorId="7B4C5154" wp14:editId="2F61541C">
            <wp:extent cx="5417584" cy="3617607"/>
            <wp:effectExtent l="0" t="0" r="0" b="1905"/>
            <wp:docPr id="539508978" name="Grafik 10"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08978" name="Grafik 10" descr="A graph of different colored bar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25210" cy="3622699"/>
                    </a:xfrm>
                    <a:prstGeom prst="rect">
                      <a:avLst/>
                    </a:prstGeom>
                    <a:noFill/>
                  </pic:spPr>
                </pic:pic>
              </a:graphicData>
            </a:graphic>
          </wp:inline>
        </w:drawing>
      </w:r>
    </w:p>
    <w:p w14:paraId="3688C53F" w14:textId="77777777" w:rsidR="00EA5706" w:rsidRPr="00D86314" w:rsidRDefault="00EA5706" w:rsidP="00EA5706">
      <w:pPr>
        <w:pStyle w:val="Quelle"/>
        <w:rPr>
          <w:rFonts w:ascii="Times New Roman" w:hAnsi="Times New Roman"/>
          <w:noProof/>
        </w:rPr>
      </w:pPr>
      <w:r w:rsidRPr="00D86314">
        <w:rPr>
          <w:rFonts w:ascii="Times New Roman" w:hAnsi="Times New Roman"/>
          <w:noProof/>
        </w:rPr>
        <w:t>Source: WIK-Consult.</w:t>
      </w:r>
    </w:p>
    <w:p w14:paraId="3803CCE4" w14:textId="07468FD5" w:rsidR="00EA5706" w:rsidRPr="00D86314" w:rsidRDefault="00EA5706" w:rsidP="00EA5706">
      <w:pPr>
        <w:keepNext/>
        <w:rPr>
          <w:b/>
          <w:bCs/>
          <w:noProof/>
          <w:u w:val="single"/>
        </w:rPr>
      </w:pPr>
      <w:r w:rsidRPr="00D86314">
        <w:rPr>
          <w:b/>
          <w:bCs/>
          <w:noProof/>
          <w:u w:val="single"/>
        </w:rPr>
        <w:t>Universal Service Obligation</w:t>
      </w:r>
    </w:p>
    <w:p w14:paraId="04D819DA" w14:textId="3F223281" w:rsidR="00EA5706" w:rsidRPr="00D86314" w:rsidRDefault="00420292" w:rsidP="00EA5706">
      <w:pPr>
        <w:rPr>
          <w:noProof/>
        </w:rPr>
      </w:pPr>
      <w:r w:rsidRPr="00D86314">
        <w:rPr>
          <w:noProof/>
        </w:rPr>
        <w:t>T</w:t>
      </w:r>
      <w:r w:rsidR="00EA5706" w:rsidRPr="00D86314">
        <w:rPr>
          <w:noProof/>
        </w:rPr>
        <w:t xml:space="preserve">o estimate the impact of USO affordability measures on gigabit take-up among consumers with low incomes or special social needs, </w:t>
      </w:r>
      <w:r w:rsidR="00D356C5" w:rsidRPr="00D86314">
        <w:rPr>
          <w:noProof/>
        </w:rPr>
        <w:t>it was</w:t>
      </w:r>
      <w:r w:rsidR="00EA5706" w:rsidRPr="00D86314">
        <w:rPr>
          <w:noProof/>
        </w:rPr>
        <w:t xml:space="preserve"> first analysed which Member States are likely to introduce affordability measures at a gigabit level for each option, and then estimate the subsequent take-up of those measures. </w:t>
      </w:r>
      <w:r w:rsidR="009F66D1" w:rsidRPr="00D86314">
        <w:rPr>
          <w:noProof/>
        </w:rPr>
        <w:t xml:space="preserve">Under </w:t>
      </w:r>
      <w:r w:rsidR="00EA5706" w:rsidRPr="00D86314">
        <w:rPr>
          <w:noProof/>
        </w:rPr>
        <w:t>option 1</w:t>
      </w:r>
      <w:r w:rsidR="009F66D1" w:rsidRPr="00D86314">
        <w:rPr>
          <w:noProof/>
        </w:rPr>
        <w:t>,</w:t>
      </w:r>
      <w:r w:rsidR="00EA5706" w:rsidRPr="00D86314">
        <w:rPr>
          <w:noProof/>
        </w:rPr>
        <w:t xml:space="preserve"> no Member State is expected to define adequate broadband at a gigabit level.</w:t>
      </w:r>
    </w:p>
    <w:p w14:paraId="71647D8F" w14:textId="6A4176FD" w:rsidR="00EA5706" w:rsidRPr="00D86314" w:rsidRDefault="00EA5706" w:rsidP="00EA5706">
      <w:pPr>
        <w:rPr>
          <w:noProof/>
        </w:rPr>
      </w:pPr>
      <w:r w:rsidRPr="00D86314">
        <w:rPr>
          <w:noProof/>
        </w:rPr>
        <w:t xml:space="preserve">As </w:t>
      </w:r>
      <w:r w:rsidR="004C6805" w:rsidRPr="00D86314">
        <w:rPr>
          <w:noProof/>
        </w:rPr>
        <w:t xml:space="preserve">noted </w:t>
      </w:r>
      <w:r w:rsidRPr="00D86314">
        <w:rPr>
          <w:noProof/>
        </w:rPr>
        <w:t xml:space="preserve">in earlier sections, the most popular tariff in France, Romania, Spain, Portugal, Ireland, Denmark, Hungary, Latvia and Luxembourg </w:t>
      </w:r>
      <w:r w:rsidR="00D73365" w:rsidRPr="00D86314">
        <w:rPr>
          <w:noProof/>
        </w:rPr>
        <w:t xml:space="preserve">is expected to </w:t>
      </w:r>
      <w:r w:rsidRPr="00D86314">
        <w:rPr>
          <w:noProof/>
        </w:rPr>
        <w:t>be a gigabit tariff by 2035. Consequently, the affordability measures imposed on consumers with low incomes and special social needs under option 2 will impact gigabit take-up in these Member States.</w:t>
      </w:r>
    </w:p>
    <w:p w14:paraId="3731CE16" w14:textId="77777777" w:rsidR="00EA5706" w:rsidRPr="00D86314" w:rsidRDefault="00EA5706" w:rsidP="00EA5706">
      <w:pPr>
        <w:rPr>
          <w:noProof/>
        </w:rPr>
      </w:pPr>
      <w:r w:rsidRPr="00D86314">
        <w:rPr>
          <w:noProof/>
        </w:rPr>
        <w:t>As option 3 phases out the affordability provision, this option will not have an impact on gigabit take-up.</w:t>
      </w:r>
    </w:p>
    <w:p w14:paraId="0CBBF4A4" w14:textId="57009F70" w:rsidR="00EA5706" w:rsidRPr="00D86314" w:rsidRDefault="00EA5706" w:rsidP="00EA5706">
      <w:pPr>
        <w:rPr>
          <w:noProof/>
        </w:rPr>
      </w:pPr>
      <w:r w:rsidRPr="00D86314">
        <w:rPr>
          <w:noProof/>
        </w:rPr>
        <w:t xml:space="preserve">Option 4 updates adequate broadband to a gigabit level by 2030. </w:t>
      </w:r>
      <w:r w:rsidR="00AB34AE" w:rsidRPr="00D86314">
        <w:rPr>
          <w:noProof/>
        </w:rPr>
        <w:t>A</w:t>
      </w:r>
      <w:r w:rsidRPr="00D86314">
        <w:rPr>
          <w:noProof/>
        </w:rPr>
        <w:t xml:space="preserve">ll Member States, except those addressing universal service </w:t>
      </w:r>
      <w:r w:rsidR="00C249A5" w:rsidRPr="00D86314">
        <w:rPr>
          <w:noProof/>
        </w:rPr>
        <w:t xml:space="preserve">entirely </w:t>
      </w:r>
      <w:r w:rsidRPr="00D86314">
        <w:rPr>
          <w:noProof/>
        </w:rPr>
        <w:t xml:space="preserve">outside the </w:t>
      </w:r>
      <w:r w:rsidR="00C249A5" w:rsidRPr="00D86314">
        <w:rPr>
          <w:noProof/>
        </w:rPr>
        <w:t>USO regime</w:t>
      </w:r>
      <w:r w:rsidR="00413857" w:rsidRPr="00D86314">
        <w:rPr>
          <w:noProof/>
        </w:rPr>
        <w:t xml:space="preserve"> are expected to</w:t>
      </w:r>
      <w:r w:rsidRPr="00D86314">
        <w:rPr>
          <w:noProof/>
        </w:rPr>
        <w:t xml:space="preserve"> implement affordability measures.</w:t>
      </w:r>
    </w:p>
    <w:p w14:paraId="21A4F878" w14:textId="43ADBCBD" w:rsidR="00EA5706" w:rsidRPr="00D86314" w:rsidRDefault="00EA5706" w:rsidP="00EA5706">
      <w:pPr>
        <w:rPr>
          <w:noProof/>
        </w:rPr>
      </w:pPr>
      <w:r w:rsidRPr="00D86314">
        <w:rPr>
          <w:noProof/>
        </w:rPr>
        <w:t xml:space="preserve">To estimate take-up of affordability measures, </w:t>
      </w:r>
      <w:r w:rsidR="00BE070B" w:rsidRPr="00D86314">
        <w:rPr>
          <w:noProof/>
        </w:rPr>
        <w:t xml:space="preserve">the analysis relies </w:t>
      </w:r>
      <w:r w:rsidR="00EB1A45" w:rsidRPr="00D86314">
        <w:rPr>
          <w:noProof/>
        </w:rPr>
        <w:t xml:space="preserve">on </w:t>
      </w:r>
      <w:r w:rsidRPr="00D86314">
        <w:rPr>
          <w:noProof/>
        </w:rPr>
        <w:t>the current proportion of consumers with low incomes or special social needs who benefit from these measures, as reported by the NRAs. Six NRAs have provided these figures:</w:t>
      </w:r>
    </w:p>
    <w:p w14:paraId="50DCD29C" w14:textId="0CED7133" w:rsidR="00EA5706" w:rsidRPr="00D86314" w:rsidRDefault="00EA5706" w:rsidP="00EA5706">
      <w:pPr>
        <w:pStyle w:val="Tabberschrift"/>
        <w:rPr>
          <w:rFonts w:ascii="Times New Roman" w:hAnsi="Times New Roman"/>
          <w:noProof/>
        </w:rPr>
      </w:pPr>
      <w:bookmarkStart w:id="53" w:name="_Toc202973182"/>
      <w:bookmarkStart w:id="54" w:name="_Toc214231338"/>
      <w:r w:rsidRPr="00D86314">
        <w:rPr>
          <w:rFonts w:ascii="Times New Roman" w:hAnsi="Times New Roman"/>
          <w:noProof/>
        </w:rPr>
        <w:t xml:space="preserve">Table </w:t>
      </w:r>
      <w:r w:rsidR="00753721" w:rsidRPr="00D86314">
        <w:rPr>
          <w:rFonts w:ascii="Times New Roman" w:hAnsi="Times New Roman"/>
          <w:noProof/>
        </w:rPr>
        <w:t>A4 1</w:t>
      </w:r>
      <w:r w:rsidRPr="00D86314">
        <w:rPr>
          <w:rFonts w:ascii="Times New Roman" w:hAnsi="Times New Roman"/>
          <w:noProof/>
        </w:rPr>
        <w:noBreakHyphen/>
      </w:r>
      <w:r w:rsidR="00F93BC8" w:rsidRPr="00D86314">
        <w:rPr>
          <w:rFonts w:ascii="Times New Roman" w:hAnsi="Times New Roman"/>
          <w:noProof/>
        </w:rPr>
        <w:t>3</w:t>
      </w:r>
      <w:r w:rsidRPr="00D86314">
        <w:rPr>
          <w:rFonts w:ascii="Times New Roman" w:hAnsi="Times New Roman"/>
          <w:noProof/>
        </w:rPr>
        <w:t>:Beneficiaries of currently applied affordability measures for consumers with low income or special social needs (Ø 2021-2024)</w:t>
      </w:r>
      <w:bookmarkEnd w:id="53"/>
      <w:bookmarkEnd w:id="54"/>
    </w:p>
    <w:tbl>
      <w:tblPr>
        <w:tblStyle w:val="TableGridLight"/>
        <w:tblW w:w="5000" w:type="pct"/>
        <w:tblBorders>
          <w:top w:val="single" w:sz="4" w:space="0" w:color="0C4DA2"/>
          <w:left w:val="single" w:sz="4" w:space="0" w:color="0C4DA2"/>
          <w:bottom w:val="single" w:sz="4" w:space="0" w:color="0C4DA2"/>
          <w:right w:val="single" w:sz="4" w:space="0" w:color="0C4DA2"/>
          <w:insideH w:val="single" w:sz="4" w:space="0" w:color="0C4DA2"/>
          <w:insideV w:val="single" w:sz="4" w:space="0" w:color="0C4DA2"/>
        </w:tblBorders>
        <w:tblLook w:val="04A0" w:firstRow="1" w:lastRow="0" w:firstColumn="1" w:lastColumn="0" w:noHBand="0" w:noVBand="1"/>
      </w:tblPr>
      <w:tblGrid>
        <w:gridCol w:w="1431"/>
        <w:gridCol w:w="1271"/>
        <w:gridCol w:w="1271"/>
        <w:gridCol w:w="1112"/>
        <w:gridCol w:w="1306"/>
        <w:gridCol w:w="1242"/>
        <w:gridCol w:w="974"/>
        <w:gridCol w:w="995"/>
      </w:tblGrid>
      <w:tr w:rsidR="00EA5706" w:rsidRPr="00D86314" w14:paraId="2F9D39AE" w14:textId="77777777">
        <w:tc>
          <w:tcPr>
            <w:tcW w:w="745" w:type="pct"/>
            <w:shd w:val="clear" w:color="auto" w:fill="0C4DA2"/>
          </w:tcPr>
          <w:p w14:paraId="42887B4B" w14:textId="77777777" w:rsidR="00EA5706" w:rsidRPr="00D86314" w:rsidRDefault="00EA5706">
            <w:pPr>
              <w:keepNext/>
              <w:spacing w:before="40" w:after="40"/>
              <w:rPr>
                <w:rFonts w:asciiTheme="minorHAnsi" w:hAnsiTheme="minorHAnsi" w:cstheme="minorHAnsi"/>
                <w:noProof/>
                <w:color w:val="FFFFFF" w:themeColor="background1"/>
                <w:sz w:val="18"/>
                <w:szCs w:val="18"/>
              </w:rPr>
            </w:pPr>
          </w:p>
        </w:tc>
        <w:tc>
          <w:tcPr>
            <w:tcW w:w="662" w:type="pct"/>
            <w:shd w:val="clear" w:color="auto" w:fill="0C4DA2"/>
          </w:tcPr>
          <w:p w14:paraId="08EED72C" w14:textId="77777777" w:rsidR="00EA5706" w:rsidRPr="00D86314" w:rsidRDefault="00EA5706">
            <w:pPr>
              <w:keepNext/>
              <w:spacing w:before="40" w:after="40"/>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Belgium</w:t>
            </w:r>
          </w:p>
        </w:tc>
        <w:tc>
          <w:tcPr>
            <w:tcW w:w="662" w:type="pct"/>
            <w:shd w:val="clear" w:color="auto" w:fill="0C4DA2"/>
          </w:tcPr>
          <w:p w14:paraId="4DC16E2D" w14:textId="77777777" w:rsidR="00EA5706" w:rsidRPr="00D86314" w:rsidRDefault="00EA5706">
            <w:pPr>
              <w:keepNext/>
              <w:spacing w:before="40" w:after="40"/>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Bulgaria</w:t>
            </w:r>
          </w:p>
        </w:tc>
        <w:tc>
          <w:tcPr>
            <w:tcW w:w="579" w:type="pct"/>
            <w:shd w:val="clear" w:color="auto" w:fill="0C4DA2"/>
          </w:tcPr>
          <w:p w14:paraId="10ACA139" w14:textId="77777777" w:rsidR="00EA5706" w:rsidRPr="00D86314" w:rsidRDefault="00EA5706">
            <w:pPr>
              <w:keepNext/>
              <w:spacing w:before="40" w:after="40"/>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Cyprus</w:t>
            </w:r>
          </w:p>
        </w:tc>
        <w:tc>
          <w:tcPr>
            <w:tcW w:w="680" w:type="pct"/>
            <w:shd w:val="clear" w:color="auto" w:fill="0C4DA2"/>
          </w:tcPr>
          <w:p w14:paraId="49B1B843" w14:textId="77777777" w:rsidR="00EA5706" w:rsidRPr="00D86314" w:rsidRDefault="00EA5706">
            <w:pPr>
              <w:keepNext/>
              <w:spacing w:before="40" w:after="40"/>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Czech Republic</w:t>
            </w:r>
          </w:p>
        </w:tc>
        <w:tc>
          <w:tcPr>
            <w:tcW w:w="647" w:type="pct"/>
            <w:shd w:val="clear" w:color="auto" w:fill="0C4DA2"/>
          </w:tcPr>
          <w:p w14:paraId="41F6B0CA" w14:textId="77777777" w:rsidR="00EA5706" w:rsidRPr="00D86314" w:rsidRDefault="00EA5706">
            <w:pPr>
              <w:keepNext/>
              <w:spacing w:before="40" w:after="40"/>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Hungary</w:t>
            </w:r>
          </w:p>
        </w:tc>
        <w:tc>
          <w:tcPr>
            <w:tcW w:w="507" w:type="pct"/>
            <w:shd w:val="clear" w:color="auto" w:fill="0C4DA2"/>
          </w:tcPr>
          <w:p w14:paraId="2FE9160B" w14:textId="77777777" w:rsidR="00EA5706" w:rsidRPr="00D86314" w:rsidRDefault="00EA5706">
            <w:pPr>
              <w:keepNext/>
              <w:spacing w:before="40" w:after="40"/>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Spain</w:t>
            </w:r>
          </w:p>
        </w:tc>
        <w:tc>
          <w:tcPr>
            <w:tcW w:w="519" w:type="pct"/>
            <w:shd w:val="clear" w:color="auto" w:fill="0C4DA2"/>
          </w:tcPr>
          <w:p w14:paraId="1BFF639D" w14:textId="77777777" w:rsidR="00EA5706" w:rsidRPr="00D86314" w:rsidRDefault="00EA5706">
            <w:pPr>
              <w:keepNext/>
              <w:spacing w:before="40" w:after="40"/>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Ø</w:t>
            </w:r>
          </w:p>
        </w:tc>
      </w:tr>
      <w:tr w:rsidR="00EA5706" w:rsidRPr="00D86314" w14:paraId="75BC5975" w14:textId="77777777">
        <w:tc>
          <w:tcPr>
            <w:tcW w:w="745" w:type="pct"/>
          </w:tcPr>
          <w:p w14:paraId="3DBA922A" w14:textId="77777777" w:rsidR="00EA5706" w:rsidRPr="00D86314" w:rsidRDefault="00EA5706">
            <w:pPr>
              <w:keepNext/>
              <w:spacing w:before="60" w:after="60"/>
              <w:rPr>
                <w:rFonts w:asciiTheme="minorHAnsi" w:hAnsiTheme="minorHAnsi" w:cstheme="minorHAnsi"/>
                <w:noProof/>
                <w:sz w:val="18"/>
                <w:szCs w:val="18"/>
              </w:rPr>
            </w:pPr>
            <w:r w:rsidRPr="00D86314">
              <w:rPr>
                <w:rFonts w:asciiTheme="minorHAnsi" w:hAnsiTheme="minorHAnsi" w:cstheme="minorHAnsi"/>
                <w:noProof/>
                <w:sz w:val="18"/>
                <w:szCs w:val="18"/>
              </w:rPr>
              <w:t>Total</w:t>
            </w:r>
          </w:p>
        </w:tc>
        <w:tc>
          <w:tcPr>
            <w:tcW w:w="662" w:type="pct"/>
          </w:tcPr>
          <w:p w14:paraId="398639D0" w14:textId="659EC2C6"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200</w:t>
            </w:r>
            <w:r w:rsidR="00F53F9A">
              <w:rPr>
                <w:rFonts w:asciiTheme="minorHAnsi" w:hAnsiTheme="minorHAnsi" w:cstheme="minorHAnsi"/>
                <w:noProof/>
                <w:color w:val="000000"/>
                <w:sz w:val="18"/>
                <w:szCs w:val="18"/>
              </w:rPr>
              <w:t> </w:t>
            </w:r>
            <w:r w:rsidRPr="00D86314">
              <w:rPr>
                <w:rFonts w:asciiTheme="minorHAnsi" w:hAnsiTheme="minorHAnsi" w:cstheme="minorHAnsi"/>
                <w:noProof/>
                <w:color w:val="000000"/>
                <w:sz w:val="18"/>
                <w:szCs w:val="18"/>
              </w:rPr>
              <w:t>529</w:t>
            </w:r>
          </w:p>
        </w:tc>
        <w:tc>
          <w:tcPr>
            <w:tcW w:w="662" w:type="pct"/>
          </w:tcPr>
          <w:p w14:paraId="6D64B142" w14:textId="16A30CA9"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115</w:t>
            </w:r>
            <w:r w:rsidR="00F53F9A">
              <w:rPr>
                <w:rFonts w:asciiTheme="minorHAnsi" w:hAnsiTheme="minorHAnsi" w:cstheme="minorHAnsi"/>
                <w:noProof/>
                <w:color w:val="000000"/>
                <w:sz w:val="18"/>
                <w:szCs w:val="18"/>
              </w:rPr>
              <w:t> </w:t>
            </w:r>
            <w:r w:rsidRPr="00D86314">
              <w:rPr>
                <w:rFonts w:asciiTheme="minorHAnsi" w:hAnsiTheme="minorHAnsi" w:cstheme="minorHAnsi"/>
                <w:noProof/>
                <w:color w:val="000000"/>
                <w:sz w:val="18"/>
                <w:szCs w:val="18"/>
              </w:rPr>
              <w:t>379</w:t>
            </w:r>
          </w:p>
        </w:tc>
        <w:tc>
          <w:tcPr>
            <w:tcW w:w="579" w:type="pct"/>
          </w:tcPr>
          <w:p w14:paraId="4AF122DE" w14:textId="082963FF"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25</w:t>
            </w:r>
            <w:r w:rsidR="00F53F9A">
              <w:rPr>
                <w:rFonts w:asciiTheme="minorHAnsi" w:hAnsiTheme="minorHAnsi" w:cstheme="minorHAnsi"/>
                <w:noProof/>
                <w:color w:val="000000"/>
                <w:sz w:val="18"/>
                <w:szCs w:val="18"/>
              </w:rPr>
              <w:t> </w:t>
            </w:r>
            <w:r w:rsidRPr="00D86314">
              <w:rPr>
                <w:rFonts w:asciiTheme="minorHAnsi" w:hAnsiTheme="minorHAnsi" w:cstheme="minorHAnsi"/>
                <w:noProof/>
                <w:color w:val="000000"/>
                <w:sz w:val="18"/>
                <w:szCs w:val="18"/>
              </w:rPr>
              <w:t>853</w:t>
            </w:r>
          </w:p>
        </w:tc>
        <w:tc>
          <w:tcPr>
            <w:tcW w:w="680" w:type="pct"/>
          </w:tcPr>
          <w:p w14:paraId="1FD37C16" w14:textId="36EDF4BF"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27</w:t>
            </w:r>
            <w:r w:rsidR="00F53F9A">
              <w:rPr>
                <w:rFonts w:asciiTheme="minorHAnsi" w:hAnsiTheme="minorHAnsi" w:cstheme="minorHAnsi"/>
                <w:noProof/>
                <w:color w:val="000000"/>
                <w:sz w:val="18"/>
                <w:szCs w:val="18"/>
              </w:rPr>
              <w:t> </w:t>
            </w:r>
            <w:r w:rsidRPr="00D86314">
              <w:rPr>
                <w:rFonts w:asciiTheme="minorHAnsi" w:hAnsiTheme="minorHAnsi" w:cstheme="minorHAnsi"/>
                <w:noProof/>
                <w:color w:val="000000"/>
                <w:sz w:val="18"/>
                <w:szCs w:val="18"/>
              </w:rPr>
              <w:t>065</w:t>
            </w:r>
          </w:p>
        </w:tc>
        <w:tc>
          <w:tcPr>
            <w:tcW w:w="647" w:type="pct"/>
          </w:tcPr>
          <w:p w14:paraId="0F4C1EE1"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9</w:t>
            </w:r>
          </w:p>
        </w:tc>
        <w:tc>
          <w:tcPr>
            <w:tcW w:w="507" w:type="pct"/>
          </w:tcPr>
          <w:p w14:paraId="76494AC4" w14:textId="61D30552"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19</w:t>
            </w:r>
            <w:r w:rsidR="00F53F9A">
              <w:rPr>
                <w:rFonts w:asciiTheme="minorHAnsi" w:hAnsiTheme="minorHAnsi" w:cstheme="minorHAnsi"/>
                <w:noProof/>
                <w:color w:val="000000"/>
                <w:sz w:val="18"/>
                <w:szCs w:val="18"/>
              </w:rPr>
              <w:t> </w:t>
            </w:r>
            <w:r w:rsidRPr="00D86314">
              <w:rPr>
                <w:rFonts w:asciiTheme="minorHAnsi" w:hAnsiTheme="minorHAnsi" w:cstheme="minorHAnsi"/>
                <w:noProof/>
                <w:color w:val="000000"/>
                <w:sz w:val="18"/>
                <w:szCs w:val="18"/>
              </w:rPr>
              <w:t>186</w:t>
            </w:r>
          </w:p>
        </w:tc>
        <w:tc>
          <w:tcPr>
            <w:tcW w:w="519" w:type="pct"/>
          </w:tcPr>
          <w:p w14:paraId="74C647C5" w14:textId="778014FE"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sz w:val="18"/>
                <w:szCs w:val="18"/>
              </w:rPr>
              <w:t>64</w:t>
            </w:r>
            <w:r w:rsidR="00F53F9A">
              <w:rPr>
                <w:rFonts w:asciiTheme="minorHAnsi" w:hAnsiTheme="minorHAnsi" w:cstheme="minorHAnsi"/>
                <w:noProof/>
                <w:sz w:val="18"/>
                <w:szCs w:val="18"/>
              </w:rPr>
              <w:t> </w:t>
            </w:r>
            <w:r w:rsidRPr="00D86314">
              <w:rPr>
                <w:rFonts w:asciiTheme="minorHAnsi" w:hAnsiTheme="minorHAnsi" w:cstheme="minorHAnsi"/>
                <w:noProof/>
                <w:sz w:val="18"/>
                <w:szCs w:val="18"/>
              </w:rPr>
              <w:t>670</w:t>
            </w:r>
          </w:p>
        </w:tc>
      </w:tr>
      <w:tr w:rsidR="00EA5706" w:rsidRPr="00D86314" w14:paraId="0DE3CE1C" w14:textId="77777777">
        <w:tc>
          <w:tcPr>
            <w:tcW w:w="745" w:type="pct"/>
          </w:tcPr>
          <w:p w14:paraId="55C0D84F" w14:textId="77777777" w:rsidR="00EA5706" w:rsidRPr="00D86314" w:rsidRDefault="00EA5706">
            <w:pPr>
              <w:keepNext/>
              <w:spacing w:before="60" w:after="60"/>
              <w:rPr>
                <w:rFonts w:asciiTheme="minorHAnsi" w:hAnsiTheme="minorHAnsi" w:cstheme="minorHAnsi"/>
                <w:noProof/>
                <w:sz w:val="18"/>
                <w:szCs w:val="18"/>
              </w:rPr>
            </w:pPr>
            <w:r w:rsidRPr="00D86314">
              <w:rPr>
                <w:rFonts w:asciiTheme="minorHAnsi" w:hAnsiTheme="minorHAnsi" w:cstheme="minorHAnsi"/>
                <w:noProof/>
                <w:sz w:val="18"/>
                <w:szCs w:val="18"/>
              </w:rPr>
              <w:t>% of HH</w:t>
            </w:r>
          </w:p>
        </w:tc>
        <w:tc>
          <w:tcPr>
            <w:tcW w:w="662" w:type="pct"/>
          </w:tcPr>
          <w:p w14:paraId="623743CF"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3.86%</w:t>
            </w:r>
          </w:p>
        </w:tc>
        <w:tc>
          <w:tcPr>
            <w:tcW w:w="662" w:type="pct"/>
          </w:tcPr>
          <w:p w14:paraId="7D3158BA"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4.04%</w:t>
            </w:r>
          </w:p>
        </w:tc>
        <w:tc>
          <w:tcPr>
            <w:tcW w:w="579" w:type="pct"/>
          </w:tcPr>
          <w:p w14:paraId="6925D36D"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6.90%</w:t>
            </w:r>
          </w:p>
        </w:tc>
        <w:tc>
          <w:tcPr>
            <w:tcW w:w="680" w:type="pct"/>
          </w:tcPr>
          <w:p w14:paraId="6B2CE02D"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0.59%</w:t>
            </w:r>
          </w:p>
        </w:tc>
        <w:tc>
          <w:tcPr>
            <w:tcW w:w="647" w:type="pct"/>
          </w:tcPr>
          <w:p w14:paraId="33A1078C"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0.00%</w:t>
            </w:r>
          </w:p>
        </w:tc>
        <w:tc>
          <w:tcPr>
            <w:tcW w:w="507" w:type="pct"/>
          </w:tcPr>
          <w:p w14:paraId="43AB6099"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noProof/>
                <w:color w:val="000000"/>
                <w:sz w:val="18"/>
                <w:szCs w:val="18"/>
              </w:rPr>
              <w:t>0.10%</w:t>
            </w:r>
          </w:p>
        </w:tc>
        <w:tc>
          <w:tcPr>
            <w:tcW w:w="519" w:type="pct"/>
          </w:tcPr>
          <w:p w14:paraId="20A5A626" w14:textId="77777777" w:rsidR="00EA5706" w:rsidRPr="00D86314" w:rsidRDefault="00EA5706">
            <w:pPr>
              <w:keepNext/>
              <w:spacing w:before="60" w:after="60"/>
              <w:jc w:val="center"/>
              <w:rPr>
                <w:rFonts w:asciiTheme="minorHAnsi" w:hAnsiTheme="minorHAnsi" w:cstheme="minorHAnsi"/>
                <w:noProof/>
                <w:sz w:val="18"/>
                <w:szCs w:val="18"/>
              </w:rPr>
            </w:pPr>
            <w:r w:rsidRPr="00D86314">
              <w:rPr>
                <w:rFonts w:asciiTheme="minorHAnsi" w:hAnsiTheme="minorHAnsi" w:cstheme="minorHAnsi"/>
                <w:b/>
                <w:noProof/>
                <w:color w:val="000000"/>
                <w:sz w:val="18"/>
                <w:szCs w:val="18"/>
              </w:rPr>
              <w:t>2.58%</w:t>
            </w:r>
          </w:p>
        </w:tc>
      </w:tr>
    </w:tbl>
    <w:p w14:paraId="7766B487" w14:textId="77777777" w:rsidR="00EA5706" w:rsidRPr="00D86314" w:rsidRDefault="00EA5706" w:rsidP="00EA5706">
      <w:pPr>
        <w:pStyle w:val="Quelle"/>
        <w:rPr>
          <w:rFonts w:ascii="Times New Roman" w:hAnsi="Times New Roman"/>
          <w:noProof/>
        </w:rPr>
      </w:pPr>
      <w:r w:rsidRPr="00D86314">
        <w:rPr>
          <w:rFonts w:ascii="Times New Roman" w:hAnsi="Times New Roman"/>
          <w:noProof/>
        </w:rPr>
        <w:t>Source: WIK-Consult calculation based on National bodies (Answers to the WIK-Consult questionnaire).</w:t>
      </w:r>
    </w:p>
    <w:p w14:paraId="3A288D43" w14:textId="5F44D488" w:rsidR="00EA5706" w:rsidRPr="00D86314" w:rsidRDefault="005932B0" w:rsidP="00EA5706">
      <w:pPr>
        <w:rPr>
          <w:noProof/>
        </w:rPr>
      </w:pPr>
      <w:r w:rsidRPr="00D86314">
        <w:rPr>
          <w:noProof/>
        </w:rPr>
        <w:t>T</w:t>
      </w:r>
      <w:r w:rsidR="00EA5706" w:rsidRPr="00D86314">
        <w:rPr>
          <w:noProof/>
        </w:rPr>
        <w:t xml:space="preserve">he average percentage of households </w:t>
      </w:r>
      <w:r w:rsidR="006C4234" w:rsidRPr="00D86314">
        <w:rPr>
          <w:noProof/>
        </w:rPr>
        <w:t>benefiting</w:t>
      </w:r>
      <w:r w:rsidR="00EA5706" w:rsidRPr="00D86314">
        <w:rPr>
          <w:noProof/>
        </w:rPr>
        <w:t xml:space="preserve"> from existing measures for people on low incomes and with special needs (2.58%) </w:t>
      </w:r>
      <w:r w:rsidR="007E5481" w:rsidRPr="00D86314">
        <w:rPr>
          <w:noProof/>
        </w:rPr>
        <w:t xml:space="preserve">is </w:t>
      </w:r>
      <w:r w:rsidR="003C74A4" w:rsidRPr="00D86314">
        <w:rPr>
          <w:noProof/>
        </w:rPr>
        <w:t xml:space="preserve">used </w:t>
      </w:r>
      <w:r w:rsidR="00EA5706" w:rsidRPr="00D86314">
        <w:rPr>
          <w:noProof/>
        </w:rPr>
        <w:t>as a predictor of future take-up.</w:t>
      </w:r>
      <w:r w:rsidR="00EA5706" w:rsidRPr="00D86314">
        <w:rPr>
          <w:rStyle w:val="FootnoteReference"/>
          <w:noProof/>
        </w:rPr>
        <w:footnoteReference w:id="10"/>
      </w:r>
      <w:r w:rsidR="00EA5706" w:rsidRPr="00D86314">
        <w:rPr>
          <w:noProof/>
        </w:rPr>
        <w:t xml:space="preserve"> </w:t>
      </w:r>
      <w:r w:rsidR="00201AF6" w:rsidRPr="00D86314">
        <w:rPr>
          <w:noProof/>
        </w:rPr>
        <w:t>This percentage is</w:t>
      </w:r>
      <w:r w:rsidR="00EA5706" w:rsidRPr="00D86314">
        <w:rPr>
          <w:noProof/>
        </w:rPr>
        <w:t xml:space="preserve"> extrapolate</w:t>
      </w:r>
      <w:r w:rsidR="00201AF6" w:rsidRPr="00D86314">
        <w:rPr>
          <w:noProof/>
        </w:rPr>
        <w:t>d</w:t>
      </w:r>
      <w:r w:rsidR="00EA5706" w:rsidRPr="00D86314">
        <w:rPr>
          <w:noProof/>
        </w:rPr>
        <w:t xml:space="preserve"> to all Member States </w:t>
      </w:r>
      <w:r w:rsidR="00A31CEB" w:rsidRPr="00D86314">
        <w:rPr>
          <w:noProof/>
        </w:rPr>
        <w:t>expected to</w:t>
      </w:r>
      <w:r w:rsidR="00665844" w:rsidRPr="00D86314">
        <w:rPr>
          <w:noProof/>
        </w:rPr>
        <w:t xml:space="preserve"> introduce</w:t>
      </w:r>
      <w:r w:rsidR="00EA5706" w:rsidRPr="00D86314">
        <w:rPr>
          <w:noProof/>
        </w:rPr>
        <w:t xml:space="preserve"> </w:t>
      </w:r>
      <w:r w:rsidR="00665844" w:rsidRPr="00D86314">
        <w:rPr>
          <w:noProof/>
        </w:rPr>
        <w:t>USO</w:t>
      </w:r>
      <w:r w:rsidR="00EA5706" w:rsidRPr="00D86314">
        <w:rPr>
          <w:noProof/>
        </w:rPr>
        <w:t xml:space="preserve"> reaching a gigabit level. </w:t>
      </w:r>
      <w:r w:rsidR="003824EF" w:rsidRPr="00D86314">
        <w:rPr>
          <w:noProof/>
        </w:rPr>
        <w:t>Where a gigabit connection is defined as adequate broadband,</w:t>
      </w:r>
      <w:r w:rsidR="00F45708" w:rsidRPr="00D86314">
        <w:rPr>
          <w:noProof/>
        </w:rPr>
        <w:t xml:space="preserve"> </w:t>
      </w:r>
      <w:r w:rsidR="00EA5706" w:rsidRPr="00D86314">
        <w:rPr>
          <w:noProof/>
        </w:rPr>
        <w:t>vulnerable consumers</w:t>
      </w:r>
      <w:r w:rsidR="000B5319" w:rsidRPr="00D86314">
        <w:rPr>
          <w:noProof/>
        </w:rPr>
        <w:t xml:space="preserve"> are assumed to receive affordability measures</w:t>
      </w:r>
      <w:r w:rsidR="00EA5706" w:rsidRPr="00D86314">
        <w:rPr>
          <w:noProof/>
        </w:rPr>
        <w:t>.</w:t>
      </w:r>
    </w:p>
    <w:p w14:paraId="036E6236" w14:textId="0583DDCE" w:rsidR="0003647E" w:rsidRPr="00D86314" w:rsidRDefault="00EA5706" w:rsidP="00F71051">
      <w:pPr>
        <w:rPr>
          <w:noProof/>
        </w:rPr>
      </w:pPr>
      <w:r w:rsidRPr="00D86314">
        <w:rPr>
          <w:noProof/>
        </w:rPr>
        <w:t xml:space="preserve">For the estimation, the take-up of affordability measures </w:t>
      </w:r>
      <w:r w:rsidR="008A7359" w:rsidRPr="00D86314">
        <w:rPr>
          <w:noProof/>
        </w:rPr>
        <w:t>is assumed to</w:t>
      </w:r>
      <w:r w:rsidRPr="00D86314">
        <w:rPr>
          <w:noProof/>
        </w:rPr>
        <w:t xml:space="preserve"> grow linearly between 2030 and 2035. </w:t>
      </w:r>
      <w:r w:rsidR="00777AC9" w:rsidRPr="00D86314">
        <w:rPr>
          <w:noProof/>
        </w:rPr>
        <w:t>This assumption reflects several factors</w:t>
      </w:r>
      <w:r w:rsidR="0003647E" w:rsidRPr="00D86314">
        <w:rPr>
          <w:noProof/>
        </w:rPr>
        <w:t>:</w:t>
      </w:r>
    </w:p>
    <w:p w14:paraId="31BD6BE4" w14:textId="0618FD68" w:rsidR="00C8368B" w:rsidRPr="00D86314" w:rsidRDefault="00C8368B" w:rsidP="00F71051">
      <w:pPr>
        <w:pStyle w:val="ListParagraph"/>
        <w:numPr>
          <w:ilvl w:val="0"/>
          <w:numId w:val="125"/>
        </w:numPr>
        <w:rPr>
          <w:noProof/>
        </w:rPr>
      </w:pPr>
      <w:r w:rsidRPr="00D86314">
        <w:rPr>
          <w:noProof/>
        </w:rPr>
        <w:t>I</w:t>
      </w:r>
      <w:r w:rsidR="00EA5706" w:rsidRPr="00D86314">
        <w:rPr>
          <w:noProof/>
        </w:rPr>
        <w:t xml:space="preserve">mplementation of the amended USO regime in the Member States is expected to take time and not be simultaneous across all countries. While some Member States have already introduced affordability measures, others may need to develop new ones. </w:t>
      </w:r>
    </w:p>
    <w:p w14:paraId="14BF51A2" w14:textId="78D314AD" w:rsidR="00C8368B" w:rsidRPr="00D86314" w:rsidRDefault="00C90757" w:rsidP="00F71051">
      <w:pPr>
        <w:pStyle w:val="ListParagraph"/>
        <w:numPr>
          <w:ilvl w:val="0"/>
          <w:numId w:val="125"/>
        </w:numPr>
        <w:rPr>
          <w:noProof/>
        </w:rPr>
      </w:pPr>
      <w:r w:rsidRPr="00D86314">
        <w:rPr>
          <w:noProof/>
        </w:rPr>
        <w:t>Awareness of these</w:t>
      </w:r>
      <w:r w:rsidR="00EA5706" w:rsidRPr="00D86314">
        <w:rPr>
          <w:noProof/>
        </w:rPr>
        <w:t xml:space="preserve"> measures among eligible consumers </w:t>
      </w:r>
      <w:r w:rsidR="0090278A" w:rsidRPr="00D86314">
        <w:rPr>
          <w:noProof/>
        </w:rPr>
        <w:t xml:space="preserve">is expected </w:t>
      </w:r>
      <w:r w:rsidR="00EA5706" w:rsidRPr="00D86314">
        <w:rPr>
          <w:noProof/>
        </w:rPr>
        <w:t xml:space="preserve">to </w:t>
      </w:r>
      <w:r w:rsidR="007D11E0" w:rsidRPr="00D86314">
        <w:rPr>
          <w:noProof/>
        </w:rPr>
        <w:t xml:space="preserve">increase </w:t>
      </w:r>
      <w:r w:rsidR="00EA5706" w:rsidRPr="00D86314">
        <w:rPr>
          <w:noProof/>
        </w:rPr>
        <w:t xml:space="preserve">steadily. </w:t>
      </w:r>
    </w:p>
    <w:p w14:paraId="688E637E" w14:textId="3F7D037B" w:rsidR="00B56598" w:rsidRPr="00D86314" w:rsidRDefault="00903A1D" w:rsidP="00B56598">
      <w:pPr>
        <w:pStyle w:val="ListParagraph"/>
        <w:numPr>
          <w:ilvl w:val="0"/>
          <w:numId w:val="125"/>
        </w:numPr>
        <w:rPr>
          <w:noProof/>
        </w:rPr>
      </w:pPr>
      <w:r w:rsidRPr="00D86314">
        <w:rPr>
          <w:noProof/>
        </w:rPr>
        <w:t>S</w:t>
      </w:r>
      <w:r w:rsidR="002046A0" w:rsidRPr="00D86314">
        <w:rPr>
          <w:noProof/>
        </w:rPr>
        <w:t>o</w:t>
      </w:r>
      <w:r w:rsidRPr="00D86314">
        <w:rPr>
          <w:noProof/>
        </w:rPr>
        <w:t xml:space="preserve">me eligible consumers </w:t>
      </w:r>
      <w:r w:rsidR="002046A0" w:rsidRPr="00D86314">
        <w:rPr>
          <w:noProof/>
        </w:rPr>
        <w:t xml:space="preserve">are likely to remain </w:t>
      </w:r>
      <w:r w:rsidR="00EA5706" w:rsidRPr="00D86314">
        <w:rPr>
          <w:noProof/>
        </w:rPr>
        <w:t>tied to their existing (non-gigabit) broadband subscription due to minimum contract terms</w:t>
      </w:r>
      <w:r w:rsidR="00357855" w:rsidRPr="00D86314">
        <w:rPr>
          <w:noProof/>
        </w:rPr>
        <w:t>, even where gigabit tariffs become more popular</w:t>
      </w:r>
      <w:r w:rsidR="00EA5706" w:rsidRPr="00D86314">
        <w:rPr>
          <w:noProof/>
        </w:rPr>
        <w:t>.</w:t>
      </w:r>
    </w:p>
    <w:p w14:paraId="1AD99B53" w14:textId="1B6BC9C6" w:rsidR="00F44D63" w:rsidRPr="00D86314" w:rsidRDefault="006368CE" w:rsidP="00B56598">
      <w:pPr>
        <w:rPr>
          <w:noProof/>
        </w:rPr>
      </w:pPr>
      <w:r w:rsidRPr="00D86314">
        <w:rPr>
          <w:noProof/>
        </w:rPr>
        <w:t xml:space="preserve">Under </w:t>
      </w:r>
      <w:r w:rsidR="00826F3F">
        <w:rPr>
          <w:noProof/>
        </w:rPr>
        <w:t>o</w:t>
      </w:r>
      <w:r w:rsidR="00EA5706" w:rsidRPr="00D86314">
        <w:rPr>
          <w:noProof/>
        </w:rPr>
        <w:t xml:space="preserve">ption 2, affordability measures at a gigabit level </w:t>
      </w:r>
      <w:r w:rsidR="00F33AC3" w:rsidRPr="00D86314">
        <w:rPr>
          <w:noProof/>
        </w:rPr>
        <w:t>are</w:t>
      </w:r>
      <w:r w:rsidR="00EC7665" w:rsidRPr="00D86314">
        <w:rPr>
          <w:noProof/>
        </w:rPr>
        <w:t xml:space="preserve"> expected to be introduced in</w:t>
      </w:r>
      <w:r w:rsidR="00F33AC3" w:rsidRPr="00D86314">
        <w:rPr>
          <w:noProof/>
        </w:rPr>
        <w:t xml:space="preserve"> nine Member States </w:t>
      </w:r>
      <w:r w:rsidR="00EA5706" w:rsidRPr="00D86314">
        <w:rPr>
          <w:noProof/>
        </w:rPr>
        <w:t xml:space="preserve">by 2035. This would lead to 1% increase in the FTTH penetration (in % of households). </w:t>
      </w:r>
    </w:p>
    <w:p w14:paraId="40C024AC" w14:textId="6B40C7D8" w:rsidR="00EA5706" w:rsidRPr="00D86314" w:rsidRDefault="00493F74" w:rsidP="00B56598">
      <w:pPr>
        <w:rPr>
          <w:noProof/>
        </w:rPr>
      </w:pPr>
      <w:r w:rsidRPr="00D86314">
        <w:rPr>
          <w:noProof/>
        </w:rPr>
        <w:t xml:space="preserve">Under </w:t>
      </w:r>
      <w:r w:rsidR="00826F3F">
        <w:rPr>
          <w:noProof/>
        </w:rPr>
        <w:t>op</w:t>
      </w:r>
      <w:r w:rsidR="00EA5706" w:rsidRPr="00D86314">
        <w:rPr>
          <w:noProof/>
        </w:rPr>
        <w:t xml:space="preserve">tion 4, </w:t>
      </w:r>
      <w:r w:rsidR="00A3670A" w:rsidRPr="00D86314">
        <w:rPr>
          <w:noProof/>
        </w:rPr>
        <w:t>most</w:t>
      </w:r>
      <w:r w:rsidR="00EA5706" w:rsidRPr="00D86314">
        <w:rPr>
          <w:noProof/>
        </w:rPr>
        <w:t xml:space="preserve"> Member States </w:t>
      </w:r>
      <w:r w:rsidR="00A3670A" w:rsidRPr="00D86314">
        <w:rPr>
          <w:noProof/>
        </w:rPr>
        <w:t xml:space="preserve">are expected </w:t>
      </w:r>
      <w:r w:rsidR="00EA5706" w:rsidRPr="00D86314">
        <w:rPr>
          <w:noProof/>
        </w:rPr>
        <w:t>to introduce affordability measures at a gigabit level. This would have an impact on the FTTH penetration of 2%.</w:t>
      </w:r>
    </w:p>
    <w:p w14:paraId="264BB274" w14:textId="500F320B" w:rsidR="00EA5706" w:rsidRPr="00D86314" w:rsidRDefault="00EA5706" w:rsidP="00EA5706">
      <w:pPr>
        <w:pStyle w:val="Abbberschrift"/>
        <w:rPr>
          <w:rFonts w:ascii="Times New Roman" w:hAnsi="Times New Roman"/>
          <w:i/>
          <w:noProof/>
        </w:rPr>
      </w:pPr>
      <w:bookmarkStart w:id="55" w:name="_Ref204865468"/>
      <w:r w:rsidRPr="00D86314">
        <w:rPr>
          <w:rFonts w:ascii="Times New Roman" w:hAnsi="Times New Roman"/>
          <w:i/>
          <w:noProof/>
        </w:rPr>
        <w:t xml:space="preserve">Figure </w:t>
      </w:r>
      <w:r w:rsidR="00345286" w:rsidRPr="00D86314">
        <w:rPr>
          <w:rFonts w:ascii="Times New Roman" w:hAnsi="Times New Roman"/>
          <w:i/>
          <w:noProof/>
        </w:rPr>
        <w:t>A4 1</w:t>
      </w:r>
      <w:bookmarkEnd w:id="55"/>
      <w:r w:rsidR="001F10E6" w:rsidRPr="00D86314">
        <w:rPr>
          <w:rFonts w:ascii="Times New Roman" w:hAnsi="Times New Roman"/>
          <w:i/>
          <w:noProof/>
        </w:rPr>
        <w:noBreakHyphen/>
      </w:r>
      <w:r w:rsidR="00E122E2">
        <w:rPr>
          <w:rFonts w:ascii="Times New Roman" w:hAnsi="Times New Roman"/>
          <w:i/>
          <w:noProof/>
        </w:rPr>
        <w:t>8</w:t>
      </w:r>
      <w:r w:rsidRPr="00D86314">
        <w:rPr>
          <w:rFonts w:ascii="Times New Roman" w:hAnsi="Times New Roman"/>
          <w:i/>
          <w:noProof/>
        </w:rPr>
        <w:t>:Technology mix by 2035 including USO</w:t>
      </w:r>
    </w:p>
    <w:p w14:paraId="4109C90F" w14:textId="77777777" w:rsidR="00EA5706" w:rsidRPr="00D86314" w:rsidRDefault="00EA5706" w:rsidP="00EA5706">
      <w:pPr>
        <w:rPr>
          <w:noProof/>
        </w:rPr>
      </w:pPr>
      <w:r w:rsidRPr="00E46BC9">
        <w:rPr>
          <w:noProof/>
          <w:lang w:eastAsia="en-GB"/>
        </w:rPr>
        <w:drawing>
          <wp:inline distT="0" distB="0" distL="0" distR="0" wp14:anchorId="57508611" wp14:editId="43E48FB6">
            <wp:extent cx="5494123" cy="3016799"/>
            <wp:effectExtent l="0" t="0" r="0" b="0"/>
            <wp:docPr id="1919605417" name="Grafik 11" descr="A graph of data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05417" name="Grafik 11" descr="A graph of data with numbers and symbol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07533" cy="3024162"/>
                    </a:xfrm>
                    <a:prstGeom prst="rect">
                      <a:avLst/>
                    </a:prstGeom>
                    <a:noFill/>
                  </pic:spPr>
                </pic:pic>
              </a:graphicData>
            </a:graphic>
          </wp:inline>
        </w:drawing>
      </w:r>
    </w:p>
    <w:p w14:paraId="2F7311C7" w14:textId="77777777" w:rsidR="00EA5706" w:rsidRPr="00D86314" w:rsidRDefault="00EA5706" w:rsidP="00EA5706">
      <w:pPr>
        <w:pStyle w:val="Quelle"/>
        <w:rPr>
          <w:rFonts w:ascii="Times New Roman" w:hAnsi="Times New Roman"/>
          <w:noProof/>
        </w:rPr>
      </w:pPr>
      <w:r w:rsidRPr="00D86314">
        <w:rPr>
          <w:rFonts w:ascii="Times New Roman" w:hAnsi="Times New Roman"/>
          <w:noProof/>
        </w:rPr>
        <w:t>Source: WIK-Consult.</w:t>
      </w:r>
    </w:p>
    <w:p w14:paraId="06483813" w14:textId="2CFC5590" w:rsidR="00924D91" w:rsidRPr="00D86314" w:rsidRDefault="00924D91" w:rsidP="00703057">
      <w:pPr>
        <w:pStyle w:val="Heading3"/>
        <w:rPr>
          <w:noProof/>
        </w:rPr>
      </w:pPr>
      <w:bookmarkStart w:id="56" w:name="_Ref214017934"/>
      <w:bookmarkStart w:id="57" w:name="_Toc219718358"/>
      <w:r w:rsidRPr="00D86314">
        <w:rPr>
          <w:noProof/>
        </w:rPr>
        <w:t xml:space="preserve">Impact on </w:t>
      </w:r>
      <w:bookmarkEnd w:id="56"/>
      <w:r w:rsidR="0025427D" w:rsidRPr="00D86314">
        <w:rPr>
          <w:noProof/>
        </w:rPr>
        <w:t>s</w:t>
      </w:r>
      <w:r w:rsidRPr="00D86314">
        <w:rPr>
          <w:noProof/>
        </w:rPr>
        <w:t>peed</w:t>
      </w:r>
      <w:bookmarkEnd w:id="57"/>
    </w:p>
    <w:p w14:paraId="4049DDDD" w14:textId="1EDBF158" w:rsidR="000F7F93" w:rsidRPr="00D86314" w:rsidRDefault="00066E53" w:rsidP="000F7F93">
      <w:pPr>
        <w:rPr>
          <w:noProof/>
        </w:rPr>
      </w:pPr>
      <w:r w:rsidRPr="00D86314">
        <w:rPr>
          <w:noProof/>
        </w:rPr>
        <w:t>For the purpose of the impact assessment, actual speeds delivered over the different technologies are projected to evolve</w:t>
      </w:r>
      <w:r w:rsidR="000F7F93" w:rsidRPr="00D86314">
        <w:rPr>
          <w:noProof/>
        </w:rPr>
        <w:t xml:space="preserve"> as follows:</w:t>
      </w:r>
    </w:p>
    <w:p w14:paraId="6CD13B94" w14:textId="71FFAD6E" w:rsidR="000F7F93" w:rsidRPr="00D86314" w:rsidRDefault="000F7F93" w:rsidP="00A00C17">
      <w:pPr>
        <w:pStyle w:val="ListParagraph"/>
        <w:numPr>
          <w:ilvl w:val="0"/>
          <w:numId w:val="54"/>
        </w:numPr>
        <w:spacing w:before="120" w:after="120"/>
        <w:contextualSpacing w:val="0"/>
        <w:rPr>
          <w:noProof/>
        </w:rPr>
      </w:pPr>
      <w:r w:rsidRPr="00D86314">
        <w:rPr>
          <w:noProof/>
        </w:rPr>
        <w:t>FTTC speeds will continue to increase from 100</w:t>
      </w:r>
      <w:r w:rsidR="00F53F9A">
        <w:rPr>
          <w:noProof/>
        </w:rPr>
        <w:t> </w:t>
      </w:r>
      <w:r w:rsidRPr="00D86314">
        <w:rPr>
          <w:noProof/>
        </w:rPr>
        <w:t>Mbps by around 4%</w:t>
      </w:r>
      <w:r w:rsidR="00365F9B" w:rsidRPr="00D86314">
        <w:rPr>
          <w:noProof/>
        </w:rPr>
        <w:t>.</w:t>
      </w:r>
    </w:p>
    <w:p w14:paraId="31E783DE" w14:textId="78AD4234" w:rsidR="000F7F93" w:rsidRPr="00D86314" w:rsidRDefault="000F7F93" w:rsidP="00A00C17">
      <w:pPr>
        <w:pStyle w:val="ListParagraph"/>
        <w:numPr>
          <w:ilvl w:val="0"/>
          <w:numId w:val="54"/>
        </w:numPr>
        <w:spacing w:before="120" w:after="120"/>
        <w:contextualSpacing w:val="0"/>
        <w:rPr>
          <w:noProof/>
        </w:rPr>
      </w:pPr>
      <w:r w:rsidRPr="00D86314">
        <w:rPr>
          <w:noProof/>
        </w:rPr>
        <w:t>Cable speeds will increase from 200</w:t>
      </w:r>
      <w:r w:rsidR="00F53F9A">
        <w:rPr>
          <w:noProof/>
        </w:rPr>
        <w:t> </w:t>
      </w:r>
      <w:r w:rsidRPr="00D86314">
        <w:rPr>
          <w:noProof/>
        </w:rPr>
        <w:t>Mbps by 7%</w:t>
      </w:r>
      <w:r w:rsidR="00365F9B" w:rsidRPr="00D86314">
        <w:rPr>
          <w:noProof/>
        </w:rPr>
        <w:t>.</w:t>
      </w:r>
    </w:p>
    <w:p w14:paraId="19BAB318" w14:textId="29D1BECD" w:rsidR="000F7F93" w:rsidRPr="00D86314" w:rsidRDefault="000F7F93" w:rsidP="00A00C17">
      <w:pPr>
        <w:pStyle w:val="ListParagraph"/>
        <w:numPr>
          <w:ilvl w:val="0"/>
          <w:numId w:val="54"/>
        </w:numPr>
        <w:spacing w:before="120" w:after="120"/>
        <w:contextualSpacing w:val="0"/>
        <w:rPr>
          <w:noProof/>
        </w:rPr>
      </w:pPr>
      <w:r w:rsidRPr="00D86314">
        <w:rPr>
          <w:noProof/>
        </w:rPr>
        <w:t>ADSL speed will remain stable at 10</w:t>
      </w:r>
      <w:r w:rsidR="00F53F9A">
        <w:rPr>
          <w:noProof/>
        </w:rPr>
        <w:t> </w:t>
      </w:r>
      <w:r w:rsidRPr="00D86314">
        <w:rPr>
          <w:noProof/>
        </w:rPr>
        <w:t>Mbps (based on the development of Ookla broadband speeds in countries with a high share of VDSL, cable and fibre respectively in terms of coverage and subscriptions).</w:t>
      </w:r>
    </w:p>
    <w:p w14:paraId="2A755239" w14:textId="6E918654" w:rsidR="000F7F93" w:rsidRPr="00D86314" w:rsidRDefault="000F7F93" w:rsidP="00A00C17">
      <w:pPr>
        <w:pStyle w:val="ListParagraph"/>
        <w:numPr>
          <w:ilvl w:val="0"/>
          <w:numId w:val="54"/>
        </w:numPr>
        <w:spacing w:before="120" w:after="120"/>
        <w:contextualSpacing w:val="0"/>
        <w:rPr>
          <w:noProof/>
        </w:rPr>
      </w:pPr>
      <w:r w:rsidRPr="00D86314">
        <w:rPr>
          <w:noProof/>
        </w:rPr>
        <w:t>Fibre speeds will accelerate from 250</w:t>
      </w:r>
      <w:r w:rsidR="00F53F9A">
        <w:rPr>
          <w:noProof/>
        </w:rPr>
        <w:t> </w:t>
      </w:r>
      <w:r w:rsidRPr="00D86314">
        <w:rPr>
          <w:noProof/>
        </w:rPr>
        <w:t xml:space="preserve">Mbps across all options until 2029 by 8% reflecting technological progress in active equipment associated with fibre lines. From 2030 onwards the growth rates differ with a growth rate </w:t>
      </w:r>
      <w:r w:rsidR="00407F0C" w:rsidRPr="00D86314">
        <w:rPr>
          <w:noProof/>
        </w:rPr>
        <w:t>which</w:t>
      </w:r>
      <w:r w:rsidRPr="00D86314">
        <w:rPr>
          <w:noProof/>
        </w:rPr>
        <w:t xml:space="preserve"> increases from 8 to 16% for option 2, 15% for options 1, 3 and 4 (with a faster increase under option 1 after 2030).</w:t>
      </w:r>
    </w:p>
    <w:p w14:paraId="71E01884" w14:textId="7F20E4EB" w:rsidR="000F7F93" w:rsidRPr="00D86314" w:rsidRDefault="000F7F93" w:rsidP="000F7F93">
      <w:pPr>
        <w:rPr>
          <w:noProof/>
        </w:rPr>
      </w:pPr>
      <w:r w:rsidRPr="00D86314">
        <w:rPr>
          <w:noProof/>
        </w:rPr>
        <w:t xml:space="preserve">The evidence </w:t>
      </w:r>
      <w:r w:rsidR="00430AF1" w:rsidRPr="00D86314">
        <w:rPr>
          <w:noProof/>
        </w:rPr>
        <w:t xml:space="preserve">supporting </w:t>
      </w:r>
      <w:r w:rsidRPr="00D86314">
        <w:rPr>
          <w:noProof/>
        </w:rPr>
        <w:t>the</w:t>
      </w:r>
      <w:r w:rsidR="00430AF1" w:rsidRPr="00D86314">
        <w:rPr>
          <w:noProof/>
        </w:rPr>
        <w:t>se</w:t>
      </w:r>
      <w:r w:rsidRPr="00D86314">
        <w:rPr>
          <w:noProof/>
        </w:rPr>
        <w:t xml:space="preserve"> assumptions </w:t>
      </w:r>
      <w:r w:rsidR="007B1E72" w:rsidRPr="00D86314">
        <w:rPr>
          <w:noProof/>
        </w:rPr>
        <w:t>regarding</w:t>
      </w:r>
      <w:r w:rsidRPr="00D86314">
        <w:rPr>
          <w:noProof/>
        </w:rPr>
        <w:t xml:space="preserve"> average speeds by technology is elaborated below.</w:t>
      </w:r>
    </w:p>
    <w:p w14:paraId="3D19688E" w14:textId="77777777" w:rsidR="000F7F93" w:rsidRPr="00D86314" w:rsidRDefault="000F7F93" w:rsidP="000F7F93">
      <w:pPr>
        <w:rPr>
          <w:noProof/>
        </w:rPr>
      </w:pPr>
      <w:r w:rsidRPr="00D86314">
        <w:rPr>
          <w:noProof/>
        </w:rPr>
        <w:t>The figure below shows average broadband speeds today. These are shown by groups of countries based on the prevailing technologies in those countries.</w:t>
      </w:r>
    </w:p>
    <w:p w14:paraId="12CCD8F2" w14:textId="23205DBF" w:rsidR="000F7F93" w:rsidRPr="00D86314" w:rsidRDefault="000F7F93" w:rsidP="000F7F93">
      <w:pPr>
        <w:pStyle w:val="Abbberschrift"/>
        <w:rPr>
          <w:rFonts w:ascii="Times New Roman" w:hAnsi="Times New Roman"/>
          <w:i/>
          <w:noProof/>
        </w:rPr>
      </w:pPr>
      <w:bookmarkStart w:id="58" w:name="_Ref202437703"/>
      <w:r w:rsidRPr="00D86314">
        <w:rPr>
          <w:rFonts w:ascii="Times New Roman" w:hAnsi="Times New Roman"/>
          <w:i/>
          <w:noProof/>
        </w:rPr>
        <w:t xml:space="preserve">Figure </w:t>
      </w:r>
      <w:r w:rsidR="00345286" w:rsidRPr="00D86314">
        <w:rPr>
          <w:rFonts w:ascii="Times New Roman" w:hAnsi="Times New Roman"/>
          <w:i/>
          <w:noProof/>
        </w:rPr>
        <w:t>A4 1</w:t>
      </w:r>
      <w:bookmarkEnd w:id="58"/>
      <w:r w:rsidR="001F10E6" w:rsidRPr="00D86314">
        <w:rPr>
          <w:rFonts w:ascii="Times New Roman" w:hAnsi="Times New Roman"/>
          <w:i/>
          <w:noProof/>
        </w:rPr>
        <w:noBreakHyphen/>
      </w:r>
      <w:r w:rsidR="00E122E2">
        <w:rPr>
          <w:rFonts w:ascii="Times New Roman" w:hAnsi="Times New Roman"/>
          <w:i/>
          <w:noProof/>
        </w:rPr>
        <w:t>9</w:t>
      </w:r>
      <w:r w:rsidRPr="00D86314">
        <w:rPr>
          <w:rFonts w:ascii="Times New Roman" w:hAnsi="Times New Roman"/>
          <w:i/>
          <w:noProof/>
        </w:rPr>
        <w:t xml:space="preserve">:Average Broadband speeds (in Mbps) for </w:t>
      </w:r>
      <w:r w:rsidR="00037BD5" w:rsidRPr="00D86314">
        <w:rPr>
          <w:rFonts w:ascii="Times New Roman" w:hAnsi="Times New Roman"/>
          <w:i/>
          <w:noProof/>
        </w:rPr>
        <w:t xml:space="preserve">Member States </w:t>
      </w:r>
      <w:r w:rsidRPr="00D86314">
        <w:rPr>
          <w:rFonts w:ascii="Times New Roman" w:hAnsi="Times New Roman"/>
          <w:i/>
          <w:noProof/>
        </w:rPr>
        <w:t>grouped by technology</w:t>
      </w:r>
    </w:p>
    <w:p w14:paraId="57AB68B8" w14:textId="6FDDC47E" w:rsidR="000F7F93" w:rsidRPr="00D86314" w:rsidRDefault="000F7F93" w:rsidP="000F7F93">
      <w:pPr>
        <w:spacing w:after="120"/>
        <w:jc w:val="center"/>
        <w:rPr>
          <w:noProof/>
        </w:rPr>
      </w:pPr>
      <w:r w:rsidRPr="00D86314">
        <w:rPr>
          <w:noProof/>
        </w:rPr>
        <w:t>￼</w:t>
      </w:r>
      <w:r w:rsidR="00E1592C" w:rsidRPr="00E46BC9">
        <w:rPr>
          <w:noProof/>
          <w:lang w:eastAsia="en-GB"/>
        </w:rPr>
        <w:drawing>
          <wp:inline distT="0" distB="0" distL="0" distR="0" wp14:anchorId="5E497C8D" wp14:editId="443C111A">
            <wp:extent cx="4810125" cy="3251201"/>
            <wp:effectExtent l="0" t="0" r="9525" b="6350"/>
            <wp:docPr id="955775167" name="Diagramm 1">
              <a:extLst xmlns:a="http://schemas.openxmlformats.org/drawingml/2006/main">
                <a:ext uri="{FF2B5EF4-FFF2-40B4-BE49-F238E27FC236}">
                  <a16:creationId xmlns:a16="http://schemas.microsoft.com/office/drawing/2014/main" id="{E00656B5-10EA-4642-803E-F5C297AD82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5DD4C82" w14:textId="77777777" w:rsidR="000F7F93" w:rsidRPr="00D86314" w:rsidRDefault="000F7F93" w:rsidP="000F7F93">
      <w:pPr>
        <w:rPr>
          <w:noProof/>
          <w:sz w:val="18"/>
          <w:szCs w:val="18"/>
        </w:rPr>
      </w:pPr>
      <w:r w:rsidRPr="00D86314">
        <w:rPr>
          <w:noProof/>
          <w:sz w:val="18"/>
          <w:szCs w:val="18"/>
        </w:rPr>
        <w:t>Source: WIK based on Ookla Speedtest data, European Commission (2025) and Ofcom.</w:t>
      </w:r>
      <w:r w:rsidRPr="00D86314">
        <w:rPr>
          <w:rStyle w:val="FootnoteReference"/>
          <w:noProof/>
          <w:szCs w:val="18"/>
        </w:rPr>
        <w:footnoteReference w:id="11"/>
      </w:r>
    </w:p>
    <w:p w14:paraId="75CD061E" w14:textId="2E73AF42" w:rsidR="000F7F93" w:rsidRPr="00D86314" w:rsidRDefault="000F7F93" w:rsidP="000F7F93">
      <w:pPr>
        <w:rPr>
          <w:noProof/>
        </w:rPr>
      </w:pPr>
      <w:r w:rsidRPr="00D86314">
        <w:rPr>
          <w:noProof/>
        </w:rPr>
        <w:t xml:space="preserve">As </w:t>
      </w:r>
      <w:r w:rsidR="00E619DC" w:rsidRPr="00D86314">
        <w:rPr>
          <w:noProof/>
        </w:rPr>
        <w:t>shown</w:t>
      </w:r>
      <w:r w:rsidRPr="00D86314">
        <w:rPr>
          <w:noProof/>
        </w:rPr>
        <w:t xml:space="preserve"> in the chart above, high</w:t>
      </w:r>
      <w:r w:rsidR="007C7FC8" w:rsidRPr="00D86314">
        <w:rPr>
          <w:noProof/>
        </w:rPr>
        <w:t>er</w:t>
      </w:r>
      <w:r w:rsidRPr="00D86314">
        <w:rPr>
          <w:noProof/>
        </w:rPr>
        <w:t xml:space="preserve"> fibre coverage </w:t>
      </w:r>
      <w:r w:rsidR="007C7FC8" w:rsidRPr="00D86314">
        <w:rPr>
          <w:noProof/>
        </w:rPr>
        <w:t xml:space="preserve">is </w:t>
      </w:r>
      <w:r w:rsidR="00962B2C" w:rsidRPr="00D86314">
        <w:rPr>
          <w:noProof/>
        </w:rPr>
        <w:t xml:space="preserve">associated with </w:t>
      </w:r>
      <w:r w:rsidRPr="00D86314">
        <w:rPr>
          <w:noProof/>
        </w:rPr>
        <w:t xml:space="preserve">higher </w:t>
      </w:r>
      <w:r w:rsidR="00962B2C" w:rsidRPr="00D86314">
        <w:rPr>
          <w:noProof/>
        </w:rPr>
        <w:t xml:space="preserve">average </w:t>
      </w:r>
      <w:r w:rsidRPr="00D86314">
        <w:rPr>
          <w:noProof/>
        </w:rPr>
        <w:t>speeds</w:t>
      </w:r>
      <w:r w:rsidR="00C42DCC" w:rsidRPr="00D86314">
        <w:rPr>
          <w:noProof/>
        </w:rPr>
        <w:t xml:space="preserve"> but </w:t>
      </w:r>
      <w:r w:rsidRPr="00D86314">
        <w:rPr>
          <w:noProof/>
        </w:rPr>
        <w:t xml:space="preserve">fibre penetration is a </w:t>
      </w:r>
      <w:r w:rsidR="00605C22" w:rsidRPr="00D86314">
        <w:rPr>
          <w:noProof/>
        </w:rPr>
        <w:t>stronger</w:t>
      </w:r>
      <w:r w:rsidRPr="00D86314">
        <w:rPr>
          <w:noProof/>
        </w:rPr>
        <w:t xml:space="preserve"> predictor of average speeds. This is supported by data show</w:t>
      </w:r>
      <w:r w:rsidR="002A28DB" w:rsidRPr="00D86314">
        <w:rPr>
          <w:noProof/>
        </w:rPr>
        <w:t>ing</w:t>
      </w:r>
      <w:r w:rsidRPr="00D86314">
        <w:rPr>
          <w:noProof/>
        </w:rPr>
        <w:t xml:space="preserve"> </w:t>
      </w:r>
      <w:r w:rsidR="002A28DB" w:rsidRPr="00D86314">
        <w:rPr>
          <w:noProof/>
        </w:rPr>
        <w:t xml:space="preserve">significantly </w:t>
      </w:r>
      <w:r w:rsidRPr="00D86314">
        <w:rPr>
          <w:noProof/>
        </w:rPr>
        <w:t xml:space="preserve">higher </w:t>
      </w:r>
      <w:r w:rsidR="00B3386C" w:rsidRPr="00D86314">
        <w:rPr>
          <w:noProof/>
        </w:rPr>
        <w:t xml:space="preserve">average </w:t>
      </w:r>
      <w:r w:rsidRPr="00D86314">
        <w:rPr>
          <w:noProof/>
        </w:rPr>
        <w:t xml:space="preserve">speeds in countries with higher FTTH penetration rate. For example, Openvault </w:t>
      </w:r>
      <w:r w:rsidR="006C4E80" w:rsidRPr="00D86314">
        <w:rPr>
          <w:noProof/>
        </w:rPr>
        <w:t xml:space="preserve">reports </w:t>
      </w:r>
      <w:r w:rsidRPr="00D86314">
        <w:rPr>
          <w:noProof/>
        </w:rPr>
        <w:t>that fibre penetration is a strong indicator for internet speeds experienced by users. Openvault also points out the relevance of upload speeds which reflect particularly well the speeds experienced by users with a fibre connection. The figure below shows this relation for 2023.</w:t>
      </w:r>
    </w:p>
    <w:p w14:paraId="5570A682" w14:textId="3894D0FD" w:rsidR="000F7F93" w:rsidRPr="00D86314" w:rsidRDefault="000F7F93" w:rsidP="000F7F93">
      <w:pPr>
        <w:pStyle w:val="Abbberschrift"/>
        <w:rPr>
          <w:rFonts w:ascii="Times New Roman" w:hAnsi="Times New Roman"/>
          <w:i/>
          <w:noProof/>
        </w:rPr>
      </w:pPr>
      <w:r w:rsidRPr="00D86314">
        <w:rPr>
          <w:rFonts w:ascii="Times New Roman" w:hAnsi="Times New Roman"/>
          <w:i/>
          <w:noProof/>
        </w:rPr>
        <w:t xml:space="preserve">Figure </w:t>
      </w:r>
      <w:r w:rsidR="00345286" w:rsidRPr="00D86314">
        <w:rPr>
          <w:rFonts w:ascii="Times New Roman" w:hAnsi="Times New Roman"/>
          <w:i/>
          <w:noProof/>
        </w:rPr>
        <w:t>A4 1</w:t>
      </w:r>
      <w:r w:rsidR="001F10E6" w:rsidRPr="00D86314">
        <w:rPr>
          <w:rFonts w:ascii="Times New Roman" w:hAnsi="Times New Roman"/>
          <w:i/>
          <w:noProof/>
        </w:rPr>
        <w:noBreakHyphen/>
      </w:r>
      <w:r w:rsidR="00E122E2">
        <w:rPr>
          <w:rFonts w:ascii="Times New Roman" w:hAnsi="Times New Roman"/>
          <w:i/>
          <w:noProof/>
        </w:rPr>
        <w:t>10</w:t>
      </w:r>
      <w:r w:rsidRPr="00D86314">
        <w:rPr>
          <w:rFonts w:ascii="Times New Roman" w:hAnsi="Times New Roman"/>
          <w:i/>
          <w:noProof/>
        </w:rPr>
        <w:t>:Fibre penetration and internet speeds</w:t>
      </w:r>
    </w:p>
    <w:p w14:paraId="5DB09B92" w14:textId="77777777" w:rsidR="000F7F93" w:rsidRPr="00D86314" w:rsidRDefault="000F7F93" w:rsidP="000F7F93">
      <w:pPr>
        <w:rPr>
          <w:noProof/>
        </w:rPr>
      </w:pPr>
      <w:r w:rsidRPr="00E46BC9">
        <w:rPr>
          <w:noProof/>
          <w:lang w:eastAsia="en-GB"/>
        </w:rPr>
        <w:drawing>
          <wp:inline distT="0" distB="0" distL="0" distR="0" wp14:anchorId="5F565424" wp14:editId="0DE6D32E">
            <wp:extent cx="5520715" cy="3125972"/>
            <wp:effectExtent l="0" t="0" r="3810" b="0"/>
            <wp:docPr id="1993412472" name="Grafik 1" descr="Ein Bild, das Text, Schrift, Zahl,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15344" name="Grafik 1" descr="Ein Bild, das Text, Schrift, Zahl, Screenshot enthält.&#10;&#10;KI-generierte Inhalte können fehlerhaft sein."/>
                    <pic:cNvPicPr/>
                  </pic:nvPicPr>
                  <pic:blipFill rotWithShape="1">
                    <a:blip r:embed="rId30"/>
                    <a:srcRect l="2574" r="4591"/>
                    <a:stretch/>
                  </pic:blipFill>
                  <pic:spPr bwMode="auto">
                    <a:xfrm>
                      <a:off x="0" y="0"/>
                      <a:ext cx="5527618" cy="3129881"/>
                    </a:xfrm>
                    <a:prstGeom prst="rect">
                      <a:avLst/>
                    </a:prstGeom>
                    <a:ln>
                      <a:noFill/>
                    </a:ln>
                    <a:extLst>
                      <a:ext uri="{53640926-AAD7-44D8-BBD7-CCE9431645EC}">
                        <a14:shadowObscured xmlns:a14="http://schemas.microsoft.com/office/drawing/2010/main"/>
                      </a:ext>
                    </a:extLst>
                  </pic:spPr>
                </pic:pic>
              </a:graphicData>
            </a:graphic>
          </wp:inline>
        </w:drawing>
      </w:r>
    </w:p>
    <w:p w14:paraId="5B4D21C7" w14:textId="77777777" w:rsidR="000F7F93" w:rsidRPr="00D86314" w:rsidRDefault="000F7F93" w:rsidP="000F7F93">
      <w:pPr>
        <w:pStyle w:val="Quelle"/>
        <w:rPr>
          <w:rFonts w:ascii="Times New Roman" w:hAnsi="Times New Roman"/>
          <w:noProof/>
        </w:rPr>
      </w:pPr>
      <w:r w:rsidRPr="00D86314">
        <w:rPr>
          <w:rFonts w:ascii="Times New Roman" w:hAnsi="Times New Roman"/>
          <w:noProof/>
        </w:rPr>
        <w:t>Source:</w:t>
      </w:r>
      <w:r w:rsidRPr="00D86314">
        <w:rPr>
          <w:rFonts w:ascii="Times New Roman" w:hAnsi="Times New Roman"/>
          <w:noProof/>
        </w:rPr>
        <w:tab/>
      </w:r>
      <w:hyperlink r:id="rId31" w:history="1">
        <w:r w:rsidRPr="00D86314">
          <w:rPr>
            <w:rStyle w:val="Hyperlink"/>
            <w:rFonts w:ascii="Times New Roman" w:eastAsiaTheme="minorEastAsia" w:hAnsi="Times New Roman"/>
            <w:noProof/>
          </w:rPr>
          <w:t>https://www.opensignal.com/2023/10/12/european-markets-show-significant-disparity-in-broadband-user-experience</w:t>
        </w:r>
      </w:hyperlink>
      <w:r w:rsidRPr="00D86314">
        <w:rPr>
          <w:rFonts w:ascii="Times New Roman" w:hAnsi="Times New Roman"/>
          <w:noProof/>
        </w:rPr>
        <w:t xml:space="preserve"> (last accessed on 01.07.2025)</w:t>
      </w:r>
    </w:p>
    <w:p w14:paraId="3915C528" w14:textId="4ED61144" w:rsidR="000F7F93" w:rsidRPr="00D86314" w:rsidRDefault="00F21982" w:rsidP="000F7F93">
      <w:pPr>
        <w:rPr>
          <w:noProof/>
        </w:rPr>
      </w:pPr>
      <w:r w:rsidRPr="00D86314">
        <w:rPr>
          <w:noProof/>
        </w:rPr>
        <w:t>Notably</w:t>
      </w:r>
      <w:r w:rsidR="00A27DF4" w:rsidRPr="00D86314">
        <w:rPr>
          <w:noProof/>
        </w:rPr>
        <w:t>,</w:t>
      </w:r>
      <w:r w:rsidRPr="00D86314">
        <w:rPr>
          <w:noProof/>
        </w:rPr>
        <w:t xml:space="preserve"> </w:t>
      </w:r>
      <w:r w:rsidR="000F7F93" w:rsidRPr="00D86314">
        <w:rPr>
          <w:noProof/>
        </w:rPr>
        <w:t>the CTU in Czechia has corrected the data on speeds for cable networks to adapt to effective speeds (as compared to advertised speeds). The availability of gigabit was revised to exclude those cable connections which do not provide gigabit speeds.</w:t>
      </w:r>
      <w:r w:rsidR="000F7F93" w:rsidRPr="00D86314">
        <w:rPr>
          <w:rStyle w:val="FootnoteReference"/>
          <w:noProof/>
        </w:rPr>
        <w:footnoteReference w:id="12"/>
      </w:r>
    </w:p>
    <w:p w14:paraId="13395EA9" w14:textId="7CA6A471" w:rsidR="000F7F93" w:rsidRPr="00D86314" w:rsidRDefault="00890B9E" w:rsidP="000F7F93">
      <w:pPr>
        <w:rPr>
          <w:noProof/>
        </w:rPr>
      </w:pPr>
      <w:r w:rsidRPr="00D86314">
        <w:rPr>
          <w:noProof/>
        </w:rPr>
        <w:t>A</w:t>
      </w:r>
      <w:r w:rsidR="000F7F93" w:rsidRPr="00D86314">
        <w:rPr>
          <w:noProof/>
        </w:rPr>
        <w:t xml:space="preserve"> headline speed </w:t>
      </w:r>
      <w:r w:rsidRPr="00D86314">
        <w:rPr>
          <w:noProof/>
        </w:rPr>
        <w:t>of 250</w:t>
      </w:r>
      <w:r w:rsidR="00F53F9A">
        <w:rPr>
          <w:noProof/>
        </w:rPr>
        <w:t> </w:t>
      </w:r>
      <w:r w:rsidRPr="00D86314">
        <w:rPr>
          <w:noProof/>
        </w:rPr>
        <w:t xml:space="preserve">Mbps </w:t>
      </w:r>
      <w:r w:rsidR="00AB6311" w:rsidRPr="00D86314">
        <w:rPr>
          <w:noProof/>
        </w:rPr>
        <w:t xml:space="preserve">is assumed </w:t>
      </w:r>
      <w:r w:rsidR="000F7F93" w:rsidRPr="00D86314">
        <w:rPr>
          <w:noProof/>
        </w:rPr>
        <w:t>for FTTH</w:t>
      </w:r>
      <w:r w:rsidR="00AB6311" w:rsidRPr="00D86314">
        <w:rPr>
          <w:noProof/>
        </w:rPr>
        <w:t>,</w:t>
      </w:r>
      <w:r w:rsidR="00A90C9E" w:rsidRPr="00D86314">
        <w:rPr>
          <w:noProof/>
        </w:rPr>
        <w:t xml:space="preserve"> </w:t>
      </w:r>
      <w:r w:rsidR="00AB6311" w:rsidRPr="00D86314">
        <w:rPr>
          <w:noProof/>
        </w:rPr>
        <w:t>consistent with</w:t>
      </w:r>
      <w:r w:rsidR="000F7F93" w:rsidRPr="00D86314" w:rsidDel="00AB6311">
        <w:rPr>
          <w:noProof/>
        </w:rPr>
        <w:t xml:space="preserve"> </w:t>
      </w:r>
      <w:r w:rsidR="000F7F93" w:rsidRPr="00D86314">
        <w:rPr>
          <w:noProof/>
        </w:rPr>
        <w:t xml:space="preserve">average fixed speeds </w:t>
      </w:r>
      <w:r w:rsidR="00F323A5" w:rsidRPr="00D86314">
        <w:rPr>
          <w:noProof/>
        </w:rPr>
        <w:t xml:space="preserve">observed </w:t>
      </w:r>
      <w:r w:rsidR="000F7F93" w:rsidRPr="00D86314">
        <w:rPr>
          <w:noProof/>
        </w:rPr>
        <w:t xml:space="preserve">in countries with a high FTTH </w:t>
      </w:r>
      <w:r w:rsidR="007C5E19" w:rsidRPr="00D86314">
        <w:rPr>
          <w:noProof/>
        </w:rPr>
        <w:t>penetration</w:t>
      </w:r>
      <w:r w:rsidR="000F7F93" w:rsidRPr="00D86314">
        <w:rPr>
          <w:noProof/>
        </w:rPr>
        <w:t>. Speeds provided via FTTH could accelerate further due to the evolution in the capabilities of the technology in general. However, speeds actually purchased and received depend not only on the take-up of FTTH but on the degree to which there is competition on quality either through infrastructure competition (where viable) or otherwise through wholesale product specifications such as unbundled fibre which allow competition on quality, as evidenced in countries such as France, Italy and (in relation to the availability of symmetric offers) Sweden.</w:t>
      </w:r>
    </w:p>
    <w:p w14:paraId="1AF125AE" w14:textId="37E96451" w:rsidR="000F7F93" w:rsidRPr="00D86314" w:rsidRDefault="000F7F93" w:rsidP="000F7F93">
      <w:pPr>
        <w:rPr>
          <w:noProof/>
        </w:rPr>
      </w:pPr>
      <w:r w:rsidRPr="00D86314">
        <w:rPr>
          <w:noProof/>
        </w:rPr>
        <w:t xml:space="preserve">As mentioned </w:t>
      </w:r>
      <w:r w:rsidR="004B443E" w:rsidRPr="00D86314">
        <w:rPr>
          <w:noProof/>
        </w:rPr>
        <w:t>above</w:t>
      </w:r>
      <w:r w:rsidR="0064614A" w:rsidRPr="00D86314">
        <w:rPr>
          <w:noProof/>
        </w:rPr>
        <w:t>,</w:t>
      </w:r>
      <w:r w:rsidRPr="00D86314">
        <w:rPr>
          <w:noProof/>
        </w:rPr>
        <w:t xml:space="preserve"> </w:t>
      </w:r>
      <w:r w:rsidR="00376CF1" w:rsidRPr="00D86314">
        <w:rPr>
          <w:noProof/>
        </w:rPr>
        <w:t xml:space="preserve">the </w:t>
      </w:r>
      <w:r w:rsidRPr="00D86314">
        <w:rPr>
          <w:noProof/>
        </w:rPr>
        <w:t xml:space="preserve">assumed annual speed increase on fibre </w:t>
      </w:r>
      <w:r w:rsidR="00FE31EA" w:rsidRPr="00D86314">
        <w:rPr>
          <w:noProof/>
        </w:rPr>
        <w:t xml:space="preserve">is </w:t>
      </w:r>
      <w:r w:rsidRPr="00D86314">
        <w:rPr>
          <w:noProof/>
        </w:rPr>
        <w:t xml:space="preserve">8% </w:t>
      </w:r>
      <w:r w:rsidR="00324453" w:rsidRPr="00D86314">
        <w:rPr>
          <w:noProof/>
        </w:rPr>
        <w:t>under all options</w:t>
      </w:r>
      <w:r w:rsidR="00565913" w:rsidRPr="00D86314">
        <w:rPr>
          <w:noProof/>
        </w:rPr>
        <w:t xml:space="preserve"> until 2029</w:t>
      </w:r>
      <w:r w:rsidR="00324453" w:rsidRPr="00D86314">
        <w:rPr>
          <w:noProof/>
        </w:rPr>
        <w:t xml:space="preserve">. This </w:t>
      </w:r>
      <w:r w:rsidRPr="00D86314">
        <w:rPr>
          <w:noProof/>
        </w:rPr>
        <w:t>reflect</w:t>
      </w:r>
      <w:r w:rsidR="00324453" w:rsidRPr="00D86314">
        <w:rPr>
          <w:noProof/>
        </w:rPr>
        <w:t>s</w:t>
      </w:r>
      <w:r w:rsidRPr="00D86314">
        <w:rPr>
          <w:noProof/>
        </w:rPr>
        <w:t xml:space="preserve"> technological progress in active equipment associated with fibre lines. From 2030 onwards the growth rates differ to reflect the potential for competition on quality resulting from the policy options pursued. This leads to a growth rate </w:t>
      </w:r>
      <w:r w:rsidR="00D0564D" w:rsidRPr="00D86314">
        <w:rPr>
          <w:noProof/>
        </w:rPr>
        <w:t xml:space="preserve">rising </w:t>
      </w:r>
      <w:r w:rsidRPr="00D86314">
        <w:rPr>
          <w:noProof/>
        </w:rPr>
        <w:t>from 8</w:t>
      </w:r>
      <w:r w:rsidR="00D0564D" w:rsidRPr="00D86314">
        <w:rPr>
          <w:noProof/>
        </w:rPr>
        <w:t>%</w:t>
      </w:r>
      <w:r w:rsidRPr="00D86314">
        <w:rPr>
          <w:noProof/>
        </w:rPr>
        <w:t xml:space="preserve"> to 16% for option 2, 15% for options 1, 3 and 4 (with a faster increase under option 1 after 2030).</w:t>
      </w:r>
    </w:p>
    <w:p w14:paraId="303F451A" w14:textId="3F923564" w:rsidR="000F7F93" w:rsidRPr="00D86314" w:rsidRDefault="000F7F93" w:rsidP="000F7F93">
      <w:pPr>
        <w:rPr>
          <w:noProof/>
        </w:rPr>
      </w:pPr>
      <w:r w:rsidRPr="00D86314">
        <w:rPr>
          <w:noProof/>
        </w:rPr>
        <w:t xml:space="preserve">The evolution of average broadband speeds differs </w:t>
      </w:r>
      <w:r w:rsidR="00697302" w:rsidRPr="00D86314">
        <w:rPr>
          <w:noProof/>
        </w:rPr>
        <w:t xml:space="preserve">across </w:t>
      </w:r>
      <w:r w:rsidRPr="00D86314">
        <w:rPr>
          <w:noProof/>
        </w:rPr>
        <w:t xml:space="preserve">the </w:t>
      </w:r>
      <w:r w:rsidR="00697302" w:rsidRPr="00D86314">
        <w:rPr>
          <w:noProof/>
        </w:rPr>
        <w:t xml:space="preserve">policy </w:t>
      </w:r>
      <w:r w:rsidRPr="00D86314">
        <w:rPr>
          <w:noProof/>
        </w:rPr>
        <w:t xml:space="preserve">options due to </w:t>
      </w:r>
      <w:r w:rsidR="006924EF" w:rsidRPr="00D86314">
        <w:rPr>
          <w:noProof/>
        </w:rPr>
        <w:t xml:space="preserve">variation </w:t>
      </w:r>
      <w:r w:rsidRPr="00D86314">
        <w:rPr>
          <w:noProof/>
        </w:rPr>
        <w:t xml:space="preserve">in Gigabit </w:t>
      </w:r>
      <w:r w:rsidR="006924EF" w:rsidRPr="00D86314">
        <w:rPr>
          <w:noProof/>
        </w:rPr>
        <w:t>pricing</w:t>
      </w:r>
      <w:r w:rsidR="00651835" w:rsidRPr="00D86314">
        <w:rPr>
          <w:noProof/>
        </w:rPr>
        <w:t>,</w:t>
      </w:r>
      <w:r w:rsidRPr="00D86314">
        <w:rPr>
          <w:noProof/>
        </w:rPr>
        <w:t xml:space="preserve"> which </w:t>
      </w:r>
      <w:r w:rsidR="00651835" w:rsidRPr="00D86314">
        <w:rPr>
          <w:noProof/>
        </w:rPr>
        <w:t xml:space="preserve">reflects </w:t>
      </w:r>
      <w:r w:rsidRPr="00D86314">
        <w:rPr>
          <w:noProof/>
        </w:rPr>
        <w:t xml:space="preserve">the extent of competition and the type of wholesale access products available. Passive wholesale products such as fibre unbundling </w:t>
      </w:r>
      <w:r w:rsidR="009D76B9" w:rsidRPr="00D86314">
        <w:rPr>
          <w:noProof/>
        </w:rPr>
        <w:t xml:space="preserve">enable </w:t>
      </w:r>
      <w:r w:rsidR="001B60B7" w:rsidRPr="00D86314">
        <w:rPr>
          <w:noProof/>
        </w:rPr>
        <w:t xml:space="preserve">greater </w:t>
      </w:r>
      <w:r w:rsidRPr="00D86314">
        <w:rPr>
          <w:noProof/>
        </w:rPr>
        <w:t xml:space="preserve">competition, particularly </w:t>
      </w:r>
      <w:r w:rsidR="001B60B7" w:rsidRPr="00D86314">
        <w:rPr>
          <w:noProof/>
        </w:rPr>
        <w:t xml:space="preserve">in </w:t>
      </w:r>
      <w:r w:rsidRPr="00D86314">
        <w:rPr>
          <w:noProof/>
        </w:rPr>
        <w:t>pricing, speed and innovation. As a result</w:t>
      </w:r>
      <w:r w:rsidR="006E208D" w:rsidRPr="00D86314">
        <w:rPr>
          <w:noProof/>
        </w:rPr>
        <w:t>,</w:t>
      </w:r>
      <w:r w:rsidRPr="00D86314">
        <w:rPr>
          <w:noProof/>
        </w:rPr>
        <w:t xml:space="preserve"> the increase in broadband speeds could be highest under options 2</w:t>
      </w:r>
      <w:r w:rsidR="0054273B" w:rsidRPr="00D86314">
        <w:rPr>
          <w:noProof/>
        </w:rPr>
        <w:t>,</w:t>
      </w:r>
      <w:r w:rsidRPr="00D86314">
        <w:rPr>
          <w:noProof/>
        </w:rPr>
        <w:t xml:space="preserve"> which include a provision for best practice specifications for fibre unbundling and VULA. However, </w:t>
      </w:r>
      <w:r w:rsidR="00B67888" w:rsidRPr="00D86314">
        <w:rPr>
          <w:noProof/>
        </w:rPr>
        <w:t xml:space="preserve">the impact of </w:t>
      </w:r>
      <w:r w:rsidRPr="00D86314">
        <w:rPr>
          <w:noProof/>
        </w:rPr>
        <w:t xml:space="preserve">these provisions </w:t>
      </w:r>
      <w:r w:rsidR="00B67888" w:rsidRPr="00D86314">
        <w:rPr>
          <w:noProof/>
        </w:rPr>
        <w:t>depen</w:t>
      </w:r>
      <w:r w:rsidR="008D20E8" w:rsidRPr="00D86314">
        <w:rPr>
          <w:noProof/>
        </w:rPr>
        <w:t>d</w:t>
      </w:r>
      <w:r w:rsidR="00B67888" w:rsidRPr="00D86314">
        <w:rPr>
          <w:noProof/>
        </w:rPr>
        <w:t xml:space="preserve">s </w:t>
      </w:r>
      <w:r w:rsidR="00AB0041" w:rsidRPr="00D86314">
        <w:rPr>
          <w:noProof/>
        </w:rPr>
        <w:t xml:space="preserve">on </w:t>
      </w:r>
      <w:r w:rsidRPr="00D86314">
        <w:rPr>
          <w:noProof/>
        </w:rPr>
        <w:t xml:space="preserve">proactive </w:t>
      </w:r>
      <w:r w:rsidR="004054BF" w:rsidRPr="00D86314">
        <w:rPr>
          <w:noProof/>
        </w:rPr>
        <w:t>regulatory action by NRAs</w:t>
      </w:r>
      <w:r w:rsidRPr="00D86314">
        <w:rPr>
          <w:noProof/>
        </w:rPr>
        <w:t xml:space="preserve">. In contrast, bitstream is expected to be the predominant form of access </w:t>
      </w:r>
      <w:r w:rsidR="00500D9E" w:rsidRPr="00D86314">
        <w:rPr>
          <w:noProof/>
        </w:rPr>
        <w:t>under</w:t>
      </w:r>
      <w:r w:rsidRPr="00D86314">
        <w:rPr>
          <w:noProof/>
        </w:rPr>
        <w:t xml:space="preserve"> options 3 and 4.</w:t>
      </w:r>
    </w:p>
    <w:p w14:paraId="064AB577" w14:textId="7C3F070A" w:rsidR="000F7F93" w:rsidRPr="00D86314" w:rsidRDefault="00D257CF" w:rsidP="000F7F93">
      <w:pPr>
        <w:rPr>
          <w:noProof/>
        </w:rPr>
      </w:pPr>
      <w:r w:rsidRPr="00D86314">
        <w:rPr>
          <w:noProof/>
        </w:rPr>
        <w:t>S</w:t>
      </w:r>
      <w:r w:rsidR="000F7F93" w:rsidRPr="00D86314">
        <w:rPr>
          <w:noProof/>
        </w:rPr>
        <w:t xml:space="preserve">peeds provided via FTTB G.fast are lower than FTTH and cable but higher than VDSL. </w:t>
      </w:r>
      <w:r w:rsidR="00EA22F3" w:rsidRPr="00D86314">
        <w:rPr>
          <w:noProof/>
        </w:rPr>
        <w:t>A</w:t>
      </w:r>
      <w:r w:rsidR="000F7F93" w:rsidRPr="00D86314">
        <w:rPr>
          <w:noProof/>
        </w:rPr>
        <w:t xml:space="preserve">n average speed of 150 </w:t>
      </w:r>
      <w:r w:rsidR="00707F8F" w:rsidRPr="00D86314">
        <w:rPr>
          <w:noProof/>
        </w:rPr>
        <w:t xml:space="preserve">Mbps </w:t>
      </w:r>
      <w:r w:rsidR="00EA22F3" w:rsidRPr="00D86314">
        <w:rPr>
          <w:noProof/>
        </w:rPr>
        <w:t>is assumed</w:t>
      </w:r>
      <w:r w:rsidR="00707F8F" w:rsidRPr="00D86314">
        <w:rPr>
          <w:noProof/>
        </w:rPr>
        <w:t>,</w:t>
      </w:r>
      <w:r w:rsidR="00EA22F3" w:rsidRPr="00D86314">
        <w:rPr>
          <w:noProof/>
        </w:rPr>
        <w:t xml:space="preserve"> </w:t>
      </w:r>
      <w:r w:rsidR="000F7F93" w:rsidRPr="00D86314">
        <w:rPr>
          <w:noProof/>
        </w:rPr>
        <w:t>with a</w:t>
      </w:r>
      <w:r w:rsidR="00707F8F" w:rsidRPr="00D86314">
        <w:rPr>
          <w:noProof/>
        </w:rPr>
        <w:t>n annual</w:t>
      </w:r>
      <w:r w:rsidR="000F7F93" w:rsidRPr="00D86314" w:rsidDel="00707F8F">
        <w:rPr>
          <w:noProof/>
        </w:rPr>
        <w:t xml:space="preserve"> </w:t>
      </w:r>
      <w:r w:rsidR="000F7F93" w:rsidRPr="00D86314">
        <w:rPr>
          <w:noProof/>
        </w:rPr>
        <w:t>growth rate of 4% for FTTB G.fast.</w:t>
      </w:r>
    </w:p>
    <w:p w14:paraId="7B20407D" w14:textId="48BCD3DB" w:rsidR="000F7F93" w:rsidRPr="00D86314" w:rsidRDefault="000F7F93" w:rsidP="000F7F93">
      <w:pPr>
        <w:rPr>
          <w:noProof/>
        </w:rPr>
      </w:pPr>
      <w:r w:rsidRPr="00D86314">
        <w:rPr>
          <w:noProof/>
        </w:rPr>
        <w:t xml:space="preserve">Comparison of average speed by technology shows lower speeds on cable networks. </w:t>
      </w:r>
      <w:r w:rsidR="000938FF" w:rsidRPr="00D86314">
        <w:rPr>
          <w:noProof/>
        </w:rPr>
        <w:t>A</w:t>
      </w:r>
      <w:r w:rsidRPr="00D86314">
        <w:rPr>
          <w:noProof/>
        </w:rPr>
        <w:t>n average speed of 200 Mbps</w:t>
      </w:r>
      <w:r w:rsidR="000938FF" w:rsidRPr="00D86314">
        <w:rPr>
          <w:noProof/>
        </w:rPr>
        <w:t xml:space="preserve"> is assumed,</w:t>
      </w:r>
      <w:r w:rsidRPr="00D86314">
        <w:rPr>
          <w:noProof/>
        </w:rPr>
        <w:t xml:space="preserve"> with a</w:t>
      </w:r>
      <w:r w:rsidR="009F76A2" w:rsidRPr="00D86314">
        <w:rPr>
          <w:noProof/>
        </w:rPr>
        <w:t>n annual</w:t>
      </w:r>
      <w:r w:rsidRPr="00D86314" w:rsidDel="009F76A2">
        <w:rPr>
          <w:noProof/>
        </w:rPr>
        <w:t xml:space="preserve"> </w:t>
      </w:r>
      <w:r w:rsidRPr="00D86314">
        <w:rPr>
          <w:noProof/>
        </w:rPr>
        <w:t>growth rate of 7% for cable networks.</w:t>
      </w:r>
    </w:p>
    <w:p w14:paraId="1F56E656" w14:textId="568605AE" w:rsidR="000F7F93" w:rsidRPr="00D86314" w:rsidRDefault="000F7F93" w:rsidP="000F7F93">
      <w:pPr>
        <w:rPr>
          <w:noProof/>
        </w:rPr>
      </w:pPr>
      <w:r w:rsidRPr="00D86314">
        <w:rPr>
          <w:noProof/>
        </w:rPr>
        <w:t>Average broadband speeds via 4G/5G FWA are estimated at around 70</w:t>
      </w:r>
      <w:r w:rsidR="00F53F9A">
        <w:rPr>
          <w:noProof/>
        </w:rPr>
        <w:t> </w:t>
      </w:r>
      <w:r w:rsidRPr="00D86314">
        <w:rPr>
          <w:noProof/>
        </w:rPr>
        <w:t>Mbps based on Ookla Speedtest results available for rural areas in the US from Verizon and T-Mobile.</w:t>
      </w:r>
      <w:r w:rsidRPr="00D86314">
        <w:rPr>
          <w:rStyle w:val="FootnoteReference"/>
          <w:noProof/>
        </w:rPr>
        <w:footnoteReference w:id="13"/>
      </w:r>
      <w:r w:rsidRPr="00D86314">
        <w:rPr>
          <w:noProof/>
        </w:rPr>
        <w:t xml:space="preserve"> In its 2025 Connected Nations report on planned network deployment in the UK Ofcom expects FWA networks offering at least 100</w:t>
      </w:r>
      <w:r w:rsidR="00F53F9A">
        <w:rPr>
          <w:noProof/>
        </w:rPr>
        <w:t> </w:t>
      </w:r>
      <w:r w:rsidRPr="00D86314">
        <w:rPr>
          <w:noProof/>
        </w:rPr>
        <w:t>Mbps download speeds. In Denmark</w:t>
      </w:r>
      <w:r w:rsidR="000C7EAA" w:rsidRPr="00D86314">
        <w:rPr>
          <w:noProof/>
        </w:rPr>
        <w:t>,</w:t>
      </w:r>
      <w:r w:rsidRPr="00D86314">
        <w:rPr>
          <w:noProof/>
        </w:rPr>
        <w:t xml:space="preserve"> the average marketed speed of FWA subscriptions was 78</w:t>
      </w:r>
      <w:r w:rsidR="00F53F9A">
        <w:rPr>
          <w:noProof/>
        </w:rPr>
        <w:t> </w:t>
      </w:r>
      <w:r w:rsidRPr="00D86314">
        <w:rPr>
          <w:noProof/>
        </w:rPr>
        <w:t>M</w:t>
      </w:r>
      <w:r w:rsidR="00AF7046">
        <w:rPr>
          <w:noProof/>
        </w:rPr>
        <w:t>b</w:t>
      </w:r>
      <w:r w:rsidRPr="00D86314">
        <w:rPr>
          <w:noProof/>
        </w:rPr>
        <w:t xml:space="preserve">ps. </w:t>
      </w:r>
      <w:r w:rsidR="005A74D0" w:rsidRPr="00D86314">
        <w:rPr>
          <w:noProof/>
        </w:rPr>
        <w:t>A</w:t>
      </w:r>
      <w:r w:rsidRPr="00D86314">
        <w:rPr>
          <w:noProof/>
        </w:rPr>
        <w:t>verage FWA speeds</w:t>
      </w:r>
      <w:r w:rsidR="005A74D0" w:rsidRPr="00D86314">
        <w:rPr>
          <w:noProof/>
        </w:rPr>
        <w:t xml:space="preserve"> are </w:t>
      </w:r>
      <w:r w:rsidR="00507489" w:rsidRPr="00D86314">
        <w:rPr>
          <w:noProof/>
        </w:rPr>
        <w:t>estimated</w:t>
      </w:r>
      <w:r w:rsidRPr="00D86314" w:rsidDel="00507489">
        <w:rPr>
          <w:noProof/>
        </w:rPr>
        <w:t xml:space="preserve"> </w:t>
      </w:r>
      <w:r w:rsidRPr="00D86314">
        <w:rPr>
          <w:noProof/>
        </w:rPr>
        <w:t>at around 120</w:t>
      </w:r>
      <w:r w:rsidR="00F53F9A">
        <w:rPr>
          <w:noProof/>
        </w:rPr>
        <w:t> </w:t>
      </w:r>
      <w:r w:rsidRPr="00D86314">
        <w:rPr>
          <w:noProof/>
        </w:rPr>
        <w:t>M</w:t>
      </w:r>
      <w:r w:rsidR="00C53010">
        <w:rPr>
          <w:noProof/>
        </w:rPr>
        <w:t>b</w:t>
      </w:r>
      <w:r w:rsidRPr="00D86314">
        <w:rPr>
          <w:noProof/>
        </w:rPr>
        <w:t xml:space="preserve">ps </w:t>
      </w:r>
      <w:r w:rsidR="00507489" w:rsidRPr="00D86314">
        <w:rPr>
          <w:noProof/>
        </w:rPr>
        <w:t>in 2024</w:t>
      </w:r>
      <w:r w:rsidRPr="00D86314">
        <w:rPr>
          <w:noProof/>
        </w:rPr>
        <w:t>. As FWA connections are progressively upgraded with (and new connections added based on) 5G</w:t>
      </w:r>
      <w:r w:rsidR="00C06520" w:rsidRPr="00D86314">
        <w:rPr>
          <w:noProof/>
        </w:rPr>
        <w:t>,</w:t>
      </w:r>
      <w:r w:rsidRPr="00D86314">
        <w:rPr>
          <w:noProof/>
        </w:rPr>
        <w:t xml:space="preserve"> the average speeds </w:t>
      </w:r>
      <w:r w:rsidR="00DD397C" w:rsidRPr="00D86314">
        <w:rPr>
          <w:noProof/>
        </w:rPr>
        <w:t>are</w:t>
      </w:r>
      <w:r w:rsidRPr="00D86314">
        <w:rPr>
          <w:noProof/>
        </w:rPr>
        <w:t xml:space="preserve"> expected to increase by around 8% per year.</w:t>
      </w:r>
    </w:p>
    <w:p w14:paraId="63CF2C82" w14:textId="77777777" w:rsidR="000F7F93" w:rsidRPr="00D86314" w:rsidRDefault="000F7F93" w:rsidP="000F7F93">
      <w:pPr>
        <w:rPr>
          <w:noProof/>
        </w:rPr>
      </w:pPr>
      <w:r w:rsidRPr="00D86314">
        <w:rPr>
          <w:noProof/>
        </w:rPr>
        <w:t>The CTU also reports internet access connections differentiated by technology and speed which include WiFi (unlicensed), FWA and mobile (see figures below).</w:t>
      </w:r>
    </w:p>
    <w:p w14:paraId="1DEB6B11" w14:textId="2AD8F39E" w:rsidR="000F7F93" w:rsidRPr="00D86314" w:rsidRDefault="000F7F93" w:rsidP="00623C8D">
      <w:pPr>
        <w:pStyle w:val="Abbberschrift"/>
        <w:ind w:left="2160" w:hanging="2160"/>
        <w:rPr>
          <w:rFonts w:ascii="Times New Roman" w:hAnsi="Times New Roman"/>
          <w:i/>
          <w:noProof/>
        </w:rPr>
      </w:pPr>
      <w:r w:rsidRPr="00D86314">
        <w:rPr>
          <w:rFonts w:ascii="Times New Roman" w:hAnsi="Times New Roman"/>
          <w:i/>
          <w:noProof/>
        </w:rPr>
        <w:t xml:space="preserve">Figure </w:t>
      </w:r>
      <w:r w:rsidR="00345286" w:rsidRPr="00D86314">
        <w:rPr>
          <w:rFonts w:ascii="Times New Roman" w:hAnsi="Times New Roman"/>
          <w:i/>
          <w:noProof/>
        </w:rPr>
        <w:t>A4 1</w:t>
      </w:r>
      <w:r w:rsidR="001F10E6" w:rsidRPr="00D86314">
        <w:rPr>
          <w:rFonts w:ascii="Times New Roman" w:hAnsi="Times New Roman"/>
          <w:i/>
          <w:noProof/>
        </w:rPr>
        <w:noBreakHyphen/>
      </w:r>
      <w:r w:rsidR="00E122E2">
        <w:rPr>
          <w:rFonts w:ascii="Times New Roman" w:hAnsi="Times New Roman"/>
          <w:i/>
          <w:noProof/>
        </w:rPr>
        <w:t>11</w:t>
      </w:r>
      <w:r w:rsidRPr="00D86314">
        <w:rPr>
          <w:rFonts w:ascii="Times New Roman" w:hAnsi="Times New Roman"/>
          <w:i/>
          <w:noProof/>
        </w:rPr>
        <w:t>:Internet access differentiated by technology and speeds in the Czech Republic (2023)</w:t>
      </w:r>
    </w:p>
    <w:p w14:paraId="6B773DF8" w14:textId="5DB3926A" w:rsidR="000F7F93" w:rsidRPr="00D86314" w:rsidRDefault="000F7F93" w:rsidP="000F7F93">
      <w:pPr>
        <w:jc w:val="center"/>
        <w:rPr>
          <w:b/>
          <w:bCs/>
          <w:noProof/>
        </w:rPr>
      </w:pPr>
      <w:r w:rsidRPr="00E46BC9">
        <w:rPr>
          <w:b/>
          <w:bCs/>
          <w:noProof/>
          <w:lang w:eastAsia="en-GB"/>
        </w:rPr>
        <w:drawing>
          <wp:inline distT="0" distB="0" distL="0" distR="0" wp14:anchorId="236C13C6" wp14:editId="72F3CF7F">
            <wp:extent cx="4156998" cy="2238427"/>
            <wp:effectExtent l="0" t="0" r="0" b="0"/>
            <wp:docPr id="203078165" name="Grafik 40" descr="A graph of data with numbers and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8165" name="Grafik 40" descr="A graph of data with numbers and percentages&#10;&#10;AI-generated content may be incorrect."/>
                    <pic:cNvPicPr>
                      <a:picLocks noChangeAspect="1" noChangeArrowheads="1"/>
                    </pic:cNvPicPr>
                  </pic:nvPicPr>
                  <pic:blipFill rotWithShape="1">
                    <a:blip r:embed="rId32">
                      <a:extLst>
                        <a:ext uri="{28A0092B-C50C-407E-A947-70E740481C1C}">
                          <a14:useLocalDpi xmlns:a14="http://schemas.microsoft.com/office/drawing/2010/main" val="0"/>
                        </a:ext>
                      </a:extLst>
                    </a:blip>
                    <a:srcRect t="4811"/>
                    <a:stretch/>
                  </pic:blipFill>
                  <pic:spPr bwMode="auto">
                    <a:xfrm>
                      <a:off x="0" y="0"/>
                      <a:ext cx="4172454" cy="2246750"/>
                    </a:xfrm>
                    <a:prstGeom prst="rect">
                      <a:avLst/>
                    </a:prstGeom>
                    <a:noFill/>
                    <a:ln>
                      <a:noFill/>
                    </a:ln>
                    <a:extLst>
                      <a:ext uri="{53640926-AAD7-44D8-BBD7-CCE9431645EC}">
                        <a14:shadowObscured xmlns:a14="http://schemas.microsoft.com/office/drawing/2010/main"/>
                      </a:ext>
                    </a:extLst>
                  </pic:spPr>
                </pic:pic>
              </a:graphicData>
            </a:graphic>
          </wp:inline>
        </w:drawing>
      </w:r>
    </w:p>
    <w:p w14:paraId="58914848" w14:textId="77777777" w:rsidR="000F7F93" w:rsidRPr="00D86314" w:rsidRDefault="000F7F93" w:rsidP="000F7F93">
      <w:pPr>
        <w:pStyle w:val="Quelle"/>
        <w:rPr>
          <w:rFonts w:ascii="Times New Roman" w:hAnsi="Times New Roman"/>
          <w:noProof/>
        </w:rPr>
      </w:pPr>
      <w:r w:rsidRPr="00D86314">
        <w:rPr>
          <w:rFonts w:ascii="Times New Roman" w:hAnsi="Times New Roman"/>
          <w:noProof/>
        </w:rPr>
        <w:t>Source: CTU (2025).</w:t>
      </w:r>
      <w:r w:rsidRPr="00D86314">
        <w:rPr>
          <w:rStyle w:val="FootnoteReference"/>
          <w:rFonts w:ascii="Times New Roman" w:hAnsi="Times New Roman"/>
          <w:noProof/>
        </w:rPr>
        <w:footnoteReference w:id="14"/>
      </w:r>
    </w:p>
    <w:p w14:paraId="79B3419D" w14:textId="2A50AFCA" w:rsidR="000F7F93" w:rsidRPr="00D86314" w:rsidRDefault="0002160E" w:rsidP="000F7F93">
      <w:pPr>
        <w:rPr>
          <w:noProof/>
        </w:rPr>
      </w:pPr>
      <w:r w:rsidRPr="00D86314">
        <w:rPr>
          <w:noProof/>
        </w:rPr>
        <w:t>A</w:t>
      </w:r>
      <w:r w:rsidR="000F7F93" w:rsidRPr="00D86314">
        <w:rPr>
          <w:noProof/>
        </w:rPr>
        <w:t>n average mobile broadband speed of 100</w:t>
      </w:r>
      <w:r w:rsidR="00F53F9A">
        <w:rPr>
          <w:noProof/>
        </w:rPr>
        <w:t> </w:t>
      </w:r>
      <w:r w:rsidR="000F7F93" w:rsidRPr="00D86314">
        <w:rPr>
          <w:noProof/>
        </w:rPr>
        <w:t xml:space="preserve">Mbps </w:t>
      </w:r>
      <w:r w:rsidR="00716C7A" w:rsidRPr="00D86314">
        <w:rPr>
          <w:noProof/>
        </w:rPr>
        <w:t>is assumed,</w:t>
      </w:r>
      <w:r w:rsidR="001825DA" w:rsidRPr="00D86314">
        <w:rPr>
          <w:noProof/>
        </w:rPr>
        <w:t xml:space="preserve"> </w:t>
      </w:r>
      <w:r w:rsidR="000F7F93" w:rsidRPr="00D86314">
        <w:rPr>
          <w:noProof/>
        </w:rPr>
        <w:t>based on the average mobile download speed of 124</w:t>
      </w:r>
      <w:r w:rsidR="00F53F9A">
        <w:rPr>
          <w:noProof/>
        </w:rPr>
        <w:t> </w:t>
      </w:r>
      <w:r w:rsidR="000F7F93" w:rsidRPr="00D86314">
        <w:rPr>
          <w:noProof/>
        </w:rPr>
        <w:t xml:space="preserve">Mbps in </w:t>
      </w:r>
      <w:r w:rsidR="002C0890" w:rsidRPr="00D86314">
        <w:rPr>
          <w:noProof/>
        </w:rPr>
        <w:t>the EU-27</w:t>
      </w:r>
      <w:r w:rsidR="008640DF" w:rsidRPr="00D86314">
        <w:rPr>
          <w:noProof/>
        </w:rPr>
        <w:t xml:space="preserve"> in </w:t>
      </w:r>
      <w:r w:rsidR="000F7F93" w:rsidRPr="00D86314">
        <w:rPr>
          <w:noProof/>
        </w:rPr>
        <w:t>2025 reported by Ookla.</w:t>
      </w:r>
      <w:r w:rsidR="000F7F93" w:rsidRPr="00D86314">
        <w:rPr>
          <w:rStyle w:val="FootnoteReference"/>
          <w:noProof/>
        </w:rPr>
        <w:footnoteReference w:id="15"/>
      </w:r>
      <w:r w:rsidR="000F7F93" w:rsidRPr="00D86314">
        <w:rPr>
          <w:noProof/>
        </w:rPr>
        <w:t xml:space="preserve"> The assumed speed is lower because mobile broadband is likely to be more relevant in rural areas</w:t>
      </w:r>
      <w:r w:rsidR="007A3CCE" w:rsidRPr="00D86314">
        <w:rPr>
          <w:noProof/>
        </w:rPr>
        <w:t xml:space="preserve">, </w:t>
      </w:r>
      <w:r w:rsidR="000F7F93" w:rsidRPr="00D86314">
        <w:rPr>
          <w:noProof/>
        </w:rPr>
        <w:t>and</w:t>
      </w:r>
      <w:r w:rsidR="000F7F93" w:rsidRPr="00D86314" w:rsidDel="007A3CCE">
        <w:rPr>
          <w:noProof/>
        </w:rPr>
        <w:t xml:space="preserve"> </w:t>
      </w:r>
      <w:r w:rsidR="000F7F93" w:rsidRPr="00D86314">
        <w:rPr>
          <w:noProof/>
        </w:rPr>
        <w:t xml:space="preserve">Opensignal </w:t>
      </w:r>
      <w:r w:rsidR="007E230D" w:rsidRPr="00D86314">
        <w:rPr>
          <w:noProof/>
        </w:rPr>
        <w:t>data indicates</w:t>
      </w:r>
      <w:r w:rsidR="000F7F93" w:rsidRPr="00D86314">
        <w:rPr>
          <w:noProof/>
        </w:rPr>
        <w:t xml:space="preserve"> a gap of ca. 20% between mobile broadband speeds in urban and rural areas.</w:t>
      </w:r>
      <w:r w:rsidR="000F7F93" w:rsidRPr="00D86314">
        <w:rPr>
          <w:rStyle w:val="FootnoteReference"/>
          <w:noProof/>
        </w:rPr>
        <w:footnoteReference w:id="16"/>
      </w:r>
      <w:r w:rsidR="000F7F93" w:rsidRPr="00D86314">
        <w:rPr>
          <w:noProof/>
        </w:rPr>
        <w:t xml:space="preserve"> </w:t>
      </w:r>
    </w:p>
    <w:p w14:paraId="6CE92E47" w14:textId="77777777" w:rsidR="000F7F93" w:rsidRPr="00D86314" w:rsidRDefault="000F7F93" w:rsidP="000F7F93">
      <w:pPr>
        <w:rPr>
          <w:noProof/>
        </w:rPr>
      </w:pPr>
      <w:r w:rsidRPr="00D86314">
        <w:rPr>
          <w:noProof/>
        </w:rPr>
        <w:t>Where customers can migrate to cable, the effective speeds are likely to increase compared with copper. However, where only mobile or FWA is available, speeds are likely to be lower. Depending on the mobile and FWA technology available, speed and reliability may be less than under the status quo with copper for these customers. If more performant full 5G and 5G FWA technologies are available, customers may experience increased performance compared with copper. In the mobile impact assessment growth rates of 6% for 5G average speeds are assumed resulting in bandwidths of 250 Mbps in 2035. However, in the case of in-building usage of 5G for stationary access to the internet, the increased performance can only be achieved to serve households and businesses based on dense fibre networks which are deployed at least to the building. In particular in modern buildings which are energy efficient (e.g. with thermal insulation) the indoor signal reception deteriorates and reduces bandwidths and latency significantly. In case fibre is deployed to the building and the network operators decides to use wireless technologies in the building, WiFi 6 is more efficient. As explained, mobile broadband is likely to be more relevant in less dense and rural areas where fibre networks are less dense. As a result, lower bandwidths have been assumed for mobile networks.</w:t>
      </w:r>
    </w:p>
    <w:p w14:paraId="48A13894" w14:textId="05B2AC50" w:rsidR="000F7F93" w:rsidRPr="00D86314" w:rsidRDefault="000F7F93" w:rsidP="000F7F93">
      <w:pPr>
        <w:rPr>
          <w:noProof/>
        </w:rPr>
      </w:pPr>
      <w:r w:rsidRPr="00D86314">
        <w:rPr>
          <w:noProof/>
        </w:rPr>
        <w:t xml:space="preserve">The implications of each </w:t>
      </w:r>
      <w:r w:rsidR="00686864" w:rsidRPr="00D86314">
        <w:rPr>
          <w:noProof/>
        </w:rPr>
        <w:t>policy</w:t>
      </w:r>
      <w:r w:rsidRPr="00D86314">
        <w:rPr>
          <w:noProof/>
        </w:rPr>
        <w:t xml:space="preserve"> option on the average download speeds are shown in the following figure. The measures related to access regulation under option 2 are assumed to accelerate take-up of gigabit speeds. </w:t>
      </w:r>
    </w:p>
    <w:p w14:paraId="6C04570F" w14:textId="3C282368" w:rsidR="000F7F93" w:rsidRPr="00D86314" w:rsidRDefault="000F7F93" w:rsidP="000F7F93">
      <w:pPr>
        <w:rPr>
          <w:noProof/>
        </w:rPr>
      </w:pPr>
      <w:r w:rsidRPr="00D86314">
        <w:rPr>
          <w:noProof/>
        </w:rPr>
        <w:t xml:space="preserve">Average download speeds across the EU </w:t>
      </w:r>
      <w:r w:rsidR="001620A0" w:rsidRPr="00D86314">
        <w:rPr>
          <w:noProof/>
        </w:rPr>
        <w:t>are</w:t>
      </w:r>
      <w:r w:rsidRPr="00D86314">
        <w:rPr>
          <w:noProof/>
        </w:rPr>
        <w:t xml:space="preserve"> expected to reach around 743</w:t>
      </w:r>
      <w:r w:rsidR="00771CB4" w:rsidRPr="00D86314">
        <w:rPr>
          <w:noProof/>
        </w:rPr>
        <w:t> </w:t>
      </w:r>
      <w:r w:rsidRPr="00D86314">
        <w:rPr>
          <w:noProof/>
        </w:rPr>
        <w:t>Mbps under option</w:t>
      </w:r>
      <w:r w:rsidR="00771CB4" w:rsidRPr="00D86314">
        <w:rPr>
          <w:noProof/>
        </w:rPr>
        <w:t> </w:t>
      </w:r>
      <w:r w:rsidRPr="00D86314">
        <w:rPr>
          <w:noProof/>
        </w:rPr>
        <w:t xml:space="preserve">2 by 2035. </w:t>
      </w:r>
      <w:r w:rsidR="007A662F" w:rsidRPr="00D86314">
        <w:rPr>
          <w:noProof/>
        </w:rPr>
        <w:t>A</w:t>
      </w:r>
      <w:r w:rsidRPr="00D86314">
        <w:rPr>
          <w:noProof/>
        </w:rPr>
        <w:t xml:space="preserve">verage speeds </w:t>
      </w:r>
      <w:r w:rsidR="00C54535" w:rsidRPr="00D86314">
        <w:rPr>
          <w:noProof/>
        </w:rPr>
        <w:t xml:space="preserve">under the other options </w:t>
      </w:r>
      <w:r w:rsidR="00514B85" w:rsidRPr="00D86314">
        <w:rPr>
          <w:noProof/>
        </w:rPr>
        <w:t>a</w:t>
      </w:r>
      <w:r w:rsidR="00DD444B" w:rsidRPr="00D86314">
        <w:rPr>
          <w:noProof/>
        </w:rPr>
        <w:t xml:space="preserve">re projected </w:t>
      </w:r>
      <w:r w:rsidRPr="00D86314">
        <w:rPr>
          <w:noProof/>
        </w:rPr>
        <w:t>between 500 and 700</w:t>
      </w:r>
      <w:r w:rsidR="00F53F9A">
        <w:rPr>
          <w:noProof/>
        </w:rPr>
        <w:t> </w:t>
      </w:r>
      <w:r w:rsidRPr="00D86314">
        <w:rPr>
          <w:noProof/>
        </w:rPr>
        <w:t>Mbps, which is not significantly higher than the base case. Option 4 would reach speeds of 691 Mbps. With 542 Mbps, Option 3 would result in lower speeds in 2035 than the evolution of average speeds under the status quo, due to limits on SMP PIA impeding FTTH deployment and limitations on access regulation that may not address all cases of ineffective competition and do not reward or require forms of wholesale access that support competition based on quality.</w:t>
      </w:r>
    </w:p>
    <w:p w14:paraId="7D8CDDB8" w14:textId="7521DABB" w:rsidR="000F7F93" w:rsidRPr="00D86314" w:rsidRDefault="000F7F93" w:rsidP="000F7F93">
      <w:pPr>
        <w:pStyle w:val="Abbberschrift"/>
        <w:rPr>
          <w:rFonts w:ascii="Times New Roman" w:hAnsi="Times New Roman"/>
          <w:i/>
          <w:noProof/>
        </w:rPr>
      </w:pPr>
      <w:bookmarkStart w:id="59" w:name="_Ref214185777"/>
      <w:r w:rsidRPr="00D86314">
        <w:rPr>
          <w:rStyle w:val="AbbberschriftChar"/>
          <w:rFonts w:ascii="Times New Roman" w:hAnsi="Times New Roman"/>
          <w:i/>
          <w:noProof/>
        </w:rPr>
        <w:t xml:space="preserve">Figure </w:t>
      </w:r>
      <w:r w:rsidR="00345286" w:rsidRPr="00D86314">
        <w:rPr>
          <w:rFonts w:ascii="Times New Roman" w:hAnsi="Times New Roman"/>
          <w:i/>
          <w:noProof/>
        </w:rPr>
        <w:t>A4 1</w:t>
      </w:r>
      <w:bookmarkEnd w:id="59"/>
      <w:r w:rsidR="001F10E6" w:rsidRPr="00D86314">
        <w:rPr>
          <w:rStyle w:val="AbbberschriftChar"/>
          <w:rFonts w:ascii="Times New Roman" w:hAnsi="Times New Roman"/>
          <w:i/>
          <w:noProof/>
        </w:rPr>
        <w:noBreakHyphen/>
      </w:r>
      <w:r w:rsidR="00E122E2">
        <w:rPr>
          <w:rStyle w:val="AbbberschriftChar"/>
          <w:rFonts w:ascii="Times New Roman" w:hAnsi="Times New Roman"/>
          <w:i/>
          <w:noProof/>
        </w:rPr>
        <w:t>12</w:t>
      </w:r>
      <w:r w:rsidRPr="00D86314">
        <w:rPr>
          <w:rStyle w:val="AbbberschriftChar"/>
          <w:rFonts w:ascii="Times New Roman" w:hAnsi="Times New Roman"/>
          <w:i/>
          <w:noProof/>
        </w:rPr>
        <w:t>:Project</w:t>
      </w:r>
      <w:r w:rsidRPr="00D86314">
        <w:rPr>
          <w:rFonts w:ascii="Times New Roman" w:hAnsi="Times New Roman"/>
          <w:i/>
          <w:noProof/>
        </w:rPr>
        <w:t>ed average download speeds by option (in Mbps)</w:t>
      </w:r>
    </w:p>
    <w:p w14:paraId="2022E50A" w14:textId="77777777" w:rsidR="000F7F93" w:rsidRPr="00D86314" w:rsidRDefault="000F7F93" w:rsidP="000F7F93">
      <w:pPr>
        <w:rPr>
          <w:noProof/>
        </w:rPr>
      </w:pPr>
      <w:r w:rsidRPr="00E46BC9">
        <w:rPr>
          <w:noProof/>
          <w:lang w:eastAsia="en-GB"/>
        </w:rPr>
        <w:drawing>
          <wp:inline distT="0" distB="0" distL="0" distR="0" wp14:anchorId="5B579E57" wp14:editId="0E6C4109">
            <wp:extent cx="5437387" cy="3458314"/>
            <wp:effectExtent l="0" t="0" r="0" b="8890"/>
            <wp:docPr id="934244355" name="Grafik 1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44355" name="Grafik 12" descr="A graph of different colored lines&#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51429" cy="3467245"/>
                    </a:xfrm>
                    <a:prstGeom prst="rect">
                      <a:avLst/>
                    </a:prstGeom>
                    <a:noFill/>
                  </pic:spPr>
                </pic:pic>
              </a:graphicData>
            </a:graphic>
          </wp:inline>
        </w:drawing>
      </w:r>
    </w:p>
    <w:p w14:paraId="75B97A96" w14:textId="77777777" w:rsidR="000F7F93" w:rsidRPr="00D86314" w:rsidRDefault="000F7F93" w:rsidP="00337EC8">
      <w:pPr>
        <w:pStyle w:val="Quelle"/>
        <w:spacing w:after="240"/>
        <w:rPr>
          <w:rFonts w:ascii="Times New Roman" w:hAnsi="Times New Roman"/>
          <w:noProof/>
        </w:rPr>
      </w:pPr>
      <w:r w:rsidRPr="00D86314">
        <w:rPr>
          <w:rFonts w:ascii="Times New Roman" w:hAnsi="Times New Roman"/>
          <w:noProof/>
        </w:rPr>
        <w:t>Source: WIK-Consult</w:t>
      </w:r>
    </w:p>
    <w:p w14:paraId="67A0B10B" w14:textId="7AD580EE" w:rsidR="000F7F93" w:rsidRPr="00D86314" w:rsidRDefault="000F7F93" w:rsidP="00802D0F">
      <w:pPr>
        <w:pStyle w:val="Tabberschrift"/>
        <w:keepLines/>
        <w:spacing w:before="0"/>
        <w:rPr>
          <w:rFonts w:ascii="Times New Roman" w:hAnsi="Times New Roman"/>
          <w:noProof/>
        </w:rPr>
      </w:pPr>
      <w:bookmarkStart w:id="60" w:name="_Toc214231339"/>
      <w:r w:rsidRPr="00D86314">
        <w:rPr>
          <w:rFonts w:ascii="Times New Roman" w:hAnsi="Times New Roman"/>
          <w:noProof/>
        </w:rPr>
        <w:t xml:space="preserve">Table </w:t>
      </w:r>
      <w:r w:rsidR="00345286" w:rsidRPr="00D86314">
        <w:rPr>
          <w:rFonts w:ascii="Times New Roman" w:hAnsi="Times New Roman"/>
          <w:noProof/>
        </w:rPr>
        <w:t>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4</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Projected average download speeds by option in 2030 (Mbps)</w:t>
      </w:r>
      <w:bookmarkEnd w:id="60"/>
    </w:p>
    <w:tbl>
      <w:tblPr>
        <w:tblStyle w:val="TabelleWIKmitKopfzei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1370"/>
        <w:gridCol w:w="1371"/>
        <w:gridCol w:w="1370"/>
        <w:gridCol w:w="1371"/>
      </w:tblGrid>
      <w:tr w:rsidR="000F7F93" w:rsidRPr="00D86314" w14:paraId="49353272" w14:textId="77777777" w:rsidTr="007B0703">
        <w:trPr>
          <w:cnfStyle w:val="100000000000" w:firstRow="1" w:lastRow="0" w:firstColumn="0" w:lastColumn="0" w:oddVBand="0" w:evenVBand="0" w:oddHBand="0" w:evenHBand="0" w:firstRowFirstColumn="0" w:firstRowLastColumn="0" w:lastRowFirstColumn="0" w:lastRowLastColumn="0"/>
          <w:trHeight w:val="450"/>
        </w:trPr>
        <w:tc>
          <w:tcPr>
            <w:tcW w:w="1370" w:type="dxa"/>
          </w:tcPr>
          <w:p w14:paraId="1AB4EA36" w14:textId="3CC20F1D" w:rsidR="000F7F93" w:rsidRPr="00D86314" w:rsidRDefault="00D84A8E">
            <w:pPr>
              <w:spacing w:after="160" w:line="259" w:lineRule="auto"/>
              <w:jc w:val="center"/>
              <w:rPr>
                <w:rFonts w:ascii="Calibri" w:hAnsi="Calibri"/>
                <w:noProof/>
                <w:color w:val="auto"/>
                <w:kern w:val="2"/>
                <w:lang w:val="en-GB"/>
              </w:rPr>
            </w:pPr>
            <w:r w:rsidRPr="00CD156A">
              <w:rPr>
                <w:noProof/>
                <w:color w:val="auto"/>
                <w:kern w:val="2"/>
                <w:sz w:val="22"/>
                <w:szCs w:val="22"/>
              </w:rPr>
              <w:t>Option 0</w:t>
            </w:r>
            <w:r w:rsidR="000F7F93" w:rsidRPr="00CD156A">
              <w:rPr>
                <w:noProof/>
                <w:kern w:val="2"/>
                <w:sz w:val="22"/>
                <w:szCs w:val="22"/>
              </w:rPr>
              <w:t>io</w:t>
            </w:r>
          </w:p>
        </w:tc>
        <w:tc>
          <w:tcPr>
            <w:tcW w:w="1370" w:type="dxa"/>
          </w:tcPr>
          <w:p w14:paraId="2989CCB8" w14:textId="7F1D89B9" w:rsidR="000F7F93" w:rsidRPr="00D86314" w:rsidRDefault="00CD156A">
            <w:pPr>
              <w:spacing w:after="160" w:line="259" w:lineRule="auto"/>
              <w:jc w:val="center"/>
              <w:rPr>
                <w:rFonts w:ascii="Calibri" w:hAnsi="Calibri"/>
                <w:noProof/>
                <w:color w:val="auto"/>
                <w:kern w:val="2"/>
                <w:lang w:val="en-GB"/>
              </w:rPr>
            </w:pPr>
            <w:r w:rsidRPr="00F7163F">
              <w:rPr>
                <w:noProof/>
                <w:color w:val="auto"/>
                <w:kern w:val="2"/>
                <w:sz w:val="22"/>
                <w:szCs w:val="22"/>
              </w:rPr>
              <w:t>Option 1</w:t>
            </w:r>
            <w:r w:rsidRPr="00A36024">
              <w:rPr>
                <w:rFonts w:ascii="Calibri" w:hAnsi="Calibri"/>
                <w:noProof/>
                <w:kern w:val="2"/>
              </w:rPr>
              <w:t xml:space="preserve"> </w:t>
            </w:r>
            <w:r w:rsidR="000F7F93" w:rsidRPr="00A36024">
              <w:rPr>
                <w:rFonts w:ascii="Calibri" w:hAnsi="Calibri"/>
                <w:noProof/>
                <w:kern w:val="2"/>
              </w:rPr>
              <w:t xml:space="preserve"> 1</w:t>
            </w:r>
          </w:p>
        </w:tc>
        <w:tc>
          <w:tcPr>
            <w:tcW w:w="1371" w:type="dxa"/>
          </w:tcPr>
          <w:p w14:paraId="267F840A" w14:textId="2088DDC2" w:rsidR="000F7F93" w:rsidRPr="00D86314" w:rsidRDefault="007B0703">
            <w:pPr>
              <w:spacing w:after="160" w:line="259" w:lineRule="auto"/>
              <w:jc w:val="center"/>
              <w:rPr>
                <w:rFonts w:ascii="Calibri" w:hAnsi="Calibri"/>
                <w:noProof/>
                <w:color w:val="auto"/>
                <w:kern w:val="2"/>
                <w:lang w:val="en-GB"/>
              </w:rPr>
            </w:pPr>
            <w:r w:rsidRPr="00F7163F">
              <w:rPr>
                <w:noProof/>
                <w:color w:val="auto"/>
                <w:kern w:val="2"/>
                <w:sz w:val="22"/>
                <w:szCs w:val="22"/>
              </w:rPr>
              <w:t>Option 2</w:t>
            </w:r>
            <w:r w:rsidRPr="00131055">
              <w:rPr>
                <w:noProof/>
                <w:kern w:val="2"/>
                <w:sz w:val="20"/>
                <w:szCs w:val="20"/>
              </w:rPr>
              <w:t>n</w:t>
            </w:r>
            <w:r w:rsidRPr="00A36024">
              <w:rPr>
                <w:rFonts w:ascii="Calibri" w:hAnsi="Calibri"/>
                <w:noProof/>
                <w:kern w:val="2"/>
              </w:rPr>
              <w:t xml:space="preserve"> </w:t>
            </w:r>
            <w:r w:rsidR="000F7F93" w:rsidRPr="00A36024">
              <w:rPr>
                <w:rFonts w:ascii="Calibri" w:hAnsi="Calibri"/>
                <w:noProof/>
                <w:kern w:val="2"/>
              </w:rPr>
              <w:t>2</w:t>
            </w:r>
          </w:p>
        </w:tc>
        <w:tc>
          <w:tcPr>
            <w:tcW w:w="1370" w:type="dxa"/>
          </w:tcPr>
          <w:p w14:paraId="04F93B45" w14:textId="23842790" w:rsidR="000F7F93" w:rsidRPr="00D86314" w:rsidRDefault="00CD156A">
            <w:pPr>
              <w:spacing w:after="160" w:line="259" w:lineRule="auto"/>
              <w:jc w:val="center"/>
              <w:rPr>
                <w:rFonts w:ascii="Calibri" w:hAnsi="Calibri"/>
                <w:noProof/>
                <w:color w:val="auto"/>
                <w:kern w:val="2"/>
                <w:lang w:val="en-GB"/>
              </w:rPr>
            </w:pPr>
            <w:r w:rsidRPr="00F7163F">
              <w:rPr>
                <w:noProof/>
                <w:color w:val="auto"/>
                <w:kern w:val="2"/>
                <w:sz w:val="22"/>
                <w:szCs w:val="22"/>
              </w:rPr>
              <w:t>Option 3</w:t>
            </w:r>
            <w:r w:rsidRPr="00A36024">
              <w:rPr>
                <w:rFonts w:ascii="Calibri" w:hAnsi="Calibri"/>
                <w:noProof/>
                <w:kern w:val="2"/>
              </w:rPr>
              <w:t xml:space="preserve"> </w:t>
            </w:r>
            <w:r w:rsidR="000F7F93" w:rsidRPr="00A36024">
              <w:rPr>
                <w:rFonts w:ascii="Calibri" w:hAnsi="Calibri"/>
                <w:noProof/>
                <w:kern w:val="2"/>
              </w:rPr>
              <w:t xml:space="preserve"> 3</w:t>
            </w:r>
          </w:p>
        </w:tc>
        <w:tc>
          <w:tcPr>
            <w:tcW w:w="1371" w:type="dxa"/>
          </w:tcPr>
          <w:p w14:paraId="68636C0E" w14:textId="2DCFD333" w:rsidR="000F7F93" w:rsidRPr="00D86314" w:rsidRDefault="000F7F93">
            <w:pPr>
              <w:spacing w:after="160" w:line="259" w:lineRule="auto"/>
              <w:jc w:val="center"/>
              <w:rPr>
                <w:rFonts w:ascii="Calibri" w:hAnsi="Calibri"/>
                <w:noProof/>
                <w:color w:val="auto"/>
                <w:kern w:val="2"/>
                <w:lang w:val="en-GB"/>
              </w:rPr>
            </w:pPr>
            <w:r w:rsidRPr="00F7163F">
              <w:rPr>
                <w:noProof/>
                <w:color w:val="auto"/>
                <w:kern w:val="2"/>
                <w:sz w:val="22"/>
                <w:szCs w:val="22"/>
              </w:rPr>
              <w:t>O</w:t>
            </w:r>
            <w:r w:rsidR="00CD156A" w:rsidRPr="00F7163F">
              <w:rPr>
                <w:noProof/>
                <w:color w:val="auto"/>
                <w:kern w:val="2"/>
                <w:sz w:val="22"/>
                <w:szCs w:val="22"/>
              </w:rPr>
              <w:t>ption 4</w:t>
            </w:r>
            <w:r w:rsidR="00CD156A" w:rsidRPr="00A36024">
              <w:rPr>
                <w:rFonts w:ascii="Calibri" w:hAnsi="Calibri"/>
                <w:noProof/>
                <w:kern w:val="2"/>
              </w:rPr>
              <w:t xml:space="preserve"> </w:t>
            </w:r>
            <w:r w:rsidRPr="00A36024">
              <w:rPr>
                <w:rFonts w:ascii="Calibri" w:hAnsi="Calibri"/>
                <w:noProof/>
                <w:kern w:val="2"/>
              </w:rPr>
              <w:t xml:space="preserve"> 4</w:t>
            </w:r>
          </w:p>
        </w:tc>
      </w:tr>
      <w:tr w:rsidR="000F7F93" w:rsidRPr="00D86314" w14:paraId="4C5BDE8A" w14:textId="77777777" w:rsidTr="00527317">
        <w:tc>
          <w:tcPr>
            <w:tcW w:w="1370" w:type="dxa"/>
            <w:vAlign w:val="bottom"/>
          </w:tcPr>
          <w:p w14:paraId="18DD25B2" w14:textId="77777777" w:rsidR="000F7F93" w:rsidRPr="00D86314" w:rsidRDefault="000F7F93">
            <w:pPr>
              <w:spacing w:after="160" w:line="259" w:lineRule="auto"/>
              <w:jc w:val="center"/>
              <w:rPr>
                <w:noProof/>
                <w:kern w:val="2"/>
                <w:lang w:val="en-GB"/>
              </w:rPr>
            </w:pPr>
            <w:r w:rsidRPr="00A36024">
              <w:rPr>
                <w:noProof/>
                <w:kern w:val="2"/>
              </w:rPr>
              <w:t>293</w:t>
            </w:r>
          </w:p>
        </w:tc>
        <w:tc>
          <w:tcPr>
            <w:tcW w:w="1370" w:type="dxa"/>
            <w:vAlign w:val="bottom"/>
          </w:tcPr>
          <w:p w14:paraId="76FBCED0" w14:textId="77777777" w:rsidR="000F7F93" w:rsidRPr="00D86314" w:rsidRDefault="000F7F93">
            <w:pPr>
              <w:spacing w:after="160" w:line="259" w:lineRule="auto"/>
              <w:jc w:val="center"/>
              <w:rPr>
                <w:noProof/>
                <w:kern w:val="2"/>
                <w:lang w:val="en-GB"/>
              </w:rPr>
            </w:pPr>
            <w:r w:rsidRPr="00A36024">
              <w:rPr>
                <w:noProof/>
                <w:kern w:val="2"/>
              </w:rPr>
              <w:t>301</w:t>
            </w:r>
          </w:p>
        </w:tc>
        <w:tc>
          <w:tcPr>
            <w:tcW w:w="1371" w:type="dxa"/>
            <w:vAlign w:val="bottom"/>
          </w:tcPr>
          <w:p w14:paraId="353A07C3" w14:textId="77777777" w:rsidR="000F7F93" w:rsidRPr="00D86314" w:rsidRDefault="000F7F93">
            <w:pPr>
              <w:spacing w:after="160" w:line="259" w:lineRule="auto"/>
              <w:jc w:val="center"/>
              <w:rPr>
                <w:noProof/>
                <w:kern w:val="2"/>
                <w:lang w:val="en-GB"/>
              </w:rPr>
            </w:pPr>
            <w:r w:rsidRPr="00A36024">
              <w:rPr>
                <w:noProof/>
                <w:kern w:val="2"/>
              </w:rPr>
              <w:t>314</w:t>
            </w:r>
          </w:p>
        </w:tc>
        <w:tc>
          <w:tcPr>
            <w:tcW w:w="1370" w:type="dxa"/>
            <w:vAlign w:val="bottom"/>
          </w:tcPr>
          <w:p w14:paraId="0E48839B" w14:textId="77777777" w:rsidR="000F7F93" w:rsidRPr="00D86314" w:rsidRDefault="000F7F93">
            <w:pPr>
              <w:spacing w:after="160" w:line="259" w:lineRule="auto"/>
              <w:jc w:val="center"/>
              <w:rPr>
                <w:noProof/>
                <w:kern w:val="2"/>
                <w:lang w:val="en-GB"/>
              </w:rPr>
            </w:pPr>
            <w:r w:rsidRPr="00A36024">
              <w:rPr>
                <w:noProof/>
                <w:kern w:val="2"/>
              </w:rPr>
              <w:t>288</w:t>
            </w:r>
          </w:p>
        </w:tc>
        <w:tc>
          <w:tcPr>
            <w:tcW w:w="1371" w:type="dxa"/>
            <w:vAlign w:val="bottom"/>
          </w:tcPr>
          <w:p w14:paraId="0EED9AE4" w14:textId="77777777" w:rsidR="000F7F93" w:rsidRPr="00D86314" w:rsidRDefault="000F7F93">
            <w:pPr>
              <w:spacing w:after="160" w:line="259" w:lineRule="auto"/>
              <w:jc w:val="center"/>
              <w:rPr>
                <w:noProof/>
                <w:kern w:val="2"/>
                <w:lang w:val="en-GB"/>
              </w:rPr>
            </w:pPr>
            <w:r w:rsidRPr="00A36024">
              <w:rPr>
                <w:noProof/>
                <w:kern w:val="2"/>
              </w:rPr>
              <w:t>328</w:t>
            </w:r>
          </w:p>
        </w:tc>
      </w:tr>
    </w:tbl>
    <w:p w14:paraId="7B75396F" w14:textId="77777777" w:rsidR="000F7F93" w:rsidRPr="00D86314" w:rsidRDefault="000F7F93" w:rsidP="00337EC8">
      <w:pPr>
        <w:spacing w:after="360"/>
        <w:ind w:left="709" w:hanging="709"/>
        <w:jc w:val="left"/>
        <w:rPr>
          <w:rFonts w:eastAsia="Calibri"/>
          <w:noProof/>
          <w:kern w:val="2"/>
          <w:sz w:val="18"/>
          <w:szCs w:val="22"/>
          <w14:ligatures w14:val="standardContextual"/>
        </w:rPr>
      </w:pPr>
      <w:r w:rsidRPr="00D86314">
        <w:rPr>
          <w:rFonts w:eastAsia="Calibri"/>
          <w:noProof/>
          <w:kern w:val="2"/>
          <w:sz w:val="18"/>
          <w:szCs w:val="22"/>
          <w14:ligatures w14:val="standardContextual"/>
        </w:rPr>
        <w:t>Source: WIK.</w:t>
      </w:r>
    </w:p>
    <w:p w14:paraId="5B294757" w14:textId="38E1F119" w:rsidR="000F7F93" w:rsidRPr="00D86314" w:rsidRDefault="000F7F93" w:rsidP="000F7F93">
      <w:pPr>
        <w:pStyle w:val="Tabberschrift"/>
        <w:rPr>
          <w:rFonts w:ascii="Times New Roman" w:hAnsi="Times New Roman"/>
          <w:noProof/>
        </w:rPr>
      </w:pPr>
      <w:bookmarkStart w:id="61" w:name="_Toc214231340"/>
      <w:r w:rsidRPr="00D86314">
        <w:rPr>
          <w:rFonts w:ascii="Times New Roman" w:hAnsi="Times New Roman"/>
          <w:noProof/>
        </w:rPr>
        <w:t xml:space="preserve">Table </w:t>
      </w:r>
      <w:r w:rsidR="00345286" w:rsidRPr="00D86314">
        <w:rPr>
          <w:rFonts w:ascii="Times New Roman" w:hAnsi="Times New Roman"/>
          <w:noProof/>
        </w:rPr>
        <w:t>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5</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Projected average download speeds by option in 2035 (Mbps)</w:t>
      </w:r>
      <w:bookmarkEnd w:id="61"/>
    </w:p>
    <w:tbl>
      <w:tblPr>
        <w:tblStyle w:val="TabelleWIKmitKopfzeile1"/>
        <w:tblW w:w="6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1389"/>
        <w:gridCol w:w="1389"/>
        <w:gridCol w:w="1389"/>
        <w:gridCol w:w="1390"/>
      </w:tblGrid>
      <w:tr w:rsidR="007B0703" w:rsidRPr="00D86314" w14:paraId="2601660D" w14:textId="77777777" w:rsidTr="00527317">
        <w:trPr>
          <w:cnfStyle w:val="100000000000" w:firstRow="1" w:lastRow="0" w:firstColumn="0" w:lastColumn="0" w:oddVBand="0" w:evenVBand="0" w:oddHBand="0" w:evenHBand="0" w:firstRowFirstColumn="0" w:firstRowLastColumn="0" w:lastRowFirstColumn="0" w:lastRowLastColumn="0"/>
        </w:trPr>
        <w:tc>
          <w:tcPr>
            <w:tcW w:w="1389" w:type="dxa"/>
          </w:tcPr>
          <w:p w14:paraId="59A2C3B9" w14:textId="539E5EDC" w:rsidR="007B0703" w:rsidRPr="00D86314" w:rsidRDefault="007B0703" w:rsidP="007B0703">
            <w:pPr>
              <w:spacing w:after="160" w:line="259" w:lineRule="auto"/>
              <w:jc w:val="center"/>
              <w:rPr>
                <w:rFonts w:ascii="Calibri" w:hAnsi="Calibri"/>
                <w:noProof/>
                <w:color w:val="auto"/>
                <w:kern w:val="2"/>
                <w:lang w:val="en-GB"/>
              </w:rPr>
            </w:pPr>
            <w:r w:rsidRPr="00CD156A">
              <w:rPr>
                <w:noProof/>
                <w:color w:val="auto"/>
                <w:kern w:val="2"/>
                <w:sz w:val="22"/>
                <w:szCs w:val="22"/>
              </w:rPr>
              <w:t>Option 0</w:t>
            </w:r>
            <w:r w:rsidRPr="00CD156A">
              <w:rPr>
                <w:noProof/>
                <w:kern w:val="2"/>
                <w:sz w:val="22"/>
                <w:szCs w:val="22"/>
              </w:rPr>
              <w:t>i</w:t>
            </w:r>
            <w:r w:rsidRPr="00A36024">
              <w:rPr>
                <w:rFonts w:ascii="Calibri" w:hAnsi="Calibri"/>
                <w:noProof/>
                <w:kern w:val="2"/>
              </w:rPr>
              <w:t xml:space="preserve"> </w:t>
            </w:r>
          </w:p>
        </w:tc>
        <w:tc>
          <w:tcPr>
            <w:tcW w:w="1389" w:type="dxa"/>
          </w:tcPr>
          <w:p w14:paraId="543B785B" w14:textId="27D15B3A" w:rsidR="007B0703" w:rsidRPr="00D86314" w:rsidRDefault="007B0703" w:rsidP="007B0703">
            <w:pPr>
              <w:spacing w:after="160" w:line="259" w:lineRule="auto"/>
              <w:jc w:val="center"/>
              <w:rPr>
                <w:rFonts w:ascii="Calibri" w:hAnsi="Calibri"/>
                <w:noProof/>
                <w:color w:val="auto"/>
                <w:kern w:val="2"/>
                <w:lang w:val="en-GB"/>
              </w:rPr>
            </w:pPr>
            <w:r w:rsidRPr="00F7163F">
              <w:rPr>
                <w:noProof/>
                <w:color w:val="auto"/>
                <w:kern w:val="2"/>
                <w:sz w:val="22"/>
                <w:szCs w:val="22"/>
              </w:rPr>
              <w:t>Option 1</w:t>
            </w:r>
            <w:r w:rsidRPr="00A36024">
              <w:rPr>
                <w:rFonts w:ascii="Calibri" w:hAnsi="Calibri"/>
                <w:noProof/>
                <w:kern w:val="2"/>
              </w:rPr>
              <w:t xml:space="preserve"> </w:t>
            </w:r>
          </w:p>
        </w:tc>
        <w:tc>
          <w:tcPr>
            <w:tcW w:w="1389" w:type="dxa"/>
          </w:tcPr>
          <w:p w14:paraId="08852755" w14:textId="03981E50" w:rsidR="007B0703" w:rsidRPr="00D86314" w:rsidRDefault="007B0703" w:rsidP="007B0703">
            <w:pPr>
              <w:spacing w:after="160" w:line="259" w:lineRule="auto"/>
              <w:jc w:val="center"/>
              <w:rPr>
                <w:rFonts w:ascii="Calibri" w:hAnsi="Calibri"/>
                <w:noProof/>
                <w:color w:val="auto"/>
                <w:kern w:val="2"/>
                <w:lang w:val="en-GB"/>
              </w:rPr>
            </w:pPr>
            <w:r w:rsidRPr="00F7163F">
              <w:rPr>
                <w:noProof/>
                <w:color w:val="auto"/>
                <w:kern w:val="2"/>
                <w:sz w:val="22"/>
                <w:szCs w:val="22"/>
              </w:rPr>
              <w:t>Option 2</w:t>
            </w:r>
            <w:r w:rsidRPr="00131055">
              <w:rPr>
                <w:noProof/>
                <w:kern w:val="2"/>
                <w:sz w:val="20"/>
                <w:szCs w:val="20"/>
              </w:rPr>
              <w:t>n</w:t>
            </w:r>
          </w:p>
        </w:tc>
        <w:tc>
          <w:tcPr>
            <w:tcW w:w="1389" w:type="dxa"/>
          </w:tcPr>
          <w:p w14:paraId="7742AD69" w14:textId="712ECB50" w:rsidR="007B0703" w:rsidRPr="00D86314" w:rsidRDefault="007B0703" w:rsidP="007B0703">
            <w:pPr>
              <w:spacing w:after="160" w:line="259" w:lineRule="auto"/>
              <w:jc w:val="center"/>
              <w:rPr>
                <w:rFonts w:ascii="Calibri" w:hAnsi="Calibri"/>
                <w:noProof/>
                <w:color w:val="auto"/>
                <w:kern w:val="2"/>
                <w:lang w:val="en-GB"/>
              </w:rPr>
            </w:pPr>
            <w:r>
              <w:rPr>
                <w:noProof/>
                <w:color w:val="auto"/>
                <w:kern w:val="2"/>
                <w:sz w:val="22"/>
                <w:szCs w:val="22"/>
              </w:rPr>
              <w:t>O</w:t>
            </w:r>
            <w:r w:rsidRPr="00F7163F">
              <w:rPr>
                <w:noProof/>
                <w:color w:val="auto"/>
                <w:kern w:val="2"/>
                <w:sz w:val="22"/>
                <w:szCs w:val="22"/>
              </w:rPr>
              <w:t>ption 3</w:t>
            </w:r>
            <w:r w:rsidRPr="00A36024">
              <w:rPr>
                <w:rFonts w:ascii="Calibri" w:hAnsi="Calibri"/>
                <w:noProof/>
                <w:kern w:val="2"/>
              </w:rPr>
              <w:t xml:space="preserve"> </w:t>
            </w:r>
          </w:p>
        </w:tc>
        <w:tc>
          <w:tcPr>
            <w:tcW w:w="1390" w:type="dxa"/>
          </w:tcPr>
          <w:p w14:paraId="54038490" w14:textId="04221363" w:rsidR="007B0703" w:rsidRPr="00D86314" w:rsidRDefault="007B0703" w:rsidP="007B0703">
            <w:pPr>
              <w:spacing w:after="160" w:line="259" w:lineRule="auto"/>
              <w:jc w:val="center"/>
              <w:rPr>
                <w:rFonts w:ascii="Calibri" w:hAnsi="Calibri"/>
                <w:noProof/>
                <w:color w:val="auto"/>
                <w:kern w:val="2"/>
                <w:lang w:val="en-GB"/>
              </w:rPr>
            </w:pPr>
            <w:r w:rsidRPr="00F7163F">
              <w:rPr>
                <w:noProof/>
                <w:color w:val="auto"/>
                <w:kern w:val="2"/>
                <w:sz w:val="22"/>
                <w:szCs w:val="22"/>
              </w:rPr>
              <w:t>Option 4</w:t>
            </w:r>
            <w:r w:rsidRPr="00A36024">
              <w:rPr>
                <w:rFonts w:ascii="Calibri" w:hAnsi="Calibri"/>
                <w:noProof/>
                <w:kern w:val="2"/>
              </w:rPr>
              <w:t>4</w:t>
            </w:r>
          </w:p>
        </w:tc>
      </w:tr>
      <w:tr w:rsidR="007B0703" w:rsidRPr="00D86314" w14:paraId="142F5617" w14:textId="77777777" w:rsidTr="00527317">
        <w:tc>
          <w:tcPr>
            <w:tcW w:w="1389" w:type="dxa"/>
            <w:vAlign w:val="bottom"/>
          </w:tcPr>
          <w:p w14:paraId="1EB4BD1E" w14:textId="77777777" w:rsidR="007B0703" w:rsidRPr="00D86314" w:rsidRDefault="007B0703" w:rsidP="007B0703">
            <w:pPr>
              <w:spacing w:after="160" w:line="259" w:lineRule="auto"/>
              <w:jc w:val="center"/>
              <w:rPr>
                <w:noProof/>
                <w:kern w:val="2"/>
                <w:lang w:val="en-GB"/>
              </w:rPr>
            </w:pPr>
            <w:r w:rsidRPr="00A36024">
              <w:rPr>
                <w:noProof/>
                <w:kern w:val="2"/>
              </w:rPr>
              <w:t>584</w:t>
            </w:r>
          </w:p>
        </w:tc>
        <w:tc>
          <w:tcPr>
            <w:tcW w:w="1389" w:type="dxa"/>
            <w:vAlign w:val="bottom"/>
          </w:tcPr>
          <w:p w14:paraId="16C7EAD0" w14:textId="77777777" w:rsidR="007B0703" w:rsidRPr="00D86314" w:rsidRDefault="007B0703" w:rsidP="007B0703">
            <w:pPr>
              <w:spacing w:after="160" w:line="259" w:lineRule="auto"/>
              <w:jc w:val="center"/>
              <w:rPr>
                <w:noProof/>
                <w:kern w:val="2"/>
                <w:lang w:val="en-GB"/>
              </w:rPr>
            </w:pPr>
            <w:r w:rsidRPr="00A36024">
              <w:rPr>
                <w:noProof/>
                <w:kern w:val="2"/>
              </w:rPr>
              <w:t>651</w:t>
            </w:r>
          </w:p>
        </w:tc>
        <w:tc>
          <w:tcPr>
            <w:tcW w:w="1389" w:type="dxa"/>
            <w:vAlign w:val="bottom"/>
          </w:tcPr>
          <w:p w14:paraId="0E87E8E9" w14:textId="77777777" w:rsidR="007B0703" w:rsidRPr="00D86314" w:rsidRDefault="007B0703" w:rsidP="007B0703">
            <w:pPr>
              <w:spacing w:after="160" w:line="259" w:lineRule="auto"/>
              <w:jc w:val="center"/>
              <w:rPr>
                <w:noProof/>
                <w:kern w:val="2"/>
                <w:lang w:val="en-GB"/>
              </w:rPr>
            </w:pPr>
            <w:r w:rsidRPr="00A36024">
              <w:rPr>
                <w:noProof/>
                <w:kern w:val="2"/>
              </w:rPr>
              <w:t>743</w:t>
            </w:r>
          </w:p>
        </w:tc>
        <w:tc>
          <w:tcPr>
            <w:tcW w:w="1389" w:type="dxa"/>
            <w:vAlign w:val="bottom"/>
          </w:tcPr>
          <w:p w14:paraId="0EFEE0BB" w14:textId="77777777" w:rsidR="007B0703" w:rsidRPr="00D86314" w:rsidRDefault="007B0703" w:rsidP="007B0703">
            <w:pPr>
              <w:spacing w:after="160" w:line="259" w:lineRule="auto"/>
              <w:jc w:val="center"/>
              <w:rPr>
                <w:noProof/>
                <w:kern w:val="2"/>
                <w:lang w:val="en-GB"/>
              </w:rPr>
            </w:pPr>
            <w:r w:rsidRPr="00A36024">
              <w:rPr>
                <w:noProof/>
                <w:kern w:val="2"/>
              </w:rPr>
              <w:t>542</w:t>
            </w:r>
          </w:p>
        </w:tc>
        <w:tc>
          <w:tcPr>
            <w:tcW w:w="1390" w:type="dxa"/>
            <w:vAlign w:val="bottom"/>
          </w:tcPr>
          <w:p w14:paraId="63000E3E" w14:textId="77777777" w:rsidR="007B0703" w:rsidRPr="00D86314" w:rsidRDefault="007B0703" w:rsidP="007B0703">
            <w:pPr>
              <w:spacing w:after="160" w:line="259" w:lineRule="auto"/>
              <w:jc w:val="center"/>
              <w:rPr>
                <w:noProof/>
                <w:kern w:val="2"/>
                <w:lang w:val="en-GB"/>
              </w:rPr>
            </w:pPr>
            <w:r w:rsidRPr="00A36024">
              <w:rPr>
                <w:noProof/>
                <w:kern w:val="2"/>
              </w:rPr>
              <w:t>691</w:t>
            </w:r>
          </w:p>
        </w:tc>
      </w:tr>
    </w:tbl>
    <w:p w14:paraId="7706639A" w14:textId="0EF52003" w:rsidR="000F7F93" w:rsidRPr="00D86314" w:rsidRDefault="000F7F93" w:rsidP="000F7F93">
      <w:pPr>
        <w:pStyle w:val="Quelle"/>
        <w:rPr>
          <w:rFonts w:ascii="Times New Roman" w:eastAsia="Calibri" w:hAnsi="Times New Roman"/>
          <w:noProof/>
          <w:lang w:eastAsia="en-US"/>
        </w:rPr>
      </w:pPr>
      <w:r w:rsidRPr="00D86314">
        <w:rPr>
          <w:rFonts w:ascii="Times New Roman" w:eastAsia="Calibri" w:hAnsi="Times New Roman"/>
          <w:noProof/>
          <w:lang w:eastAsia="en-US"/>
        </w:rPr>
        <w:t>Source: WIK.</w:t>
      </w:r>
    </w:p>
    <w:p w14:paraId="4B281470" w14:textId="12D9C04E" w:rsidR="000F7F93" w:rsidRPr="00D86314" w:rsidRDefault="000F7F93" w:rsidP="000F7F93">
      <w:pPr>
        <w:rPr>
          <w:noProof/>
        </w:rPr>
      </w:pPr>
      <w:r w:rsidRPr="00D86314">
        <w:rPr>
          <w:noProof/>
        </w:rPr>
        <w:t>The figure below shows the implications for average actual download speeds experienced by consumers of the options including the impact of universal service obligation. Under option 2, including USO, the average download speed across the EU would be expected to reach around 746</w:t>
      </w:r>
      <w:r w:rsidR="00F53F9A">
        <w:rPr>
          <w:noProof/>
        </w:rPr>
        <w:t> </w:t>
      </w:r>
      <w:r w:rsidRPr="00D86314">
        <w:rPr>
          <w:noProof/>
        </w:rPr>
        <w:t>Mbps by 2035 — an impact of around 2 Mbps from the USO. By comparison, the impact of USO on option 4 is 10</w:t>
      </w:r>
      <w:r w:rsidR="00F53F9A">
        <w:rPr>
          <w:noProof/>
        </w:rPr>
        <w:t> </w:t>
      </w:r>
      <w:r w:rsidRPr="00D86314">
        <w:rPr>
          <w:noProof/>
        </w:rPr>
        <w:t>Mbps.</w:t>
      </w:r>
    </w:p>
    <w:p w14:paraId="5BA4F284" w14:textId="77777777" w:rsidR="000F7F93" w:rsidRPr="00D86314" w:rsidRDefault="000F7F93" w:rsidP="000F7F93">
      <w:pPr>
        <w:keepNext/>
        <w:rPr>
          <w:b/>
          <w:bCs/>
          <w:noProof/>
        </w:rPr>
      </w:pPr>
      <w:r w:rsidRPr="00D86314">
        <w:rPr>
          <w:b/>
          <w:bCs/>
          <w:noProof/>
        </w:rPr>
        <w:t>Universal Service Obligation</w:t>
      </w:r>
    </w:p>
    <w:p w14:paraId="61F88605" w14:textId="3C4EAE6A" w:rsidR="000F7F93" w:rsidRPr="00D86314" w:rsidRDefault="000F7F93" w:rsidP="000F7F93">
      <w:pPr>
        <w:pStyle w:val="Abbberschrift"/>
        <w:rPr>
          <w:rFonts w:ascii="Times New Roman" w:hAnsi="Times New Roman"/>
          <w:i/>
          <w:noProof/>
        </w:rPr>
      </w:pPr>
      <w:bookmarkStart w:id="62" w:name="_Ref214186633"/>
      <w:bookmarkStart w:id="63" w:name="_Ref204866889"/>
      <w:r w:rsidRPr="00D86314">
        <w:rPr>
          <w:rFonts w:ascii="Times New Roman" w:hAnsi="Times New Roman"/>
          <w:i/>
          <w:noProof/>
        </w:rPr>
        <w:t xml:space="preserve">Figure </w:t>
      </w:r>
      <w:r w:rsidR="00345286" w:rsidRPr="00D86314">
        <w:rPr>
          <w:rFonts w:ascii="Times New Roman" w:hAnsi="Times New Roman"/>
          <w:i/>
          <w:noProof/>
        </w:rPr>
        <w:t>A4 1</w:t>
      </w:r>
      <w:bookmarkEnd w:id="62"/>
      <w:bookmarkEnd w:id="63"/>
      <w:r w:rsidR="001F10E6" w:rsidRPr="00D86314">
        <w:rPr>
          <w:rFonts w:ascii="Times New Roman" w:hAnsi="Times New Roman"/>
          <w:i/>
          <w:noProof/>
        </w:rPr>
        <w:noBreakHyphen/>
      </w:r>
      <w:r w:rsidR="00E122E2">
        <w:rPr>
          <w:rFonts w:ascii="Times New Roman" w:hAnsi="Times New Roman"/>
          <w:i/>
          <w:noProof/>
        </w:rPr>
        <w:t>13</w:t>
      </w:r>
      <w:r w:rsidRPr="00D86314">
        <w:rPr>
          <w:rFonts w:ascii="Times New Roman" w:hAnsi="Times New Roman"/>
          <w:i/>
          <w:noProof/>
        </w:rPr>
        <w:t>:Projected download speeds (in Mbps) by option including USO</w:t>
      </w:r>
    </w:p>
    <w:p w14:paraId="163A6661" w14:textId="77777777" w:rsidR="000F7F93" w:rsidRPr="00D86314" w:rsidRDefault="000F7F93" w:rsidP="000F7F93">
      <w:pPr>
        <w:rPr>
          <w:noProof/>
        </w:rPr>
      </w:pPr>
      <w:r w:rsidRPr="00E46BC9">
        <w:rPr>
          <w:noProof/>
          <w:lang w:eastAsia="en-GB"/>
        </w:rPr>
        <w:drawing>
          <wp:inline distT="0" distB="0" distL="0" distR="0" wp14:anchorId="1518870C" wp14:editId="36C62CB9">
            <wp:extent cx="5559336" cy="3478235"/>
            <wp:effectExtent l="0" t="0" r="3810" b="8255"/>
            <wp:docPr id="1924456277" name="Grafik 1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56277" name="Grafik 14" descr="A graph of different colored lines&#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71421" cy="3485796"/>
                    </a:xfrm>
                    <a:prstGeom prst="rect">
                      <a:avLst/>
                    </a:prstGeom>
                    <a:noFill/>
                  </pic:spPr>
                </pic:pic>
              </a:graphicData>
            </a:graphic>
          </wp:inline>
        </w:drawing>
      </w:r>
    </w:p>
    <w:p w14:paraId="597654AE" w14:textId="77777777" w:rsidR="000F7F93" w:rsidRPr="00D86314" w:rsidRDefault="000F7F93" w:rsidP="000F7F93">
      <w:pPr>
        <w:pStyle w:val="Quelle"/>
        <w:rPr>
          <w:rFonts w:ascii="Times New Roman" w:hAnsi="Times New Roman"/>
          <w:noProof/>
        </w:rPr>
      </w:pPr>
      <w:r w:rsidRPr="00D86314">
        <w:rPr>
          <w:rFonts w:ascii="Times New Roman" w:hAnsi="Times New Roman"/>
          <w:noProof/>
        </w:rPr>
        <w:t>Source: WIK-Consult</w:t>
      </w:r>
    </w:p>
    <w:p w14:paraId="5AE72D19" w14:textId="77777777" w:rsidR="00164919" w:rsidRPr="00D86314" w:rsidRDefault="00164919" w:rsidP="00703057">
      <w:pPr>
        <w:pStyle w:val="Heading3"/>
        <w:rPr>
          <w:noProof/>
        </w:rPr>
      </w:pPr>
      <w:bookmarkStart w:id="64" w:name="_Ref214221079"/>
      <w:bookmarkStart w:id="65" w:name="_Toc219718359"/>
      <w:r w:rsidRPr="00D86314">
        <w:rPr>
          <w:noProof/>
        </w:rPr>
        <w:t>Impact on data consumption</w:t>
      </w:r>
      <w:bookmarkEnd w:id="64"/>
      <w:bookmarkEnd w:id="65"/>
    </w:p>
    <w:p w14:paraId="32DF4566" w14:textId="0AA2DFE5" w:rsidR="00070B27" w:rsidRPr="00D86314" w:rsidRDefault="00070B27" w:rsidP="00070B27">
      <w:pPr>
        <w:rPr>
          <w:noProof/>
        </w:rPr>
      </w:pPr>
      <w:r w:rsidRPr="00D86314">
        <w:rPr>
          <w:noProof/>
        </w:rPr>
        <w:t xml:space="preserve">There is relatively little information available that distinguishes between the bandwidth used by customers with DSL connections and that used by customers with cable or FTTH connections. However, </w:t>
      </w:r>
      <w:r w:rsidR="00F22316" w:rsidRPr="00D86314">
        <w:rPr>
          <w:noProof/>
        </w:rPr>
        <w:t xml:space="preserve">there is a recognised </w:t>
      </w:r>
      <w:r w:rsidRPr="00D86314">
        <w:rPr>
          <w:noProof/>
        </w:rPr>
        <w:t xml:space="preserve">link between the download speed and overall data consumption. </w:t>
      </w:r>
    </w:p>
    <w:p w14:paraId="3A7633E5" w14:textId="7D6D63C1" w:rsidR="00070B27" w:rsidRPr="00D86314" w:rsidRDefault="00395F10" w:rsidP="00070B27">
      <w:pPr>
        <w:rPr>
          <w:noProof/>
        </w:rPr>
      </w:pPr>
      <w:r w:rsidRPr="00D86314">
        <w:rPr>
          <w:noProof/>
        </w:rPr>
        <w:t xml:space="preserve">Extrapolating from the distribution of </w:t>
      </w:r>
      <w:r w:rsidR="00070B27" w:rsidRPr="00D86314">
        <w:rPr>
          <w:noProof/>
        </w:rPr>
        <w:t>broadband connections in Austria, Belgium, Denmark, Ireland, Germany, Portugal and the UK</w:t>
      </w:r>
      <w:r w:rsidR="00487F01" w:rsidRPr="00D86314">
        <w:rPr>
          <w:noProof/>
        </w:rPr>
        <w:t>,</w:t>
      </w:r>
      <w:r w:rsidR="00070B27" w:rsidRPr="00D86314">
        <w:rPr>
          <w:noProof/>
        </w:rPr>
        <w:t xml:space="preserve"> ADSL users </w:t>
      </w:r>
      <w:r w:rsidR="00772998" w:rsidRPr="00D86314">
        <w:rPr>
          <w:noProof/>
        </w:rPr>
        <w:t xml:space="preserve">account for </w:t>
      </w:r>
      <w:r w:rsidR="005F1E19" w:rsidRPr="00D86314">
        <w:rPr>
          <w:noProof/>
        </w:rPr>
        <w:t>approximately</w:t>
      </w:r>
      <w:r w:rsidR="00772998" w:rsidRPr="00D86314">
        <w:rPr>
          <w:noProof/>
        </w:rPr>
        <w:t xml:space="preserve"> </w:t>
      </w:r>
      <w:r w:rsidR="00070B27" w:rsidRPr="00D86314">
        <w:rPr>
          <w:noProof/>
        </w:rPr>
        <w:t>40</w:t>
      </w:r>
      <w:r w:rsidR="00772998" w:rsidRPr="00D86314">
        <w:rPr>
          <w:noProof/>
        </w:rPr>
        <w:t> </w:t>
      </w:r>
      <w:r w:rsidR="00070B27" w:rsidRPr="00D86314">
        <w:rPr>
          <w:noProof/>
        </w:rPr>
        <w:t xml:space="preserve">GB of data consumption per month, while cable users </w:t>
      </w:r>
      <w:r w:rsidR="006302D4" w:rsidRPr="00D86314">
        <w:rPr>
          <w:noProof/>
        </w:rPr>
        <w:t xml:space="preserve">consume </w:t>
      </w:r>
      <w:r w:rsidR="005F1E19" w:rsidRPr="00D86314">
        <w:rPr>
          <w:noProof/>
        </w:rPr>
        <w:t xml:space="preserve">up to </w:t>
      </w:r>
      <w:r w:rsidR="00070B27" w:rsidRPr="00D86314">
        <w:rPr>
          <w:noProof/>
        </w:rPr>
        <w:t>450</w:t>
      </w:r>
      <w:r w:rsidR="006302D4" w:rsidRPr="00D86314">
        <w:rPr>
          <w:noProof/>
        </w:rPr>
        <w:t> </w:t>
      </w:r>
      <w:r w:rsidR="00070B27" w:rsidRPr="00D86314">
        <w:rPr>
          <w:noProof/>
        </w:rPr>
        <w:t>GB. For FTTH</w:t>
      </w:r>
      <w:r w:rsidR="00F8484C" w:rsidRPr="00D86314">
        <w:rPr>
          <w:noProof/>
        </w:rPr>
        <w:t>,</w:t>
      </w:r>
      <w:r w:rsidR="00070B27" w:rsidRPr="00D86314">
        <w:rPr>
          <w:noProof/>
        </w:rPr>
        <w:t xml:space="preserve"> average monthly consumption </w:t>
      </w:r>
      <w:r w:rsidR="00F8484C" w:rsidRPr="00D86314">
        <w:rPr>
          <w:noProof/>
        </w:rPr>
        <w:t>is assumed</w:t>
      </w:r>
      <w:r w:rsidR="00E958CF" w:rsidRPr="00D86314">
        <w:rPr>
          <w:noProof/>
        </w:rPr>
        <w:t xml:space="preserve"> at</w:t>
      </w:r>
      <w:r w:rsidR="00070B27" w:rsidRPr="00D86314">
        <w:rPr>
          <w:noProof/>
        </w:rPr>
        <w:t xml:space="preserve"> 600</w:t>
      </w:r>
      <w:r w:rsidR="00E958CF" w:rsidRPr="00D86314">
        <w:rPr>
          <w:noProof/>
        </w:rPr>
        <w:t> </w:t>
      </w:r>
      <w:r w:rsidR="00070B27" w:rsidRPr="00D86314">
        <w:rPr>
          <w:noProof/>
        </w:rPr>
        <w:t>GB</w:t>
      </w:r>
      <w:r w:rsidR="00E958CF" w:rsidRPr="00D86314">
        <w:rPr>
          <w:noProof/>
        </w:rPr>
        <w:t>,</w:t>
      </w:r>
      <w:r w:rsidR="00070B27" w:rsidRPr="00D86314">
        <w:rPr>
          <w:noProof/>
        </w:rPr>
        <w:t xml:space="preserve"> based on the relation between broadband speeds (see below) and average consumption in countries with high fibre take-up.</w:t>
      </w:r>
    </w:p>
    <w:p w14:paraId="63B1A9DD" w14:textId="77C3F1E1" w:rsidR="00070B27" w:rsidRPr="00D86314" w:rsidRDefault="006B4E4E" w:rsidP="00070B27">
      <w:pPr>
        <w:rPr>
          <w:noProof/>
        </w:rPr>
      </w:pPr>
      <w:r w:rsidRPr="00D86314">
        <w:rPr>
          <w:noProof/>
        </w:rPr>
        <w:t>D</w:t>
      </w:r>
      <w:r w:rsidR="00070B27" w:rsidRPr="00D86314">
        <w:rPr>
          <w:noProof/>
        </w:rPr>
        <w:t xml:space="preserve">ata consumption for FWA </w:t>
      </w:r>
      <w:r w:rsidRPr="00D86314">
        <w:rPr>
          <w:noProof/>
        </w:rPr>
        <w:t xml:space="preserve">is estimated </w:t>
      </w:r>
      <w:r w:rsidR="00070B27" w:rsidRPr="00D86314">
        <w:rPr>
          <w:noProof/>
        </w:rPr>
        <w:t xml:space="preserve">as a function of </w:t>
      </w:r>
      <w:r w:rsidR="00553491" w:rsidRPr="00D86314">
        <w:rPr>
          <w:noProof/>
        </w:rPr>
        <w:t xml:space="preserve">its </w:t>
      </w:r>
      <w:r w:rsidR="00070B27" w:rsidRPr="00D86314">
        <w:rPr>
          <w:noProof/>
        </w:rPr>
        <w:t xml:space="preserve">relative speeds compared with FTTC, which </w:t>
      </w:r>
      <w:r w:rsidR="00DD040A" w:rsidRPr="00D86314">
        <w:rPr>
          <w:noProof/>
        </w:rPr>
        <w:t xml:space="preserve">can </w:t>
      </w:r>
      <w:r w:rsidR="00070B27" w:rsidRPr="00D86314">
        <w:rPr>
          <w:noProof/>
        </w:rPr>
        <w:t xml:space="preserve">be considered the nearest in technological performance today. Projections are developed by increasing consumption in </w:t>
      </w:r>
      <w:r w:rsidR="0016243C" w:rsidRPr="00D86314">
        <w:rPr>
          <w:noProof/>
        </w:rPr>
        <w:t>line</w:t>
      </w:r>
      <w:r w:rsidR="004A3C7C" w:rsidRPr="00D86314">
        <w:rPr>
          <w:noProof/>
        </w:rPr>
        <w:t xml:space="preserve"> with</w:t>
      </w:r>
      <w:r w:rsidR="00070B27" w:rsidRPr="00D86314">
        <w:rPr>
          <w:noProof/>
        </w:rPr>
        <w:t xml:space="preserve"> anticipated </w:t>
      </w:r>
      <w:r w:rsidR="004A3C7C" w:rsidRPr="00D86314">
        <w:rPr>
          <w:noProof/>
        </w:rPr>
        <w:t xml:space="preserve">speed growth </w:t>
      </w:r>
      <w:r w:rsidR="000856A2" w:rsidRPr="00D86314">
        <w:rPr>
          <w:noProof/>
        </w:rPr>
        <w:t>for</w:t>
      </w:r>
      <w:r w:rsidR="00070B27" w:rsidRPr="00D86314">
        <w:rPr>
          <w:noProof/>
        </w:rPr>
        <w:t xml:space="preserve"> the different technologies</w:t>
      </w:r>
    </w:p>
    <w:p w14:paraId="31CE5CAD" w14:textId="77777777" w:rsidR="00070B27" w:rsidRPr="00D86314" w:rsidRDefault="00070B27" w:rsidP="00070B27">
      <w:pPr>
        <w:rPr>
          <w:noProof/>
        </w:rPr>
      </w:pPr>
      <w:r w:rsidRPr="00D86314">
        <w:rPr>
          <w:noProof/>
        </w:rPr>
        <w:t>Evidence on the link between download speed and overall data consumption is discussed below.</w:t>
      </w:r>
    </w:p>
    <w:p w14:paraId="54C62712" w14:textId="4A9347FD" w:rsidR="00070B27" w:rsidRPr="00D86314" w:rsidRDefault="00070B27" w:rsidP="00070B27">
      <w:pPr>
        <w:rPr>
          <w:noProof/>
        </w:rPr>
      </w:pPr>
      <w:r w:rsidRPr="00D86314">
        <w:rPr>
          <w:noProof/>
        </w:rPr>
        <w:t xml:space="preserve">As regards absolute consumption, OpenVault </w:t>
      </w:r>
      <w:r w:rsidR="002A118F" w:rsidRPr="00D86314">
        <w:rPr>
          <w:noProof/>
        </w:rPr>
        <w:t xml:space="preserve">reports </w:t>
      </w:r>
      <w:r w:rsidRPr="00D86314">
        <w:rPr>
          <w:noProof/>
        </w:rPr>
        <w:t>that at the end of 2023 the average household</w:t>
      </w:r>
      <w:r w:rsidR="008C4CB7" w:rsidRPr="00D86314">
        <w:rPr>
          <w:noProof/>
        </w:rPr>
        <w:t>’</w:t>
      </w:r>
      <w:r w:rsidRPr="00D86314">
        <w:rPr>
          <w:noProof/>
        </w:rPr>
        <w:t xml:space="preserve">s </w:t>
      </w:r>
      <w:r w:rsidR="00AB7748" w:rsidRPr="00D86314">
        <w:rPr>
          <w:noProof/>
        </w:rPr>
        <w:t xml:space="preserve">usage </w:t>
      </w:r>
      <w:r w:rsidRPr="00D86314">
        <w:rPr>
          <w:noProof/>
        </w:rPr>
        <w:t>was 641</w:t>
      </w:r>
      <w:r w:rsidR="00CC7389" w:rsidRPr="00D86314">
        <w:rPr>
          <w:noProof/>
        </w:rPr>
        <w:t> </w:t>
      </w:r>
      <w:r w:rsidRPr="00D86314">
        <w:rPr>
          <w:noProof/>
        </w:rPr>
        <w:t xml:space="preserve">GB, </w:t>
      </w:r>
      <w:r w:rsidR="004D5B36" w:rsidRPr="00D86314">
        <w:rPr>
          <w:noProof/>
        </w:rPr>
        <w:t xml:space="preserve">up </w:t>
      </w:r>
      <w:r w:rsidRPr="00D86314">
        <w:rPr>
          <w:noProof/>
        </w:rPr>
        <w:t>from 587</w:t>
      </w:r>
      <w:r w:rsidR="00CC7389" w:rsidRPr="00D86314">
        <w:rPr>
          <w:noProof/>
        </w:rPr>
        <w:t> </w:t>
      </w:r>
      <w:r w:rsidRPr="00D86314">
        <w:rPr>
          <w:noProof/>
        </w:rPr>
        <w:t>GB in the previous year.</w:t>
      </w:r>
      <w:r w:rsidRPr="00D86314">
        <w:rPr>
          <w:rStyle w:val="FootnoteReference"/>
          <w:noProof/>
        </w:rPr>
        <w:footnoteReference w:id="17"/>
      </w:r>
    </w:p>
    <w:p w14:paraId="50D5CFA7" w14:textId="6D1C93B4" w:rsidR="00070B27" w:rsidRPr="00D86314" w:rsidRDefault="00070B27" w:rsidP="00070B27">
      <w:pPr>
        <w:pStyle w:val="Abbberschrift"/>
        <w:rPr>
          <w:rFonts w:ascii="Times New Roman" w:hAnsi="Times New Roman"/>
          <w:i/>
          <w:noProof/>
        </w:rPr>
      </w:pPr>
      <w:r w:rsidRPr="00D86314">
        <w:rPr>
          <w:rFonts w:ascii="Times New Roman" w:hAnsi="Times New Roman"/>
          <w:i/>
          <w:noProof/>
        </w:rPr>
        <w:t xml:space="preserve">Figure </w:t>
      </w:r>
      <w:r w:rsidR="00345286" w:rsidRPr="00D86314">
        <w:rPr>
          <w:rFonts w:ascii="Times New Roman" w:hAnsi="Times New Roman"/>
          <w:i/>
          <w:noProof/>
        </w:rPr>
        <w:t>A4 1</w:t>
      </w:r>
      <w:r w:rsidR="001F10E6" w:rsidRPr="00D86314">
        <w:rPr>
          <w:rFonts w:ascii="Times New Roman" w:hAnsi="Times New Roman"/>
          <w:i/>
          <w:noProof/>
        </w:rPr>
        <w:noBreakHyphen/>
      </w:r>
      <w:r w:rsidR="00E122E2">
        <w:rPr>
          <w:rFonts w:ascii="Times New Roman" w:hAnsi="Times New Roman"/>
          <w:i/>
          <w:noProof/>
        </w:rPr>
        <w:t>14</w:t>
      </w:r>
      <w:r w:rsidRPr="00D86314">
        <w:rPr>
          <w:rFonts w:ascii="Times New Roman" w:hAnsi="Times New Roman"/>
          <w:i/>
          <w:noProof/>
        </w:rPr>
        <w:t>:Data usage by provisioned speed tier – 4Q 2023 (Openvault)</w:t>
      </w:r>
    </w:p>
    <w:p w14:paraId="358C2C02" w14:textId="77777777" w:rsidR="00070B27" w:rsidRPr="00D86314" w:rsidRDefault="00070B27" w:rsidP="00070B27">
      <w:pPr>
        <w:spacing w:after="120"/>
        <w:jc w:val="center"/>
        <w:rPr>
          <w:noProof/>
        </w:rPr>
      </w:pPr>
      <w:r w:rsidRPr="00E46BC9">
        <w:rPr>
          <w:noProof/>
          <w:lang w:eastAsia="en-GB"/>
        </w:rPr>
        <w:drawing>
          <wp:inline distT="0" distB="0" distL="0" distR="0" wp14:anchorId="7A2BC4C9" wp14:editId="7C294F79">
            <wp:extent cx="5114905" cy="2756093"/>
            <wp:effectExtent l="0" t="0" r="0" b="6350"/>
            <wp:docPr id="1549044594" name="Grafik 1" descr="Ein Bild, das Text, Screenshot, Zah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80511" name="Grafik 1" descr="Ein Bild, das Text, Screenshot, Zahl, Schrift enthält.&#10;&#10;KI-generierte Inhalte können fehlerhaft sein."/>
                    <pic:cNvPicPr/>
                  </pic:nvPicPr>
                  <pic:blipFill rotWithShape="1">
                    <a:blip r:embed="rId35"/>
                    <a:srcRect t="9502"/>
                    <a:stretch>
                      <a:fillRect/>
                    </a:stretch>
                  </pic:blipFill>
                  <pic:spPr bwMode="auto">
                    <a:xfrm>
                      <a:off x="0" y="0"/>
                      <a:ext cx="5120683" cy="2759206"/>
                    </a:xfrm>
                    <a:prstGeom prst="rect">
                      <a:avLst/>
                    </a:prstGeom>
                    <a:ln>
                      <a:noFill/>
                    </a:ln>
                    <a:extLst>
                      <a:ext uri="{53640926-AAD7-44D8-BBD7-CCE9431645EC}">
                        <a14:shadowObscured xmlns:a14="http://schemas.microsoft.com/office/drawing/2010/main"/>
                      </a:ext>
                    </a:extLst>
                  </pic:spPr>
                </pic:pic>
              </a:graphicData>
            </a:graphic>
          </wp:inline>
        </w:drawing>
      </w:r>
    </w:p>
    <w:p w14:paraId="5D81299B" w14:textId="77777777" w:rsidR="00070B27" w:rsidRPr="00D86314" w:rsidRDefault="00070B27" w:rsidP="00070B27">
      <w:pPr>
        <w:pStyle w:val="Quelle"/>
        <w:rPr>
          <w:rFonts w:ascii="Times New Roman" w:hAnsi="Times New Roman"/>
          <w:noProof/>
        </w:rPr>
      </w:pPr>
      <w:r w:rsidRPr="00D86314">
        <w:rPr>
          <w:rFonts w:ascii="Times New Roman" w:hAnsi="Times New Roman"/>
          <w:noProof/>
        </w:rPr>
        <w:t>Source:</w:t>
      </w:r>
      <w:r w:rsidRPr="00D86314">
        <w:rPr>
          <w:rFonts w:ascii="Times New Roman" w:hAnsi="Times New Roman"/>
          <w:noProof/>
        </w:rPr>
        <w:tab/>
        <w:t>Openvault (2023): Broadband Insights Report (OVBI) 4Q23, https://openvault.com/wp-content/uploads/2024/02/OVBI_4Q23_Report_v3.pdf</w:t>
      </w:r>
    </w:p>
    <w:p w14:paraId="3F261A31" w14:textId="37357ED8" w:rsidR="00070B27" w:rsidRPr="00D86314" w:rsidRDefault="00070B27" w:rsidP="00070B27">
      <w:pPr>
        <w:rPr>
          <w:noProof/>
        </w:rPr>
      </w:pPr>
      <w:r w:rsidRPr="00D86314">
        <w:rPr>
          <w:noProof/>
        </w:rPr>
        <w:t xml:space="preserve">Openvault also highlights in its Q1 2025 Broadband Insights that after growing by nearly 50% during the pandemic year of 2020, the rate of growth for average daily consumption declined steadily in the ensuing years but in Q1 2025 not only rebounded but also </w:t>
      </w:r>
      <w:r w:rsidR="00295885" w:rsidRPr="00D86314">
        <w:rPr>
          <w:noProof/>
        </w:rPr>
        <w:t>accelerated</w:t>
      </w:r>
      <w:r w:rsidRPr="00D86314">
        <w:rPr>
          <w:noProof/>
        </w:rPr>
        <w:t xml:space="preserve"> with a 9.5% growth rate.</w:t>
      </w:r>
    </w:p>
    <w:p w14:paraId="33C79F72" w14:textId="249E5CAB" w:rsidR="00070B27" w:rsidRPr="00D86314" w:rsidRDefault="00070B27" w:rsidP="00070B27">
      <w:pPr>
        <w:pStyle w:val="Abbberschrift"/>
        <w:rPr>
          <w:rFonts w:ascii="Times New Roman" w:hAnsi="Times New Roman"/>
          <w:i/>
          <w:noProof/>
        </w:rPr>
      </w:pPr>
      <w:r w:rsidRPr="00D86314">
        <w:rPr>
          <w:rFonts w:ascii="Times New Roman" w:hAnsi="Times New Roman"/>
          <w:i/>
          <w:noProof/>
        </w:rPr>
        <w:t xml:space="preserve">Figure </w:t>
      </w:r>
      <w:r w:rsidR="00345286" w:rsidRPr="00D86314">
        <w:rPr>
          <w:rFonts w:ascii="Times New Roman" w:hAnsi="Times New Roman"/>
          <w:i/>
          <w:noProof/>
        </w:rPr>
        <w:t>A4 1</w:t>
      </w:r>
      <w:r w:rsidR="001F10E6" w:rsidRPr="00D86314">
        <w:rPr>
          <w:rFonts w:ascii="Times New Roman" w:hAnsi="Times New Roman"/>
          <w:i/>
          <w:noProof/>
        </w:rPr>
        <w:noBreakHyphen/>
      </w:r>
      <w:r w:rsidR="00E122E2">
        <w:rPr>
          <w:rFonts w:ascii="Times New Roman" w:hAnsi="Times New Roman"/>
          <w:i/>
          <w:noProof/>
        </w:rPr>
        <w:t>15</w:t>
      </w:r>
      <w:r w:rsidRPr="00D86314">
        <w:rPr>
          <w:rFonts w:ascii="Times New Roman" w:hAnsi="Times New Roman"/>
          <w:i/>
          <w:noProof/>
        </w:rPr>
        <w:t>:Year-over-Year global average usage growth</w:t>
      </w:r>
    </w:p>
    <w:p w14:paraId="0C3CA37F" w14:textId="77777777" w:rsidR="00070B27" w:rsidRPr="00D86314" w:rsidRDefault="00070B27" w:rsidP="00070B27">
      <w:pPr>
        <w:spacing w:after="120"/>
        <w:jc w:val="center"/>
        <w:rPr>
          <w:noProof/>
        </w:rPr>
      </w:pPr>
      <w:r w:rsidRPr="00E46BC9">
        <w:rPr>
          <w:noProof/>
          <w:lang w:eastAsia="en-GB"/>
        </w:rPr>
        <w:drawing>
          <wp:inline distT="0" distB="0" distL="0" distR="0" wp14:anchorId="57DAC9EB" wp14:editId="7F812B09">
            <wp:extent cx="4593574" cy="2503565"/>
            <wp:effectExtent l="0" t="0" r="0" b="0"/>
            <wp:docPr id="1502703545" name="Grafik 1" descr="Ein Bild, das Text, Diagramm, Reihe,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560409" name="Grafik 1" descr="Ein Bild, das Text, Diagramm, Reihe, Screenshot enthält.&#10;&#10;KI-generierte Inhalte können fehlerhaft sein."/>
                    <pic:cNvPicPr/>
                  </pic:nvPicPr>
                  <pic:blipFill rotWithShape="1">
                    <a:blip r:embed="rId36"/>
                    <a:srcRect t="11462" b="5288"/>
                    <a:stretch>
                      <a:fillRect/>
                    </a:stretch>
                  </pic:blipFill>
                  <pic:spPr bwMode="auto">
                    <a:xfrm>
                      <a:off x="0" y="0"/>
                      <a:ext cx="4603262" cy="2508845"/>
                    </a:xfrm>
                    <a:prstGeom prst="rect">
                      <a:avLst/>
                    </a:prstGeom>
                    <a:ln>
                      <a:noFill/>
                    </a:ln>
                    <a:extLst>
                      <a:ext uri="{53640926-AAD7-44D8-BBD7-CCE9431645EC}">
                        <a14:shadowObscured xmlns:a14="http://schemas.microsoft.com/office/drawing/2010/main"/>
                      </a:ext>
                    </a:extLst>
                  </pic:spPr>
                </pic:pic>
              </a:graphicData>
            </a:graphic>
          </wp:inline>
        </w:drawing>
      </w:r>
    </w:p>
    <w:p w14:paraId="0D58F2C4" w14:textId="77777777" w:rsidR="00070B27" w:rsidRPr="00D86314" w:rsidRDefault="00070B27" w:rsidP="00070B27">
      <w:pPr>
        <w:pStyle w:val="Quelle"/>
        <w:rPr>
          <w:rFonts w:ascii="Times New Roman" w:hAnsi="Times New Roman"/>
          <w:noProof/>
        </w:rPr>
      </w:pPr>
      <w:r w:rsidRPr="00D86314">
        <w:rPr>
          <w:rFonts w:ascii="Times New Roman" w:hAnsi="Times New Roman"/>
          <w:noProof/>
        </w:rPr>
        <w:t>Source: Openvault (2025): A Boom in Business and a Peek at Peaks, OpenVault Broadband Insights.</w:t>
      </w:r>
    </w:p>
    <w:p w14:paraId="28660273" w14:textId="355224B6" w:rsidR="00070B27" w:rsidRPr="00D86314" w:rsidRDefault="00070B27" w:rsidP="00070B27">
      <w:pPr>
        <w:rPr>
          <w:noProof/>
        </w:rPr>
      </w:pPr>
      <w:r w:rsidRPr="00D86314">
        <w:rPr>
          <w:noProof/>
        </w:rPr>
        <w:t xml:space="preserve">FTTH networks offer higher speeds than legacy networks. Higher </w:t>
      </w:r>
      <w:r w:rsidR="003A3E0D" w:rsidRPr="00D86314">
        <w:rPr>
          <w:noProof/>
        </w:rPr>
        <w:t xml:space="preserve">FTTH </w:t>
      </w:r>
      <w:r w:rsidRPr="00D86314">
        <w:rPr>
          <w:noProof/>
        </w:rPr>
        <w:t xml:space="preserve">coverage </w:t>
      </w:r>
      <w:r w:rsidR="003A3E0D" w:rsidRPr="00D86314">
        <w:rPr>
          <w:noProof/>
        </w:rPr>
        <w:t>is associated</w:t>
      </w:r>
      <w:r w:rsidR="00C83249" w:rsidRPr="00D86314">
        <w:rPr>
          <w:noProof/>
        </w:rPr>
        <w:t xml:space="preserve"> </w:t>
      </w:r>
      <w:r w:rsidR="003A3E0D" w:rsidRPr="00D86314">
        <w:rPr>
          <w:noProof/>
        </w:rPr>
        <w:t>with</w:t>
      </w:r>
      <w:r w:rsidRPr="00D86314">
        <w:rPr>
          <w:noProof/>
        </w:rPr>
        <w:t xml:space="preserve"> higher fixed data consumption. Countries with more than 80% FTTP coverage (Spain, Portugal, Latvia, Lithuania, Bulgaria) are also in the top quartile of high FTTP penetration and overall high fixed </w:t>
      </w:r>
      <w:r w:rsidR="00710BF2" w:rsidRPr="00D86314">
        <w:rPr>
          <w:noProof/>
        </w:rPr>
        <w:t xml:space="preserve">data usage </w:t>
      </w:r>
      <w:r w:rsidR="000E6D6B" w:rsidRPr="00D86314">
        <w:rPr>
          <w:noProof/>
        </w:rPr>
        <w:t>(</w:t>
      </w:r>
      <w:r w:rsidRPr="00D86314">
        <w:rPr>
          <w:noProof/>
        </w:rPr>
        <w:t>GB/month</w:t>
      </w:r>
      <w:r w:rsidR="000E6D6B" w:rsidRPr="00D86314">
        <w:rPr>
          <w:noProof/>
        </w:rPr>
        <w:t>)</w:t>
      </w:r>
      <w:r w:rsidRPr="00D86314">
        <w:rPr>
          <w:noProof/>
        </w:rPr>
        <w:t xml:space="preserve">. Belgium and Denmark, which have high cable coverage, </w:t>
      </w:r>
      <w:r w:rsidR="000E6D6B" w:rsidRPr="00D86314">
        <w:rPr>
          <w:noProof/>
        </w:rPr>
        <w:t xml:space="preserve">exhibit </w:t>
      </w:r>
      <w:r w:rsidR="00D81EA6" w:rsidRPr="00D86314">
        <w:rPr>
          <w:noProof/>
        </w:rPr>
        <w:t>consumption patterns similar to</w:t>
      </w:r>
      <w:r w:rsidRPr="00D86314">
        <w:rPr>
          <w:noProof/>
        </w:rPr>
        <w:t xml:space="preserve"> FTTP countries, </w:t>
      </w:r>
      <w:r w:rsidR="007B2F88" w:rsidRPr="00D86314">
        <w:rPr>
          <w:noProof/>
        </w:rPr>
        <w:t>with</w:t>
      </w:r>
      <w:r w:rsidRPr="00D86314">
        <w:rPr>
          <w:noProof/>
        </w:rPr>
        <w:t xml:space="preserve"> high </w:t>
      </w:r>
      <w:r w:rsidR="007B2F88" w:rsidRPr="00D86314">
        <w:rPr>
          <w:noProof/>
        </w:rPr>
        <w:t xml:space="preserve">level of </w:t>
      </w:r>
      <w:r w:rsidRPr="00D86314">
        <w:rPr>
          <w:noProof/>
        </w:rPr>
        <w:t xml:space="preserve">fixed data </w:t>
      </w:r>
      <w:r w:rsidR="00A364C6" w:rsidRPr="00D86314">
        <w:rPr>
          <w:noProof/>
        </w:rPr>
        <w:t>usage</w:t>
      </w:r>
      <w:r w:rsidRPr="00D86314">
        <w:rPr>
          <w:noProof/>
        </w:rPr>
        <w:t>. Conversely, countries with low FTTP tend to show lower fixed data consumption.</w:t>
      </w:r>
      <w:r w:rsidRPr="00D86314">
        <w:rPr>
          <w:rStyle w:val="FootnoteReference"/>
          <w:noProof/>
        </w:rPr>
        <w:footnoteReference w:id="18"/>
      </w:r>
      <w:r w:rsidRPr="00D86314">
        <w:rPr>
          <w:noProof/>
        </w:rPr>
        <w:t xml:space="preserve"> </w:t>
      </w:r>
    </w:p>
    <w:p w14:paraId="6C78C6EC" w14:textId="4155D9A7" w:rsidR="00070B27" w:rsidRPr="00D86314" w:rsidRDefault="00070B27" w:rsidP="00070B27">
      <w:pPr>
        <w:rPr>
          <w:noProof/>
        </w:rPr>
      </w:pPr>
      <w:r w:rsidRPr="00D86314">
        <w:rPr>
          <w:noProof/>
        </w:rPr>
        <w:t xml:space="preserve">The same report </w:t>
      </w:r>
      <w:r w:rsidR="001F7F8D" w:rsidRPr="00D86314">
        <w:rPr>
          <w:noProof/>
        </w:rPr>
        <w:t xml:space="preserve">notes </w:t>
      </w:r>
      <w:r w:rsidRPr="00D86314">
        <w:rPr>
          <w:noProof/>
        </w:rPr>
        <w:t xml:space="preserve">that FTTH subscribers tend to use more data-intensive applications, </w:t>
      </w:r>
      <w:r w:rsidR="00CC0A41" w:rsidRPr="00D86314">
        <w:rPr>
          <w:noProof/>
        </w:rPr>
        <w:t xml:space="preserve">and that data consumption typically doubles </w:t>
      </w:r>
      <w:r w:rsidRPr="00D86314">
        <w:rPr>
          <w:noProof/>
        </w:rPr>
        <w:t>when a customer is upgraded from xDSL to FTTP.</w:t>
      </w:r>
    </w:p>
    <w:p w14:paraId="70744112" w14:textId="1A4FF060" w:rsidR="00070B27" w:rsidRPr="00D86314" w:rsidRDefault="00070B27" w:rsidP="00070B27">
      <w:pPr>
        <w:rPr>
          <w:noProof/>
        </w:rPr>
      </w:pPr>
      <w:r w:rsidRPr="00D86314">
        <w:rPr>
          <w:noProof/>
        </w:rPr>
        <w:t xml:space="preserve">Data from Ofcom on the average monthly data usage per connection in the UK shows that the data usage for full-fibre </w:t>
      </w:r>
      <w:r w:rsidR="00295885" w:rsidRPr="00D86314">
        <w:rPr>
          <w:noProof/>
        </w:rPr>
        <w:t>connections</w:t>
      </w:r>
      <w:r w:rsidRPr="00D86314">
        <w:rPr>
          <w:noProof/>
        </w:rPr>
        <w:t xml:space="preserve"> is significantly higher than the average monthly data usage over all connections.</w:t>
      </w:r>
    </w:p>
    <w:p w14:paraId="36F13AC3" w14:textId="7A6FB68A" w:rsidR="00070B27" w:rsidRPr="00D86314" w:rsidRDefault="00070B27" w:rsidP="00070B27">
      <w:pPr>
        <w:pStyle w:val="Tabberschrift"/>
        <w:rPr>
          <w:rFonts w:ascii="Times New Roman" w:hAnsi="Times New Roman"/>
          <w:noProof/>
        </w:rPr>
      </w:pPr>
      <w:bookmarkStart w:id="66" w:name="_Toc214231341"/>
      <w:r w:rsidRPr="00D86314">
        <w:rPr>
          <w:rFonts w:ascii="Times New Roman" w:hAnsi="Times New Roman"/>
          <w:noProof/>
        </w:rPr>
        <w:t xml:space="preserve">Table </w:t>
      </w:r>
      <w:r w:rsidR="00345286" w:rsidRPr="00D86314">
        <w:rPr>
          <w:rFonts w:ascii="Times New Roman" w:hAnsi="Times New Roman"/>
          <w:noProof/>
        </w:rPr>
        <w:t>A4 1</w:t>
      </w:r>
      <w:r w:rsidR="00FE2871">
        <w:rPr>
          <w:rFonts w:ascii="Times New Roman" w:hAnsi="Times New Roman"/>
          <w:noProof/>
        </w:rPr>
        <w:t>-</w:t>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6</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Average monthly data usage per connection GB in the UK (2024)</w:t>
      </w:r>
      <w:bookmarkEnd w:id="66"/>
    </w:p>
    <w:tbl>
      <w:tblPr>
        <w:tblStyle w:val="TabelleWIKmitKopfzeile2"/>
        <w:tblW w:w="5000" w:type="pct"/>
        <w:tblLook w:val="0420" w:firstRow="1" w:lastRow="0" w:firstColumn="0" w:lastColumn="0" w:noHBand="0" w:noVBand="1"/>
      </w:tblPr>
      <w:tblGrid>
        <w:gridCol w:w="3252"/>
        <w:gridCol w:w="3232"/>
        <w:gridCol w:w="3128"/>
      </w:tblGrid>
      <w:tr w:rsidR="00070B27" w:rsidRPr="00D86314" w14:paraId="6398EB6D" w14:textId="77777777">
        <w:trPr>
          <w:cnfStyle w:val="100000000000" w:firstRow="1" w:lastRow="0" w:firstColumn="0" w:lastColumn="0" w:oddVBand="0" w:evenVBand="0" w:oddHBand="0" w:evenHBand="0" w:firstRowFirstColumn="0" w:firstRowLastColumn="0" w:lastRowFirstColumn="0" w:lastRowLastColumn="0"/>
        </w:trPr>
        <w:tc>
          <w:tcPr>
            <w:tcW w:w="1692" w:type="pct"/>
            <w:vMerge w:val="restart"/>
            <w:hideMark/>
          </w:tcPr>
          <w:p w14:paraId="5F6821FB" w14:textId="77777777" w:rsidR="00070B27" w:rsidRPr="00D86314" w:rsidRDefault="00070B27">
            <w:pPr>
              <w:spacing w:after="0" w:line="312" w:lineRule="atLeast"/>
              <w:rPr>
                <w:rFonts w:cs="Arial"/>
                <w:noProof/>
                <w:sz w:val="18"/>
                <w:szCs w:val="18"/>
                <w:lang w:val="en-GB"/>
              </w:rPr>
            </w:pPr>
          </w:p>
        </w:tc>
        <w:tc>
          <w:tcPr>
            <w:tcW w:w="3308" w:type="pct"/>
            <w:gridSpan w:val="2"/>
            <w:tcBorders>
              <w:bottom w:val="single" w:sz="8" w:space="0" w:color="FFFFFF"/>
            </w:tcBorders>
            <w:hideMark/>
          </w:tcPr>
          <w:p w14:paraId="38EC7D8A" w14:textId="77777777" w:rsidR="00070B27" w:rsidRPr="00D86314" w:rsidRDefault="00070B27">
            <w:pPr>
              <w:spacing w:after="0" w:line="312" w:lineRule="atLeast"/>
              <w:ind w:left="115"/>
              <w:jc w:val="center"/>
              <w:rPr>
                <w:rFonts w:cs="Arial"/>
                <w:noProof/>
                <w:sz w:val="18"/>
                <w:szCs w:val="18"/>
                <w:lang w:val="en-GB"/>
              </w:rPr>
            </w:pPr>
            <w:r w:rsidRPr="00C20A01">
              <w:rPr>
                <w:rFonts w:cs="Arial"/>
                <w:noProof/>
                <w:sz w:val="18"/>
                <w:szCs w:val="18"/>
                <w:lang w:val="en-GB"/>
              </w:rPr>
              <w:t>Average</w:t>
            </w:r>
            <w:r w:rsidRPr="00C20A01">
              <w:rPr>
                <w:rFonts w:cs="Arial"/>
                <w:noProof/>
                <w:spacing w:val="-5"/>
                <w:sz w:val="18"/>
                <w:szCs w:val="18"/>
                <w:lang w:val="en-GB"/>
              </w:rPr>
              <w:t xml:space="preserve"> </w:t>
            </w:r>
            <w:r w:rsidRPr="00C20A01">
              <w:rPr>
                <w:rFonts w:cs="Arial"/>
                <w:noProof/>
                <w:sz w:val="18"/>
                <w:szCs w:val="18"/>
                <w:lang w:val="en-GB"/>
              </w:rPr>
              <w:t>monthly</w:t>
            </w:r>
            <w:r w:rsidRPr="00C20A01">
              <w:rPr>
                <w:rFonts w:cs="Arial"/>
                <w:noProof/>
                <w:spacing w:val="-3"/>
                <w:sz w:val="18"/>
                <w:szCs w:val="18"/>
                <w:lang w:val="en-GB"/>
              </w:rPr>
              <w:t xml:space="preserve"> </w:t>
            </w:r>
            <w:r w:rsidRPr="00C20A01">
              <w:rPr>
                <w:rFonts w:cs="Arial"/>
                <w:noProof/>
                <w:sz w:val="18"/>
                <w:szCs w:val="18"/>
                <w:lang w:val="en-GB"/>
              </w:rPr>
              <w:t>data</w:t>
            </w:r>
            <w:r w:rsidRPr="00C20A01">
              <w:rPr>
                <w:rFonts w:cs="Arial"/>
                <w:noProof/>
                <w:spacing w:val="-4"/>
                <w:sz w:val="18"/>
                <w:szCs w:val="18"/>
                <w:lang w:val="en-GB"/>
              </w:rPr>
              <w:t xml:space="preserve"> </w:t>
            </w:r>
            <w:r w:rsidRPr="00C20A01">
              <w:rPr>
                <w:rFonts w:cs="Arial"/>
                <w:noProof/>
                <w:sz w:val="18"/>
                <w:szCs w:val="18"/>
                <w:lang w:val="en-GB"/>
              </w:rPr>
              <w:t>usage</w:t>
            </w:r>
            <w:r w:rsidRPr="00C20A01">
              <w:rPr>
                <w:rFonts w:cs="Arial"/>
                <w:noProof/>
                <w:spacing w:val="-5"/>
                <w:sz w:val="18"/>
                <w:szCs w:val="18"/>
                <w:lang w:val="en-GB"/>
              </w:rPr>
              <w:t xml:space="preserve"> </w:t>
            </w:r>
            <w:r w:rsidRPr="00C20A01">
              <w:rPr>
                <w:rFonts w:cs="Arial"/>
                <w:noProof/>
                <w:sz w:val="18"/>
                <w:szCs w:val="18"/>
                <w:lang w:val="en-GB"/>
              </w:rPr>
              <w:t>per</w:t>
            </w:r>
            <w:r w:rsidRPr="00C20A01">
              <w:rPr>
                <w:rFonts w:cs="Arial"/>
                <w:noProof/>
                <w:spacing w:val="-5"/>
                <w:sz w:val="18"/>
                <w:szCs w:val="18"/>
                <w:lang w:val="en-GB"/>
              </w:rPr>
              <w:t xml:space="preserve"> </w:t>
            </w:r>
            <w:r w:rsidRPr="00C20A01">
              <w:rPr>
                <w:rFonts w:cs="Arial"/>
                <w:noProof/>
                <w:sz w:val="18"/>
                <w:szCs w:val="18"/>
                <w:lang w:val="en-GB"/>
              </w:rPr>
              <w:t>connection</w:t>
            </w:r>
            <w:r w:rsidRPr="00C20A01">
              <w:rPr>
                <w:rFonts w:cs="Arial"/>
                <w:noProof/>
                <w:spacing w:val="-5"/>
                <w:sz w:val="18"/>
                <w:szCs w:val="18"/>
                <w:lang w:val="en-GB"/>
              </w:rPr>
              <w:t xml:space="preserve"> </w:t>
            </w:r>
            <w:r w:rsidRPr="00C20A01">
              <w:rPr>
                <w:rFonts w:cs="Arial"/>
                <w:noProof/>
                <w:spacing w:val="-4"/>
                <w:sz w:val="18"/>
                <w:szCs w:val="18"/>
                <w:lang w:val="en-GB"/>
              </w:rPr>
              <w:t>(GB)</w:t>
            </w:r>
          </w:p>
        </w:tc>
      </w:tr>
      <w:tr w:rsidR="00070B27" w:rsidRPr="00D86314" w14:paraId="0249D78D" w14:textId="77777777">
        <w:tc>
          <w:tcPr>
            <w:tcW w:w="1692" w:type="pct"/>
            <w:vMerge/>
            <w:hideMark/>
          </w:tcPr>
          <w:p w14:paraId="7C8C9BB2" w14:textId="77777777" w:rsidR="00070B27" w:rsidRPr="00D86314" w:rsidRDefault="00070B27">
            <w:pPr>
              <w:spacing w:after="0" w:line="312" w:lineRule="atLeast"/>
              <w:rPr>
                <w:rFonts w:cs="Arial"/>
                <w:noProof/>
                <w:sz w:val="18"/>
                <w:szCs w:val="18"/>
                <w:lang w:val="en-GB"/>
              </w:rPr>
            </w:pPr>
          </w:p>
        </w:tc>
        <w:tc>
          <w:tcPr>
            <w:tcW w:w="1681" w:type="pct"/>
            <w:tcBorders>
              <w:top w:val="single" w:sz="8" w:space="0" w:color="FFFFFF"/>
              <w:bottom w:val="single" w:sz="8" w:space="0" w:color="FFFFFF"/>
            </w:tcBorders>
            <w:shd w:val="clear" w:color="auto" w:fill="1E4E79"/>
            <w:hideMark/>
          </w:tcPr>
          <w:p w14:paraId="393DF978"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FFFFFF"/>
                <w:sz w:val="18"/>
                <w:szCs w:val="18"/>
              </w:rPr>
              <w:t>All</w:t>
            </w:r>
            <w:r w:rsidRPr="00A36024">
              <w:rPr>
                <w:rFonts w:cs="Arial"/>
                <w:b/>
                <w:bCs/>
                <w:noProof/>
                <w:color w:val="FFFFFF"/>
                <w:spacing w:val="-4"/>
                <w:sz w:val="18"/>
                <w:szCs w:val="18"/>
              </w:rPr>
              <w:t xml:space="preserve"> </w:t>
            </w:r>
            <w:r w:rsidRPr="00A36024">
              <w:rPr>
                <w:rFonts w:cs="Arial"/>
                <w:b/>
                <w:bCs/>
                <w:noProof/>
                <w:color w:val="FFFFFF"/>
                <w:spacing w:val="-2"/>
                <w:sz w:val="18"/>
                <w:szCs w:val="18"/>
              </w:rPr>
              <w:t>connections</w:t>
            </w:r>
          </w:p>
        </w:tc>
        <w:tc>
          <w:tcPr>
            <w:tcW w:w="1627" w:type="pct"/>
            <w:tcBorders>
              <w:top w:val="single" w:sz="8" w:space="0" w:color="FFFFFF"/>
              <w:bottom w:val="single" w:sz="8" w:space="0" w:color="FFFFFF"/>
            </w:tcBorders>
            <w:shd w:val="clear" w:color="auto" w:fill="1E4E79"/>
            <w:hideMark/>
          </w:tcPr>
          <w:p w14:paraId="19984989"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FFFFFF"/>
                <w:spacing w:val="-2"/>
                <w:sz w:val="18"/>
                <w:szCs w:val="18"/>
              </w:rPr>
              <w:t>Full-</w:t>
            </w:r>
            <w:r w:rsidRPr="00A36024">
              <w:rPr>
                <w:rFonts w:cs="Arial"/>
                <w:b/>
                <w:bCs/>
                <w:noProof/>
                <w:color w:val="FFFFFF"/>
                <w:sz w:val="18"/>
                <w:szCs w:val="18"/>
              </w:rPr>
              <w:t>fibre</w:t>
            </w:r>
            <w:r w:rsidRPr="00A36024">
              <w:rPr>
                <w:rFonts w:cs="Arial"/>
                <w:b/>
                <w:bCs/>
                <w:noProof/>
                <w:color w:val="FFFFFF"/>
                <w:spacing w:val="3"/>
                <w:sz w:val="18"/>
                <w:szCs w:val="18"/>
              </w:rPr>
              <w:t xml:space="preserve"> </w:t>
            </w:r>
            <w:r w:rsidRPr="00A36024">
              <w:rPr>
                <w:rFonts w:cs="Arial"/>
                <w:b/>
                <w:bCs/>
                <w:noProof/>
                <w:color w:val="FFFFFF"/>
                <w:spacing w:val="-2"/>
                <w:sz w:val="18"/>
                <w:szCs w:val="18"/>
              </w:rPr>
              <w:t>connections</w:t>
            </w:r>
          </w:p>
        </w:tc>
      </w:tr>
      <w:tr w:rsidR="00070B27" w:rsidRPr="00D86314" w14:paraId="4B1BB730" w14:textId="77777777">
        <w:trPr>
          <w:cnfStyle w:val="000000010000" w:firstRow="0" w:lastRow="0" w:firstColumn="0" w:lastColumn="0" w:oddVBand="0" w:evenVBand="0" w:oddHBand="0" w:evenHBand="1" w:firstRowFirstColumn="0" w:firstRowLastColumn="0" w:lastRowFirstColumn="0" w:lastRowLastColumn="0"/>
        </w:trPr>
        <w:tc>
          <w:tcPr>
            <w:tcW w:w="1692" w:type="pct"/>
            <w:hideMark/>
          </w:tcPr>
          <w:p w14:paraId="65DEFA56"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1E4E79"/>
                <w:spacing w:val="-2"/>
                <w:sz w:val="18"/>
                <w:szCs w:val="18"/>
              </w:rPr>
              <w:t>England</w:t>
            </w:r>
          </w:p>
        </w:tc>
        <w:tc>
          <w:tcPr>
            <w:tcW w:w="1681" w:type="pct"/>
            <w:tcBorders>
              <w:top w:val="single" w:sz="8" w:space="0" w:color="FFFFFF"/>
            </w:tcBorders>
            <w:hideMark/>
          </w:tcPr>
          <w:p w14:paraId="3636A557"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539</w:t>
            </w:r>
          </w:p>
        </w:tc>
        <w:tc>
          <w:tcPr>
            <w:tcW w:w="1627" w:type="pct"/>
            <w:tcBorders>
              <w:top w:val="single" w:sz="8" w:space="0" w:color="FFFFFF"/>
            </w:tcBorders>
            <w:hideMark/>
          </w:tcPr>
          <w:p w14:paraId="6971BAE4"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805</w:t>
            </w:r>
          </w:p>
        </w:tc>
      </w:tr>
      <w:tr w:rsidR="00070B27" w:rsidRPr="00D86314" w14:paraId="7B0646E8" w14:textId="77777777">
        <w:tc>
          <w:tcPr>
            <w:tcW w:w="1692" w:type="pct"/>
            <w:hideMark/>
          </w:tcPr>
          <w:p w14:paraId="014F77AB"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1E4E79"/>
                <w:sz w:val="18"/>
                <w:szCs w:val="18"/>
              </w:rPr>
              <w:t>Northern</w:t>
            </w:r>
            <w:r w:rsidRPr="00A36024">
              <w:rPr>
                <w:rFonts w:cs="Arial"/>
                <w:b/>
                <w:bCs/>
                <w:noProof/>
                <w:color w:val="1E4E79"/>
                <w:spacing w:val="-6"/>
                <w:sz w:val="18"/>
                <w:szCs w:val="18"/>
              </w:rPr>
              <w:t xml:space="preserve"> </w:t>
            </w:r>
            <w:r w:rsidRPr="00A36024">
              <w:rPr>
                <w:rFonts w:cs="Arial"/>
                <w:b/>
                <w:bCs/>
                <w:noProof/>
                <w:color w:val="1E4E79"/>
                <w:spacing w:val="-2"/>
                <w:sz w:val="18"/>
                <w:szCs w:val="18"/>
              </w:rPr>
              <w:t>Ireland</w:t>
            </w:r>
          </w:p>
        </w:tc>
        <w:tc>
          <w:tcPr>
            <w:tcW w:w="1681" w:type="pct"/>
            <w:hideMark/>
          </w:tcPr>
          <w:p w14:paraId="60AE9CAF"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510</w:t>
            </w:r>
          </w:p>
        </w:tc>
        <w:tc>
          <w:tcPr>
            <w:tcW w:w="1627" w:type="pct"/>
            <w:hideMark/>
          </w:tcPr>
          <w:p w14:paraId="25BDBCF2"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589</w:t>
            </w:r>
          </w:p>
        </w:tc>
      </w:tr>
      <w:tr w:rsidR="00070B27" w:rsidRPr="00D86314" w14:paraId="39DC8393" w14:textId="77777777">
        <w:trPr>
          <w:cnfStyle w:val="000000010000" w:firstRow="0" w:lastRow="0" w:firstColumn="0" w:lastColumn="0" w:oddVBand="0" w:evenVBand="0" w:oddHBand="0" w:evenHBand="1" w:firstRowFirstColumn="0" w:firstRowLastColumn="0" w:lastRowFirstColumn="0" w:lastRowLastColumn="0"/>
        </w:trPr>
        <w:tc>
          <w:tcPr>
            <w:tcW w:w="1692" w:type="pct"/>
            <w:hideMark/>
          </w:tcPr>
          <w:p w14:paraId="3ADB3EEC"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1E4E79"/>
                <w:spacing w:val="-2"/>
                <w:sz w:val="18"/>
                <w:szCs w:val="18"/>
              </w:rPr>
              <w:t>Scotland</w:t>
            </w:r>
          </w:p>
        </w:tc>
        <w:tc>
          <w:tcPr>
            <w:tcW w:w="1681" w:type="pct"/>
            <w:hideMark/>
          </w:tcPr>
          <w:p w14:paraId="0809BB54"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480</w:t>
            </w:r>
          </w:p>
        </w:tc>
        <w:tc>
          <w:tcPr>
            <w:tcW w:w="1627" w:type="pct"/>
            <w:hideMark/>
          </w:tcPr>
          <w:p w14:paraId="786445F3"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627</w:t>
            </w:r>
          </w:p>
        </w:tc>
      </w:tr>
      <w:tr w:rsidR="00070B27" w:rsidRPr="00D86314" w14:paraId="170AC72C" w14:textId="77777777">
        <w:tc>
          <w:tcPr>
            <w:tcW w:w="1692" w:type="pct"/>
            <w:hideMark/>
          </w:tcPr>
          <w:p w14:paraId="5BB06176"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1E4E79"/>
                <w:spacing w:val="-2"/>
                <w:sz w:val="18"/>
                <w:szCs w:val="18"/>
              </w:rPr>
              <w:t>Wales</w:t>
            </w:r>
          </w:p>
        </w:tc>
        <w:tc>
          <w:tcPr>
            <w:tcW w:w="1681" w:type="pct"/>
            <w:hideMark/>
          </w:tcPr>
          <w:p w14:paraId="1897DB83"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508</w:t>
            </w:r>
          </w:p>
        </w:tc>
        <w:tc>
          <w:tcPr>
            <w:tcW w:w="1627" w:type="pct"/>
            <w:hideMark/>
          </w:tcPr>
          <w:p w14:paraId="14CCFCCB" w14:textId="77777777" w:rsidR="00070B27" w:rsidRPr="00D86314" w:rsidRDefault="00070B27">
            <w:pPr>
              <w:spacing w:after="0" w:line="312" w:lineRule="atLeast"/>
              <w:ind w:left="115"/>
              <w:rPr>
                <w:rFonts w:cs="Arial"/>
                <w:noProof/>
                <w:sz w:val="18"/>
                <w:szCs w:val="18"/>
                <w:lang w:val="en-GB"/>
              </w:rPr>
            </w:pPr>
            <w:r w:rsidRPr="00A36024">
              <w:rPr>
                <w:rFonts w:cs="Arial"/>
                <w:noProof/>
                <w:color w:val="1E4E79"/>
                <w:spacing w:val="-5"/>
                <w:sz w:val="18"/>
                <w:szCs w:val="18"/>
              </w:rPr>
              <w:t>646</w:t>
            </w:r>
          </w:p>
        </w:tc>
      </w:tr>
      <w:tr w:rsidR="00070B27" w:rsidRPr="00D86314" w14:paraId="3EE7D3DE" w14:textId="77777777">
        <w:trPr>
          <w:cnfStyle w:val="000000010000" w:firstRow="0" w:lastRow="0" w:firstColumn="0" w:lastColumn="0" w:oddVBand="0" w:evenVBand="0" w:oddHBand="0" w:evenHBand="1" w:firstRowFirstColumn="0" w:firstRowLastColumn="0" w:lastRowFirstColumn="0" w:lastRowLastColumn="0"/>
        </w:trPr>
        <w:tc>
          <w:tcPr>
            <w:tcW w:w="1692" w:type="pct"/>
            <w:hideMark/>
          </w:tcPr>
          <w:p w14:paraId="1387AB25"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1E4E79"/>
                <w:spacing w:val="-5"/>
                <w:sz w:val="18"/>
                <w:szCs w:val="18"/>
              </w:rPr>
              <w:t>UK</w:t>
            </w:r>
          </w:p>
        </w:tc>
        <w:tc>
          <w:tcPr>
            <w:tcW w:w="1681" w:type="pct"/>
            <w:hideMark/>
          </w:tcPr>
          <w:p w14:paraId="56BD5AD8"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1E4E79"/>
                <w:spacing w:val="-5"/>
                <w:sz w:val="18"/>
                <w:szCs w:val="18"/>
              </w:rPr>
              <w:t>531</w:t>
            </w:r>
          </w:p>
        </w:tc>
        <w:tc>
          <w:tcPr>
            <w:tcW w:w="1627" w:type="pct"/>
            <w:hideMark/>
          </w:tcPr>
          <w:p w14:paraId="3952F759" w14:textId="77777777" w:rsidR="00070B27" w:rsidRPr="00D86314" w:rsidRDefault="00070B27">
            <w:pPr>
              <w:spacing w:after="0" w:line="312" w:lineRule="atLeast"/>
              <w:ind w:left="115"/>
              <w:rPr>
                <w:rFonts w:cs="Arial"/>
                <w:noProof/>
                <w:sz w:val="18"/>
                <w:szCs w:val="18"/>
                <w:lang w:val="en-GB"/>
              </w:rPr>
            </w:pPr>
            <w:r w:rsidRPr="00A36024">
              <w:rPr>
                <w:rFonts w:cs="Arial"/>
                <w:b/>
                <w:bCs/>
                <w:noProof/>
                <w:color w:val="1E4E79"/>
                <w:spacing w:val="-5"/>
                <w:sz w:val="18"/>
                <w:szCs w:val="18"/>
              </w:rPr>
              <w:t>766</w:t>
            </w:r>
          </w:p>
        </w:tc>
      </w:tr>
    </w:tbl>
    <w:p w14:paraId="5EB7D0E0" w14:textId="77777777" w:rsidR="00070B27" w:rsidRPr="00D86314" w:rsidRDefault="00070B27" w:rsidP="008651A2">
      <w:pPr>
        <w:pStyle w:val="Quelle"/>
        <w:spacing w:before="0"/>
        <w:ind w:left="624" w:hanging="624"/>
        <w:rPr>
          <w:rFonts w:ascii="Times New Roman" w:hAnsi="Times New Roman"/>
          <w:noProof/>
        </w:rPr>
      </w:pPr>
      <w:r w:rsidRPr="00D86314">
        <w:rPr>
          <w:rFonts w:ascii="Times New Roman" w:hAnsi="Times New Roman"/>
          <w:noProof/>
        </w:rPr>
        <w:t>Source: Ofcom analysis of provider data (July 2024). Data usage is the total data downloaded and uploaded over the broadband connection during July 2024. Due to a change in methodology, this usage data is not directly comparable with usage data reported in previous years.</w:t>
      </w:r>
      <w:r w:rsidRPr="00D86314">
        <w:rPr>
          <w:rStyle w:val="FootnoteReference"/>
          <w:rFonts w:ascii="Times New Roman" w:hAnsi="Times New Roman"/>
          <w:noProof/>
        </w:rPr>
        <w:t xml:space="preserve"> </w:t>
      </w:r>
      <w:r w:rsidRPr="00D86314">
        <w:rPr>
          <w:rStyle w:val="FootnoteReference"/>
          <w:rFonts w:ascii="Times New Roman" w:hAnsi="Times New Roman"/>
          <w:noProof/>
        </w:rPr>
        <w:footnoteReference w:id="19"/>
      </w:r>
    </w:p>
    <w:p w14:paraId="4CD50A6D" w14:textId="25A1305D" w:rsidR="00070B27" w:rsidRPr="00D86314" w:rsidRDefault="00070B27" w:rsidP="00070B27">
      <w:pPr>
        <w:rPr>
          <w:noProof/>
        </w:rPr>
      </w:pPr>
      <w:r w:rsidRPr="00D86314">
        <w:rPr>
          <w:noProof/>
        </w:rPr>
        <w:t>According to Ofcom’s current market review</w:t>
      </w:r>
      <w:r w:rsidRPr="00D86314">
        <w:rPr>
          <w:rStyle w:val="FootnoteReference"/>
          <w:noProof/>
        </w:rPr>
        <w:footnoteReference w:id="20"/>
      </w:r>
      <w:r w:rsidR="00DD5154" w:rsidRPr="00D86314">
        <w:rPr>
          <w:noProof/>
        </w:rPr>
        <w:t>,</w:t>
      </w:r>
      <w:r w:rsidRPr="00D86314">
        <w:rPr>
          <w:noProof/>
        </w:rPr>
        <w:t xml:space="preserve"> consumers in the UK – who tend to have higher levels of broadband usage than in other European countries - consumed 535 GB per connection in 2024, up from 453 GB in the previous year. </w:t>
      </w:r>
      <w:r w:rsidR="00CE7D78" w:rsidRPr="00D86314">
        <w:rPr>
          <w:noProof/>
        </w:rPr>
        <w:t>C</w:t>
      </w:r>
      <w:r w:rsidRPr="00D86314">
        <w:rPr>
          <w:noProof/>
        </w:rPr>
        <w:t xml:space="preserve">onsumers with FTTP connections have higher data usage than </w:t>
      </w:r>
      <w:r w:rsidR="007B6820" w:rsidRPr="00D86314">
        <w:rPr>
          <w:noProof/>
        </w:rPr>
        <w:t>those using other broadband technologies,</w:t>
      </w:r>
      <w:r w:rsidRPr="00D86314">
        <w:rPr>
          <w:noProof/>
        </w:rPr>
        <w:t xml:space="preserve"> with an average of 766 GB </w:t>
      </w:r>
      <w:r w:rsidR="005901B6" w:rsidRPr="00D86314">
        <w:rPr>
          <w:noProof/>
        </w:rPr>
        <w:t>per month</w:t>
      </w:r>
      <w:r w:rsidRPr="00D86314">
        <w:rPr>
          <w:noProof/>
        </w:rPr>
        <w:t xml:space="preserve"> for FTTP connections.</w:t>
      </w:r>
      <w:r w:rsidRPr="00D86314">
        <w:rPr>
          <w:rStyle w:val="FootnoteReference"/>
          <w:noProof/>
        </w:rPr>
        <w:footnoteReference w:id="21"/>
      </w:r>
    </w:p>
    <w:p w14:paraId="23FDC467" w14:textId="77777777" w:rsidR="00070B27" w:rsidRPr="00D86314" w:rsidRDefault="00070B27" w:rsidP="00070B27">
      <w:pPr>
        <w:rPr>
          <w:noProof/>
        </w:rPr>
      </w:pPr>
      <w:r w:rsidRPr="00D86314">
        <w:rPr>
          <w:noProof/>
        </w:rPr>
        <w:t>The quantification of average monthly bandwidth consumption for the different options shows the following results:</w:t>
      </w:r>
    </w:p>
    <w:p w14:paraId="59645DDC" w14:textId="50FFBAF4" w:rsidR="00070B27" w:rsidRPr="00D86314" w:rsidRDefault="00505E6F" w:rsidP="00A00C17">
      <w:pPr>
        <w:pStyle w:val="ListParagraph"/>
        <w:numPr>
          <w:ilvl w:val="0"/>
          <w:numId w:val="55"/>
        </w:numPr>
        <w:spacing w:before="120" w:after="120"/>
        <w:contextualSpacing w:val="0"/>
        <w:rPr>
          <w:noProof/>
        </w:rPr>
      </w:pPr>
      <w:r w:rsidRPr="00D86314">
        <w:rPr>
          <w:noProof/>
        </w:rPr>
        <w:t>U</w:t>
      </w:r>
      <w:r w:rsidR="00070B27" w:rsidRPr="00D86314">
        <w:rPr>
          <w:noProof/>
        </w:rPr>
        <w:t xml:space="preserve">nder the status quo, average monthly bandwidth consumption </w:t>
      </w:r>
      <w:r w:rsidR="006E38D7" w:rsidRPr="00D86314">
        <w:rPr>
          <w:noProof/>
        </w:rPr>
        <w:t xml:space="preserve">is projected to </w:t>
      </w:r>
      <w:r w:rsidR="00070B27" w:rsidRPr="00D86314">
        <w:rPr>
          <w:noProof/>
        </w:rPr>
        <w:t>increase threefold within 10</w:t>
      </w:r>
      <w:r w:rsidR="00DF0A8F" w:rsidRPr="00D86314">
        <w:rPr>
          <w:noProof/>
        </w:rPr>
        <w:t xml:space="preserve"> </w:t>
      </w:r>
      <w:r w:rsidR="00070B27" w:rsidRPr="00D86314">
        <w:rPr>
          <w:noProof/>
        </w:rPr>
        <w:t>years (from around 400</w:t>
      </w:r>
      <w:r w:rsidR="00DF0A8F" w:rsidRPr="00D86314">
        <w:rPr>
          <w:noProof/>
        </w:rPr>
        <w:t> </w:t>
      </w:r>
      <w:r w:rsidR="00070B27" w:rsidRPr="00D86314">
        <w:rPr>
          <w:noProof/>
        </w:rPr>
        <w:t>GB in 2025 to 1</w:t>
      </w:r>
      <w:r w:rsidR="00A750B6" w:rsidRPr="00D86314">
        <w:rPr>
          <w:noProof/>
        </w:rPr>
        <w:t> </w:t>
      </w:r>
      <w:r w:rsidR="00070B27" w:rsidRPr="00D86314">
        <w:rPr>
          <w:noProof/>
        </w:rPr>
        <w:t>371</w:t>
      </w:r>
      <w:r w:rsidR="00A750B6" w:rsidRPr="00D86314">
        <w:rPr>
          <w:noProof/>
        </w:rPr>
        <w:t> </w:t>
      </w:r>
      <w:r w:rsidR="00070B27" w:rsidRPr="00D86314">
        <w:rPr>
          <w:noProof/>
        </w:rPr>
        <w:t xml:space="preserve">GB in 2035). </w:t>
      </w:r>
    </w:p>
    <w:p w14:paraId="7A71B4D5" w14:textId="611C1473" w:rsidR="00070B27" w:rsidRPr="00D86314" w:rsidRDefault="00070B27" w:rsidP="00A00C17">
      <w:pPr>
        <w:pStyle w:val="ListParagraph"/>
        <w:numPr>
          <w:ilvl w:val="0"/>
          <w:numId w:val="55"/>
        </w:numPr>
        <w:spacing w:before="120" w:after="120"/>
        <w:contextualSpacing w:val="0"/>
        <w:rPr>
          <w:noProof/>
        </w:rPr>
      </w:pPr>
      <w:r w:rsidRPr="00D86314">
        <w:rPr>
          <w:noProof/>
        </w:rPr>
        <w:t>Under option 2</w:t>
      </w:r>
      <w:r w:rsidR="00827FDD" w:rsidRPr="00D86314">
        <w:rPr>
          <w:noProof/>
        </w:rPr>
        <w:t>,</w:t>
      </w:r>
      <w:r w:rsidRPr="00D86314">
        <w:rPr>
          <w:noProof/>
        </w:rPr>
        <w:t xml:space="preserve"> the results show a fourfold increase </w:t>
      </w:r>
      <w:r w:rsidR="008A1D93" w:rsidRPr="00D86314">
        <w:rPr>
          <w:noProof/>
        </w:rPr>
        <w:t>(</w:t>
      </w:r>
      <w:r w:rsidRPr="00D86314">
        <w:rPr>
          <w:noProof/>
        </w:rPr>
        <w:t>from 400</w:t>
      </w:r>
      <w:r w:rsidR="004A1462" w:rsidRPr="00D86314">
        <w:rPr>
          <w:noProof/>
        </w:rPr>
        <w:t> </w:t>
      </w:r>
      <w:r w:rsidRPr="00D86314">
        <w:rPr>
          <w:noProof/>
        </w:rPr>
        <w:t>GB to 1</w:t>
      </w:r>
      <w:r w:rsidR="008A1D93" w:rsidRPr="00D86314">
        <w:rPr>
          <w:noProof/>
        </w:rPr>
        <w:t> </w:t>
      </w:r>
      <w:r w:rsidRPr="00D86314">
        <w:rPr>
          <w:noProof/>
        </w:rPr>
        <w:t>768 GB</w:t>
      </w:r>
      <w:r w:rsidR="008A1D93" w:rsidRPr="00D86314">
        <w:rPr>
          <w:noProof/>
        </w:rPr>
        <w:t>)</w:t>
      </w:r>
      <w:r w:rsidRPr="00D86314">
        <w:rPr>
          <w:noProof/>
        </w:rPr>
        <w:t xml:space="preserve">. </w:t>
      </w:r>
    </w:p>
    <w:p w14:paraId="77334F81" w14:textId="02D0BB0B" w:rsidR="00070B27" w:rsidRPr="00D86314" w:rsidRDefault="008A1D93" w:rsidP="00A00C17">
      <w:pPr>
        <w:pStyle w:val="ListParagraph"/>
        <w:numPr>
          <w:ilvl w:val="0"/>
          <w:numId w:val="55"/>
        </w:numPr>
        <w:spacing w:before="120" w:after="120"/>
        <w:contextualSpacing w:val="0"/>
        <w:rPr>
          <w:noProof/>
        </w:rPr>
      </w:pPr>
      <w:r w:rsidRPr="00D86314">
        <w:rPr>
          <w:noProof/>
        </w:rPr>
        <w:t>Under o</w:t>
      </w:r>
      <w:r w:rsidR="00070B27" w:rsidRPr="00D86314">
        <w:rPr>
          <w:noProof/>
        </w:rPr>
        <w:t>ption 3</w:t>
      </w:r>
      <w:r w:rsidRPr="00D86314">
        <w:rPr>
          <w:noProof/>
        </w:rPr>
        <w:t>,</w:t>
      </w:r>
      <w:r w:rsidR="00D516B9" w:rsidRPr="00D86314">
        <w:rPr>
          <w:noProof/>
        </w:rPr>
        <w:t xml:space="preserve"> there is </w:t>
      </w:r>
      <w:r w:rsidR="00070B27" w:rsidRPr="00D86314">
        <w:rPr>
          <w:noProof/>
        </w:rPr>
        <w:t xml:space="preserve">a threefold increase </w:t>
      </w:r>
      <w:r w:rsidR="00D516B9" w:rsidRPr="00D86314">
        <w:rPr>
          <w:noProof/>
        </w:rPr>
        <w:t>(</w:t>
      </w:r>
      <w:r w:rsidR="00070B27" w:rsidRPr="00D86314">
        <w:rPr>
          <w:noProof/>
        </w:rPr>
        <w:t>from 400</w:t>
      </w:r>
      <w:r w:rsidR="004A1462" w:rsidRPr="00D86314">
        <w:rPr>
          <w:noProof/>
        </w:rPr>
        <w:t> </w:t>
      </w:r>
      <w:r w:rsidR="00070B27" w:rsidRPr="00D86314">
        <w:rPr>
          <w:noProof/>
        </w:rPr>
        <w:t>GB to 1</w:t>
      </w:r>
      <w:r w:rsidR="00D516B9" w:rsidRPr="00D86314">
        <w:rPr>
          <w:noProof/>
        </w:rPr>
        <w:t> </w:t>
      </w:r>
      <w:r w:rsidR="00070B27" w:rsidRPr="00D86314">
        <w:rPr>
          <w:noProof/>
        </w:rPr>
        <w:t>266 GB</w:t>
      </w:r>
      <w:r w:rsidR="00D516B9" w:rsidRPr="00D86314">
        <w:rPr>
          <w:noProof/>
        </w:rPr>
        <w:t>)</w:t>
      </w:r>
      <w:r w:rsidR="00070B27" w:rsidRPr="00D86314">
        <w:rPr>
          <w:noProof/>
        </w:rPr>
        <w:t xml:space="preserve">, </w:t>
      </w:r>
    </w:p>
    <w:p w14:paraId="067DF915" w14:textId="77A50A24" w:rsidR="00070B27" w:rsidRPr="00D86314" w:rsidRDefault="00D516B9" w:rsidP="00A00C17">
      <w:pPr>
        <w:pStyle w:val="ListParagraph"/>
        <w:numPr>
          <w:ilvl w:val="0"/>
          <w:numId w:val="55"/>
        </w:numPr>
        <w:spacing w:before="120" w:after="120"/>
        <w:contextualSpacing w:val="0"/>
        <w:rPr>
          <w:noProof/>
        </w:rPr>
      </w:pPr>
      <w:r w:rsidRPr="00D86314">
        <w:rPr>
          <w:noProof/>
        </w:rPr>
        <w:t xml:space="preserve">Under </w:t>
      </w:r>
      <w:r w:rsidR="00070B27" w:rsidRPr="00D86314">
        <w:rPr>
          <w:noProof/>
        </w:rPr>
        <w:t>options 1 and 4</w:t>
      </w:r>
      <w:r w:rsidRPr="00D86314">
        <w:rPr>
          <w:noProof/>
        </w:rPr>
        <w:t>,</w:t>
      </w:r>
      <w:r w:rsidR="00070B27" w:rsidRPr="00D86314">
        <w:rPr>
          <w:noProof/>
        </w:rPr>
        <w:t xml:space="preserve"> </w:t>
      </w:r>
      <w:r w:rsidR="0089214A" w:rsidRPr="00D86314">
        <w:rPr>
          <w:noProof/>
        </w:rPr>
        <w:t>the increase is</w:t>
      </w:r>
      <w:r w:rsidR="00070B27" w:rsidRPr="00D86314">
        <w:rPr>
          <w:noProof/>
        </w:rPr>
        <w:t xml:space="preserve"> fourfold </w:t>
      </w:r>
      <w:r w:rsidR="0089214A" w:rsidRPr="00D86314">
        <w:rPr>
          <w:noProof/>
        </w:rPr>
        <w:t>(</w:t>
      </w:r>
      <w:r w:rsidR="00070B27" w:rsidRPr="00D86314">
        <w:rPr>
          <w:noProof/>
        </w:rPr>
        <w:t>from 400</w:t>
      </w:r>
      <w:r w:rsidR="004A1462" w:rsidRPr="00D86314">
        <w:rPr>
          <w:noProof/>
        </w:rPr>
        <w:t> </w:t>
      </w:r>
      <w:r w:rsidR="00070B27" w:rsidRPr="00D86314">
        <w:rPr>
          <w:noProof/>
        </w:rPr>
        <w:t>GB to 1</w:t>
      </w:r>
      <w:r w:rsidR="0089214A" w:rsidRPr="00D86314">
        <w:rPr>
          <w:noProof/>
        </w:rPr>
        <w:t> </w:t>
      </w:r>
      <w:r w:rsidR="00070B27" w:rsidRPr="00D86314">
        <w:rPr>
          <w:noProof/>
        </w:rPr>
        <w:t>535 and 1</w:t>
      </w:r>
      <w:r w:rsidR="003E5AA2" w:rsidRPr="00D86314">
        <w:rPr>
          <w:noProof/>
        </w:rPr>
        <w:t> </w:t>
      </w:r>
      <w:r w:rsidR="00070B27" w:rsidRPr="00D86314">
        <w:rPr>
          <w:noProof/>
        </w:rPr>
        <w:t>642</w:t>
      </w:r>
      <w:r w:rsidR="003E5AA2" w:rsidRPr="00D86314">
        <w:rPr>
          <w:noProof/>
        </w:rPr>
        <w:t> </w:t>
      </w:r>
      <w:r w:rsidR="00070B27" w:rsidRPr="00D86314">
        <w:rPr>
          <w:noProof/>
        </w:rPr>
        <w:t>GB respectively</w:t>
      </w:r>
      <w:r w:rsidR="003E5AA2" w:rsidRPr="00D86314">
        <w:rPr>
          <w:noProof/>
        </w:rPr>
        <w:t>)</w:t>
      </w:r>
      <w:r w:rsidR="00070B27" w:rsidRPr="00D86314">
        <w:rPr>
          <w:noProof/>
        </w:rPr>
        <w:t xml:space="preserve">. </w:t>
      </w:r>
    </w:p>
    <w:p w14:paraId="29C95FCA" w14:textId="1F94C267" w:rsidR="00070B27" w:rsidRPr="00D86314" w:rsidRDefault="00070B27" w:rsidP="00070B27">
      <w:pPr>
        <w:rPr>
          <w:noProof/>
        </w:rPr>
      </w:pPr>
      <w:r w:rsidRPr="00D86314">
        <w:rPr>
          <w:noProof/>
        </w:rPr>
        <w:t xml:space="preserve">The different technology shares under the </w:t>
      </w:r>
      <w:r w:rsidR="008B0A7C" w:rsidRPr="00D86314">
        <w:rPr>
          <w:noProof/>
        </w:rPr>
        <w:t xml:space="preserve">policy </w:t>
      </w:r>
      <w:r w:rsidRPr="00D86314">
        <w:rPr>
          <w:noProof/>
        </w:rPr>
        <w:t xml:space="preserve">options are expected to affect total data consumption as shown in the following chart (see </w:t>
      </w:r>
      <w:r w:rsidRPr="00D86314">
        <w:rPr>
          <w:noProof/>
        </w:rPr>
        <w:fldChar w:fldCharType="begin"/>
      </w:r>
      <w:r w:rsidRPr="00D86314">
        <w:rPr>
          <w:noProof/>
        </w:rPr>
        <w:instrText xml:space="preserve"> REF _Ref214189281 </w:instrText>
      </w:r>
      <w:r w:rsidR="00534028" w:rsidRPr="00D86314">
        <w:rPr>
          <w:noProof/>
        </w:rPr>
        <w:instrText xml:space="preserve"> \* MERGEFORMAT </w:instrText>
      </w:r>
      <w:r w:rsidRPr="00D86314">
        <w:rPr>
          <w:noProof/>
        </w:rPr>
        <w:fldChar w:fldCharType="separate"/>
      </w:r>
      <w:r w:rsidR="00870CA9" w:rsidRPr="00D86314">
        <w:rPr>
          <w:noProof/>
        </w:rPr>
        <w:t xml:space="preserve">Figure A4 </w:t>
      </w:r>
      <w:r w:rsidRPr="00D86314">
        <w:rPr>
          <w:noProof/>
        </w:rPr>
        <w:fldChar w:fldCharType="end"/>
      </w:r>
      <w:r w:rsidR="00EA3B22">
        <w:rPr>
          <w:noProof/>
        </w:rPr>
        <w:t>1</w:t>
      </w:r>
      <w:r w:rsidR="00360B30">
        <w:rPr>
          <w:noProof/>
        </w:rPr>
        <w:t>1</w:t>
      </w:r>
      <w:r w:rsidR="00ED125C">
        <w:rPr>
          <w:noProof/>
        </w:rPr>
        <w:t>6</w:t>
      </w:r>
      <w:r w:rsidRPr="00D86314">
        <w:rPr>
          <w:noProof/>
        </w:rPr>
        <w:t>). Option 2 is expected to result in the consumption of around 357</w:t>
      </w:r>
      <w:r w:rsidR="00EE0E53" w:rsidRPr="00D86314">
        <w:rPr>
          <w:noProof/>
        </w:rPr>
        <w:t> </w:t>
      </w:r>
      <w:r w:rsidRPr="00D86314">
        <w:rPr>
          <w:noProof/>
        </w:rPr>
        <w:t>Exabytes (EB) by 2035 compared with around 277 Exabytes in the status quo. Option 4 would result in a total data consumption of 332</w:t>
      </w:r>
      <w:r w:rsidR="00EE0E53" w:rsidRPr="00D86314">
        <w:rPr>
          <w:noProof/>
        </w:rPr>
        <w:t> </w:t>
      </w:r>
      <w:r w:rsidRPr="00D86314">
        <w:rPr>
          <w:noProof/>
        </w:rPr>
        <w:t>EB respectively in 2035. Option 1 is expected to result in the consumption of around 310</w:t>
      </w:r>
      <w:r w:rsidR="00EE0E53" w:rsidRPr="00D86314">
        <w:rPr>
          <w:noProof/>
        </w:rPr>
        <w:t> </w:t>
      </w:r>
      <w:r w:rsidRPr="00D86314">
        <w:rPr>
          <w:noProof/>
        </w:rPr>
        <w:t>EB in 2035. Option 3 would show the lowest bandwidth consumption with 256</w:t>
      </w:r>
      <w:r w:rsidR="00EE0E53" w:rsidRPr="00D86314">
        <w:rPr>
          <w:noProof/>
        </w:rPr>
        <w:t> </w:t>
      </w:r>
      <w:r w:rsidRPr="00D86314">
        <w:rPr>
          <w:noProof/>
        </w:rPr>
        <w:t>EB in 2035.</w:t>
      </w:r>
    </w:p>
    <w:p w14:paraId="2D6C94F6" w14:textId="7EF23E4A" w:rsidR="00070B27" w:rsidRPr="00D86314" w:rsidRDefault="00070B27" w:rsidP="00070B27">
      <w:pPr>
        <w:pStyle w:val="Abbberschrift"/>
        <w:rPr>
          <w:rFonts w:ascii="Times New Roman" w:hAnsi="Times New Roman"/>
          <w:i/>
          <w:noProof/>
        </w:rPr>
      </w:pPr>
      <w:bookmarkStart w:id="67" w:name="_Ref214189281"/>
      <w:r w:rsidRPr="00D86314">
        <w:rPr>
          <w:rFonts w:ascii="Times New Roman" w:hAnsi="Times New Roman"/>
          <w:i/>
          <w:noProof/>
        </w:rPr>
        <w:t xml:space="preserve">Figure </w:t>
      </w:r>
      <w:r w:rsidR="00AD11E8" w:rsidRPr="00D86314">
        <w:rPr>
          <w:rFonts w:ascii="Times New Roman" w:hAnsi="Times New Roman"/>
          <w:i/>
          <w:noProof/>
        </w:rPr>
        <w:t>A4 1</w:t>
      </w:r>
      <w:bookmarkEnd w:id="67"/>
      <w:r w:rsidR="001F10E6" w:rsidRPr="00D86314">
        <w:rPr>
          <w:rFonts w:ascii="Times New Roman" w:hAnsi="Times New Roman"/>
          <w:i/>
          <w:noProof/>
        </w:rPr>
        <w:noBreakHyphen/>
      </w:r>
      <w:r w:rsidR="00E122E2">
        <w:rPr>
          <w:rFonts w:ascii="Times New Roman" w:hAnsi="Times New Roman"/>
          <w:i/>
          <w:noProof/>
        </w:rPr>
        <w:t>16</w:t>
      </w:r>
      <w:r w:rsidRPr="00D86314">
        <w:rPr>
          <w:rFonts w:ascii="Times New Roman" w:hAnsi="Times New Roman"/>
          <w:i/>
          <w:noProof/>
        </w:rPr>
        <w:t>:Total data consumption EU (in Exabyte) by option (projections to 2035)</w:t>
      </w:r>
    </w:p>
    <w:p w14:paraId="399B6D45" w14:textId="77777777" w:rsidR="00070B27" w:rsidRPr="00D86314" w:rsidRDefault="00070B27" w:rsidP="00070B27">
      <w:pPr>
        <w:rPr>
          <w:noProof/>
        </w:rPr>
      </w:pPr>
      <w:r w:rsidRPr="00E46BC9">
        <w:rPr>
          <w:noProof/>
          <w:lang w:eastAsia="en-GB"/>
        </w:rPr>
        <w:drawing>
          <wp:inline distT="0" distB="0" distL="0" distR="0" wp14:anchorId="195D0357" wp14:editId="33FBFCB0">
            <wp:extent cx="5612470" cy="3653460"/>
            <wp:effectExtent l="0" t="0" r="7620" b="4445"/>
            <wp:docPr id="211504671" name="Grafik 15"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4671" name="Grafik 15" descr="A graph showing different colored line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24991" cy="3661611"/>
                    </a:xfrm>
                    <a:prstGeom prst="rect">
                      <a:avLst/>
                    </a:prstGeom>
                    <a:noFill/>
                  </pic:spPr>
                </pic:pic>
              </a:graphicData>
            </a:graphic>
          </wp:inline>
        </w:drawing>
      </w:r>
    </w:p>
    <w:p w14:paraId="1ABBC9FC" w14:textId="77777777" w:rsidR="00070B27" w:rsidRPr="00D86314" w:rsidRDefault="00070B27" w:rsidP="00070B27">
      <w:pPr>
        <w:pStyle w:val="Quelle"/>
        <w:rPr>
          <w:rFonts w:ascii="Times New Roman" w:hAnsi="Times New Roman"/>
          <w:noProof/>
        </w:rPr>
      </w:pPr>
      <w:r w:rsidRPr="00D86314">
        <w:rPr>
          <w:rFonts w:ascii="Times New Roman" w:hAnsi="Times New Roman"/>
          <w:noProof/>
        </w:rPr>
        <w:t>Source: WIK-Consult</w:t>
      </w:r>
    </w:p>
    <w:p w14:paraId="11B4C5ED" w14:textId="6F6E2582" w:rsidR="00070B27" w:rsidRPr="00D86314" w:rsidRDefault="00070B27" w:rsidP="00070B27">
      <w:pPr>
        <w:pStyle w:val="Caption"/>
        <w:rPr>
          <w:noProof/>
          <w:color w:val="auto"/>
          <w:sz w:val="22"/>
          <w:szCs w:val="22"/>
        </w:rPr>
      </w:pPr>
      <w:r w:rsidRPr="00D86314">
        <w:rPr>
          <w:i w:val="0"/>
          <w:noProof/>
          <w:color w:val="auto"/>
          <w:sz w:val="22"/>
          <w:szCs w:val="22"/>
        </w:rPr>
        <w:t xml:space="preserve">Table </w:t>
      </w:r>
      <w:r w:rsidR="00415B5C" w:rsidRPr="00D86314">
        <w:rPr>
          <w:i w:val="0"/>
          <w:noProof/>
          <w:color w:val="auto"/>
          <w:sz w:val="22"/>
          <w:szCs w:val="22"/>
        </w:rPr>
        <w:t>A4 1</w:t>
      </w:r>
      <w:r w:rsidRPr="00D86314">
        <w:rPr>
          <w:i w:val="0"/>
          <w:noProof/>
          <w:color w:val="auto"/>
          <w:sz w:val="22"/>
          <w:szCs w:val="22"/>
        </w:rPr>
        <w:noBreakHyphen/>
      </w:r>
      <w:r w:rsidRPr="00D86314">
        <w:rPr>
          <w:i w:val="0"/>
          <w:noProof/>
          <w:color w:val="auto"/>
          <w:sz w:val="22"/>
          <w:szCs w:val="22"/>
        </w:rPr>
        <w:fldChar w:fldCharType="begin"/>
      </w:r>
      <w:r w:rsidRPr="00D86314">
        <w:rPr>
          <w:i w:val="0"/>
          <w:noProof/>
          <w:color w:val="auto"/>
          <w:sz w:val="22"/>
          <w:szCs w:val="22"/>
        </w:rPr>
        <w:instrText xml:space="preserve"> SEQ Table \* ARABIC \s 1 </w:instrText>
      </w:r>
      <w:r w:rsidRPr="00D86314">
        <w:rPr>
          <w:i w:val="0"/>
          <w:noProof/>
          <w:color w:val="auto"/>
          <w:sz w:val="22"/>
          <w:szCs w:val="22"/>
        </w:rPr>
        <w:fldChar w:fldCharType="separate"/>
      </w:r>
      <w:r w:rsidR="00870CA9" w:rsidRPr="00C20A01">
        <w:rPr>
          <w:i w:val="0"/>
          <w:noProof/>
          <w:color w:val="auto"/>
          <w:sz w:val="22"/>
          <w:szCs w:val="22"/>
        </w:rPr>
        <w:t>7</w:t>
      </w:r>
      <w:r w:rsidRPr="00D86314">
        <w:rPr>
          <w:i w:val="0"/>
          <w:noProof/>
          <w:color w:val="auto"/>
          <w:sz w:val="22"/>
          <w:szCs w:val="22"/>
        </w:rPr>
        <w:fldChar w:fldCharType="end"/>
      </w:r>
      <w:r w:rsidRPr="00D86314">
        <w:rPr>
          <w:i w:val="0"/>
          <w:noProof/>
          <w:color w:val="auto"/>
          <w:sz w:val="22"/>
          <w:szCs w:val="22"/>
        </w:rPr>
        <w:t>:</w:t>
      </w:r>
      <w:r w:rsidRPr="00D86314">
        <w:rPr>
          <w:i w:val="0"/>
          <w:noProof/>
          <w:color w:val="auto"/>
          <w:sz w:val="22"/>
          <w:szCs w:val="22"/>
        </w:rPr>
        <w:tab/>
        <w:t>Total data consumption by option in 2030 (in Exabyte</w:t>
      </w:r>
      <w:r w:rsidRPr="00D86314">
        <w:rPr>
          <w:noProof/>
          <w:color w:val="auto"/>
          <w:sz w:val="22"/>
          <w:szCs w:val="22"/>
        </w:rPr>
        <w:t>)</w:t>
      </w:r>
    </w:p>
    <w:tbl>
      <w:tblPr>
        <w:tblStyle w:val="TabelleWIKmitKopfzei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1254"/>
        <w:gridCol w:w="1254"/>
        <w:gridCol w:w="1254"/>
        <w:gridCol w:w="1255"/>
      </w:tblGrid>
      <w:tr w:rsidR="00553FFE" w:rsidRPr="00D86314" w14:paraId="00CEAEE5" w14:textId="77777777" w:rsidTr="0017709D">
        <w:trPr>
          <w:cnfStyle w:val="100000000000" w:firstRow="1" w:lastRow="0" w:firstColumn="0" w:lastColumn="0" w:oddVBand="0" w:evenVBand="0" w:oddHBand="0" w:evenHBand="0" w:firstRowFirstColumn="0" w:firstRowLastColumn="0" w:lastRowFirstColumn="0" w:lastRowLastColumn="0"/>
        </w:trPr>
        <w:tc>
          <w:tcPr>
            <w:tcW w:w="1254" w:type="dxa"/>
          </w:tcPr>
          <w:p w14:paraId="5F19BD55" w14:textId="2E4CAAA6"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0</w:t>
            </w:r>
          </w:p>
        </w:tc>
        <w:tc>
          <w:tcPr>
            <w:tcW w:w="1254" w:type="dxa"/>
          </w:tcPr>
          <w:p w14:paraId="79815478" w14:textId="4E3B6F41"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1</w:t>
            </w:r>
          </w:p>
        </w:tc>
        <w:tc>
          <w:tcPr>
            <w:tcW w:w="1254" w:type="dxa"/>
          </w:tcPr>
          <w:p w14:paraId="719283B1" w14:textId="5927FF5B"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2</w:t>
            </w:r>
          </w:p>
        </w:tc>
        <w:tc>
          <w:tcPr>
            <w:tcW w:w="1254" w:type="dxa"/>
          </w:tcPr>
          <w:p w14:paraId="1CD30022" w14:textId="6E7C31BA"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3</w:t>
            </w:r>
          </w:p>
        </w:tc>
        <w:tc>
          <w:tcPr>
            <w:tcW w:w="1255" w:type="dxa"/>
          </w:tcPr>
          <w:p w14:paraId="65B8E24E" w14:textId="2D8CAD73"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4</w:t>
            </w:r>
          </w:p>
        </w:tc>
      </w:tr>
      <w:tr w:rsidR="00553FFE" w:rsidRPr="00D86314" w14:paraId="6D09ACD6" w14:textId="77777777" w:rsidTr="0017709D">
        <w:tc>
          <w:tcPr>
            <w:tcW w:w="1254" w:type="dxa"/>
            <w:vAlign w:val="bottom"/>
          </w:tcPr>
          <w:p w14:paraId="14183187"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 xml:space="preserve">132 </w:t>
            </w:r>
          </w:p>
        </w:tc>
        <w:tc>
          <w:tcPr>
            <w:tcW w:w="1254" w:type="dxa"/>
            <w:vAlign w:val="bottom"/>
          </w:tcPr>
          <w:p w14:paraId="7F30D391"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 xml:space="preserve">136 </w:t>
            </w:r>
          </w:p>
        </w:tc>
        <w:tc>
          <w:tcPr>
            <w:tcW w:w="1254" w:type="dxa"/>
            <w:vAlign w:val="bottom"/>
          </w:tcPr>
          <w:p w14:paraId="0F3170FB"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 xml:space="preserve">142 </w:t>
            </w:r>
          </w:p>
        </w:tc>
        <w:tc>
          <w:tcPr>
            <w:tcW w:w="1254" w:type="dxa"/>
            <w:vAlign w:val="bottom"/>
          </w:tcPr>
          <w:p w14:paraId="76C7FC76"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 xml:space="preserve">129 </w:t>
            </w:r>
          </w:p>
        </w:tc>
        <w:tc>
          <w:tcPr>
            <w:tcW w:w="1255" w:type="dxa"/>
            <w:vAlign w:val="bottom"/>
          </w:tcPr>
          <w:p w14:paraId="712D2C4E"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149</w:t>
            </w:r>
          </w:p>
        </w:tc>
      </w:tr>
    </w:tbl>
    <w:p w14:paraId="27387B5D" w14:textId="77777777" w:rsidR="00070B27" w:rsidRPr="00D86314" w:rsidRDefault="00070B27" w:rsidP="00070B27">
      <w:pPr>
        <w:spacing w:before="120" w:after="360"/>
        <w:ind w:left="709" w:hanging="709"/>
        <w:jc w:val="left"/>
        <w:rPr>
          <w:rFonts w:eastAsia="Calibri"/>
          <w:noProof/>
          <w:kern w:val="2"/>
          <w:sz w:val="18"/>
          <w:szCs w:val="22"/>
          <w14:ligatures w14:val="standardContextual"/>
        </w:rPr>
      </w:pPr>
      <w:r w:rsidRPr="00D86314">
        <w:rPr>
          <w:rFonts w:eastAsia="Calibri"/>
          <w:noProof/>
          <w:kern w:val="2"/>
          <w:sz w:val="18"/>
          <w:szCs w:val="22"/>
          <w14:ligatures w14:val="standardContextual"/>
        </w:rPr>
        <w:t>Source: WIK.</w:t>
      </w:r>
    </w:p>
    <w:p w14:paraId="3CE16EBC" w14:textId="383B0529" w:rsidR="00070B27" w:rsidRPr="00D86314" w:rsidRDefault="00070B27" w:rsidP="00070B27">
      <w:pPr>
        <w:pStyle w:val="Tabberschrift"/>
        <w:rPr>
          <w:rFonts w:ascii="Times New Roman" w:hAnsi="Times New Roman"/>
          <w:noProof/>
        </w:rPr>
      </w:pPr>
      <w:bookmarkStart w:id="68" w:name="_Toc214231342"/>
      <w:r w:rsidRPr="00D86314">
        <w:rPr>
          <w:rFonts w:ascii="Times New Roman" w:hAnsi="Times New Roman"/>
          <w:noProof/>
        </w:rPr>
        <w:t xml:space="preserve">Table </w:t>
      </w:r>
      <w:r w:rsidR="00415B5C" w:rsidRPr="00D86314">
        <w:rPr>
          <w:rFonts w:ascii="Times New Roman" w:hAnsi="Times New Roman"/>
          <w:noProof/>
        </w:rPr>
        <w:t>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8</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Total data consumption by option in 2035 (in Exabyte)</w:t>
      </w:r>
      <w:bookmarkEnd w:id="68"/>
    </w:p>
    <w:tbl>
      <w:tblPr>
        <w:tblStyle w:val="TabelleWIKmitKopfzeile1"/>
        <w:tblW w:w="6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1235"/>
        <w:gridCol w:w="1235"/>
        <w:gridCol w:w="1235"/>
        <w:gridCol w:w="1236"/>
      </w:tblGrid>
      <w:tr w:rsidR="00553FFE" w:rsidRPr="00D86314" w14:paraId="0446BB7C" w14:textId="77777777" w:rsidTr="0017709D">
        <w:trPr>
          <w:cnfStyle w:val="100000000000" w:firstRow="1" w:lastRow="0" w:firstColumn="0" w:lastColumn="0" w:oddVBand="0" w:evenVBand="0" w:oddHBand="0" w:evenHBand="0" w:firstRowFirstColumn="0" w:firstRowLastColumn="0" w:lastRowFirstColumn="0" w:lastRowLastColumn="0"/>
        </w:trPr>
        <w:tc>
          <w:tcPr>
            <w:tcW w:w="1235" w:type="dxa"/>
          </w:tcPr>
          <w:p w14:paraId="2F61F4DF" w14:textId="3D97B443"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0</w:t>
            </w:r>
          </w:p>
        </w:tc>
        <w:tc>
          <w:tcPr>
            <w:tcW w:w="1235" w:type="dxa"/>
          </w:tcPr>
          <w:p w14:paraId="5BFBC8EE" w14:textId="7FEB4E18"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1</w:t>
            </w:r>
          </w:p>
        </w:tc>
        <w:tc>
          <w:tcPr>
            <w:tcW w:w="1235" w:type="dxa"/>
          </w:tcPr>
          <w:p w14:paraId="65583BF5" w14:textId="011FF42C"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2</w:t>
            </w:r>
          </w:p>
        </w:tc>
        <w:tc>
          <w:tcPr>
            <w:tcW w:w="1235" w:type="dxa"/>
          </w:tcPr>
          <w:p w14:paraId="05011C9F" w14:textId="41E6DC6E"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3</w:t>
            </w:r>
          </w:p>
        </w:tc>
        <w:tc>
          <w:tcPr>
            <w:tcW w:w="1236" w:type="dxa"/>
          </w:tcPr>
          <w:p w14:paraId="16B3A17B" w14:textId="50A33463" w:rsidR="00553FFE" w:rsidRPr="00D86314" w:rsidRDefault="00553FFE" w:rsidP="00553FFE">
            <w:pPr>
              <w:spacing w:after="160" w:line="259" w:lineRule="auto"/>
              <w:jc w:val="center"/>
              <w:rPr>
                <w:rFonts w:ascii="Calibri" w:hAnsi="Calibri"/>
                <w:noProof/>
                <w:color w:val="auto"/>
                <w:kern w:val="2"/>
                <w:lang w:val="en-GB"/>
              </w:rPr>
            </w:pPr>
            <w:r w:rsidRPr="00623A21">
              <w:rPr>
                <w:rFonts w:ascii="Calibri" w:hAnsi="Calibri"/>
                <w:noProof/>
                <w:color w:val="auto"/>
                <w:kern w:val="2"/>
              </w:rPr>
              <w:t>Option 4</w:t>
            </w:r>
          </w:p>
        </w:tc>
      </w:tr>
      <w:tr w:rsidR="00553FFE" w:rsidRPr="00D86314" w14:paraId="10FA9DA3" w14:textId="77777777" w:rsidTr="0017709D">
        <w:tc>
          <w:tcPr>
            <w:tcW w:w="1235" w:type="dxa"/>
            <w:vAlign w:val="bottom"/>
          </w:tcPr>
          <w:p w14:paraId="289348AF"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 xml:space="preserve">277 </w:t>
            </w:r>
          </w:p>
        </w:tc>
        <w:tc>
          <w:tcPr>
            <w:tcW w:w="1235" w:type="dxa"/>
            <w:vAlign w:val="bottom"/>
          </w:tcPr>
          <w:p w14:paraId="355823BD"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 xml:space="preserve">310 </w:t>
            </w:r>
          </w:p>
        </w:tc>
        <w:tc>
          <w:tcPr>
            <w:tcW w:w="1235" w:type="dxa"/>
            <w:vAlign w:val="bottom"/>
          </w:tcPr>
          <w:p w14:paraId="115FCC0D"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 xml:space="preserve">357 </w:t>
            </w:r>
          </w:p>
        </w:tc>
        <w:tc>
          <w:tcPr>
            <w:tcW w:w="1235" w:type="dxa"/>
            <w:vAlign w:val="bottom"/>
          </w:tcPr>
          <w:p w14:paraId="2323BFA7" w14:textId="77777777" w:rsidR="00553FFE" w:rsidRPr="00D86314" w:rsidRDefault="00553FFE" w:rsidP="00553FFE">
            <w:pPr>
              <w:spacing w:after="160" w:line="259" w:lineRule="auto"/>
              <w:jc w:val="center"/>
              <w:rPr>
                <w:rFonts w:ascii="Calibri" w:hAnsi="Calibri" w:cs="Calibri"/>
                <w:noProof/>
                <w:kern w:val="2"/>
                <w:lang w:val="en-GB"/>
              </w:rPr>
            </w:pPr>
            <w:r w:rsidRPr="00A36024">
              <w:rPr>
                <w:rFonts w:ascii="Calibri" w:hAnsi="Calibri" w:cs="Calibri"/>
                <w:noProof/>
              </w:rPr>
              <w:t xml:space="preserve">256 </w:t>
            </w:r>
          </w:p>
        </w:tc>
        <w:tc>
          <w:tcPr>
            <w:tcW w:w="1236" w:type="dxa"/>
            <w:vAlign w:val="bottom"/>
          </w:tcPr>
          <w:p w14:paraId="2D7C3499" w14:textId="77777777" w:rsidR="00553FFE" w:rsidRPr="00D86314" w:rsidRDefault="00553FFE" w:rsidP="00553FFE">
            <w:pPr>
              <w:spacing w:after="160" w:line="259" w:lineRule="auto"/>
              <w:jc w:val="center"/>
              <w:rPr>
                <w:rFonts w:ascii="Calibri" w:hAnsi="Calibri"/>
                <w:noProof/>
                <w:kern w:val="2"/>
                <w:lang w:val="en-GB"/>
              </w:rPr>
            </w:pPr>
            <w:r w:rsidRPr="00A36024">
              <w:rPr>
                <w:rFonts w:ascii="Calibri" w:hAnsi="Calibri" w:cs="Calibri"/>
                <w:noProof/>
              </w:rPr>
              <w:t>332</w:t>
            </w:r>
          </w:p>
        </w:tc>
      </w:tr>
    </w:tbl>
    <w:p w14:paraId="797E37B3" w14:textId="20030034" w:rsidR="00070B27" w:rsidRPr="00D86314" w:rsidRDefault="00070B27" w:rsidP="00070B27">
      <w:pPr>
        <w:pStyle w:val="Quelle"/>
        <w:rPr>
          <w:rFonts w:ascii="Times New Roman" w:eastAsia="Calibri" w:hAnsi="Times New Roman"/>
          <w:noProof/>
          <w:lang w:eastAsia="en-US"/>
        </w:rPr>
      </w:pPr>
      <w:r w:rsidRPr="00D86314">
        <w:rPr>
          <w:rFonts w:ascii="Times New Roman" w:eastAsia="Calibri" w:hAnsi="Times New Roman"/>
          <w:noProof/>
          <w:lang w:eastAsia="en-US"/>
        </w:rPr>
        <w:t>Source: WIK.</w:t>
      </w:r>
    </w:p>
    <w:p w14:paraId="39705A61" w14:textId="77777777" w:rsidR="00274254" w:rsidRPr="00D86314" w:rsidRDefault="00274254" w:rsidP="00703057">
      <w:pPr>
        <w:rPr>
          <w:b/>
          <w:noProof/>
        </w:rPr>
      </w:pPr>
      <w:r w:rsidRPr="00D86314">
        <w:rPr>
          <w:b/>
          <w:noProof/>
        </w:rPr>
        <w:t>Data consumption estimates for the calculation of sensitivity in the environmental impact</w:t>
      </w:r>
    </w:p>
    <w:p w14:paraId="795A311C" w14:textId="77821C70" w:rsidR="00FF7362" w:rsidRPr="00D86314" w:rsidRDefault="00A801F0" w:rsidP="00703057">
      <w:pPr>
        <w:rPr>
          <w:noProof/>
        </w:rPr>
      </w:pPr>
      <w:r w:rsidRPr="00D86314">
        <w:rPr>
          <w:noProof/>
        </w:rPr>
        <w:t>T</w:t>
      </w:r>
      <w:r w:rsidR="00FF7362" w:rsidRPr="00D86314">
        <w:rPr>
          <w:noProof/>
        </w:rPr>
        <w:t>he tables below</w:t>
      </w:r>
      <w:r w:rsidRPr="00D86314">
        <w:rPr>
          <w:noProof/>
        </w:rPr>
        <w:t xml:space="preserve"> show </w:t>
      </w:r>
      <w:r w:rsidR="001E1362" w:rsidRPr="00D86314">
        <w:rPr>
          <w:noProof/>
        </w:rPr>
        <w:t xml:space="preserve">data consumption on fibre networks </w:t>
      </w:r>
      <w:r w:rsidR="002B18F4" w:rsidRPr="00D86314">
        <w:rPr>
          <w:noProof/>
        </w:rPr>
        <w:t xml:space="preserve">under the assumption that </w:t>
      </w:r>
      <w:r w:rsidR="00E952BF" w:rsidRPr="00D86314">
        <w:rPr>
          <w:noProof/>
        </w:rPr>
        <w:t xml:space="preserve">usage </w:t>
      </w:r>
      <w:r w:rsidR="001E1362" w:rsidRPr="00D86314">
        <w:rPr>
          <w:noProof/>
        </w:rPr>
        <w:t>is not linked to speed and grows more slowly after CSO in 2030</w:t>
      </w:r>
      <w:r w:rsidR="00FF7362" w:rsidRPr="00D86314">
        <w:rPr>
          <w:noProof/>
        </w:rPr>
        <w:t xml:space="preserve">. </w:t>
      </w:r>
      <w:r w:rsidR="00AF3147" w:rsidRPr="00D86314">
        <w:rPr>
          <w:noProof/>
        </w:rPr>
        <w:t>U</w:t>
      </w:r>
      <w:r w:rsidR="00FF7362" w:rsidRPr="00D86314">
        <w:rPr>
          <w:noProof/>
        </w:rPr>
        <w:t xml:space="preserve">nder </w:t>
      </w:r>
      <w:r w:rsidR="0071114C" w:rsidRPr="00D86314">
        <w:rPr>
          <w:noProof/>
        </w:rPr>
        <w:t>this</w:t>
      </w:r>
      <w:r w:rsidR="00FF7362" w:rsidRPr="00D86314">
        <w:rPr>
          <w:noProof/>
        </w:rPr>
        <w:t xml:space="preserve"> assumption</w:t>
      </w:r>
      <w:r w:rsidR="009225F9" w:rsidRPr="00D86314">
        <w:rPr>
          <w:noProof/>
        </w:rPr>
        <w:t>,</w:t>
      </w:r>
      <w:r w:rsidR="00AF3147" w:rsidRPr="00D86314">
        <w:rPr>
          <w:noProof/>
        </w:rPr>
        <w:t xml:space="preserve"> difference</w:t>
      </w:r>
      <w:r w:rsidR="009225F9" w:rsidRPr="00D86314">
        <w:rPr>
          <w:noProof/>
        </w:rPr>
        <w:t>s</w:t>
      </w:r>
      <w:r w:rsidR="00AF3147" w:rsidRPr="00D86314">
        <w:rPr>
          <w:noProof/>
        </w:rPr>
        <w:t xml:space="preserve"> between the options</w:t>
      </w:r>
      <w:r w:rsidR="00FF7362" w:rsidRPr="00D86314">
        <w:rPr>
          <w:noProof/>
        </w:rPr>
        <w:t xml:space="preserve"> </w:t>
      </w:r>
      <w:r w:rsidR="00AF3147" w:rsidRPr="00D86314">
        <w:rPr>
          <w:noProof/>
        </w:rPr>
        <w:t xml:space="preserve">reflect </w:t>
      </w:r>
      <w:r w:rsidR="00FF7362" w:rsidRPr="00D86314">
        <w:rPr>
          <w:noProof/>
        </w:rPr>
        <w:t>differences in the technology mix. Overall</w:t>
      </w:r>
      <w:r w:rsidR="00CE01C0" w:rsidRPr="00D86314">
        <w:rPr>
          <w:noProof/>
        </w:rPr>
        <w:t>,</w:t>
      </w:r>
      <w:r w:rsidR="00FF7362" w:rsidRPr="00D86314" w:rsidDel="005100F7">
        <w:rPr>
          <w:noProof/>
        </w:rPr>
        <w:t xml:space="preserve"> </w:t>
      </w:r>
      <w:r w:rsidR="00CE01C0" w:rsidRPr="00D86314">
        <w:rPr>
          <w:noProof/>
        </w:rPr>
        <w:t xml:space="preserve">total </w:t>
      </w:r>
      <w:r w:rsidR="00FF7362" w:rsidRPr="00D86314">
        <w:rPr>
          <w:noProof/>
        </w:rPr>
        <w:t xml:space="preserve">data consumption </w:t>
      </w:r>
      <w:r w:rsidR="005100F7" w:rsidRPr="00D86314">
        <w:rPr>
          <w:noProof/>
        </w:rPr>
        <w:t xml:space="preserve">would be lower </w:t>
      </w:r>
      <w:r w:rsidR="00FF7362" w:rsidRPr="00D86314">
        <w:rPr>
          <w:noProof/>
        </w:rPr>
        <w:t>due to the smaller increase in average data consumption per subscriber per technology (GB per moth).</w:t>
      </w:r>
    </w:p>
    <w:p w14:paraId="141AE9F3" w14:textId="26F34325" w:rsidR="00FF7362" w:rsidRPr="00D86314" w:rsidRDefault="00FF7362" w:rsidP="00703057">
      <w:pPr>
        <w:pStyle w:val="Tabberschrift"/>
        <w:rPr>
          <w:noProof/>
        </w:rPr>
      </w:pPr>
      <w:r w:rsidRPr="00D86314">
        <w:rPr>
          <w:rFonts w:ascii="Times New Roman" w:hAnsi="Times New Roman"/>
          <w:noProof/>
        </w:rPr>
        <w:t xml:space="preserve">Table </w:t>
      </w:r>
      <w:r w:rsidR="00415B5C" w:rsidRPr="00D86314">
        <w:rPr>
          <w:rFonts w:ascii="Times New Roman" w:hAnsi="Times New Roman"/>
          <w:noProof/>
        </w:rPr>
        <w:t>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9</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Total data consumption by option in 2035 (in Exabyte)</w:t>
      </w:r>
    </w:p>
    <w:tbl>
      <w:tblPr>
        <w:tblStyle w:val="TabelleWIKmitKopfzeile1"/>
        <w:tblW w:w="8931" w:type="dxa"/>
        <w:tblLook w:val="04A0" w:firstRow="1" w:lastRow="0" w:firstColumn="1" w:lastColumn="0" w:noHBand="0" w:noVBand="1"/>
      </w:tblPr>
      <w:tblGrid>
        <w:gridCol w:w="1941"/>
        <w:gridCol w:w="1173"/>
        <w:gridCol w:w="1276"/>
        <w:gridCol w:w="1275"/>
        <w:gridCol w:w="1560"/>
        <w:gridCol w:w="1706"/>
      </w:tblGrid>
      <w:tr w:rsidR="00FF7362" w:rsidRPr="00D86314" w14:paraId="0487506F" w14:textId="77777777" w:rsidTr="00663F33">
        <w:trPr>
          <w:cnfStyle w:val="100000000000" w:firstRow="1" w:lastRow="0" w:firstColumn="0" w:lastColumn="0" w:oddVBand="0" w:evenVBand="0" w:oddHBand="0" w:evenHBand="0" w:firstRowFirstColumn="0" w:firstRowLastColumn="0" w:lastRowFirstColumn="0" w:lastRowLastColumn="0"/>
        </w:trPr>
        <w:tc>
          <w:tcPr>
            <w:tcW w:w="1941" w:type="dxa"/>
            <w:tcBorders>
              <w:top w:val="single" w:sz="4" w:space="0" w:color="auto"/>
              <w:left w:val="single" w:sz="4" w:space="0" w:color="auto"/>
              <w:bottom w:val="single" w:sz="4" w:space="0" w:color="auto"/>
              <w:right w:val="single" w:sz="4" w:space="0" w:color="auto"/>
            </w:tcBorders>
          </w:tcPr>
          <w:p w14:paraId="678DBC9B" w14:textId="77777777" w:rsidR="00FF7362" w:rsidRPr="00D86314" w:rsidRDefault="00FF7362">
            <w:pPr>
              <w:spacing w:after="160" w:line="259" w:lineRule="auto"/>
              <w:jc w:val="center"/>
              <w:rPr>
                <w:rFonts w:ascii="Calibri" w:hAnsi="Calibri"/>
                <w:noProof/>
                <w:color w:val="auto"/>
                <w:kern w:val="2"/>
                <w:highlight w:val="black"/>
                <w:lang w:val="en-GB"/>
              </w:rPr>
            </w:pPr>
          </w:p>
        </w:tc>
        <w:tc>
          <w:tcPr>
            <w:tcW w:w="1173" w:type="dxa"/>
            <w:tcBorders>
              <w:top w:val="single" w:sz="4" w:space="0" w:color="auto"/>
              <w:left w:val="single" w:sz="4" w:space="0" w:color="auto"/>
              <w:bottom w:val="single" w:sz="4" w:space="0" w:color="auto"/>
              <w:right w:val="single" w:sz="4" w:space="0" w:color="auto"/>
            </w:tcBorders>
          </w:tcPr>
          <w:p w14:paraId="43898264" w14:textId="77777777" w:rsidR="00FF7362" w:rsidRPr="00D86314" w:rsidRDefault="00FF7362">
            <w:pPr>
              <w:spacing w:after="160" w:line="259" w:lineRule="auto"/>
              <w:jc w:val="center"/>
              <w:rPr>
                <w:rFonts w:ascii="Calibri" w:hAnsi="Calibri"/>
                <w:noProof/>
                <w:color w:val="auto"/>
                <w:kern w:val="2"/>
                <w:highlight w:val="black"/>
                <w:lang w:val="en-GB"/>
              </w:rPr>
            </w:pPr>
            <w:r w:rsidRPr="00A36024">
              <w:rPr>
                <w:rFonts w:ascii="Calibri" w:hAnsi="Calibri"/>
                <w:noProof/>
                <w:kern w:val="2"/>
                <w:highlight w:val="black"/>
              </w:rPr>
              <w:t>Option 0</w:t>
            </w:r>
          </w:p>
        </w:tc>
        <w:tc>
          <w:tcPr>
            <w:tcW w:w="1276" w:type="dxa"/>
            <w:tcBorders>
              <w:top w:val="single" w:sz="4" w:space="0" w:color="auto"/>
              <w:left w:val="single" w:sz="4" w:space="0" w:color="auto"/>
              <w:bottom w:val="single" w:sz="4" w:space="0" w:color="auto"/>
              <w:right w:val="single" w:sz="4" w:space="0" w:color="auto"/>
            </w:tcBorders>
          </w:tcPr>
          <w:p w14:paraId="0D5C0861" w14:textId="77777777" w:rsidR="00FF7362" w:rsidRPr="00D86314" w:rsidRDefault="00FF7362">
            <w:pPr>
              <w:spacing w:after="160" w:line="259" w:lineRule="auto"/>
              <w:jc w:val="center"/>
              <w:rPr>
                <w:rFonts w:ascii="Calibri" w:hAnsi="Calibri"/>
                <w:noProof/>
                <w:color w:val="auto"/>
                <w:kern w:val="2"/>
                <w:highlight w:val="black"/>
                <w:lang w:val="en-GB"/>
              </w:rPr>
            </w:pPr>
            <w:r w:rsidRPr="00A36024">
              <w:rPr>
                <w:rFonts w:ascii="Calibri" w:hAnsi="Calibri"/>
                <w:noProof/>
                <w:kern w:val="2"/>
                <w:highlight w:val="black"/>
              </w:rPr>
              <w:t>Option 1</w:t>
            </w:r>
          </w:p>
        </w:tc>
        <w:tc>
          <w:tcPr>
            <w:tcW w:w="1275" w:type="dxa"/>
            <w:tcBorders>
              <w:top w:val="single" w:sz="4" w:space="0" w:color="auto"/>
              <w:left w:val="single" w:sz="4" w:space="0" w:color="auto"/>
              <w:bottom w:val="single" w:sz="4" w:space="0" w:color="auto"/>
              <w:right w:val="single" w:sz="4" w:space="0" w:color="auto"/>
            </w:tcBorders>
          </w:tcPr>
          <w:p w14:paraId="1EBA20BF" w14:textId="77777777" w:rsidR="00FF7362" w:rsidRPr="00D86314" w:rsidRDefault="00FF7362">
            <w:pPr>
              <w:spacing w:after="160" w:line="259" w:lineRule="auto"/>
              <w:jc w:val="center"/>
              <w:rPr>
                <w:rFonts w:ascii="Calibri" w:hAnsi="Calibri"/>
                <w:noProof/>
                <w:color w:val="auto"/>
                <w:kern w:val="2"/>
                <w:highlight w:val="black"/>
                <w:lang w:val="en-GB"/>
              </w:rPr>
            </w:pPr>
            <w:r w:rsidRPr="00A36024">
              <w:rPr>
                <w:rFonts w:ascii="Calibri" w:hAnsi="Calibri"/>
                <w:noProof/>
                <w:kern w:val="2"/>
                <w:highlight w:val="black"/>
              </w:rPr>
              <w:t>Option 2</w:t>
            </w:r>
          </w:p>
        </w:tc>
        <w:tc>
          <w:tcPr>
            <w:tcW w:w="1560" w:type="dxa"/>
            <w:tcBorders>
              <w:top w:val="single" w:sz="4" w:space="0" w:color="auto"/>
              <w:left w:val="single" w:sz="4" w:space="0" w:color="auto"/>
              <w:bottom w:val="single" w:sz="4" w:space="0" w:color="auto"/>
              <w:right w:val="single" w:sz="4" w:space="0" w:color="auto"/>
            </w:tcBorders>
          </w:tcPr>
          <w:p w14:paraId="6586F901" w14:textId="77777777" w:rsidR="00FF7362" w:rsidRPr="00D86314" w:rsidRDefault="00FF7362">
            <w:pPr>
              <w:spacing w:after="160" w:line="259" w:lineRule="auto"/>
              <w:jc w:val="center"/>
              <w:rPr>
                <w:rFonts w:ascii="Calibri" w:hAnsi="Calibri"/>
                <w:noProof/>
                <w:color w:val="auto"/>
                <w:kern w:val="2"/>
                <w:highlight w:val="black"/>
                <w:lang w:val="en-GB"/>
              </w:rPr>
            </w:pPr>
            <w:r w:rsidRPr="00A36024">
              <w:rPr>
                <w:rFonts w:ascii="Calibri" w:hAnsi="Calibri"/>
                <w:noProof/>
                <w:kern w:val="2"/>
                <w:highlight w:val="black"/>
              </w:rPr>
              <w:t>Option 3</w:t>
            </w:r>
          </w:p>
        </w:tc>
        <w:tc>
          <w:tcPr>
            <w:tcW w:w="1706" w:type="dxa"/>
            <w:tcBorders>
              <w:top w:val="single" w:sz="4" w:space="0" w:color="auto"/>
              <w:left w:val="single" w:sz="4" w:space="0" w:color="auto"/>
              <w:bottom w:val="single" w:sz="4" w:space="0" w:color="auto"/>
              <w:right w:val="single" w:sz="4" w:space="0" w:color="auto"/>
            </w:tcBorders>
          </w:tcPr>
          <w:p w14:paraId="060B8F5B" w14:textId="0869346F" w:rsidR="00FF7362" w:rsidRPr="00D86314" w:rsidRDefault="00FF7362">
            <w:pPr>
              <w:spacing w:after="160" w:line="259" w:lineRule="auto"/>
              <w:jc w:val="center"/>
              <w:rPr>
                <w:rFonts w:ascii="Calibri" w:hAnsi="Calibri"/>
                <w:noProof/>
                <w:color w:val="auto"/>
                <w:kern w:val="2"/>
                <w:highlight w:val="black"/>
                <w:lang w:val="en-GB"/>
              </w:rPr>
            </w:pPr>
            <w:r w:rsidRPr="00A36024">
              <w:rPr>
                <w:rFonts w:ascii="Calibri" w:hAnsi="Calibri"/>
                <w:noProof/>
                <w:kern w:val="2"/>
                <w:highlight w:val="black"/>
              </w:rPr>
              <w:t>Option 4</w:t>
            </w:r>
          </w:p>
        </w:tc>
      </w:tr>
      <w:tr w:rsidR="00FF7362" w:rsidRPr="00D86314" w14:paraId="27E26150" w14:textId="77777777" w:rsidTr="00663F33">
        <w:tc>
          <w:tcPr>
            <w:tcW w:w="1941" w:type="dxa"/>
            <w:tcBorders>
              <w:top w:val="single" w:sz="4" w:space="0" w:color="auto"/>
              <w:left w:val="single" w:sz="4" w:space="0" w:color="auto"/>
              <w:bottom w:val="single" w:sz="4" w:space="0" w:color="auto"/>
              <w:right w:val="single" w:sz="4" w:space="0" w:color="auto"/>
            </w:tcBorders>
          </w:tcPr>
          <w:p w14:paraId="5625528B" w14:textId="77777777" w:rsidR="00FF7362" w:rsidRPr="00D86314" w:rsidRDefault="00FF7362">
            <w:pPr>
              <w:spacing w:after="160" w:line="259" w:lineRule="auto"/>
              <w:jc w:val="left"/>
              <w:rPr>
                <w:noProof/>
                <w:color w:val="000000"/>
                <w:lang w:val="en-GB"/>
              </w:rPr>
            </w:pPr>
            <w:r w:rsidRPr="00C20A01">
              <w:rPr>
                <w:noProof/>
                <w:color w:val="000000"/>
                <w:lang w:val="en-GB"/>
              </w:rPr>
              <w:t>Data consumption not speed related and smaller increase</w:t>
            </w:r>
          </w:p>
        </w:tc>
        <w:tc>
          <w:tcPr>
            <w:tcW w:w="1173" w:type="dxa"/>
            <w:tcBorders>
              <w:top w:val="single" w:sz="4" w:space="0" w:color="auto"/>
              <w:left w:val="single" w:sz="4" w:space="0" w:color="auto"/>
              <w:bottom w:val="single" w:sz="4" w:space="0" w:color="auto"/>
              <w:right w:val="single" w:sz="4" w:space="0" w:color="auto"/>
            </w:tcBorders>
            <w:vAlign w:val="bottom"/>
          </w:tcPr>
          <w:p w14:paraId="70DC7C61" w14:textId="77777777" w:rsidR="00FF7362" w:rsidRPr="00D86314" w:rsidRDefault="00FF7362">
            <w:pPr>
              <w:spacing w:after="160" w:line="259" w:lineRule="auto"/>
              <w:jc w:val="center"/>
              <w:rPr>
                <w:noProof/>
                <w:kern w:val="2"/>
                <w:lang w:val="en-GB"/>
              </w:rPr>
            </w:pPr>
            <w:r w:rsidRPr="00A36024">
              <w:rPr>
                <w:noProof/>
                <w:color w:val="000000"/>
              </w:rPr>
              <w:t>223</w:t>
            </w:r>
          </w:p>
        </w:tc>
        <w:tc>
          <w:tcPr>
            <w:tcW w:w="1276" w:type="dxa"/>
            <w:tcBorders>
              <w:top w:val="single" w:sz="4" w:space="0" w:color="auto"/>
              <w:left w:val="single" w:sz="4" w:space="0" w:color="auto"/>
              <w:bottom w:val="single" w:sz="4" w:space="0" w:color="auto"/>
              <w:right w:val="single" w:sz="4" w:space="0" w:color="auto"/>
            </w:tcBorders>
            <w:vAlign w:val="bottom"/>
          </w:tcPr>
          <w:p w14:paraId="559C85EE" w14:textId="77777777" w:rsidR="00FF7362" w:rsidRPr="00D86314" w:rsidRDefault="00FF7362">
            <w:pPr>
              <w:spacing w:after="160" w:line="259" w:lineRule="auto"/>
              <w:jc w:val="center"/>
              <w:rPr>
                <w:noProof/>
                <w:kern w:val="2"/>
                <w:lang w:val="en-GB"/>
              </w:rPr>
            </w:pPr>
            <w:r w:rsidRPr="00A36024">
              <w:rPr>
                <w:noProof/>
                <w:color w:val="000000"/>
              </w:rPr>
              <w:t xml:space="preserve">240 </w:t>
            </w:r>
          </w:p>
        </w:tc>
        <w:tc>
          <w:tcPr>
            <w:tcW w:w="1275" w:type="dxa"/>
            <w:tcBorders>
              <w:top w:val="single" w:sz="4" w:space="0" w:color="auto"/>
              <w:left w:val="single" w:sz="4" w:space="0" w:color="auto"/>
              <w:bottom w:val="single" w:sz="4" w:space="0" w:color="auto"/>
              <w:right w:val="single" w:sz="4" w:space="0" w:color="auto"/>
            </w:tcBorders>
            <w:vAlign w:val="bottom"/>
          </w:tcPr>
          <w:p w14:paraId="70CADC7E" w14:textId="77777777" w:rsidR="00FF7362" w:rsidRPr="00D86314" w:rsidRDefault="00FF7362">
            <w:pPr>
              <w:spacing w:after="160" w:line="259" w:lineRule="auto"/>
              <w:jc w:val="center"/>
              <w:rPr>
                <w:noProof/>
                <w:kern w:val="2"/>
                <w:lang w:val="en-GB"/>
              </w:rPr>
            </w:pPr>
            <w:r w:rsidRPr="00A36024">
              <w:rPr>
                <w:noProof/>
                <w:color w:val="000000"/>
              </w:rPr>
              <w:t xml:space="preserve">261 </w:t>
            </w:r>
          </w:p>
        </w:tc>
        <w:tc>
          <w:tcPr>
            <w:tcW w:w="1560" w:type="dxa"/>
            <w:tcBorders>
              <w:top w:val="single" w:sz="4" w:space="0" w:color="auto"/>
              <w:left w:val="single" w:sz="4" w:space="0" w:color="auto"/>
              <w:bottom w:val="single" w:sz="4" w:space="0" w:color="auto"/>
              <w:right w:val="single" w:sz="4" w:space="0" w:color="auto"/>
            </w:tcBorders>
            <w:vAlign w:val="bottom"/>
          </w:tcPr>
          <w:p w14:paraId="3179B03B" w14:textId="77777777" w:rsidR="00FF7362" w:rsidRPr="00D86314" w:rsidRDefault="00FF7362">
            <w:pPr>
              <w:spacing w:after="160" w:line="259" w:lineRule="auto"/>
              <w:jc w:val="center"/>
              <w:rPr>
                <w:noProof/>
                <w:kern w:val="2"/>
                <w:lang w:val="en-GB"/>
              </w:rPr>
            </w:pPr>
            <w:r w:rsidRPr="00A36024">
              <w:rPr>
                <w:noProof/>
                <w:color w:val="000000"/>
              </w:rPr>
              <w:t xml:space="preserve">207 </w:t>
            </w:r>
          </w:p>
        </w:tc>
        <w:tc>
          <w:tcPr>
            <w:tcW w:w="1706" w:type="dxa"/>
            <w:tcBorders>
              <w:top w:val="single" w:sz="4" w:space="0" w:color="auto"/>
              <w:left w:val="single" w:sz="4" w:space="0" w:color="auto"/>
              <w:bottom w:val="single" w:sz="4" w:space="0" w:color="auto"/>
              <w:right w:val="single" w:sz="4" w:space="0" w:color="auto"/>
            </w:tcBorders>
            <w:vAlign w:val="bottom"/>
          </w:tcPr>
          <w:p w14:paraId="246A94FD" w14:textId="77777777" w:rsidR="00FF7362" w:rsidRPr="00D86314" w:rsidRDefault="00FF7362">
            <w:pPr>
              <w:spacing w:after="160" w:line="259" w:lineRule="auto"/>
              <w:jc w:val="center"/>
              <w:rPr>
                <w:noProof/>
                <w:kern w:val="2"/>
                <w:lang w:val="en-GB"/>
              </w:rPr>
            </w:pPr>
            <w:r w:rsidRPr="00A36024">
              <w:rPr>
                <w:noProof/>
                <w:kern w:val="2"/>
              </w:rPr>
              <w:t>258</w:t>
            </w:r>
          </w:p>
        </w:tc>
      </w:tr>
      <w:tr w:rsidR="00FF7362" w:rsidRPr="00D86314" w14:paraId="404C5ACF" w14:textId="77777777" w:rsidTr="00663F33">
        <w:tc>
          <w:tcPr>
            <w:tcW w:w="1941" w:type="dxa"/>
            <w:tcBorders>
              <w:top w:val="single" w:sz="4" w:space="0" w:color="auto"/>
              <w:left w:val="single" w:sz="4" w:space="0" w:color="auto"/>
              <w:bottom w:val="single" w:sz="4" w:space="0" w:color="auto"/>
              <w:right w:val="single" w:sz="4" w:space="0" w:color="auto"/>
            </w:tcBorders>
          </w:tcPr>
          <w:p w14:paraId="32BC04C4" w14:textId="77777777" w:rsidR="00FF7362" w:rsidRPr="00D86314" w:rsidRDefault="00FF7362">
            <w:pPr>
              <w:spacing w:after="160" w:line="259" w:lineRule="auto"/>
              <w:jc w:val="left"/>
              <w:rPr>
                <w:noProof/>
                <w:color w:val="000000"/>
                <w:lang w:val="en-GB"/>
              </w:rPr>
            </w:pPr>
            <w:r w:rsidRPr="00C20A01">
              <w:rPr>
                <w:noProof/>
                <w:color w:val="000000"/>
                <w:lang w:val="en-GB"/>
              </w:rPr>
              <w:t>Delta to speed related data consumption with strong growth</w:t>
            </w:r>
          </w:p>
        </w:tc>
        <w:tc>
          <w:tcPr>
            <w:tcW w:w="1173" w:type="dxa"/>
            <w:tcBorders>
              <w:top w:val="single" w:sz="4" w:space="0" w:color="auto"/>
              <w:left w:val="single" w:sz="4" w:space="0" w:color="auto"/>
              <w:bottom w:val="single" w:sz="4" w:space="0" w:color="auto"/>
              <w:right w:val="single" w:sz="4" w:space="0" w:color="auto"/>
            </w:tcBorders>
            <w:vAlign w:val="bottom"/>
          </w:tcPr>
          <w:p w14:paraId="720FB0B6" w14:textId="77777777" w:rsidR="00FF7362" w:rsidRPr="00D86314" w:rsidRDefault="00FF7362">
            <w:pPr>
              <w:spacing w:after="160" w:line="259" w:lineRule="auto"/>
              <w:jc w:val="center"/>
              <w:rPr>
                <w:noProof/>
                <w:color w:val="000000"/>
                <w:lang w:val="en-GB"/>
              </w:rPr>
            </w:pPr>
            <w:r w:rsidRPr="00A36024">
              <w:rPr>
                <w:noProof/>
                <w:color w:val="000000"/>
              </w:rPr>
              <w:t>-54</w:t>
            </w:r>
          </w:p>
        </w:tc>
        <w:tc>
          <w:tcPr>
            <w:tcW w:w="1276" w:type="dxa"/>
            <w:tcBorders>
              <w:top w:val="single" w:sz="4" w:space="0" w:color="auto"/>
              <w:left w:val="single" w:sz="4" w:space="0" w:color="auto"/>
              <w:bottom w:val="single" w:sz="4" w:space="0" w:color="auto"/>
              <w:right w:val="single" w:sz="4" w:space="0" w:color="auto"/>
            </w:tcBorders>
            <w:vAlign w:val="bottom"/>
          </w:tcPr>
          <w:p w14:paraId="5EFB2A54" w14:textId="77777777" w:rsidR="00FF7362" w:rsidRPr="00D86314" w:rsidRDefault="00FF7362">
            <w:pPr>
              <w:spacing w:after="160" w:line="259" w:lineRule="auto"/>
              <w:jc w:val="center"/>
              <w:rPr>
                <w:noProof/>
                <w:color w:val="000000"/>
                <w:lang w:val="en-GB"/>
              </w:rPr>
            </w:pPr>
            <w:r w:rsidRPr="00A36024">
              <w:rPr>
                <w:noProof/>
                <w:color w:val="000000"/>
              </w:rPr>
              <w:t>-70</w:t>
            </w:r>
          </w:p>
        </w:tc>
        <w:tc>
          <w:tcPr>
            <w:tcW w:w="1275" w:type="dxa"/>
            <w:tcBorders>
              <w:top w:val="single" w:sz="4" w:space="0" w:color="auto"/>
              <w:left w:val="single" w:sz="4" w:space="0" w:color="auto"/>
              <w:bottom w:val="single" w:sz="4" w:space="0" w:color="auto"/>
              <w:right w:val="single" w:sz="4" w:space="0" w:color="auto"/>
            </w:tcBorders>
            <w:vAlign w:val="bottom"/>
          </w:tcPr>
          <w:p w14:paraId="6493CE3A" w14:textId="77777777" w:rsidR="00FF7362" w:rsidRPr="00D86314" w:rsidRDefault="00FF7362">
            <w:pPr>
              <w:spacing w:after="160" w:line="259" w:lineRule="auto"/>
              <w:jc w:val="center"/>
              <w:rPr>
                <w:noProof/>
                <w:color w:val="000000"/>
                <w:lang w:val="en-GB"/>
              </w:rPr>
            </w:pPr>
            <w:r w:rsidRPr="00A36024">
              <w:rPr>
                <w:noProof/>
                <w:color w:val="000000"/>
              </w:rPr>
              <w:t>-96</w:t>
            </w:r>
          </w:p>
        </w:tc>
        <w:tc>
          <w:tcPr>
            <w:tcW w:w="1560" w:type="dxa"/>
            <w:tcBorders>
              <w:top w:val="single" w:sz="4" w:space="0" w:color="auto"/>
              <w:left w:val="single" w:sz="4" w:space="0" w:color="auto"/>
              <w:bottom w:val="single" w:sz="4" w:space="0" w:color="auto"/>
              <w:right w:val="single" w:sz="4" w:space="0" w:color="auto"/>
            </w:tcBorders>
            <w:vAlign w:val="bottom"/>
          </w:tcPr>
          <w:p w14:paraId="155B6EA0" w14:textId="77777777" w:rsidR="00FF7362" w:rsidRPr="00D86314" w:rsidRDefault="00FF7362">
            <w:pPr>
              <w:spacing w:after="160" w:line="259" w:lineRule="auto"/>
              <w:jc w:val="center"/>
              <w:rPr>
                <w:noProof/>
                <w:color w:val="000000"/>
                <w:lang w:val="en-GB"/>
              </w:rPr>
            </w:pPr>
            <w:r w:rsidRPr="00A36024">
              <w:rPr>
                <w:noProof/>
                <w:color w:val="000000"/>
              </w:rPr>
              <w:t>-49</w:t>
            </w:r>
          </w:p>
        </w:tc>
        <w:tc>
          <w:tcPr>
            <w:tcW w:w="1706" w:type="dxa"/>
            <w:tcBorders>
              <w:top w:val="single" w:sz="4" w:space="0" w:color="auto"/>
              <w:left w:val="single" w:sz="4" w:space="0" w:color="auto"/>
              <w:bottom w:val="single" w:sz="4" w:space="0" w:color="auto"/>
              <w:right w:val="single" w:sz="4" w:space="0" w:color="auto"/>
            </w:tcBorders>
            <w:vAlign w:val="bottom"/>
          </w:tcPr>
          <w:p w14:paraId="6FAFA4A6" w14:textId="77777777" w:rsidR="00FF7362" w:rsidRPr="00D86314" w:rsidRDefault="00FF7362">
            <w:pPr>
              <w:spacing w:after="160" w:line="259" w:lineRule="auto"/>
              <w:jc w:val="center"/>
              <w:rPr>
                <w:noProof/>
                <w:kern w:val="2"/>
                <w:lang w:val="en-GB"/>
              </w:rPr>
            </w:pPr>
            <w:r w:rsidRPr="00A36024">
              <w:rPr>
                <w:noProof/>
                <w:kern w:val="2"/>
              </w:rPr>
              <w:t>-74</w:t>
            </w:r>
          </w:p>
        </w:tc>
      </w:tr>
      <w:tr w:rsidR="00FF7362" w:rsidRPr="00D86314" w14:paraId="3C75851D" w14:textId="77777777" w:rsidTr="00663F33">
        <w:tc>
          <w:tcPr>
            <w:tcW w:w="1941" w:type="dxa"/>
            <w:tcBorders>
              <w:top w:val="single" w:sz="4" w:space="0" w:color="auto"/>
              <w:left w:val="single" w:sz="4" w:space="0" w:color="auto"/>
              <w:bottom w:val="single" w:sz="4" w:space="0" w:color="auto"/>
              <w:right w:val="single" w:sz="4" w:space="0" w:color="auto"/>
            </w:tcBorders>
          </w:tcPr>
          <w:p w14:paraId="4C447D42" w14:textId="77777777" w:rsidR="00FF7362" w:rsidRPr="00D86314" w:rsidRDefault="00FF7362">
            <w:pPr>
              <w:spacing w:after="160" w:line="259" w:lineRule="auto"/>
              <w:jc w:val="left"/>
              <w:rPr>
                <w:noProof/>
                <w:color w:val="000000"/>
                <w:lang w:val="en-GB"/>
              </w:rPr>
            </w:pPr>
            <w:r w:rsidRPr="00A36024">
              <w:rPr>
                <w:noProof/>
                <w:color w:val="000000"/>
              </w:rPr>
              <w:t>In %</w:t>
            </w:r>
          </w:p>
        </w:tc>
        <w:tc>
          <w:tcPr>
            <w:tcW w:w="1173" w:type="dxa"/>
            <w:tcBorders>
              <w:top w:val="single" w:sz="4" w:space="0" w:color="auto"/>
              <w:left w:val="single" w:sz="4" w:space="0" w:color="auto"/>
              <w:bottom w:val="single" w:sz="4" w:space="0" w:color="auto"/>
              <w:right w:val="single" w:sz="4" w:space="0" w:color="auto"/>
            </w:tcBorders>
            <w:vAlign w:val="bottom"/>
          </w:tcPr>
          <w:p w14:paraId="7A862072" w14:textId="77777777" w:rsidR="00FF7362" w:rsidRPr="00D86314" w:rsidRDefault="00FF7362">
            <w:pPr>
              <w:spacing w:after="160" w:line="259" w:lineRule="auto"/>
              <w:jc w:val="center"/>
              <w:rPr>
                <w:noProof/>
                <w:color w:val="000000"/>
                <w:lang w:val="en-GB"/>
              </w:rPr>
            </w:pPr>
            <w:r w:rsidRPr="00A36024">
              <w:rPr>
                <w:noProof/>
                <w:color w:val="000000"/>
              </w:rPr>
              <w:t>19%</w:t>
            </w:r>
          </w:p>
        </w:tc>
        <w:tc>
          <w:tcPr>
            <w:tcW w:w="1276" w:type="dxa"/>
            <w:tcBorders>
              <w:top w:val="single" w:sz="4" w:space="0" w:color="auto"/>
              <w:left w:val="single" w:sz="4" w:space="0" w:color="auto"/>
              <w:bottom w:val="single" w:sz="4" w:space="0" w:color="auto"/>
              <w:right w:val="single" w:sz="4" w:space="0" w:color="auto"/>
            </w:tcBorders>
            <w:vAlign w:val="bottom"/>
          </w:tcPr>
          <w:p w14:paraId="06979C98" w14:textId="77777777" w:rsidR="00FF7362" w:rsidRPr="00D86314" w:rsidRDefault="00FF7362">
            <w:pPr>
              <w:spacing w:after="160" w:line="259" w:lineRule="auto"/>
              <w:jc w:val="center"/>
              <w:rPr>
                <w:noProof/>
                <w:color w:val="000000"/>
                <w:lang w:val="en-GB"/>
              </w:rPr>
            </w:pPr>
            <w:r w:rsidRPr="00A36024">
              <w:rPr>
                <w:noProof/>
                <w:color w:val="000000"/>
              </w:rPr>
              <w:t>22%</w:t>
            </w:r>
          </w:p>
        </w:tc>
        <w:tc>
          <w:tcPr>
            <w:tcW w:w="1275" w:type="dxa"/>
            <w:tcBorders>
              <w:top w:val="single" w:sz="4" w:space="0" w:color="auto"/>
              <w:left w:val="single" w:sz="4" w:space="0" w:color="auto"/>
              <w:bottom w:val="single" w:sz="4" w:space="0" w:color="auto"/>
              <w:right w:val="single" w:sz="4" w:space="0" w:color="auto"/>
            </w:tcBorders>
            <w:vAlign w:val="bottom"/>
          </w:tcPr>
          <w:p w14:paraId="015F2B58" w14:textId="77777777" w:rsidR="00FF7362" w:rsidRPr="00D86314" w:rsidRDefault="00FF7362">
            <w:pPr>
              <w:spacing w:after="160" w:line="259" w:lineRule="auto"/>
              <w:jc w:val="center"/>
              <w:rPr>
                <w:noProof/>
                <w:color w:val="000000"/>
                <w:lang w:val="en-GB"/>
              </w:rPr>
            </w:pPr>
            <w:r w:rsidRPr="00A36024">
              <w:rPr>
                <w:noProof/>
                <w:color w:val="000000"/>
              </w:rPr>
              <w:t>27%</w:t>
            </w:r>
          </w:p>
        </w:tc>
        <w:tc>
          <w:tcPr>
            <w:tcW w:w="1560" w:type="dxa"/>
            <w:tcBorders>
              <w:top w:val="single" w:sz="4" w:space="0" w:color="auto"/>
              <w:left w:val="single" w:sz="4" w:space="0" w:color="auto"/>
              <w:bottom w:val="single" w:sz="4" w:space="0" w:color="auto"/>
              <w:right w:val="single" w:sz="4" w:space="0" w:color="auto"/>
            </w:tcBorders>
            <w:vAlign w:val="bottom"/>
          </w:tcPr>
          <w:p w14:paraId="3B0E8451" w14:textId="77777777" w:rsidR="00FF7362" w:rsidRPr="00D86314" w:rsidRDefault="00FF7362">
            <w:pPr>
              <w:spacing w:after="160" w:line="259" w:lineRule="auto"/>
              <w:jc w:val="center"/>
              <w:rPr>
                <w:noProof/>
                <w:color w:val="000000"/>
                <w:lang w:val="en-GB"/>
              </w:rPr>
            </w:pPr>
            <w:r w:rsidRPr="00A36024">
              <w:rPr>
                <w:noProof/>
                <w:color w:val="000000"/>
              </w:rPr>
              <w:t>19%</w:t>
            </w:r>
          </w:p>
        </w:tc>
        <w:tc>
          <w:tcPr>
            <w:tcW w:w="1706" w:type="dxa"/>
            <w:tcBorders>
              <w:top w:val="single" w:sz="4" w:space="0" w:color="auto"/>
              <w:left w:val="single" w:sz="4" w:space="0" w:color="auto"/>
              <w:bottom w:val="single" w:sz="4" w:space="0" w:color="auto"/>
              <w:right w:val="single" w:sz="4" w:space="0" w:color="auto"/>
            </w:tcBorders>
            <w:vAlign w:val="bottom"/>
          </w:tcPr>
          <w:p w14:paraId="36F6FDDB" w14:textId="77777777" w:rsidR="00FF7362" w:rsidRPr="00D86314" w:rsidRDefault="00FF7362">
            <w:pPr>
              <w:spacing w:after="160" w:line="259" w:lineRule="auto"/>
              <w:jc w:val="center"/>
              <w:rPr>
                <w:noProof/>
                <w:kern w:val="2"/>
                <w:lang w:val="en-GB"/>
              </w:rPr>
            </w:pPr>
            <w:r w:rsidRPr="00A36024">
              <w:rPr>
                <w:noProof/>
                <w:kern w:val="2"/>
              </w:rPr>
              <w:t>22%</w:t>
            </w:r>
          </w:p>
        </w:tc>
      </w:tr>
    </w:tbl>
    <w:p w14:paraId="0380791D" w14:textId="77777777" w:rsidR="00FF7362" w:rsidRPr="00D86314" w:rsidRDefault="00FF7362" w:rsidP="00FF7362">
      <w:pPr>
        <w:spacing w:before="120" w:after="360"/>
        <w:ind w:left="709" w:hanging="709"/>
        <w:jc w:val="left"/>
        <w:rPr>
          <w:rFonts w:eastAsia="Calibri"/>
          <w:noProof/>
          <w:kern w:val="2"/>
          <w:sz w:val="18"/>
          <w:szCs w:val="22"/>
          <w14:ligatures w14:val="standardContextual"/>
        </w:rPr>
      </w:pPr>
      <w:r w:rsidRPr="00D86314">
        <w:rPr>
          <w:rFonts w:eastAsia="Calibri"/>
          <w:noProof/>
          <w:kern w:val="2"/>
          <w:sz w:val="18"/>
          <w:szCs w:val="22"/>
          <w14:ligatures w14:val="standardContextual"/>
        </w:rPr>
        <w:t>Source: WIK.</w:t>
      </w:r>
    </w:p>
    <w:p w14:paraId="72B2FD43" w14:textId="68A17B5D" w:rsidR="00FF7362" w:rsidRPr="00D86314" w:rsidRDefault="00FF7362" w:rsidP="00FF7362">
      <w:pPr>
        <w:keepNext/>
        <w:rPr>
          <w:b/>
          <w:noProof/>
        </w:rPr>
      </w:pPr>
      <w:r w:rsidRPr="00D86314">
        <w:rPr>
          <w:b/>
          <w:bCs/>
          <w:noProof/>
        </w:rPr>
        <w:t>Universal Service Obligation</w:t>
      </w:r>
    </w:p>
    <w:p w14:paraId="57AAE83A" w14:textId="5D00FEF3" w:rsidR="00FF7362" w:rsidRPr="00D86314" w:rsidRDefault="00FF7362" w:rsidP="00FF7362">
      <w:pPr>
        <w:rPr>
          <w:noProof/>
        </w:rPr>
      </w:pPr>
      <w:bookmarkStart w:id="69" w:name="_Ref204868031"/>
      <w:bookmarkStart w:id="70" w:name="_Ref204992590"/>
      <w:r w:rsidRPr="00D86314">
        <w:rPr>
          <w:noProof/>
        </w:rPr>
        <w:t>The figure below shows the expected total data consumption by option by 2035 taking the options for the universal service into account. While universal service has no impact on total data consumption under the status quo, option 1 and option 3, it is expected to increase total data consumption by around 2</w:t>
      </w:r>
      <w:r w:rsidR="00AD5B91" w:rsidRPr="00D86314">
        <w:rPr>
          <w:noProof/>
        </w:rPr>
        <w:t> </w:t>
      </w:r>
      <w:r w:rsidRPr="00D86314">
        <w:rPr>
          <w:noProof/>
        </w:rPr>
        <w:t>EB by 2035 under option 2 and by 5</w:t>
      </w:r>
      <w:r w:rsidR="00AD5B91" w:rsidRPr="00D86314">
        <w:rPr>
          <w:noProof/>
        </w:rPr>
        <w:t> </w:t>
      </w:r>
      <w:r w:rsidRPr="00D86314">
        <w:rPr>
          <w:noProof/>
        </w:rPr>
        <w:t>EB under option 4.</w:t>
      </w:r>
    </w:p>
    <w:p w14:paraId="529BE0B2" w14:textId="05C85AFF" w:rsidR="00FF7362" w:rsidRPr="00D86314" w:rsidRDefault="00FF7362" w:rsidP="004B46A0">
      <w:pPr>
        <w:pStyle w:val="Abbberschrift"/>
        <w:ind w:left="2268" w:hanging="2268"/>
        <w:rPr>
          <w:rFonts w:ascii="Times New Roman" w:hAnsi="Times New Roman"/>
          <w:i/>
          <w:noProof/>
        </w:rPr>
      </w:pPr>
      <w:r w:rsidRPr="00D86314">
        <w:rPr>
          <w:rFonts w:ascii="Times New Roman" w:hAnsi="Times New Roman"/>
          <w:i/>
          <w:noProof/>
        </w:rPr>
        <w:t xml:space="preserve">Figure </w:t>
      </w:r>
      <w:r w:rsidR="00415B5C" w:rsidRPr="00D86314">
        <w:rPr>
          <w:rFonts w:ascii="Times New Roman" w:hAnsi="Times New Roman"/>
          <w:i/>
          <w:noProof/>
        </w:rPr>
        <w:t>A4 1</w:t>
      </w:r>
      <w:bookmarkEnd w:id="69"/>
      <w:bookmarkEnd w:id="70"/>
      <w:r w:rsidR="001F10E6" w:rsidRPr="00D86314">
        <w:rPr>
          <w:rFonts w:ascii="Times New Roman" w:hAnsi="Times New Roman"/>
          <w:i/>
          <w:noProof/>
        </w:rPr>
        <w:noBreakHyphen/>
      </w:r>
      <w:r w:rsidR="00E122E2">
        <w:rPr>
          <w:rFonts w:ascii="Times New Roman" w:hAnsi="Times New Roman"/>
          <w:i/>
          <w:noProof/>
        </w:rPr>
        <w:t>17</w:t>
      </w:r>
      <w:r w:rsidRPr="00D86314">
        <w:rPr>
          <w:rFonts w:ascii="Times New Roman" w:hAnsi="Times New Roman"/>
          <w:i/>
          <w:noProof/>
        </w:rPr>
        <w:t>:Total data consumption in the EU 27 (in Exabyte) including USO (projections to 2035)</w:t>
      </w:r>
    </w:p>
    <w:p w14:paraId="4107EE85" w14:textId="77777777" w:rsidR="00FF7362" w:rsidRPr="00D86314" w:rsidRDefault="00FF7362" w:rsidP="00FF7362">
      <w:pPr>
        <w:rPr>
          <w:noProof/>
        </w:rPr>
      </w:pPr>
      <w:r w:rsidRPr="00E46BC9">
        <w:rPr>
          <w:noProof/>
          <w:lang w:eastAsia="en-GB"/>
        </w:rPr>
        <w:drawing>
          <wp:inline distT="0" distB="0" distL="0" distR="0" wp14:anchorId="50E30776" wp14:editId="745A16A5">
            <wp:extent cx="5841483" cy="3416082"/>
            <wp:effectExtent l="0" t="0" r="6985" b="0"/>
            <wp:docPr id="562007085" name="Grafik 16"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07085" name="Grafik 16" descr="A graph of different colored lines&#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46396" cy="3418955"/>
                    </a:xfrm>
                    <a:prstGeom prst="rect">
                      <a:avLst/>
                    </a:prstGeom>
                    <a:noFill/>
                  </pic:spPr>
                </pic:pic>
              </a:graphicData>
            </a:graphic>
          </wp:inline>
        </w:drawing>
      </w:r>
    </w:p>
    <w:p w14:paraId="685646B2" w14:textId="77777777" w:rsidR="00FF7362" w:rsidRPr="00D86314" w:rsidRDefault="00FF7362" w:rsidP="00FF7362">
      <w:pPr>
        <w:pStyle w:val="Quelle"/>
        <w:rPr>
          <w:rFonts w:ascii="Times New Roman" w:hAnsi="Times New Roman"/>
          <w:noProof/>
        </w:rPr>
      </w:pPr>
      <w:r w:rsidRPr="00D86314">
        <w:rPr>
          <w:rFonts w:ascii="Times New Roman" w:hAnsi="Times New Roman"/>
          <w:noProof/>
        </w:rPr>
        <w:t>Source: WIK-Consult</w:t>
      </w:r>
    </w:p>
    <w:p w14:paraId="21E516A9" w14:textId="77777777" w:rsidR="00B67AA4" w:rsidRPr="00D86314" w:rsidRDefault="00B67AA4" w:rsidP="00B67AA4">
      <w:pPr>
        <w:rPr>
          <w:rFonts w:eastAsia="Arial" w:cs="Arial"/>
          <w:noProof/>
          <w:szCs w:val="22"/>
        </w:rPr>
        <w:sectPr w:rsidR="00B67AA4" w:rsidRPr="00D86314" w:rsidSect="00DA52FA">
          <w:headerReference w:type="even" r:id="rId39"/>
          <w:headerReference w:type="default" r:id="rId40"/>
          <w:footerReference w:type="even" r:id="rId41"/>
          <w:footerReference w:type="default" r:id="rId42"/>
          <w:headerReference w:type="first" r:id="rId43"/>
          <w:footerReference w:type="first" r:id="rId44"/>
          <w:pgSz w:w="11906" w:h="16838"/>
          <w:pgMar w:top="1020" w:right="707" w:bottom="1020" w:left="1587" w:header="601" w:footer="1077" w:gutter="0"/>
          <w:cols w:space="720"/>
          <w:titlePg/>
          <w:docGrid w:linePitch="326"/>
        </w:sectPr>
      </w:pPr>
    </w:p>
    <w:p w14:paraId="2C0D81B2" w14:textId="22DFFF52" w:rsidR="00B67AA4" w:rsidRPr="00D86314" w:rsidRDefault="009D4894" w:rsidP="00703057">
      <w:pPr>
        <w:pStyle w:val="Heading2"/>
        <w:rPr>
          <w:rFonts w:eastAsia="Arial"/>
          <w:noProof/>
        </w:rPr>
      </w:pPr>
      <w:bookmarkStart w:id="71" w:name="_Ref87342600"/>
      <w:bookmarkStart w:id="72" w:name="_Ref87362612"/>
      <w:bookmarkStart w:id="73" w:name="_Toc219718360"/>
      <w:r w:rsidRPr="00D86314">
        <w:rPr>
          <w:noProof/>
        </w:rPr>
        <w:t>Economic impacts</w:t>
      </w:r>
      <w:bookmarkEnd w:id="71"/>
      <w:bookmarkEnd w:id="72"/>
      <w:bookmarkEnd w:id="73"/>
    </w:p>
    <w:p w14:paraId="611C1A7E" w14:textId="1290900C" w:rsidR="00552531" w:rsidRPr="00D86314" w:rsidRDefault="00751AEF" w:rsidP="00703057">
      <w:pPr>
        <w:rPr>
          <w:noProof/>
        </w:rPr>
      </w:pPr>
      <w:r w:rsidRPr="00D86314">
        <w:rPr>
          <w:noProof/>
        </w:rPr>
        <w:t>T</w:t>
      </w:r>
      <w:r w:rsidR="00552531" w:rsidRPr="00D86314">
        <w:rPr>
          <w:noProof/>
        </w:rPr>
        <w:t>his section</w:t>
      </w:r>
      <w:r w:rsidRPr="00D86314">
        <w:rPr>
          <w:noProof/>
        </w:rPr>
        <w:t xml:space="preserve"> </w:t>
      </w:r>
      <w:r w:rsidR="00552531" w:rsidRPr="00D86314">
        <w:rPr>
          <w:noProof/>
        </w:rPr>
        <w:t>estimate</w:t>
      </w:r>
      <w:r w:rsidRPr="00D86314">
        <w:rPr>
          <w:noProof/>
        </w:rPr>
        <w:t>s</w:t>
      </w:r>
      <w:r w:rsidR="00552531" w:rsidRPr="00D86314">
        <w:rPr>
          <w:noProof/>
        </w:rPr>
        <w:t xml:space="preserve"> the economic impact of improved broadband quality, drawing on </w:t>
      </w:r>
      <w:r w:rsidR="007A7F72" w:rsidRPr="00D86314">
        <w:rPr>
          <w:noProof/>
        </w:rPr>
        <w:t xml:space="preserve">available </w:t>
      </w:r>
      <w:r w:rsidR="00552531" w:rsidRPr="00D86314">
        <w:rPr>
          <w:noProof/>
        </w:rPr>
        <w:t xml:space="preserve">academic literature. </w:t>
      </w:r>
    </w:p>
    <w:p w14:paraId="0E31497D" w14:textId="7A1B2478" w:rsidR="00552531" w:rsidRPr="00D86314" w:rsidRDefault="009F6E06" w:rsidP="00703057">
      <w:pPr>
        <w:rPr>
          <w:noProof/>
        </w:rPr>
      </w:pPr>
      <w:bookmarkStart w:id="74" w:name="_Ref214108474"/>
      <w:r w:rsidRPr="00D86314">
        <w:rPr>
          <w:noProof/>
        </w:rPr>
        <w:t>It</w:t>
      </w:r>
      <w:r w:rsidR="00552531" w:rsidRPr="00D86314">
        <w:rPr>
          <w:noProof/>
        </w:rPr>
        <w:t xml:space="preserve"> </w:t>
      </w:r>
      <w:r w:rsidR="004C48F4" w:rsidRPr="00D86314">
        <w:rPr>
          <w:noProof/>
        </w:rPr>
        <w:t>summarise</w:t>
      </w:r>
      <w:r w:rsidRPr="00D86314">
        <w:rPr>
          <w:noProof/>
        </w:rPr>
        <w:t>s</w:t>
      </w:r>
      <w:r w:rsidR="00552531" w:rsidRPr="00D86314">
        <w:rPr>
          <w:noProof/>
        </w:rPr>
        <w:t xml:space="preserve"> recent literature on the economic impacts of faster broadband in terms of GDP growth and job creation</w:t>
      </w:r>
      <w:r w:rsidR="00D9796C" w:rsidRPr="00D86314">
        <w:rPr>
          <w:noProof/>
        </w:rPr>
        <w:t xml:space="preserve"> and it then presents t</w:t>
      </w:r>
      <w:r w:rsidR="00552531" w:rsidRPr="00D86314">
        <w:rPr>
          <w:noProof/>
        </w:rPr>
        <w:t xml:space="preserve">he results of </w:t>
      </w:r>
      <w:r w:rsidR="001637E6" w:rsidRPr="00D86314">
        <w:rPr>
          <w:noProof/>
        </w:rPr>
        <w:t xml:space="preserve">the associated </w:t>
      </w:r>
      <w:r w:rsidR="00552531" w:rsidRPr="00D86314">
        <w:rPr>
          <w:noProof/>
        </w:rPr>
        <w:t>theory-based modelling exercise</w:t>
      </w:r>
      <w:r w:rsidR="00D9796C" w:rsidRPr="00D86314">
        <w:rPr>
          <w:noProof/>
        </w:rPr>
        <w:t>.</w:t>
      </w:r>
      <w:r w:rsidR="00552531" w:rsidRPr="00D86314">
        <w:rPr>
          <w:noProof/>
        </w:rPr>
        <w:t xml:space="preserve"> </w:t>
      </w:r>
      <w:bookmarkEnd w:id="74"/>
    </w:p>
    <w:p w14:paraId="7BEDCDDF" w14:textId="2A2E75DC" w:rsidR="002E079D" w:rsidRPr="00D86314" w:rsidRDefault="002E079D" w:rsidP="00CB3E4E">
      <w:pPr>
        <w:pStyle w:val="Heading3"/>
        <w:rPr>
          <w:noProof/>
        </w:rPr>
      </w:pPr>
      <w:bookmarkStart w:id="75" w:name="_Ref86215997"/>
      <w:bookmarkStart w:id="76" w:name="_Toc214231530"/>
      <w:bookmarkStart w:id="77" w:name="_Toc219718361"/>
      <w:r w:rsidRPr="00D86314">
        <w:rPr>
          <w:noProof/>
        </w:rPr>
        <w:t xml:space="preserve">Economic impact of </w:t>
      </w:r>
      <w:r w:rsidR="007F411A" w:rsidRPr="00D86314">
        <w:rPr>
          <w:noProof/>
        </w:rPr>
        <w:t xml:space="preserve">fixed </w:t>
      </w:r>
      <w:r w:rsidRPr="00D86314">
        <w:rPr>
          <w:noProof/>
        </w:rPr>
        <w:t>broadband in the literature</w:t>
      </w:r>
      <w:bookmarkEnd w:id="75"/>
      <w:bookmarkEnd w:id="76"/>
      <w:bookmarkEnd w:id="77"/>
      <w:r w:rsidRPr="00D86314">
        <w:rPr>
          <w:noProof/>
        </w:rPr>
        <w:t xml:space="preserve"> </w:t>
      </w:r>
    </w:p>
    <w:p w14:paraId="1092775D" w14:textId="547172AE" w:rsidR="00665E59" w:rsidRPr="00D86314" w:rsidRDefault="001C52F7" w:rsidP="00703057">
      <w:pPr>
        <w:rPr>
          <w:noProof/>
        </w:rPr>
      </w:pPr>
      <w:r w:rsidRPr="00D86314">
        <w:rPr>
          <w:noProof/>
        </w:rPr>
        <w:t>A</w:t>
      </w:r>
      <w:r w:rsidR="00665E59" w:rsidRPr="00D86314">
        <w:rPr>
          <w:noProof/>
        </w:rPr>
        <w:t xml:space="preserve"> wide range of literature supports a link between fixed broadband connections and economic benefits</w:t>
      </w:r>
      <w:r w:rsidR="009C66B9" w:rsidRPr="00D86314">
        <w:rPr>
          <w:noProof/>
        </w:rPr>
        <w:t>, including</w:t>
      </w:r>
      <w:r w:rsidR="00665E59" w:rsidRPr="00D86314" w:rsidDel="009C66B9">
        <w:rPr>
          <w:noProof/>
        </w:rPr>
        <w:t xml:space="preserve"> </w:t>
      </w:r>
      <w:r w:rsidR="00AB5AFD" w:rsidRPr="00D86314">
        <w:rPr>
          <w:noProof/>
        </w:rPr>
        <w:t xml:space="preserve">increases in </w:t>
      </w:r>
      <w:r w:rsidR="00665E59" w:rsidRPr="00D86314">
        <w:rPr>
          <w:noProof/>
        </w:rPr>
        <w:t>GDP.</w:t>
      </w:r>
      <w:r w:rsidR="00665E59" w:rsidRPr="00D86314">
        <w:rPr>
          <w:rStyle w:val="FootnoteReference"/>
          <w:noProof/>
        </w:rPr>
        <w:footnoteReference w:id="22"/>
      </w:r>
      <w:r w:rsidR="00665E59" w:rsidRPr="00D86314">
        <w:rPr>
          <w:noProof/>
        </w:rPr>
        <w:t xml:space="preserve"> More recently, as broadband has become prevalent, attention has shifted to </w:t>
      </w:r>
      <w:r w:rsidR="00F8453E" w:rsidRPr="00D86314">
        <w:rPr>
          <w:noProof/>
        </w:rPr>
        <w:t xml:space="preserve">examining </w:t>
      </w:r>
      <w:r w:rsidR="00665E59" w:rsidRPr="00D86314">
        <w:rPr>
          <w:noProof/>
        </w:rPr>
        <w:t>whether higher quality broadband</w:t>
      </w:r>
      <w:r w:rsidR="008E7C5E" w:rsidRPr="00D86314">
        <w:rPr>
          <w:noProof/>
        </w:rPr>
        <w:t xml:space="preserve"> </w:t>
      </w:r>
      <w:r w:rsidR="00D942ED" w:rsidRPr="00D86314">
        <w:rPr>
          <w:noProof/>
        </w:rPr>
        <w:t>-</w:t>
      </w:r>
      <w:r w:rsidR="00665E59" w:rsidRPr="00D86314" w:rsidDel="008E7C5E">
        <w:rPr>
          <w:noProof/>
        </w:rPr>
        <w:t xml:space="preserve"> </w:t>
      </w:r>
      <w:r w:rsidR="00665E59" w:rsidRPr="00D86314">
        <w:rPr>
          <w:noProof/>
        </w:rPr>
        <w:t>defined in terms of speed or technology</w:t>
      </w:r>
      <w:r w:rsidR="00D942ED" w:rsidRPr="00D86314">
        <w:rPr>
          <w:noProof/>
        </w:rPr>
        <w:t xml:space="preserve"> -</w:t>
      </w:r>
      <w:r w:rsidR="00665E59" w:rsidRPr="00D86314">
        <w:rPr>
          <w:noProof/>
        </w:rPr>
        <w:t xml:space="preserve"> is linked to greater economic benefits than “basic” or lower speed broadband. </w:t>
      </w:r>
      <w:r w:rsidR="002F4577" w:rsidRPr="00D86314">
        <w:rPr>
          <w:noProof/>
        </w:rPr>
        <w:t>Existing l</w:t>
      </w:r>
      <w:r w:rsidR="00665E59" w:rsidRPr="00D86314">
        <w:rPr>
          <w:noProof/>
        </w:rPr>
        <w:t>iterature</w:t>
      </w:r>
      <w:r w:rsidR="00665E59" w:rsidRPr="00D86314" w:rsidDel="002F4577">
        <w:rPr>
          <w:noProof/>
        </w:rPr>
        <w:t xml:space="preserve"> </w:t>
      </w:r>
      <w:r w:rsidR="00665E59" w:rsidRPr="00D86314">
        <w:rPr>
          <w:noProof/>
        </w:rPr>
        <w:t>generally confirm</w:t>
      </w:r>
      <w:r w:rsidR="002F4577" w:rsidRPr="00D86314">
        <w:rPr>
          <w:noProof/>
        </w:rPr>
        <w:t>s</w:t>
      </w:r>
      <w:r w:rsidR="00665E59" w:rsidRPr="00D86314">
        <w:rPr>
          <w:noProof/>
        </w:rPr>
        <w:t xml:space="preserve"> this </w:t>
      </w:r>
      <w:r w:rsidR="002F4577" w:rsidRPr="00D86314">
        <w:rPr>
          <w:noProof/>
        </w:rPr>
        <w:t>relationship</w:t>
      </w:r>
      <w:r w:rsidR="00665E59" w:rsidRPr="00D86314">
        <w:rPr>
          <w:noProof/>
        </w:rPr>
        <w:t>.</w:t>
      </w:r>
    </w:p>
    <w:p w14:paraId="5DF9F3D7" w14:textId="7357BD1D" w:rsidR="00665E59" w:rsidRPr="00D86314" w:rsidRDefault="00665E59" w:rsidP="00703057">
      <w:pPr>
        <w:rPr>
          <w:noProof/>
        </w:rPr>
      </w:pPr>
      <w:r w:rsidRPr="00D86314">
        <w:rPr>
          <w:noProof/>
        </w:rPr>
        <w:t xml:space="preserve">A </w:t>
      </w:r>
      <w:r w:rsidR="00280C8E" w:rsidRPr="00D86314">
        <w:rPr>
          <w:noProof/>
        </w:rPr>
        <w:t>20</w:t>
      </w:r>
      <w:r w:rsidR="00B06E00" w:rsidRPr="00D86314">
        <w:rPr>
          <w:noProof/>
        </w:rPr>
        <w:t xml:space="preserve">25 </w:t>
      </w:r>
      <w:r w:rsidRPr="00D86314">
        <w:rPr>
          <w:noProof/>
        </w:rPr>
        <w:t xml:space="preserve">study </w:t>
      </w:r>
      <w:r w:rsidR="00B06E00" w:rsidRPr="00D86314">
        <w:rPr>
          <w:noProof/>
        </w:rPr>
        <w:t>by</w:t>
      </w:r>
      <w:r w:rsidRPr="00D86314">
        <w:rPr>
          <w:noProof/>
        </w:rPr>
        <w:t xml:space="preserve"> Briglauer et al./EcoAustria, based on panel data for 32 OECD countries, analysed the causal effect of high-speed broadband networks coverage (fixed and mobile) as well as the adoption (take-up) of high-speed broadband services on GDP</w:t>
      </w:r>
      <w:r w:rsidRPr="00D86314">
        <w:rPr>
          <w:rStyle w:val="FootnoteReference"/>
          <w:noProof/>
        </w:rPr>
        <w:footnoteReference w:id="23"/>
      </w:r>
      <w:r w:rsidR="000E09DB" w:rsidRPr="00D86314">
        <w:rPr>
          <w:noProof/>
        </w:rPr>
        <w:t>.</w:t>
      </w:r>
      <w:r w:rsidRPr="00D86314">
        <w:rPr>
          <w:noProof/>
        </w:rPr>
        <w:t xml:space="preserve"> The study looked at two</w:t>
      </w:r>
      <w:r w:rsidRPr="00D86314" w:rsidDel="000D7B02">
        <w:rPr>
          <w:noProof/>
        </w:rPr>
        <w:t xml:space="preserve"> </w:t>
      </w:r>
      <w:r w:rsidRPr="00D86314">
        <w:rPr>
          <w:noProof/>
        </w:rPr>
        <w:t>observation period</w:t>
      </w:r>
      <w:r w:rsidR="000D7B02" w:rsidRPr="00D86314">
        <w:rPr>
          <w:noProof/>
        </w:rPr>
        <w:t>s</w:t>
      </w:r>
      <w:r w:rsidRPr="00D86314">
        <w:rPr>
          <w:noProof/>
        </w:rPr>
        <w:t>: 2005-2020 and 2009-2020. In the later period, the networks with much higher speeds played a bigger role in broadband connections.</w:t>
      </w:r>
      <w:r w:rsidRPr="00D86314">
        <w:rPr>
          <w:rStyle w:val="FootnoteReference"/>
          <w:noProof/>
        </w:rPr>
        <w:footnoteReference w:id="24"/>
      </w:r>
      <w:r w:rsidRPr="00D86314">
        <w:rPr>
          <w:noProof/>
        </w:rPr>
        <w:t xml:space="preserve"> The study shows that fixed broadband </w:t>
      </w:r>
      <w:r w:rsidRPr="00D86314">
        <w:rPr>
          <w:i/>
          <w:iCs/>
          <w:noProof/>
        </w:rPr>
        <w:t>adoption</w:t>
      </w:r>
      <w:r w:rsidRPr="00D86314">
        <w:rPr>
          <w:noProof/>
        </w:rPr>
        <w:t xml:space="preserve"> for both observation periods exerts a substantial and significant impact on GDP while network </w:t>
      </w:r>
      <w:r w:rsidRPr="00D86314">
        <w:rPr>
          <w:i/>
          <w:iCs/>
          <w:noProof/>
        </w:rPr>
        <w:t>deployment</w:t>
      </w:r>
      <w:r w:rsidRPr="00D86314">
        <w:rPr>
          <w:noProof/>
        </w:rPr>
        <w:t xml:space="preserve"> per se has only minor multiplier-related effects on economic growth. In the longer period (2005-2020) </w:t>
      </w:r>
      <w:r w:rsidRPr="00D86314">
        <w:rPr>
          <w:b/>
          <w:bCs/>
          <w:noProof/>
        </w:rPr>
        <w:t>a 1% increase in fixed broadband adoption</w:t>
      </w:r>
      <w:r w:rsidRPr="00D86314">
        <w:rPr>
          <w:noProof/>
        </w:rPr>
        <w:t xml:space="preserve"> impact</w:t>
      </w:r>
      <w:r w:rsidR="00A94EE1" w:rsidRPr="00D86314">
        <w:rPr>
          <w:noProof/>
        </w:rPr>
        <w:t>s</w:t>
      </w:r>
      <w:r w:rsidRPr="00D86314">
        <w:rPr>
          <w:noProof/>
        </w:rPr>
        <w:t xml:space="preserve"> per capita GDP growth in a range of 0.026% to 0.033%.</w:t>
      </w:r>
      <w:r w:rsidR="00E75EED" w:rsidRPr="00D86314">
        <w:rPr>
          <w:noProof/>
        </w:rPr>
        <w:t xml:space="preserve"> </w:t>
      </w:r>
      <w:r w:rsidRPr="00D86314">
        <w:rPr>
          <w:noProof/>
        </w:rPr>
        <w:t xml:space="preserve">The effects </w:t>
      </w:r>
      <w:r w:rsidR="00AB39F5" w:rsidRPr="00D86314">
        <w:rPr>
          <w:noProof/>
        </w:rPr>
        <w:t>are considered</w:t>
      </w:r>
      <w:r w:rsidRPr="00D86314" w:rsidDel="00AB39F5">
        <w:rPr>
          <w:noProof/>
        </w:rPr>
        <w:t xml:space="preserve"> </w:t>
      </w:r>
      <w:r w:rsidRPr="00D86314">
        <w:rPr>
          <w:noProof/>
        </w:rPr>
        <w:t xml:space="preserve">conservative because they do not </w:t>
      </w:r>
      <w:r w:rsidR="008C6FB0" w:rsidRPr="00D86314">
        <w:rPr>
          <w:noProof/>
        </w:rPr>
        <w:t>inclu</w:t>
      </w:r>
      <w:r w:rsidR="009E7E46" w:rsidRPr="00D86314">
        <w:rPr>
          <w:noProof/>
        </w:rPr>
        <w:t>d</w:t>
      </w:r>
      <w:r w:rsidR="008C6FB0" w:rsidRPr="00D86314">
        <w:rPr>
          <w:noProof/>
        </w:rPr>
        <w:t>e</w:t>
      </w:r>
      <w:r w:rsidRPr="00D86314">
        <w:rPr>
          <w:noProof/>
        </w:rPr>
        <w:t xml:space="preserve"> difficult-to-measure effects such as consumer surplus, nor </w:t>
      </w:r>
      <w:r w:rsidR="002A0801" w:rsidRPr="00D86314">
        <w:rPr>
          <w:noProof/>
        </w:rPr>
        <w:t xml:space="preserve">do they capture longer-term benefits that emerge as users familiarise themselves with new high-speed services or as </w:t>
      </w:r>
      <w:r w:rsidRPr="00D86314">
        <w:rPr>
          <w:noProof/>
        </w:rPr>
        <w:t xml:space="preserve">companies make complementary investments in digital transformation. </w:t>
      </w:r>
      <w:r w:rsidR="00BD4123" w:rsidRPr="00D86314">
        <w:rPr>
          <w:noProof/>
        </w:rPr>
        <w:t>P</w:t>
      </w:r>
      <w:r w:rsidRPr="00D86314">
        <w:rPr>
          <w:noProof/>
        </w:rPr>
        <w:t xml:space="preserve">ositive effects </w:t>
      </w:r>
      <w:r w:rsidR="00704879" w:rsidRPr="00D86314">
        <w:rPr>
          <w:noProof/>
        </w:rPr>
        <w:t xml:space="preserve">on </w:t>
      </w:r>
      <w:r w:rsidRPr="00D86314">
        <w:rPr>
          <w:noProof/>
        </w:rPr>
        <w:t xml:space="preserve">economic resilience </w:t>
      </w:r>
      <w:r w:rsidR="00704879" w:rsidRPr="00D86314">
        <w:rPr>
          <w:noProof/>
        </w:rPr>
        <w:t xml:space="preserve">during </w:t>
      </w:r>
      <w:r w:rsidRPr="00D86314">
        <w:rPr>
          <w:noProof/>
        </w:rPr>
        <w:t xml:space="preserve">exceptional </w:t>
      </w:r>
      <w:r w:rsidR="00692F93" w:rsidRPr="00D86314">
        <w:rPr>
          <w:noProof/>
        </w:rPr>
        <w:t xml:space="preserve">events </w:t>
      </w:r>
      <w:r w:rsidRPr="00D86314">
        <w:rPr>
          <w:noProof/>
        </w:rPr>
        <w:t>such as the COVID pandemic</w:t>
      </w:r>
      <w:r w:rsidR="00692F93" w:rsidRPr="00D86314">
        <w:rPr>
          <w:noProof/>
        </w:rPr>
        <w:t>, are also</w:t>
      </w:r>
      <w:r w:rsidRPr="00D86314">
        <w:rPr>
          <w:noProof/>
        </w:rPr>
        <w:t xml:space="preserve"> not </w:t>
      </w:r>
      <w:r w:rsidR="00D77029" w:rsidRPr="00D86314">
        <w:rPr>
          <w:noProof/>
        </w:rPr>
        <w:t>captured</w:t>
      </w:r>
      <w:r w:rsidRPr="00D86314">
        <w:rPr>
          <w:noProof/>
        </w:rPr>
        <w:t>. As policy conclusion</w:t>
      </w:r>
      <w:r w:rsidR="00D77029" w:rsidRPr="00D86314">
        <w:rPr>
          <w:noProof/>
        </w:rPr>
        <w:t>,</w:t>
      </w:r>
      <w:r w:rsidRPr="00D86314">
        <w:rPr>
          <w:noProof/>
        </w:rPr>
        <w:t xml:space="preserve"> the authors recommend </w:t>
      </w:r>
      <w:r w:rsidR="00B53F3F" w:rsidRPr="00D86314">
        <w:rPr>
          <w:noProof/>
        </w:rPr>
        <w:t>focussing</w:t>
      </w:r>
      <w:r w:rsidRPr="00D86314">
        <w:rPr>
          <w:noProof/>
        </w:rPr>
        <w:t xml:space="preserve"> public funding not only on supply-side </w:t>
      </w:r>
      <w:r w:rsidR="00C35CD6" w:rsidRPr="00D86314">
        <w:rPr>
          <w:noProof/>
        </w:rPr>
        <w:t xml:space="preserve">deployment </w:t>
      </w:r>
      <w:r w:rsidRPr="00D86314">
        <w:rPr>
          <w:noProof/>
        </w:rPr>
        <w:t xml:space="preserve">of broadband infrastructure but also </w:t>
      </w:r>
      <w:r w:rsidR="00CC4B3E" w:rsidRPr="00D86314">
        <w:rPr>
          <w:noProof/>
        </w:rPr>
        <w:t>on</w:t>
      </w:r>
      <w:r w:rsidR="00F37D0B" w:rsidRPr="00D86314">
        <w:rPr>
          <w:noProof/>
        </w:rPr>
        <w:t xml:space="preserve"> </w:t>
      </w:r>
      <w:r w:rsidRPr="00D86314">
        <w:rPr>
          <w:noProof/>
        </w:rPr>
        <w:t xml:space="preserve">demand-side </w:t>
      </w:r>
      <w:r w:rsidR="00F37D0B" w:rsidRPr="00D86314">
        <w:rPr>
          <w:noProof/>
        </w:rPr>
        <w:t xml:space="preserve">measures </w:t>
      </w:r>
      <w:r w:rsidRPr="00D86314">
        <w:rPr>
          <w:noProof/>
        </w:rPr>
        <w:t xml:space="preserve">to </w:t>
      </w:r>
      <w:r w:rsidR="008C3787" w:rsidRPr="00D86314">
        <w:rPr>
          <w:noProof/>
        </w:rPr>
        <w:t xml:space="preserve">accelerate </w:t>
      </w:r>
      <w:r w:rsidRPr="00D86314">
        <w:rPr>
          <w:noProof/>
        </w:rPr>
        <w:t>the adoption of fast fibre-based connections</w:t>
      </w:r>
      <w:r w:rsidR="006B605A" w:rsidRPr="00D86314">
        <w:rPr>
          <w:noProof/>
        </w:rPr>
        <w:t>, thereby generating</w:t>
      </w:r>
      <w:r w:rsidRPr="00D86314">
        <w:rPr>
          <w:noProof/>
        </w:rPr>
        <w:t xml:space="preserve"> far greater welfare effect in terms of GDP and consumer surplus. </w:t>
      </w:r>
      <w:r w:rsidR="00CA59EC" w:rsidRPr="00D86314">
        <w:rPr>
          <w:noProof/>
        </w:rPr>
        <w:t>Suggested m</w:t>
      </w:r>
      <w:r w:rsidRPr="00D86314">
        <w:rPr>
          <w:noProof/>
        </w:rPr>
        <w:t>easures</w:t>
      </w:r>
      <w:r w:rsidRPr="00D86314" w:rsidDel="00CA59EC">
        <w:rPr>
          <w:noProof/>
        </w:rPr>
        <w:t xml:space="preserve"> </w:t>
      </w:r>
      <w:r w:rsidR="00CA59EC" w:rsidRPr="00D86314">
        <w:rPr>
          <w:noProof/>
        </w:rPr>
        <w:t xml:space="preserve">include </w:t>
      </w:r>
      <w:r w:rsidRPr="00D86314">
        <w:rPr>
          <w:noProof/>
        </w:rPr>
        <w:t>vouchers, tax reliefs and increase of “e-literacy”.</w:t>
      </w:r>
    </w:p>
    <w:p w14:paraId="590C5CC4" w14:textId="169D5881" w:rsidR="00665E59" w:rsidRPr="00D86314" w:rsidRDefault="00665E59" w:rsidP="00703057">
      <w:pPr>
        <w:rPr>
          <w:noProof/>
        </w:rPr>
      </w:pPr>
      <w:r w:rsidRPr="00D86314">
        <w:rPr>
          <w:noProof/>
        </w:rPr>
        <w:t>Earlier research</w:t>
      </w:r>
      <w:r w:rsidRPr="00D86314" w:rsidDel="00F64DE7">
        <w:rPr>
          <w:noProof/>
        </w:rPr>
        <w:t xml:space="preserve"> </w:t>
      </w:r>
      <w:r w:rsidR="00F64DE7" w:rsidRPr="00D86314">
        <w:rPr>
          <w:noProof/>
        </w:rPr>
        <w:t xml:space="preserve">by </w:t>
      </w:r>
      <w:r w:rsidRPr="00D86314">
        <w:rPr>
          <w:noProof/>
        </w:rPr>
        <w:t xml:space="preserve">Briglauer and Gugler also found positive macroeconomic effects of fibre-based broadband infrastructure investments by utilising a comprehensive </w:t>
      </w:r>
      <w:r w:rsidR="00CC3E7F" w:rsidRPr="00D86314">
        <w:rPr>
          <w:noProof/>
        </w:rPr>
        <w:t>panel</w:t>
      </w:r>
      <w:r w:rsidRPr="00D86314">
        <w:rPr>
          <w:noProof/>
        </w:rPr>
        <w:t xml:space="preserve"> dataset of </w:t>
      </w:r>
      <w:r w:rsidR="00CC3E7F" w:rsidRPr="00D86314">
        <w:rPr>
          <w:noProof/>
        </w:rPr>
        <w:t>M</w:t>
      </w:r>
      <w:r w:rsidRPr="00D86314">
        <w:rPr>
          <w:noProof/>
        </w:rPr>
        <w:t xml:space="preserve">ember </w:t>
      </w:r>
      <w:r w:rsidR="00CC3E7F" w:rsidRPr="00D86314">
        <w:rPr>
          <w:noProof/>
        </w:rPr>
        <w:t>S</w:t>
      </w:r>
      <w:r w:rsidRPr="00D86314">
        <w:rPr>
          <w:noProof/>
        </w:rPr>
        <w:t>tates for the period from 2003 to 2015.</w:t>
      </w:r>
      <w:r w:rsidRPr="00D86314">
        <w:rPr>
          <w:rStyle w:val="FootnoteReference"/>
          <w:noProof/>
        </w:rPr>
        <w:footnoteReference w:id="25"/>
      </w:r>
      <w:r w:rsidRPr="00D86314">
        <w:rPr>
          <w:noProof/>
        </w:rPr>
        <w:t xml:space="preserve"> The</w:t>
      </w:r>
      <w:r w:rsidR="00B25B63" w:rsidRPr="00D86314">
        <w:rPr>
          <w:noProof/>
        </w:rPr>
        <w:t xml:space="preserve"> study</w:t>
      </w:r>
      <w:r w:rsidRPr="00D86314">
        <w:rPr>
          <w:noProof/>
        </w:rPr>
        <w:t xml:space="preserve"> assessed the causal impact of fibre-based broadband on GDP controlling for basic broadband adoption. </w:t>
      </w:r>
      <w:r w:rsidRPr="00D86314">
        <w:rPr>
          <w:b/>
          <w:noProof/>
        </w:rPr>
        <w:t>In contrast to their 2023 study</w:t>
      </w:r>
      <w:r w:rsidR="00EE2522" w:rsidRPr="00D86314">
        <w:rPr>
          <w:rStyle w:val="FootnoteReference"/>
          <w:b/>
          <w:noProof/>
        </w:rPr>
        <w:footnoteReference w:id="26"/>
      </w:r>
      <w:r w:rsidR="008B0E07" w:rsidRPr="00D86314">
        <w:rPr>
          <w:b/>
          <w:noProof/>
        </w:rPr>
        <w:t>, it</w:t>
      </w:r>
      <w:r w:rsidRPr="00D86314" w:rsidDel="008B0E07">
        <w:rPr>
          <w:b/>
          <w:noProof/>
        </w:rPr>
        <w:t xml:space="preserve"> </w:t>
      </w:r>
      <w:r w:rsidRPr="00D86314">
        <w:rPr>
          <w:b/>
          <w:noProof/>
        </w:rPr>
        <w:t>did not consider the simultaneous impact of network coverage and adoption</w:t>
      </w:r>
      <w:r w:rsidR="00CC3E7F" w:rsidRPr="00D86314">
        <w:rPr>
          <w:b/>
          <w:noProof/>
        </w:rPr>
        <w:t>,</w:t>
      </w:r>
      <w:r w:rsidRPr="00D86314">
        <w:rPr>
          <w:b/>
          <w:noProof/>
        </w:rPr>
        <w:t xml:space="preserve"> and the dynamic effects related to broadband adoption</w:t>
      </w:r>
      <w:r w:rsidRPr="00D86314">
        <w:rPr>
          <w:noProof/>
        </w:rPr>
        <w:t>. Therefore</w:t>
      </w:r>
      <w:r w:rsidR="005260F2" w:rsidRPr="00D86314">
        <w:rPr>
          <w:noProof/>
        </w:rPr>
        <w:t>,</w:t>
      </w:r>
      <w:r w:rsidRPr="00D86314">
        <w:rPr>
          <w:noProof/>
        </w:rPr>
        <w:t xml:space="preserve"> the estimated effects of fibre-based broadband adoption were significant but rather small. Th</w:t>
      </w:r>
      <w:r w:rsidR="008034CF" w:rsidRPr="00D86314">
        <w:rPr>
          <w:noProof/>
        </w:rPr>
        <w:t>e</w:t>
      </w:r>
      <w:r w:rsidRPr="00D86314">
        <w:rPr>
          <w:noProof/>
        </w:rPr>
        <w:t xml:space="preserve"> study estimates that </w:t>
      </w:r>
      <w:r w:rsidRPr="00D86314">
        <w:rPr>
          <w:b/>
          <w:noProof/>
        </w:rPr>
        <w:t>1% increase in fibre-based broadband adoption causes an GDP increase of about 0.002%-0.005</w:t>
      </w:r>
      <w:r w:rsidRPr="00D86314">
        <w:rPr>
          <w:b/>
          <w:bCs/>
          <w:noProof/>
        </w:rPr>
        <w:t>%.</w:t>
      </w:r>
      <w:r w:rsidRPr="00D86314">
        <w:rPr>
          <w:noProof/>
        </w:rPr>
        <w:t xml:space="preserve"> Hybrid fibre broadband has a slightly lower incremental effect over basic broadband of about 0.002%-0.003%.</w:t>
      </w:r>
    </w:p>
    <w:p w14:paraId="26B08532" w14:textId="081BF187" w:rsidR="000C33F5" w:rsidRPr="00D86314" w:rsidRDefault="000C33F5" w:rsidP="00703057">
      <w:pPr>
        <w:rPr>
          <w:noProof/>
        </w:rPr>
      </w:pPr>
      <w:r w:rsidRPr="00D86314">
        <w:rPr>
          <w:noProof/>
        </w:rPr>
        <w:t>An ITU (2025) study</w:t>
      </w:r>
      <w:r w:rsidR="00577620" w:rsidRPr="00D86314">
        <w:rPr>
          <w:rStyle w:val="FootnoteReference"/>
          <w:noProof/>
        </w:rPr>
        <w:footnoteReference w:id="27"/>
      </w:r>
      <w:r w:rsidRPr="00D86314">
        <w:rPr>
          <w:noProof/>
        </w:rPr>
        <w:t xml:space="preserve"> on </w:t>
      </w:r>
      <w:r w:rsidR="00DC4D18" w:rsidRPr="00D86314">
        <w:rPr>
          <w:noProof/>
        </w:rPr>
        <w:t>t</w:t>
      </w:r>
      <w:r w:rsidRPr="00D86314">
        <w:rPr>
          <w:noProof/>
        </w:rPr>
        <w:t xml:space="preserve">he </w:t>
      </w:r>
      <w:r w:rsidR="00C14E62" w:rsidRPr="00D86314">
        <w:rPr>
          <w:noProof/>
        </w:rPr>
        <w:t xml:space="preserve">economic </w:t>
      </w:r>
      <w:r w:rsidRPr="00D86314">
        <w:rPr>
          <w:noProof/>
        </w:rPr>
        <w:t>impact of digital transformation, us</w:t>
      </w:r>
      <w:r w:rsidR="001E5D1E" w:rsidRPr="00D86314">
        <w:rPr>
          <w:noProof/>
        </w:rPr>
        <w:t>ing</w:t>
      </w:r>
      <w:r w:rsidRPr="00D86314" w:rsidDel="006D5D7D">
        <w:rPr>
          <w:noProof/>
        </w:rPr>
        <w:t xml:space="preserve"> </w:t>
      </w:r>
      <w:r w:rsidRPr="00D86314">
        <w:rPr>
          <w:noProof/>
        </w:rPr>
        <w:t xml:space="preserve">the Generalised Method of Moments (GMM), </w:t>
      </w:r>
      <w:r w:rsidR="001E5D1E" w:rsidRPr="00D86314">
        <w:rPr>
          <w:noProof/>
        </w:rPr>
        <w:t xml:space="preserve">finds </w:t>
      </w:r>
      <w:r w:rsidRPr="00D86314">
        <w:rPr>
          <w:noProof/>
        </w:rPr>
        <w:t xml:space="preserve">that fixed broadband continues to have a significant impact on the world economy and that the coefficient of impact has slightly increased since the previous 2021 study conducted by the ITU. </w:t>
      </w:r>
      <w:r w:rsidR="0060565C" w:rsidRPr="00D86314">
        <w:rPr>
          <w:noProof/>
        </w:rPr>
        <w:t xml:space="preserve">Although </w:t>
      </w:r>
      <w:r w:rsidRPr="00D86314">
        <w:rPr>
          <w:noProof/>
        </w:rPr>
        <w:t>the main regressors used are adoption/penetration</w:t>
      </w:r>
      <w:r w:rsidRPr="00D86314" w:rsidDel="00E92E6C">
        <w:rPr>
          <w:noProof/>
        </w:rPr>
        <w:t xml:space="preserve"> </w:t>
      </w:r>
      <w:r w:rsidR="00E92E6C" w:rsidRPr="00D86314">
        <w:rPr>
          <w:noProof/>
        </w:rPr>
        <w:t>rather than</w:t>
      </w:r>
      <w:r w:rsidRPr="00D86314">
        <w:rPr>
          <w:noProof/>
        </w:rPr>
        <w:t xml:space="preserve"> Mbps,</w:t>
      </w:r>
      <w:r w:rsidRPr="00D86314" w:rsidDel="00071328">
        <w:rPr>
          <w:noProof/>
        </w:rPr>
        <w:t xml:space="preserve"> </w:t>
      </w:r>
      <w:r w:rsidRPr="00D86314">
        <w:rPr>
          <w:noProof/>
        </w:rPr>
        <w:t xml:space="preserve">speed may affect GDP indirectly via adoption proxies and network quality. This could partly explain </w:t>
      </w:r>
      <w:r w:rsidR="00E27BC6" w:rsidRPr="00D86314">
        <w:rPr>
          <w:noProof/>
        </w:rPr>
        <w:t xml:space="preserve">why the </w:t>
      </w:r>
      <w:r w:rsidRPr="00D86314">
        <w:rPr>
          <w:noProof/>
        </w:rPr>
        <w:t xml:space="preserve">economic contribution of fixed broadband </w:t>
      </w:r>
      <w:r w:rsidR="00930F59" w:rsidRPr="00D86314">
        <w:rPr>
          <w:noProof/>
        </w:rPr>
        <w:t xml:space="preserve">is found </w:t>
      </w:r>
      <w:r w:rsidRPr="00D86314">
        <w:rPr>
          <w:noProof/>
        </w:rPr>
        <w:t>to be greater in higher</w:t>
      </w:r>
      <w:r w:rsidR="00005CC7" w:rsidRPr="00D86314">
        <w:rPr>
          <w:noProof/>
        </w:rPr>
        <w:t>-</w:t>
      </w:r>
      <w:r w:rsidRPr="00D86314">
        <w:rPr>
          <w:noProof/>
        </w:rPr>
        <w:t xml:space="preserve">income countries, </w:t>
      </w:r>
      <w:r w:rsidR="00930F59" w:rsidRPr="00D86314">
        <w:rPr>
          <w:noProof/>
        </w:rPr>
        <w:t xml:space="preserve">which generally </w:t>
      </w:r>
      <w:r w:rsidRPr="00D86314">
        <w:rPr>
          <w:noProof/>
        </w:rPr>
        <w:t>have higher take-up of higher</w:t>
      </w:r>
      <w:r w:rsidR="00EC1DC9" w:rsidRPr="00D86314">
        <w:rPr>
          <w:noProof/>
        </w:rPr>
        <w:t>-</w:t>
      </w:r>
      <w:r w:rsidRPr="00D86314">
        <w:rPr>
          <w:noProof/>
        </w:rPr>
        <w:t>bandwidth fixed broadband than developing countries, where lower</w:t>
      </w:r>
      <w:r w:rsidR="00EC1DC9" w:rsidRPr="00D86314">
        <w:rPr>
          <w:noProof/>
        </w:rPr>
        <w:t>-</w:t>
      </w:r>
      <w:r w:rsidRPr="00D86314">
        <w:rPr>
          <w:noProof/>
        </w:rPr>
        <w:t xml:space="preserve">bandwidth mobile connections play a more significant role. Based on a </w:t>
      </w:r>
      <w:r w:rsidR="007F56B7" w:rsidRPr="00D86314">
        <w:rPr>
          <w:noProof/>
        </w:rPr>
        <w:t xml:space="preserve">global </w:t>
      </w:r>
      <w:r w:rsidRPr="00D86314">
        <w:rPr>
          <w:noProof/>
        </w:rPr>
        <w:t xml:space="preserve">dataset extending </w:t>
      </w:r>
      <w:r w:rsidR="007F56B7" w:rsidRPr="00D86314">
        <w:rPr>
          <w:noProof/>
        </w:rPr>
        <w:t xml:space="preserve">to </w:t>
      </w:r>
      <w:r w:rsidRPr="00D86314">
        <w:rPr>
          <w:noProof/>
        </w:rPr>
        <w:t xml:space="preserve">the end of 2023, the ITU concludes that a hypothetical 10% increase in fixed-broadband penetration would </w:t>
      </w:r>
      <w:r w:rsidR="009A1AAC" w:rsidRPr="00D86314">
        <w:rPr>
          <w:noProof/>
        </w:rPr>
        <w:t xml:space="preserve">raise </w:t>
      </w:r>
      <w:r w:rsidRPr="00D86314">
        <w:rPr>
          <w:noProof/>
        </w:rPr>
        <w:t>GDP per capita</w:t>
      </w:r>
      <w:r w:rsidR="009A1AAC" w:rsidRPr="00D86314">
        <w:rPr>
          <w:noProof/>
        </w:rPr>
        <w:t xml:space="preserve"> by 1.59%</w:t>
      </w:r>
      <w:r w:rsidRPr="00D86314">
        <w:rPr>
          <w:noProof/>
        </w:rPr>
        <w:t>.</w:t>
      </w:r>
    </w:p>
    <w:p w14:paraId="4A4FA6FD" w14:textId="5A1B4233" w:rsidR="00665E59" w:rsidRPr="00D86314" w:rsidRDefault="00665E59" w:rsidP="00703057">
      <w:pPr>
        <w:rPr>
          <w:noProof/>
        </w:rPr>
      </w:pPr>
      <w:bookmarkStart w:id="78" w:name="_Ref202471302"/>
      <w:r w:rsidRPr="00D86314">
        <w:rPr>
          <w:noProof/>
        </w:rPr>
        <w:t>Another study by Briglauer et al. (2023) provides an overview table of previous studies on the impact of broadband and the adoption of related services on economic development since the early 2000s.</w:t>
      </w:r>
      <w:r w:rsidRPr="00D86314">
        <w:rPr>
          <w:rStyle w:val="FootnoteReference"/>
          <w:noProof/>
        </w:rPr>
        <w:footnoteReference w:id="28"/>
      </w:r>
    </w:p>
    <w:p w14:paraId="6CC6254E" w14:textId="1786B9D8" w:rsidR="00665E59" w:rsidRPr="00D86314" w:rsidRDefault="008A1FF6" w:rsidP="00703057">
      <w:pPr>
        <w:pStyle w:val="Tabberschrift"/>
        <w:ind w:left="0" w:firstLine="0"/>
        <w:rPr>
          <w:rFonts w:ascii="Times New Roman" w:hAnsi="Times New Roman"/>
          <w:noProof/>
        </w:rPr>
      </w:pPr>
      <w:bookmarkStart w:id="79" w:name="_Toc214231343"/>
      <w:bookmarkEnd w:id="78"/>
      <w:r w:rsidRPr="00D86314">
        <w:rPr>
          <w:rFonts w:ascii="Times New Roman" w:hAnsi="Times New Roman"/>
          <w:noProof/>
        </w:rPr>
        <w:t>Table 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10</w:t>
      </w:r>
      <w:r w:rsidRPr="00D86314">
        <w:rPr>
          <w:rFonts w:ascii="Times New Roman" w:hAnsi="Times New Roman"/>
          <w:noProof/>
        </w:rPr>
        <w:fldChar w:fldCharType="end"/>
      </w:r>
      <w:r w:rsidR="00665E59" w:rsidRPr="00D86314">
        <w:rPr>
          <w:rFonts w:ascii="Times New Roman" w:hAnsi="Times New Roman"/>
          <w:noProof/>
        </w:rPr>
        <w:tab/>
        <w:t>Overview studies on impact of broadband on GDP</w:t>
      </w:r>
      <w:bookmarkEnd w:id="79"/>
    </w:p>
    <w:p w14:paraId="089202AC" w14:textId="77777777" w:rsidR="00665E59" w:rsidRPr="00D86314" w:rsidRDefault="00665E59" w:rsidP="00703057">
      <w:pPr>
        <w:rPr>
          <w:noProof/>
        </w:rPr>
      </w:pPr>
      <w:r w:rsidRPr="00E46BC9">
        <w:rPr>
          <w:noProof/>
          <w:lang w:eastAsia="en-GB"/>
        </w:rPr>
        <w:drawing>
          <wp:inline distT="0" distB="0" distL="0" distR="0" wp14:anchorId="110937B4" wp14:editId="54E4D8A2">
            <wp:extent cx="5581015" cy="3542030"/>
            <wp:effectExtent l="0" t="0" r="635" b="1270"/>
            <wp:docPr id="1440117025" name="Grafik 1440117025" descr="A table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17025" name="Grafik 1440117025" descr="A table of information&#10;&#10;AI-generated content may be incorrect."/>
                    <pic:cNvPicPr/>
                  </pic:nvPicPr>
                  <pic:blipFill>
                    <a:blip r:embed="rId45"/>
                    <a:stretch>
                      <a:fillRect/>
                    </a:stretch>
                  </pic:blipFill>
                  <pic:spPr>
                    <a:xfrm>
                      <a:off x="0" y="0"/>
                      <a:ext cx="5581015" cy="3542030"/>
                    </a:xfrm>
                    <a:prstGeom prst="rect">
                      <a:avLst/>
                    </a:prstGeom>
                  </pic:spPr>
                </pic:pic>
              </a:graphicData>
            </a:graphic>
          </wp:inline>
        </w:drawing>
      </w:r>
    </w:p>
    <w:p w14:paraId="647D3229" w14:textId="28340F58" w:rsidR="00665E59" w:rsidRPr="00D86314" w:rsidRDefault="00665E59" w:rsidP="00703057">
      <w:pPr>
        <w:pStyle w:val="Quelle"/>
        <w:ind w:left="0" w:firstLine="0"/>
        <w:rPr>
          <w:rFonts w:ascii="Times New Roman" w:hAnsi="Times New Roman"/>
          <w:noProof/>
        </w:rPr>
      </w:pPr>
      <w:r w:rsidRPr="00D86314">
        <w:rPr>
          <w:rFonts w:ascii="Times New Roman" w:hAnsi="Times New Roman"/>
          <w:noProof/>
        </w:rPr>
        <w:t>Source: Briglauer et al. (2023)</w:t>
      </w:r>
    </w:p>
    <w:p w14:paraId="31FA3925" w14:textId="3B7F568A" w:rsidR="00665E59" w:rsidRPr="00D86314" w:rsidRDefault="00665E59" w:rsidP="00703057">
      <w:pPr>
        <w:rPr>
          <w:noProof/>
        </w:rPr>
      </w:pPr>
      <w:r w:rsidRPr="00D86314">
        <w:rPr>
          <w:noProof/>
        </w:rPr>
        <w:t>A study by Katz/Jung (2022) investigated the contribution of fixed broadband speed to the economic growth of the USA between 2010 and 2020.</w:t>
      </w:r>
      <w:r w:rsidRPr="00D86314">
        <w:rPr>
          <w:rStyle w:val="FootnoteReference"/>
          <w:noProof/>
        </w:rPr>
        <w:footnoteReference w:id="29"/>
      </w:r>
      <w:r w:rsidRPr="00D86314">
        <w:rPr>
          <w:noProof/>
        </w:rPr>
        <w:t xml:space="preserve"> Within this period the fixed broadband average download speed of US households grew with a CAGR of 33.04% from 10.03 Mbps in 2010 to 174.23 Mbps in 2020. Based on several econometric models, the authors estimate that within these 10 years, this annually 33.04% speed growth caused a GDP-growth 0.44% per year (CAGR). Converted, </w:t>
      </w:r>
      <w:r w:rsidRPr="00D86314">
        <w:rPr>
          <w:b/>
          <w:noProof/>
        </w:rPr>
        <w:t>10% higher speed would trigger 0.1332% GDP-growth on average</w:t>
      </w:r>
      <w:r w:rsidRPr="00D86314">
        <w:rPr>
          <w:noProof/>
        </w:rPr>
        <w:t>. This effect of higher broadband speeds is slightly higher than the effect of the exp</w:t>
      </w:r>
      <w:r w:rsidR="00756051" w:rsidRPr="00D86314">
        <w:rPr>
          <w:noProof/>
        </w:rPr>
        <w:t>a</w:t>
      </w:r>
      <w:r w:rsidRPr="00D86314">
        <w:rPr>
          <w:noProof/>
        </w:rPr>
        <w:t>nsion of fixed broadband networks that additionally induced an annually GDP growth of 0.41% (CAGR).</w:t>
      </w:r>
    </w:p>
    <w:p w14:paraId="676F09A5" w14:textId="77777777" w:rsidR="00665E59" w:rsidRPr="00D86314" w:rsidRDefault="00665E59" w:rsidP="00703057">
      <w:pPr>
        <w:rPr>
          <w:noProof/>
        </w:rPr>
      </w:pPr>
      <w:r w:rsidRPr="00D86314">
        <w:rPr>
          <w:noProof/>
        </w:rPr>
        <w:t>A study by Katz/Callorda (2020)</w:t>
      </w:r>
      <w:r w:rsidRPr="00D86314">
        <w:rPr>
          <w:rStyle w:val="FootnoteReference"/>
          <w:noProof/>
        </w:rPr>
        <w:footnoteReference w:id="30"/>
      </w:r>
      <w:r w:rsidRPr="00D86314">
        <w:rPr>
          <w:noProof/>
        </w:rPr>
        <w:t xml:space="preserve"> analysed the impact of the cable industry’s investments in faster HFC networks on economic growth. To this end, they used an econometric model that incorporated data from 2008 and 2019 from 159 countries. The model’s results indicate that </w:t>
      </w:r>
      <w:r w:rsidRPr="00D86314">
        <w:rPr>
          <w:b/>
          <w:bCs/>
          <w:noProof/>
        </w:rPr>
        <w:t>1% increase in broadband speed yields a 0.73% increase in GDP</w:t>
      </w:r>
      <w:r w:rsidRPr="00D86314">
        <w:rPr>
          <w:noProof/>
        </w:rPr>
        <w:t>.</w:t>
      </w:r>
    </w:p>
    <w:p w14:paraId="29D1EA8A" w14:textId="5E96597D" w:rsidR="00665E59" w:rsidRPr="00D86314" w:rsidRDefault="00665E59" w:rsidP="00703057">
      <w:pPr>
        <w:rPr>
          <w:noProof/>
        </w:rPr>
      </w:pPr>
      <w:r w:rsidRPr="00D86314">
        <w:rPr>
          <w:noProof/>
        </w:rPr>
        <w:t>A study by Rohman/Bohlin (2012)</w:t>
      </w:r>
      <w:r w:rsidRPr="00D86314">
        <w:rPr>
          <w:rStyle w:val="FootnoteReference"/>
          <w:noProof/>
        </w:rPr>
        <w:footnoteReference w:id="31"/>
      </w:r>
      <w:r w:rsidRPr="00D86314">
        <w:rPr>
          <w:noProof/>
        </w:rPr>
        <w:t xml:space="preserve"> of OECD countries estimated that </w:t>
      </w:r>
      <w:r w:rsidRPr="00D86314">
        <w:rPr>
          <w:b/>
          <w:noProof/>
        </w:rPr>
        <w:t>doubling the connection speed related to an additional 0.</w:t>
      </w:r>
      <w:r w:rsidRPr="00D86314" w:rsidDel="003D4B81">
        <w:rPr>
          <w:b/>
          <w:noProof/>
        </w:rPr>
        <w:t>3</w:t>
      </w:r>
      <w:r w:rsidR="003D4B81" w:rsidRPr="00D86314">
        <w:rPr>
          <w:b/>
          <w:noProof/>
        </w:rPr>
        <w:t xml:space="preserve"> </w:t>
      </w:r>
      <w:r w:rsidRPr="00D86314">
        <w:rPr>
          <w:b/>
          <w:noProof/>
        </w:rPr>
        <w:t>percentage points to annual GDP growth</w:t>
      </w:r>
      <w:r w:rsidRPr="00D86314">
        <w:rPr>
          <w:noProof/>
        </w:rPr>
        <w:t>. WIK, together with Ecorys and VVA also identified a correlation between broadband speeds across the EU and Total Factor Productivity across a number of sectors in the context of a 2016 study supporting the Impact Assessment for the EU Electronic Communications Code,</w:t>
      </w:r>
      <w:r w:rsidRPr="00D86314">
        <w:rPr>
          <w:rStyle w:val="FootnoteReference"/>
          <w:noProof/>
        </w:rPr>
        <w:footnoteReference w:id="32"/>
      </w:r>
      <w:r w:rsidRPr="00D86314">
        <w:rPr>
          <w:noProof/>
        </w:rPr>
        <w:t xml:space="preserve"> and concluded that if past relationships between broadband speed and GDP growth were to be replicated going forwards, </w:t>
      </w:r>
      <w:r w:rsidRPr="00D86314">
        <w:rPr>
          <w:b/>
          <w:noProof/>
        </w:rPr>
        <w:t>an accelerated deployment of FTTP/B infrastructure which resulted in 55% of households using FTTP by 2025 could result in GDP levels 0.54% higher than the status quo</w:t>
      </w:r>
      <w:r w:rsidRPr="00D86314">
        <w:rPr>
          <w:noProof/>
        </w:rPr>
        <w:t>.</w:t>
      </w:r>
    </w:p>
    <w:p w14:paraId="751F83AD" w14:textId="77777777" w:rsidR="00665E59" w:rsidRPr="00D86314" w:rsidRDefault="00665E59" w:rsidP="00703057">
      <w:pPr>
        <w:rPr>
          <w:noProof/>
        </w:rPr>
      </w:pPr>
      <w:r w:rsidRPr="00D86314">
        <w:rPr>
          <w:noProof/>
        </w:rPr>
        <w:t>A recurrent issue in estimating the impact of broadband speed on economic growth is the endogeneity of broadband. For this reason, Kongaut/Bohlin (2017)</w:t>
      </w:r>
      <w:r w:rsidRPr="00D86314">
        <w:rPr>
          <w:rStyle w:val="FootnoteReference"/>
          <w:noProof/>
        </w:rPr>
        <w:footnoteReference w:id="33"/>
      </w:r>
      <w:r w:rsidRPr="00D86314">
        <w:rPr>
          <w:noProof/>
        </w:rPr>
        <w:t xml:space="preserve"> implemented a two-stage regression model to deal with the endogeneity problem. The authors estimated a production function that maps the impact of broadband download speed on GDP per capita across OECD countries. The broadband speed function is obtained in the first stage and then plugged into a panel data equation in the second stage. </w:t>
      </w:r>
      <w:r w:rsidRPr="00D86314">
        <w:rPr>
          <w:b/>
          <w:bCs/>
          <w:noProof/>
        </w:rPr>
        <w:t>Their model indicates that a 10% increase in broadband speed yields an 0.8% increase in GDP per capita</w:t>
      </w:r>
      <w:r w:rsidRPr="00D86314">
        <w:rPr>
          <w:noProof/>
        </w:rPr>
        <w:t>. However, the study authors note that the effects of broadband speed are greater in countries with lower income.</w:t>
      </w:r>
    </w:p>
    <w:p w14:paraId="550B71FE" w14:textId="77777777" w:rsidR="00665E59" w:rsidRPr="00C20A01" w:rsidRDefault="00665E59" w:rsidP="00703057">
      <w:pPr>
        <w:pStyle w:val="bullettext"/>
        <w:numPr>
          <w:ilvl w:val="0"/>
          <w:numId w:val="0"/>
        </w:numPr>
        <w:rPr>
          <w:rFonts w:ascii="Times New Roman" w:eastAsia="Arial" w:hAnsi="Times New Roman"/>
          <w:sz w:val="24"/>
        </w:rPr>
      </w:pPr>
      <w:r w:rsidRPr="00C20A01">
        <w:rPr>
          <w:rFonts w:ascii="Times New Roman" w:hAnsi="Times New Roman"/>
          <w:sz w:val="24"/>
        </w:rPr>
        <w:t>Nadiri et al. (2018)</w:t>
      </w:r>
      <w:r w:rsidRPr="00C20A01">
        <w:rPr>
          <w:rStyle w:val="FootnoteReference"/>
          <w:rFonts w:ascii="Times New Roman" w:hAnsi="Times New Roman"/>
          <w:sz w:val="24"/>
        </w:rPr>
        <w:footnoteReference w:id="34"/>
      </w:r>
      <w:r w:rsidRPr="00C20A01">
        <w:rPr>
          <w:rFonts w:ascii="Times New Roman" w:hAnsi="Times New Roman"/>
          <w:sz w:val="24"/>
        </w:rPr>
        <w:t xml:space="preserve"> also find for the US, a positive link between </w:t>
      </w:r>
      <w:r w:rsidRPr="00C20A01">
        <w:rPr>
          <w:rFonts w:ascii="Times New Roman" w:hAnsi="Times New Roman"/>
          <w:b/>
          <w:sz w:val="24"/>
        </w:rPr>
        <w:t>high-speed broadband deployment</w:t>
      </w:r>
      <w:r w:rsidRPr="00C20A01">
        <w:rPr>
          <w:rFonts w:ascii="Times New Roman" w:hAnsi="Times New Roman"/>
          <w:sz w:val="24"/>
        </w:rPr>
        <w:t xml:space="preserve"> and productivity gain. This effect is achieved through cost savings across all industries, although the extent of these gains varies by sector.</w:t>
      </w:r>
    </w:p>
    <w:p w14:paraId="3320F7B7" w14:textId="77777777" w:rsidR="00665E59" w:rsidRPr="00D86314" w:rsidRDefault="00665E59" w:rsidP="00703057">
      <w:pPr>
        <w:rPr>
          <w:noProof/>
        </w:rPr>
      </w:pPr>
      <w:r w:rsidRPr="00D86314">
        <w:rPr>
          <w:noProof/>
        </w:rPr>
        <w:t>Confirming these results, Koutroumpis (2018)</w:t>
      </w:r>
      <w:r w:rsidRPr="00D86314">
        <w:rPr>
          <w:rStyle w:val="FootnoteReference"/>
          <w:noProof/>
        </w:rPr>
        <w:footnoteReference w:id="35"/>
      </w:r>
      <w:r w:rsidRPr="00D86314">
        <w:rPr>
          <w:noProof/>
        </w:rPr>
        <w:t xml:space="preserve"> observes also on the basis of analysis of data from OECD countries that fixed broadband adoption along with increasing network quality has had a positive effect on national economic output. The study concludes that new services and telework has helped increase GDP by an average of 0.38% each year for the OECD countries and that this effect is related to the quality of infrastructure. </w:t>
      </w:r>
      <w:r w:rsidRPr="00D86314">
        <w:rPr>
          <w:b/>
          <w:bCs/>
          <w:noProof/>
        </w:rPr>
        <w:t>On average a country at the highest speeds (capped by the 9.8 Mbps threshold) would gain 0.08% more on its annual GDP compared to an identical country at the lowest speeds (the lowest quartile in the sample, which is 0-1Mbps).</w:t>
      </w:r>
      <w:r w:rsidRPr="00D86314">
        <w:rPr>
          <w:noProof/>
        </w:rPr>
        <w:t xml:space="preserve"> Koutroumpis acknowledges the diminishing returns to scale associated with higher speeds, but argues that the threshold beyond which further increases in speed become unproductive should increase over time, as new services emerge to help firms and individuals make productive use of improved infrastructure. </w:t>
      </w:r>
    </w:p>
    <w:p w14:paraId="12CBE42D" w14:textId="4BAA6CC2" w:rsidR="00665E59" w:rsidRPr="00D86314" w:rsidRDefault="00665E59" w:rsidP="00703057">
      <w:pPr>
        <w:rPr>
          <w:noProof/>
        </w:rPr>
      </w:pPr>
      <w:r w:rsidRPr="00D86314">
        <w:rPr>
          <w:noProof/>
        </w:rPr>
        <w:t>Hasbi (2017) investigated the impact of very high-speed broadband networks on local growth.</w:t>
      </w:r>
      <w:r w:rsidRPr="00D86314">
        <w:rPr>
          <w:rStyle w:val="FootnoteReference"/>
          <w:noProof/>
        </w:rPr>
        <w:footnoteReference w:id="36"/>
      </w:r>
      <w:r w:rsidRPr="00D86314">
        <w:rPr>
          <w:noProof/>
        </w:rPr>
        <w:t xml:space="preserve"> It is based on panel data from 2010 to 2015 covering more than 36</w:t>
      </w:r>
      <w:r w:rsidR="00A20AD7" w:rsidRPr="00D86314">
        <w:rPr>
          <w:noProof/>
        </w:rPr>
        <w:t> </w:t>
      </w:r>
      <w:r w:rsidRPr="00D86314">
        <w:rPr>
          <w:noProof/>
        </w:rPr>
        <w:t xml:space="preserve">000 French municipalities except Paris, Lyon and Marseille. The study analysed positive local effects on the number of companies in the tertiary sector and the creation of new businesses. The local population benefits from spill overs as unemployment decreases. This study does not provide a quantitative effect on GDP growth. </w:t>
      </w:r>
    </w:p>
    <w:p w14:paraId="32FD4AC5" w14:textId="5F48DB9E" w:rsidR="00665E59" w:rsidRPr="00D86314" w:rsidRDefault="00665E59" w:rsidP="00703057">
      <w:pPr>
        <w:rPr>
          <w:rFonts w:eastAsia="Arial" w:cs="Arial"/>
          <w:noProof/>
        </w:rPr>
      </w:pPr>
      <w:r w:rsidRPr="00D86314">
        <w:rPr>
          <w:noProof/>
        </w:rPr>
        <w:t xml:space="preserve">An earlier study on the economic effects of gigabit broadband availability, conducted by Analysis Group in 2014, showed that in US </w:t>
      </w:r>
      <w:r w:rsidR="00AB058A" w:rsidRPr="00D86314">
        <w:rPr>
          <w:noProof/>
        </w:rPr>
        <w:t>metropolitan</w:t>
      </w:r>
      <w:r w:rsidRPr="00D86314">
        <w:rPr>
          <w:noProof/>
        </w:rPr>
        <w:t xml:space="preserve"> areas with at least 50% household coverage of fixed gigabit broadband, the per capita GDP is approximately 1.1% higher than in </w:t>
      </w:r>
      <w:r w:rsidR="00AB058A" w:rsidRPr="00D86314">
        <w:rPr>
          <w:noProof/>
        </w:rPr>
        <w:t>metropolitan</w:t>
      </w:r>
      <w:r w:rsidRPr="00D86314">
        <w:rPr>
          <w:noProof/>
        </w:rPr>
        <w:t xml:space="preserve"> areas with little or no availability of gigabit services.</w:t>
      </w:r>
      <w:r w:rsidRPr="00D86314">
        <w:rPr>
          <w:rStyle w:val="FootnoteReference"/>
          <w:noProof/>
        </w:rPr>
        <w:footnoteReference w:id="37"/>
      </w:r>
    </w:p>
    <w:p w14:paraId="3A2A38CA" w14:textId="2F8A18D8" w:rsidR="00665E59" w:rsidRPr="00D86314" w:rsidRDefault="00665E59" w:rsidP="00703057">
      <w:pPr>
        <w:rPr>
          <w:noProof/>
        </w:rPr>
      </w:pPr>
      <w:r w:rsidRPr="00D86314">
        <w:rPr>
          <w:noProof/>
        </w:rPr>
        <w:t>A recent industry white paper</w:t>
      </w:r>
      <w:r w:rsidR="0068027B" w:rsidRPr="00D86314">
        <w:rPr>
          <w:rStyle w:val="FootnoteReference"/>
          <w:noProof/>
        </w:rPr>
        <w:footnoteReference w:id="38"/>
      </w:r>
      <w:r w:rsidRPr="00D86314">
        <w:rPr>
          <w:noProof/>
        </w:rPr>
        <w:t xml:space="preserve"> </w:t>
      </w:r>
      <w:r w:rsidR="00581135" w:rsidRPr="00D86314">
        <w:rPr>
          <w:noProof/>
        </w:rPr>
        <w:t>by</w:t>
      </w:r>
      <w:r w:rsidRPr="00D86314">
        <w:rPr>
          <w:noProof/>
        </w:rPr>
        <w:t xml:space="preserve"> the US Fiber Broadband Association </w:t>
      </w:r>
      <w:r w:rsidR="00DC3453" w:rsidRPr="00D86314">
        <w:rPr>
          <w:noProof/>
        </w:rPr>
        <w:t>estimates</w:t>
      </w:r>
      <w:r w:rsidRPr="00D86314">
        <w:rPr>
          <w:noProof/>
        </w:rPr>
        <w:t xml:space="preserve"> the value of time</w:t>
      </w:r>
      <w:r w:rsidR="00C82B89" w:rsidRPr="00D86314">
        <w:rPr>
          <w:noProof/>
        </w:rPr>
        <w:t xml:space="preserve"> </w:t>
      </w:r>
      <w:r w:rsidRPr="00D86314">
        <w:rPr>
          <w:noProof/>
        </w:rPr>
        <w:t>los</w:t>
      </w:r>
      <w:r w:rsidR="00C82B89" w:rsidRPr="00D86314">
        <w:rPr>
          <w:noProof/>
        </w:rPr>
        <w:t>t</w:t>
      </w:r>
      <w:r w:rsidRPr="00D86314">
        <w:rPr>
          <w:noProof/>
        </w:rPr>
        <w:t xml:space="preserve"> </w:t>
      </w:r>
      <w:r w:rsidR="00C54988" w:rsidRPr="00D86314">
        <w:rPr>
          <w:noProof/>
        </w:rPr>
        <w:t>when</w:t>
      </w:r>
      <w:r w:rsidRPr="00D86314">
        <w:rPr>
          <w:noProof/>
        </w:rPr>
        <w:t xml:space="preserve"> using </w:t>
      </w:r>
      <w:r w:rsidR="00C54988" w:rsidRPr="00D86314">
        <w:rPr>
          <w:noProof/>
        </w:rPr>
        <w:t xml:space="preserve">a typical </w:t>
      </w:r>
      <w:r w:rsidRPr="00D86314">
        <w:rPr>
          <w:noProof/>
        </w:rPr>
        <w:t xml:space="preserve">fixed broadband connections </w:t>
      </w:r>
      <w:r w:rsidR="007C29A9" w:rsidRPr="00D86314">
        <w:rPr>
          <w:noProof/>
        </w:rPr>
        <w:t xml:space="preserve">of </w:t>
      </w:r>
      <w:r w:rsidRPr="00D86314">
        <w:rPr>
          <w:noProof/>
        </w:rPr>
        <w:t>100</w:t>
      </w:r>
      <w:r w:rsidR="007C29A9" w:rsidRPr="00D86314">
        <w:rPr>
          <w:noProof/>
        </w:rPr>
        <w:t> </w:t>
      </w:r>
      <w:r w:rsidRPr="00D86314">
        <w:rPr>
          <w:noProof/>
        </w:rPr>
        <w:t>Mbps down</w:t>
      </w:r>
      <w:r w:rsidR="007C29A9" w:rsidRPr="00D86314">
        <w:rPr>
          <w:noProof/>
        </w:rPr>
        <w:t>load</w:t>
      </w:r>
      <w:r w:rsidRPr="00D86314">
        <w:rPr>
          <w:noProof/>
        </w:rPr>
        <w:t xml:space="preserve"> and 20 Mbps upload speed compared </w:t>
      </w:r>
      <w:r w:rsidR="00DF5645" w:rsidRPr="00D86314">
        <w:rPr>
          <w:noProof/>
        </w:rPr>
        <w:t xml:space="preserve">with a </w:t>
      </w:r>
      <w:r w:rsidRPr="00D86314">
        <w:rPr>
          <w:noProof/>
        </w:rPr>
        <w:t>symmetrical Gigabit bandwidth connections.</w:t>
      </w:r>
      <w:r w:rsidRPr="00D86314">
        <w:rPr>
          <w:rStyle w:val="FootnoteReference"/>
          <w:noProof/>
        </w:rPr>
        <w:footnoteReference w:id="39"/>
      </w:r>
      <w:r w:rsidRPr="00D86314">
        <w:rPr>
          <w:noProof/>
        </w:rPr>
        <w:t xml:space="preserve"> </w:t>
      </w:r>
      <w:r w:rsidR="00EA76A0" w:rsidRPr="00D86314">
        <w:rPr>
          <w:noProof/>
        </w:rPr>
        <w:t xml:space="preserve">The study finds </w:t>
      </w:r>
      <w:r w:rsidR="0012700C" w:rsidRPr="00D86314">
        <w:rPr>
          <w:noProof/>
        </w:rPr>
        <w:t xml:space="preserve">that </w:t>
      </w:r>
      <w:r w:rsidRPr="00D86314">
        <w:rPr>
          <w:noProof/>
        </w:rPr>
        <w:t xml:space="preserve">the average consumer </w:t>
      </w:r>
      <w:r w:rsidR="0012700C" w:rsidRPr="00D86314">
        <w:rPr>
          <w:noProof/>
        </w:rPr>
        <w:t>loses</w:t>
      </w:r>
      <w:r w:rsidRPr="00D86314">
        <w:rPr>
          <w:noProof/>
        </w:rPr>
        <w:t xml:space="preserve"> 19.8 minutes</w:t>
      </w:r>
      <w:r w:rsidR="0006019F" w:rsidRPr="00D86314">
        <w:rPr>
          <w:noProof/>
        </w:rPr>
        <w:t xml:space="preserve"> per day when</w:t>
      </w:r>
      <w:r w:rsidRPr="00D86314" w:rsidDel="0006019F">
        <w:rPr>
          <w:noProof/>
        </w:rPr>
        <w:t xml:space="preserve"> </w:t>
      </w:r>
      <w:r w:rsidR="008A424F" w:rsidRPr="00D86314">
        <w:rPr>
          <w:noProof/>
        </w:rPr>
        <w:t>performing standard</w:t>
      </w:r>
      <w:r w:rsidRPr="00D86314" w:rsidDel="008A424F">
        <w:rPr>
          <w:noProof/>
        </w:rPr>
        <w:t xml:space="preserve"> </w:t>
      </w:r>
      <w:r w:rsidRPr="00D86314">
        <w:rPr>
          <w:noProof/>
        </w:rPr>
        <w:t xml:space="preserve">online </w:t>
      </w:r>
      <w:r w:rsidR="008A424F" w:rsidRPr="00D86314">
        <w:rPr>
          <w:noProof/>
        </w:rPr>
        <w:t>activities</w:t>
      </w:r>
      <w:r w:rsidR="00997874" w:rsidRPr="00D86314">
        <w:rPr>
          <w:noProof/>
        </w:rPr>
        <w:t xml:space="preserve">, amounting </w:t>
      </w:r>
      <w:r w:rsidRPr="00D86314">
        <w:rPr>
          <w:noProof/>
        </w:rPr>
        <w:t xml:space="preserve">to 13.5 </w:t>
      </w:r>
      <w:r w:rsidR="00997874" w:rsidRPr="00D86314">
        <w:rPr>
          <w:noProof/>
        </w:rPr>
        <w:t>full</w:t>
      </w:r>
      <w:r w:rsidRPr="00D86314">
        <w:rPr>
          <w:noProof/>
        </w:rPr>
        <w:t xml:space="preserve"> workdays per year. </w:t>
      </w:r>
      <w:r w:rsidR="000048DF" w:rsidRPr="00D86314">
        <w:rPr>
          <w:noProof/>
        </w:rPr>
        <w:t>According to the white paper, u</w:t>
      </w:r>
      <w:r w:rsidRPr="00D86314">
        <w:rPr>
          <w:noProof/>
        </w:rPr>
        <w:t xml:space="preserve">pgrading home users from 100/20 Mbps to symmetrical Gigabit fibre could </w:t>
      </w:r>
      <w:r w:rsidR="00881470" w:rsidRPr="00D86314">
        <w:rPr>
          <w:noProof/>
        </w:rPr>
        <w:t>increase US G</w:t>
      </w:r>
      <w:r w:rsidR="001B7EE9" w:rsidRPr="00D86314">
        <w:rPr>
          <w:noProof/>
        </w:rPr>
        <w:t>D</w:t>
      </w:r>
      <w:r w:rsidR="00881470" w:rsidRPr="00D86314">
        <w:rPr>
          <w:noProof/>
        </w:rPr>
        <w:t xml:space="preserve">P by </w:t>
      </w:r>
      <w:r w:rsidRPr="00D86314">
        <w:rPr>
          <w:noProof/>
        </w:rPr>
        <w:t xml:space="preserve">1.2% </w:t>
      </w:r>
      <w:r w:rsidR="00881470" w:rsidRPr="00D86314">
        <w:rPr>
          <w:noProof/>
        </w:rPr>
        <w:t>(</w:t>
      </w:r>
      <w:r w:rsidRPr="00D86314">
        <w:rPr>
          <w:noProof/>
        </w:rPr>
        <w:t xml:space="preserve">or </w:t>
      </w:r>
      <w:r w:rsidR="00722E4C" w:rsidRPr="00D86314">
        <w:rPr>
          <w:noProof/>
        </w:rPr>
        <w:t>USD </w:t>
      </w:r>
      <w:r w:rsidRPr="00D86314">
        <w:rPr>
          <w:noProof/>
        </w:rPr>
        <w:t>326</w:t>
      </w:r>
      <w:r w:rsidR="00722E4C" w:rsidRPr="00D86314">
        <w:rPr>
          <w:noProof/>
        </w:rPr>
        <w:t> b</w:t>
      </w:r>
      <w:r w:rsidRPr="00D86314">
        <w:rPr>
          <w:noProof/>
        </w:rPr>
        <w:t>illion</w:t>
      </w:r>
      <w:r w:rsidR="00881470" w:rsidRPr="00D86314">
        <w:rPr>
          <w:noProof/>
        </w:rPr>
        <w:t>)</w:t>
      </w:r>
      <w:r w:rsidRPr="00D86314">
        <w:rPr>
          <w:noProof/>
        </w:rPr>
        <w:t>.</w:t>
      </w:r>
    </w:p>
    <w:p w14:paraId="00D17354" w14:textId="77777777" w:rsidR="00665E59" w:rsidRPr="00D86314" w:rsidRDefault="00665E59" w:rsidP="00703057">
      <w:pPr>
        <w:rPr>
          <w:noProof/>
        </w:rPr>
      </w:pPr>
      <w:r w:rsidRPr="00D86314">
        <w:rPr>
          <w:noProof/>
        </w:rPr>
        <w:t xml:space="preserve">Various studies have also identified links between FTTH or faster broadband and </w:t>
      </w:r>
      <w:r w:rsidRPr="00D86314">
        <w:rPr>
          <w:b/>
          <w:bCs/>
          <w:noProof/>
        </w:rPr>
        <w:t>employment.</w:t>
      </w:r>
      <w:r w:rsidRPr="00D86314">
        <w:rPr>
          <w:noProof/>
        </w:rPr>
        <w:t xml:space="preserve"> </w:t>
      </w:r>
    </w:p>
    <w:p w14:paraId="7E421E1A" w14:textId="77777777" w:rsidR="00665E59" w:rsidRPr="00D86314" w:rsidRDefault="00665E59" w:rsidP="00703057">
      <w:pPr>
        <w:rPr>
          <w:noProof/>
        </w:rPr>
      </w:pPr>
      <w:r w:rsidRPr="00D86314">
        <w:rPr>
          <w:noProof/>
        </w:rPr>
        <w:t xml:space="preserve">An OECD report which examined the effect of fibre networks in 290 municipalities in Sweden for the period 2010 – 2012 further found that on </w:t>
      </w:r>
      <w:r w:rsidRPr="00D86314">
        <w:rPr>
          <w:b/>
          <w:noProof/>
        </w:rPr>
        <w:t>average 1% higher FTTP/FTTB penetration is correlated with a 0.11% higher employment rate</w:t>
      </w:r>
      <w:r w:rsidRPr="00D86314">
        <w:rPr>
          <w:noProof/>
        </w:rPr>
        <w:t>, when controlling for other significant factors such as urbanisation level, population evolution, income, education level and business creation.</w:t>
      </w:r>
      <w:r w:rsidRPr="00D86314">
        <w:rPr>
          <w:rStyle w:val="FootnoteReference"/>
          <w:noProof/>
        </w:rPr>
        <w:footnoteReference w:id="40"/>
      </w:r>
      <w:r w:rsidRPr="00D86314">
        <w:rPr>
          <w:noProof/>
        </w:rPr>
        <w:t xml:space="preserve"> </w:t>
      </w:r>
    </w:p>
    <w:p w14:paraId="4989BB50" w14:textId="77777777" w:rsidR="00665E59" w:rsidRPr="00D86314" w:rsidRDefault="00665E59" w:rsidP="00703057">
      <w:pPr>
        <w:rPr>
          <w:noProof/>
        </w:rPr>
      </w:pPr>
      <w:r w:rsidRPr="00D86314">
        <w:rPr>
          <w:noProof/>
        </w:rPr>
        <w:t>Canada, Singer et al. (2015)</w:t>
      </w:r>
      <w:r w:rsidRPr="00D86314">
        <w:rPr>
          <w:rStyle w:val="FootnoteReference"/>
          <w:noProof/>
        </w:rPr>
        <w:footnoteReference w:id="41"/>
      </w:r>
      <w:r w:rsidRPr="00D86314">
        <w:rPr>
          <w:noProof/>
        </w:rPr>
        <w:t xml:space="preserve"> investigate the effect of FTTP rollout on employment on the basis of the deployment experiences in 39 regions between 2009 and 2014. They estimate that </w:t>
      </w:r>
      <w:r w:rsidRPr="00D86314">
        <w:rPr>
          <w:b/>
          <w:noProof/>
        </w:rPr>
        <w:t>fibre deployment to 100% of a region is associated with an increase in employment of about 2.9%</w:t>
      </w:r>
      <w:r w:rsidRPr="00D86314">
        <w:rPr>
          <w:noProof/>
        </w:rPr>
        <w:t xml:space="preserve"> – even if the region already previously benefited from a broadband infrastructure.</w:t>
      </w:r>
    </w:p>
    <w:p w14:paraId="43E3D8C9" w14:textId="69CD515B" w:rsidR="00665E59" w:rsidRPr="00D86314" w:rsidRDefault="00665E59" w:rsidP="00703057">
      <w:pPr>
        <w:rPr>
          <w:noProof/>
        </w:rPr>
      </w:pPr>
      <w:bookmarkStart w:id="80" w:name="_Ref201916249"/>
      <w:bookmarkStart w:id="81" w:name="_Ref202471452"/>
      <w:r w:rsidRPr="00D86314">
        <w:rPr>
          <w:noProof/>
        </w:rPr>
        <w:t xml:space="preserve">Briglauer et al. (2023) also provides an overview table (see </w:t>
      </w:r>
      <w:r w:rsidRPr="00D86314">
        <w:rPr>
          <w:noProof/>
        </w:rPr>
        <w:fldChar w:fldCharType="begin"/>
      </w:r>
      <w:r w:rsidRPr="00D86314">
        <w:rPr>
          <w:noProof/>
        </w:rPr>
        <w:instrText xml:space="preserve"> REF _Ref205016436 \h </w:instrText>
      </w:r>
      <w:r w:rsidR="00534028" w:rsidRPr="00D86314">
        <w:rPr>
          <w:noProof/>
        </w:rPr>
        <w:instrText xml:space="preserve"> \* MERGEFORMAT </w:instrText>
      </w:r>
      <w:r w:rsidRPr="00D86314">
        <w:rPr>
          <w:noProof/>
        </w:rPr>
      </w:r>
      <w:r w:rsidRPr="00D86314">
        <w:rPr>
          <w:noProof/>
        </w:rPr>
        <w:fldChar w:fldCharType="separate"/>
      </w:r>
      <w:r w:rsidR="00870CA9" w:rsidRPr="00D86314">
        <w:rPr>
          <w:noProof/>
        </w:rPr>
        <w:t>Table A4 1</w:t>
      </w:r>
      <w:r w:rsidR="00870CA9" w:rsidRPr="00D86314">
        <w:rPr>
          <w:noProof/>
        </w:rPr>
        <w:noBreakHyphen/>
      </w:r>
      <w:r w:rsidR="00870CA9" w:rsidRPr="00C20A01">
        <w:rPr>
          <w:noProof/>
        </w:rPr>
        <w:t>11</w:t>
      </w:r>
      <w:r w:rsidRPr="00D86314">
        <w:rPr>
          <w:noProof/>
        </w:rPr>
        <w:fldChar w:fldCharType="end"/>
      </w:r>
      <w:r w:rsidRPr="00D86314">
        <w:rPr>
          <w:noProof/>
        </w:rPr>
        <w:t>) of previous studies on the effect of broadband via the labour market on GDP.</w:t>
      </w:r>
    </w:p>
    <w:p w14:paraId="17006001" w14:textId="04B6EEFF" w:rsidR="00665E59" w:rsidRPr="00D86314" w:rsidRDefault="008A1FF6" w:rsidP="00703057">
      <w:pPr>
        <w:pStyle w:val="Tabberschrift"/>
        <w:ind w:left="0" w:firstLine="0"/>
        <w:rPr>
          <w:rFonts w:ascii="Times New Roman" w:hAnsi="Times New Roman"/>
          <w:noProof/>
        </w:rPr>
      </w:pPr>
      <w:bookmarkStart w:id="82" w:name="_Ref205016436"/>
      <w:bookmarkStart w:id="83" w:name="_Toc214231344"/>
      <w:bookmarkEnd w:id="80"/>
      <w:bookmarkEnd w:id="81"/>
      <w:r w:rsidRPr="00D86314">
        <w:rPr>
          <w:rFonts w:ascii="Times New Roman" w:hAnsi="Times New Roman"/>
          <w:noProof/>
        </w:rPr>
        <w:t>Table A4 1</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11</w:t>
      </w:r>
      <w:r w:rsidRPr="00D86314">
        <w:rPr>
          <w:rFonts w:ascii="Times New Roman" w:hAnsi="Times New Roman"/>
          <w:noProof/>
        </w:rPr>
        <w:fldChar w:fldCharType="end"/>
      </w:r>
      <w:bookmarkEnd w:id="82"/>
      <w:r w:rsidR="00665E59" w:rsidRPr="00D86314">
        <w:rPr>
          <w:rFonts w:ascii="Times New Roman" w:hAnsi="Times New Roman"/>
          <w:noProof/>
        </w:rPr>
        <w:t>:</w:t>
      </w:r>
      <w:r w:rsidR="00665E59" w:rsidRPr="00D86314">
        <w:rPr>
          <w:rFonts w:ascii="Times New Roman" w:hAnsi="Times New Roman"/>
          <w:noProof/>
        </w:rPr>
        <w:tab/>
        <w:t>Overview studies on impact of broadband on labour market</w:t>
      </w:r>
      <w:bookmarkEnd w:id="83"/>
    </w:p>
    <w:p w14:paraId="046FB6B2" w14:textId="77777777" w:rsidR="00665E59" w:rsidRPr="00D86314" w:rsidRDefault="00665E59" w:rsidP="00703057">
      <w:pPr>
        <w:spacing w:after="0"/>
        <w:rPr>
          <w:noProof/>
        </w:rPr>
      </w:pPr>
      <w:r w:rsidRPr="00E46BC9">
        <w:rPr>
          <w:noProof/>
          <w:lang w:eastAsia="en-GB"/>
        </w:rPr>
        <w:drawing>
          <wp:inline distT="0" distB="0" distL="0" distR="0" wp14:anchorId="1430133A" wp14:editId="135E5644">
            <wp:extent cx="5455392" cy="3577133"/>
            <wp:effectExtent l="0" t="0" r="0" b="4445"/>
            <wp:docPr id="656040891" name="Grafik 656040891" descr="Ein Bild, das Text, Screenshot, Zah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040891" name="Grafik 1" descr="Ein Bild, das Text, Screenshot, Zahl, Schrift enthält.&#10;&#10;KI-generierte Inhalte können fehlerhaft sein."/>
                    <pic:cNvPicPr/>
                  </pic:nvPicPr>
                  <pic:blipFill>
                    <a:blip r:embed="rId46"/>
                    <a:stretch>
                      <a:fillRect/>
                    </a:stretch>
                  </pic:blipFill>
                  <pic:spPr>
                    <a:xfrm>
                      <a:off x="0" y="0"/>
                      <a:ext cx="5463018" cy="3582133"/>
                    </a:xfrm>
                    <a:prstGeom prst="rect">
                      <a:avLst/>
                    </a:prstGeom>
                  </pic:spPr>
                </pic:pic>
              </a:graphicData>
            </a:graphic>
          </wp:inline>
        </w:drawing>
      </w:r>
    </w:p>
    <w:p w14:paraId="4CC08435" w14:textId="77777777" w:rsidR="00665E59" w:rsidRPr="00D86314" w:rsidRDefault="00665E59" w:rsidP="00703057">
      <w:pPr>
        <w:rPr>
          <w:noProof/>
        </w:rPr>
      </w:pPr>
      <w:r w:rsidRPr="00E46BC9">
        <w:rPr>
          <w:noProof/>
          <w:lang w:eastAsia="en-GB"/>
        </w:rPr>
        <w:drawing>
          <wp:inline distT="0" distB="0" distL="0" distR="0" wp14:anchorId="2520190A" wp14:editId="5B6D6029">
            <wp:extent cx="5515661" cy="3538834"/>
            <wp:effectExtent l="0" t="0" r="0" b="5080"/>
            <wp:docPr id="1184064888" name="Grafik 1184064888"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64888" name="Grafik 1" descr="Ein Bild, das Text, Screenshot, Schrift, Zahl enthält.&#10;&#10;KI-generierte Inhalte können fehlerhaft sein."/>
                    <pic:cNvPicPr/>
                  </pic:nvPicPr>
                  <pic:blipFill>
                    <a:blip r:embed="rId47"/>
                    <a:stretch>
                      <a:fillRect/>
                    </a:stretch>
                  </pic:blipFill>
                  <pic:spPr>
                    <a:xfrm>
                      <a:off x="0" y="0"/>
                      <a:ext cx="5517575" cy="3540062"/>
                    </a:xfrm>
                    <a:prstGeom prst="rect">
                      <a:avLst/>
                    </a:prstGeom>
                  </pic:spPr>
                </pic:pic>
              </a:graphicData>
            </a:graphic>
          </wp:inline>
        </w:drawing>
      </w:r>
    </w:p>
    <w:p w14:paraId="109CD247" w14:textId="77777777" w:rsidR="00665E59" w:rsidRPr="00D86314" w:rsidRDefault="00665E59" w:rsidP="00703057">
      <w:pPr>
        <w:pStyle w:val="Quelle"/>
        <w:ind w:left="0" w:firstLine="0"/>
        <w:rPr>
          <w:rFonts w:ascii="Times New Roman" w:hAnsi="Times New Roman"/>
          <w:noProof/>
        </w:rPr>
      </w:pPr>
      <w:r w:rsidRPr="00D86314">
        <w:rPr>
          <w:rFonts w:ascii="Times New Roman" w:hAnsi="Times New Roman"/>
          <w:noProof/>
        </w:rPr>
        <w:t>Source: Briglauer et al. (2023)</w:t>
      </w:r>
      <w:r w:rsidRPr="00D86314">
        <w:rPr>
          <w:rStyle w:val="FootnoteReference"/>
          <w:rFonts w:ascii="Times New Roman" w:hAnsi="Times New Roman"/>
          <w:noProof/>
        </w:rPr>
        <w:footnoteReference w:id="42"/>
      </w:r>
    </w:p>
    <w:p w14:paraId="6B3BAC48" w14:textId="77777777" w:rsidR="00665E59" w:rsidRPr="00D86314" w:rsidRDefault="00665E59" w:rsidP="00703057">
      <w:pPr>
        <w:rPr>
          <w:noProof/>
        </w:rPr>
      </w:pPr>
      <w:r w:rsidRPr="00D86314">
        <w:rPr>
          <w:noProof/>
        </w:rPr>
        <w:t xml:space="preserve">Some studies have also identified links between average broadband speeds and employment. </w:t>
      </w:r>
    </w:p>
    <w:p w14:paraId="6B4D32BA" w14:textId="77777777" w:rsidR="00665E59" w:rsidRPr="00D86314" w:rsidRDefault="00665E59" w:rsidP="00703057">
      <w:pPr>
        <w:rPr>
          <w:noProof/>
        </w:rPr>
      </w:pPr>
      <w:r w:rsidRPr="00D86314">
        <w:rPr>
          <w:noProof/>
        </w:rPr>
        <w:t>As regards the effects of Gigabit speeds, utilizing a panel of 496 U.S. counties sampled from 2011 to 2014, Bai (2017)</w:t>
      </w:r>
      <w:r w:rsidRPr="00D86314">
        <w:rPr>
          <w:rStyle w:val="FootnoteReference"/>
          <w:noProof/>
        </w:rPr>
        <w:footnoteReference w:id="43"/>
      </w:r>
      <w:r w:rsidRPr="00D86314">
        <w:rPr>
          <w:noProof/>
        </w:rPr>
        <w:t xml:space="preserve"> found that </w:t>
      </w:r>
      <w:r w:rsidRPr="00D86314">
        <w:rPr>
          <w:b/>
          <w:noProof/>
        </w:rPr>
        <w:t xml:space="preserve">increasing broadband speeds from 100 Mbps to 1 Mbps was more effective in boosting country employment than increasing speeds from 3 Mbps to 100 Mbps. </w:t>
      </w:r>
      <w:r w:rsidRPr="00D86314">
        <w:rPr>
          <w:noProof/>
        </w:rPr>
        <w:t>Similar to the findings that GDP effects may be subject to diminishing marginal returns,</w:t>
      </w:r>
      <w:r w:rsidRPr="00D86314">
        <w:rPr>
          <w:b/>
          <w:noProof/>
        </w:rPr>
        <w:t xml:space="preserve"> </w:t>
      </w:r>
      <w:r w:rsidRPr="00D86314">
        <w:rPr>
          <w:noProof/>
        </w:rPr>
        <w:t>Bai found that increasing broadband speeds beyond 1 Gbps would have a smaller, although still positive, effect on employment. However, it is also possible that new applications and the increased bandwidth requirements associated with teleworking in the wake of the COVID pandemic, might increase the employment effects and productivity gains</w:t>
      </w:r>
      <w:r w:rsidRPr="00D86314">
        <w:rPr>
          <w:rStyle w:val="FootnoteReference"/>
          <w:noProof/>
        </w:rPr>
        <w:footnoteReference w:id="44"/>
      </w:r>
      <w:r w:rsidRPr="00D86314">
        <w:rPr>
          <w:noProof/>
        </w:rPr>
        <w:t xml:space="preserve"> associated with speeds above 1 Gbps. </w:t>
      </w:r>
    </w:p>
    <w:p w14:paraId="0B9FEB0E" w14:textId="77777777" w:rsidR="00665E59" w:rsidRPr="00D86314" w:rsidRDefault="00665E59" w:rsidP="00703057">
      <w:pPr>
        <w:rPr>
          <w:noProof/>
        </w:rPr>
      </w:pPr>
      <w:r w:rsidRPr="00D86314">
        <w:rPr>
          <w:noProof/>
        </w:rPr>
        <w:t>A similar look at the relationship between broadband speeds and effects on GDP was made by Kongaut/Bohlin (2017).</w:t>
      </w:r>
      <w:r w:rsidRPr="00D86314">
        <w:rPr>
          <w:rStyle w:val="FootnoteReference"/>
          <w:noProof/>
        </w:rPr>
        <w:footnoteReference w:id="45"/>
      </w:r>
      <w:r w:rsidRPr="00D86314">
        <w:rPr>
          <w:noProof/>
        </w:rPr>
        <w:t xml:space="preserve"> Speed data was taken from Ookla in a combination of fixed and mobile broadband download speeds, and other economic and population data was taken from OECD and World Bank statistics. The study calculates five models with different control variables for the impact of broadband speed on GDP per capita. </w:t>
      </w:r>
      <w:r w:rsidRPr="00D86314">
        <w:rPr>
          <w:b/>
          <w:noProof/>
        </w:rPr>
        <w:t>All five models suggest significant positive impacts</w:t>
      </w:r>
      <w:r w:rsidRPr="00D86314">
        <w:rPr>
          <w:noProof/>
        </w:rPr>
        <w:t xml:space="preserve">, but their values vary from 0.01 to 0.08. The study </w:t>
      </w:r>
      <w:r w:rsidRPr="00D86314">
        <w:rPr>
          <w:b/>
          <w:noProof/>
        </w:rPr>
        <w:t>authors’ preferred model could be interpreted as an increase in broadband speed of 10% is leading to an increase in GDP per capita of 0.8%.</w:t>
      </w:r>
      <w:r w:rsidRPr="00D86314">
        <w:rPr>
          <w:noProof/>
        </w:rPr>
        <w:t xml:space="preserve"> But the authors also ask for caution with interpreting these exact numbers as they did not intend to quantify exact effects of broadband speed on GDP. What they did was to </w:t>
      </w:r>
      <w:r w:rsidRPr="00D86314">
        <w:rPr>
          <w:b/>
          <w:noProof/>
        </w:rPr>
        <w:t>show the clear causality between broadband speed and economic growth and the significance of this relationship</w:t>
      </w:r>
      <w:r w:rsidRPr="00D86314">
        <w:rPr>
          <w:noProof/>
        </w:rPr>
        <w:t xml:space="preserve">. </w:t>
      </w:r>
    </w:p>
    <w:p w14:paraId="17E434E7" w14:textId="77777777" w:rsidR="008F3CDD" w:rsidRPr="00D86314" w:rsidRDefault="008F3CDD" w:rsidP="00CB3E4E">
      <w:pPr>
        <w:pStyle w:val="Heading3"/>
        <w:rPr>
          <w:noProof/>
        </w:rPr>
      </w:pPr>
      <w:bookmarkStart w:id="84" w:name="_Ref86216008"/>
      <w:bookmarkStart w:id="85" w:name="_Ref86244141"/>
      <w:bookmarkStart w:id="86" w:name="_Toc214231531"/>
      <w:bookmarkStart w:id="87" w:name="_Toc219718362"/>
      <w:r w:rsidRPr="00D86314">
        <w:rPr>
          <w:noProof/>
        </w:rPr>
        <w:t>Theory-based modelling</w:t>
      </w:r>
      <w:bookmarkEnd w:id="84"/>
      <w:r w:rsidRPr="00D86314">
        <w:rPr>
          <w:noProof/>
        </w:rPr>
        <w:t xml:space="preserve"> for the quantitative impacts</w:t>
      </w:r>
      <w:bookmarkEnd w:id="85"/>
      <w:bookmarkEnd w:id="86"/>
      <w:bookmarkEnd w:id="87"/>
    </w:p>
    <w:p w14:paraId="61F8FBC5" w14:textId="041F6EBD" w:rsidR="009B33C8" w:rsidRPr="00D86314" w:rsidRDefault="009B33C8" w:rsidP="009B33C8">
      <w:pPr>
        <w:rPr>
          <w:noProof/>
        </w:rPr>
      </w:pPr>
      <w:r w:rsidRPr="00D86314">
        <w:rPr>
          <w:noProof/>
        </w:rPr>
        <w:t xml:space="preserve">Drawing on the literature, a theory-based model </w:t>
      </w:r>
      <w:r w:rsidR="000753A0" w:rsidRPr="00D86314">
        <w:rPr>
          <w:noProof/>
        </w:rPr>
        <w:t xml:space="preserve">is used </w:t>
      </w:r>
      <w:r w:rsidRPr="00D86314">
        <w:rPr>
          <w:noProof/>
        </w:rPr>
        <w:t xml:space="preserve">to estimate how </w:t>
      </w:r>
      <w:r w:rsidR="00A613F6" w:rsidRPr="00D86314">
        <w:rPr>
          <w:noProof/>
        </w:rPr>
        <w:t xml:space="preserve">projected </w:t>
      </w:r>
      <w:r w:rsidRPr="00D86314">
        <w:rPr>
          <w:noProof/>
        </w:rPr>
        <w:t xml:space="preserve">increases in fixed </w:t>
      </w:r>
      <w:r w:rsidR="00E16AF8" w:rsidRPr="00D86314">
        <w:rPr>
          <w:noProof/>
        </w:rPr>
        <w:t xml:space="preserve">internet </w:t>
      </w:r>
      <w:r w:rsidRPr="00D86314">
        <w:rPr>
          <w:noProof/>
        </w:rPr>
        <w:t>speeds impact GDP.</w:t>
      </w:r>
    </w:p>
    <w:p w14:paraId="27DF917B" w14:textId="77777777" w:rsidR="009B33C8" w:rsidRPr="00D86314" w:rsidRDefault="009B33C8" w:rsidP="009B33C8">
      <w:pPr>
        <w:rPr>
          <w:b/>
          <w:bCs/>
          <w:noProof/>
        </w:rPr>
      </w:pPr>
      <w:r w:rsidRPr="00D86314">
        <w:rPr>
          <w:b/>
          <w:bCs/>
          <w:noProof/>
        </w:rPr>
        <w:t>Coefficient for the link between increase in speed and GDP growth</w:t>
      </w:r>
    </w:p>
    <w:p w14:paraId="377210BE" w14:textId="094C18EB" w:rsidR="00982B72" w:rsidRPr="00D86314" w:rsidRDefault="009B33C8" w:rsidP="009B33C8">
      <w:pPr>
        <w:rPr>
          <w:noProof/>
        </w:rPr>
      </w:pPr>
      <w:r w:rsidRPr="00D86314">
        <w:rPr>
          <w:noProof/>
        </w:rPr>
        <w:t>The</w:t>
      </w:r>
      <w:r w:rsidRPr="00D86314" w:rsidDel="001E28D2">
        <w:rPr>
          <w:noProof/>
        </w:rPr>
        <w:t xml:space="preserve"> </w:t>
      </w:r>
      <w:r w:rsidRPr="00D86314">
        <w:rPr>
          <w:noProof/>
        </w:rPr>
        <w:t xml:space="preserve">academic literature </w:t>
      </w:r>
      <w:r w:rsidR="001E28D2" w:rsidRPr="00D86314">
        <w:rPr>
          <w:noProof/>
        </w:rPr>
        <w:t>consistently finds a</w:t>
      </w:r>
      <w:r w:rsidR="001E28D2" w:rsidRPr="00D86314" w:rsidDel="001E28D2">
        <w:rPr>
          <w:noProof/>
        </w:rPr>
        <w:t xml:space="preserve"> </w:t>
      </w:r>
      <w:r w:rsidRPr="00D86314">
        <w:rPr>
          <w:noProof/>
        </w:rPr>
        <w:t>positive impact of VHCN on GDP.</w:t>
      </w:r>
      <w:r w:rsidRPr="00D86314" w:rsidDel="00D80431">
        <w:rPr>
          <w:noProof/>
        </w:rPr>
        <w:t xml:space="preserve"> </w:t>
      </w:r>
      <w:r w:rsidR="00D80431" w:rsidRPr="00D86314">
        <w:rPr>
          <w:noProof/>
        </w:rPr>
        <w:t xml:space="preserve">Several </w:t>
      </w:r>
      <w:r w:rsidRPr="00D86314">
        <w:rPr>
          <w:noProof/>
        </w:rPr>
        <w:t xml:space="preserve">studies (e.g. Briglauer et al. (2025), Briglauer/Guggler (2019), Sosa/Analysis (2014)) analyse the impact of </w:t>
      </w:r>
      <w:r w:rsidR="00E13A0D" w:rsidRPr="00D86314">
        <w:rPr>
          <w:noProof/>
        </w:rPr>
        <w:t xml:space="preserve">improved </w:t>
      </w:r>
      <w:r w:rsidRPr="00D86314">
        <w:rPr>
          <w:noProof/>
        </w:rPr>
        <w:t xml:space="preserve">availability and </w:t>
      </w:r>
      <w:r w:rsidR="005A3BA4" w:rsidRPr="00D86314">
        <w:rPr>
          <w:noProof/>
        </w:rPr>
        <w:t xml:space="preserve">increased </w:t>
      </w:r>
      <w:r w:rsidRPr="00D86314">
        <w:rPr>
          <w:noProof/>
        </w:rPr>
        <w:t>penetration</w:t>
      </w:r>
      <w:r w:rsidR="005A3BA4" w:rsidRPr="00D86314">
        <w:rPr>
          <w:noProof/>
        </w:rPr>
        <w:t xml:space="preserve"> of high-speed broadband</w:t>
      </w:r>
      <w:r w:rsidRPr="00D86314">
        <w:rPr>
          <w:noProof/>
        </w:rPr>
        <w:t>. These studies quantify the effect of increased coverage and penetration on economic growth.</w:t>
      </w:r>
    </w:p>
    <w:p w14:paraId="040E4D94" w14:textId="21F94C28" w:rsidR="00742B48" w:rsidRPr="00D86314" w:rsidRDefault="008E134E" w:rsidP="009B33C8">
      <w:pPr>
        <w:rPr>
          <w:noProof/>
        </w:rPr>
      </w:pPr>
      <w:r w:rsidRPr="00D86314">
        <w:rPr>
          <w:noProof/>
        </w:rPr>
        <w:t xml:space="preserve">A defining characteristic </w:t>
      </w:r>
      <w:r w:rsidR="009B33C8" w:rsidRPr="00D86314">
        <w:rPr>
          <w:noProof/>
        </w:rPr>
        <w:t xml:space="preserve">of the new broadband networks is their </w:t>
      </w:r>
      <w:r w:rsidR="00881BFF" w:rsidRPr="00D86314">
        <w:rPr>
          <w:noProof/>
        </w:rPr>
        <w:t xml:space="preserve">substantially higher </w:t>
      </w:r>
      <w:r w:rsidR="009B33C8" w:rsidRPr="00D86314">
        <w:rPr>
          <w:noProof/>
        </w:rPr>
        <w:t xml:space="preserve">performance, particularly </w:t>
      </w:r>
      <w:r w:rsidR="00DD518D" w:rsidRPr="00D86314">
        <w:rPr>
          <w:noProof/>
        </w:rPr>
        <w:t>in terms of</w:t>
      </w:r>
      <w:r w:rsidR="009B33C8" w:rsidRPr="00D86314">
        <w:rPr>
          <w:noProof/>
        </w:rPr>
        <w:t xml:space="preserve"> data </w:t>
      </w:r>
      <w:r w:rsidR="00DD518D" w:rsidRPr="00D86314">
        <w:rPr>
          <w:noProof/>
        </w:rPr>
        <w:t xml:space="preserve">transmission </w:t>
      </w:r>
      <w:r w:rsidR="009B33C8" w:rsidRPr="00D86314">
        <w:rPr>
          <w:noProof/>
        </w:rPr>
        <w:t xml:space="preserve">speed. </w:t>
      </w:r>
      <w:r w:rsidR="00487060" w:rsidRPr="00D86314">
        <w:rPr>
          <w:noProof/>
        </w:rPr>
        <w:t>T</w:t>
      </w:r>
      <w:r w:rsidR="009B33C8" w:rsidRPr="00D86314">
        <w:rPr>
          <w:noProof/>
        </w:rPr>
        <w:t xml:space="preserve">he most recent study by Briglauer et. </w:t>
      </w:r>
      <w:r w:rsidR="00560922" w:rsidRPr="00D86314">
        <w:rPr>
          <w:noProof/>
        </w:rPr>
        <w:t>a</w:t>
      </w:r>
      <w:r w:rsidR="009B33C8" w:rsidRPr="00D86314">
        <w:rPr>
          <w:noProof/>
        </w:rPr>
        <w:t xml:space="preserve">l (2025) </w:t>
      </w:r>
      <w:r w:rsidR="00AB6596" w:rsidRPr="00D86314">
        <w:rPr>
          <w:noProof/>
        </w:rPr>
        <w:t xml:space="preserve">provides evidence of a causal relationship </w:t>
      </w:r>
      <w:r w:rsidR="009B33C8" w:rsidRPr="00D86314">
        <w:rPr>
          <w:noProof/>
        </w:rPr>
        <w:t xml:space="preserve">implies a causality between increases in speed and a positive </w:t>
      </w:r>
      <w:r w:rsidR="00FB7249" w:rsidRPr="00D86314">
        <w:rPr>
          <w:noProof/>
        </w:rPr>
        <w:t xml:space="preserve">GDP </w:t>
      </w:r>
      <w:r w:rsidR="009B33C8" w:rsidRPr="00D86314">
        <w:rPr>
          <w:noProof/>
        </w:rPr>
        <w:t xml:space="preserve">impact. </w:t>
      </w:r>
    </w:p>
    <w:p w14:paraId="46DCD827" w14:textId="0AE217B3" w:rsidR="009B33C8" w:rsidRPr="00D86314" w:rsidRDefault="009B33C8" w:rsidP="009B33C8">
      <w:pPr>
        <w:rPr>
          <w:noProof/>
        </w:rPr>
      </w:pPr>
      <w:r w:rsidRPr="00D86314">
        <w:rPr>
          <w:noProof/>
        </w:rPr>
        <w:t>For the quantification of the impact of an increase in speed on GDP</w:t>
      </w:r>
      <w:r w:rsidR="008D7A41" w:rsidRPr="00D86314">
        <w:rPr>
          <w:noProof/>
        </w:rPr>
        <w:t>,</w:t>
      </w:r>
      <w:r w:rsidRPr="00D86314">
        <w:rPr>
          <w:noProof/>
        </w:rPr>
        <w:t xml:space="preserve"> </w:t>
      </w:r>
      <w:r w:rsidR="007C49C2" w:rsidRPr="00D86314">
        <w:rPr>
          <w:noProof/>
        </w:rPr>
        <w:t xml:space="preserve">this analysis </w:t>
      </w:r>
      <w:r w:rsidR="00837E39" w:rsidRPr="00D86314">
        <w:rPr>
          <w:noProof/>
        </w:rPr>
        <w:t>draws on</w:t>
      </w:r>
      <w:r w:rsidR="007C49C2" w:rsidRPr="00D86314">
        <w:rPr>
          <w:noProof/>
        </w:rPr>
        <w:t xml:space="preserve"> </w:t>
      </w:r>
      <w:r w:rsidRPr="00D86314">
        <w:rPr>
          <w:noProof/>
        </w:rPr>
        <w:t xml:space="preserve">several studies that </w:t>
      </w:r>
      <w:r w:rsidR="00413815" w:rsidRPr="00D86314">
        <w:rPr>
          <w:noProof/>
        </w:rPr>
        <w:t xml:space="preserve">estimate </w:t>
      </w:r>
      <w:r w:rsidRPr="00D86314">
        <w:rPr>
          <w:noProof/>
        </w:rPr>
        <w:t>th</w:t>
      </w:r>
      <w:r w:rsidR="00413815" w:rsidRPr="00D86314">
        <w:rPr>
          <w:noProof/>
        </w:rPr>
        <w:t>e</w:t>
      </w:r>
      <w:r w:rsidRPr="00D86314">
        <w:rPr>
          <w:noProof/>
        </w:rPr>
        <w:t xml:space="preserve"> causal relationship</w:t>
      </w:r>
      <w:r w:rsidR="00704349" w:rsidRPr="00D86314">
        <w:rPr>
          <w:noProof/>
        </w:rPr>
        <w:t xml:space="preserve"> </w:t>
      </w:r>
      <w:r w:rsidR="001B19A6" w:rsidRPr="00D86314">
        <w:rPr>
          <w:noProof/>
        </w:rPr>
        <w:t>between broadband speed and economic growth</w:t>
      </w:r>
      <w:r w:rsidRPr="00D86314">
        <w:rPr>
          <w:noProof/>
        </w:rPr>
        <w:t xml:space="preserve">. The table below shows </w:t>
      </w:r>
      <w:r w:rsidR="008D0BF9" w:rsidRPr="00D86314">
        <w:rPr>
          <w:noProof/>
        </w:rPr>
        <w:t>selected estimates</w:t>
      </w:r>
      <w:r w:rsidR="00035CED" w:rsidRPr="00D86314">
        <w:rPr>
          <w:noProof/>
        </w:rPr>
        <w:t xml:space="preserve"> </w:t>
      </w:r>
      <w:r w:rsidRPr="00D86314">
        <w:rPr>
          <w:noProof/>
        </w:rPr>
        <w:t>of the impact of increased speeds</w:t>
      </w:r>
      <w:r w:rsidR="00035CED" w:rsidRPr="00D86314">
        <w:rPr>
          <w:noProof/>
        </w:rPr>
        <w:t xml:space="preserve"> on GDP</w:t>
      </w:r>
      <w:r w:rsidRPr="00D86314">
        <w:rPr>
          <w:noProof/>
        </w:rPr>
        <w:t>.</w:t>
      </w:r>
    </w:p>
    <w:p w14:paraId="215D1A0D" w14:textId="2631E069" w:rsidR="009B33C8" w:rsidRPr="00D86314" w:rsidRDefault="009B33C8" w:rsidP="001E6573">
      <w:pPr>
        <w:pStyle w:val="Caption"/>
        <w:keepNext/>
        <w:rPr>
          <w:noProof/>
          <w:color w:val="auto"/>
          <w:sz w:val="22"/>
          <w:szCs w:val="22"/>
        </w:rPr>
      </w:pPr>
      <w:r w:rsidRPr="00D86314">
        <w:rPr>
          <w:noProof/>
          <w:color w:val="auto"/>
          <w:sz w:val="22"/>
          <w:szCs w:val="22"/>
        </w:rPr>
        <w:t xml:space="preserve">Figure </w:t>
      </w:r>
      <w:r w:rsidR="008A1FF6" w:rsidRPr="00D86314">
        <w:rPr>
          <w:noProof/>
          <w:color w:val="auto"/>
          <w:sz w:val="22"/>
          <w:szCs w:val="22"/>
        </w:rPr>
        <w:t>A4</w:t>
      </w:r>
      <w:r w:rsidR="00CC5F96" w:rsidRPr="00D86314">
        <w:rPr>
          <w:noProof/>
          <w:color w:val="auto"/>
          <w:sz w:val="22"/>
          <w:szCs w:val="22"/>
        </w:rPr>
        <w:t xml:space="preserve"> 1</w:t>
      </w:r>
      <w:r w:rsidR="001F10E6" w:rsidRPr="00D86314">
        <w:rPr>
          <w:noProof/>
          <w:color w:val="auto"/>
          <w:sz w:val="22"/>
          <w:szCs w:val="22"/>
        </w:rPr>
        <w:noBreakHyphen/>
      </w:r>
      <w:r w:rsidR="00E122E2">
        <w:rPr>
          <w:noProof/>
          <w:color w:val="auto"/>
          <w:sz w:val="22"/>
          <w:szCs w:val="22"/>
        </w:rPr>
        <w:t>18</w:t>
      </w:r>
      <w:r w:rsidRPr="00D86314">
        <w:rPr>
          <w:noProof/>
          <w:color w:val="auto"/>
          <w:sz w:val="22"/>
          <w:szCs w:val="22"/>
        </w:rPr>
        <w:t>:Quantifications of impact of increased speeds in literature</w:t>
      </w:r>
    </w:p>
    <w:tbl>
      <w:tblPr>
        <w:tblStyle w:val="TabelleWIKmitKopfzeile2"/>
        <w:tblW w:w="5000" w:type="pct"/>
        <w:tblLook w:val="0420" w:firstRow="1" w:lastRow="0" w:firstColumn="0" w:lastColumn="0" w:noHBand="0" w:noVBand="1"/>
      </w:tblPr>
      <w:tblGrid>
        <w:gridCol w:w="2195"/>
        <w:gridCol w:w="4530"/>
        <w:gridCol w:w="2054"/>
      </w:tblGrid>
      <w:tr w:rsidR="009B33C8" w:rsidRPr="00D86314" w14:paraId="46B736CF" w14:textId="77777777">
        <w:trPr>
          <w:cnfStyle w:val="100000000000" w:firstRow="1" w:lastRow="0" w:firstColumn="0" w:lastColumn="0" w:oddVBand="0" w:evenVBand="0" w:oddHBand="0" w:evenHBand="0" w:firstRowFirstColumn="0" w:firstRowLastColumn="0" w:lastRowFirstColumn="0" w:lastRowLastColumn="0"/>
        </w:trPr>
        <w:tc>
          <w:tcPr>
            <w:tcW w:w="1250" w:type="pct"/>
            <w:tcBorders>
              <w:top w:val="single" w:sz="4" w:space="0" w:color="auto"/>
              <w:left w:val="single" w:sz="4" w:space="0" w:color="auto"/>
              <w:bottom w:val="single" w:sz="4" w:space="0" w:color="auto"/>
              <w:right w:val="single" w:sz="4" w:space="0" w:color="auto"/>
            </w:tcBorders>
            <w:hideMark/>
          </w:tcPr>
          <w:p w14:paraId="0BBD1BF3" w14:textId="77777777" w:rsidR="009B33C8" w:rsidRPr="00D86314" w:rsidRDefault="009B33C8">
            <w:pPr>
              <w:spacing w:before="60" w:after="120" w:line="312" w:lineRule="atLeast"/>
              <w:rPr>
                <w:rFonts w:cs="Arial"/>
                <w:b/>
                <w:noProof/>
                <w:sz w:val="18"/>
                <w:szCs w:val="18"/>
                <w:lang w:val="en-GB"/>
              </w:rPr>
            </w:pPr>
            <w:r w:rsidRPr="00A36024">
              <w:rPr>
                <w:rFonts w:cs="Arial"/>
                <w:b/>
                <w:bCs/>
                <w:noProof/>
                <w:sz w:val="18"/>
                <w:szCs w:val="18"/>
              </w:rPr>
              <w:t>Study</w:t>
            </w:r>
          </w:p>
        </w:tc>
        <w:tc>
          <w:tcPr>
            <w:tcW w:w="2580" w:type="pct"/>
            <w:tcBorders>
              <w:top w:val="single" w:sz="4" w:space="0" w:color="auto"/>
              <w:left w:val="single" w:sz="4" w:space="0" w:color="auto"/>
              <w:bottom w:val="single" w:sz="4" w:space="0" w:color="auto"/>
              <w:right w:val="single" w:sz="4" w:space="0" w:color="auto"/>
            </w:tcBorders>
            <w:hideMark/>
          </w:tcPr>
          <w:p w14:paraId="70E5E7BB" w14:textId="77777777" w:rsidR="009B33C8" w:rsidRPr="00D86314" w:rsidRDefault="009B33C8">
            <w:pPr>
              <w:spacing w:before="60" w:after="120" w:line="312" w:lineRule="atLeast"/>
              <w:ind w:left="115"/>
              <w:rPr>
                <w:rFonts w:cs="Arial"/>
                <w:b/>
                <w:noProof/>
                <w:sz w:val="18"/>
                <w:szCs w:val="18"/>
                <w:lang w:val="en-GB"/>
              </w:rPr>
            </w:pPr>
            <w:r w:rsidRPr="00A36024">
              <w:rPr>
                <w:rFonts w:cs="Arial"/>
                <w:b/>
                <w:bCs/>
                <w:noProof/>
                <w:sz w:val="18"/>
                <w:szCs w:val="18"/>
              </w:rPr>
              <w:t>Quantification</w:t>
            </w:r>
          </w:p>
        </w:tc>
        <w:tc>
          <w:tcPr>
            <w:tcW w:w="1170" w:type="pct"/>
            <w:tcBorders>
              <w:top w:val="single" w:sz="4" w:space="0" w:color="auto"/>
              <w:left w:val="single" w:sz="4" w:space="0" w:color="auto"/>
              <w:bottom w:val="single" w:sz="4" w:space="0" w:color="auto"/>
              <w:right w:val="single" w:sz="4" w:space="0" w:color="auto"/>
            </w:tcBorders>
          </w:tcPr>
          <w:p w14:paraId="3EF7E273" w14:textId="77777777" w:rsidR="009B33C8" w:rsidRPr="00D86314" w:rsidRDefault="009B33C8">
            <w:pPr>
              <w:spacing w:before="60" w:after="120" w:line="312" w:lineRule="atLeast"/>
              <w:ind w:left="115"/>
              <w:jc w:val="center"/>
              <w:rPr>
                <w:rFonts w:cs="Arial"/>
                <w:b/>
                <w:noProof/>
                <w:sz w:val="18"/>
                <w:szCs w:val="18"/>
                <w:lang w:val="en-GB"/>
              </w:rPr>
            </w:pPr>
            <w:r w:rsidRPr="00C20A01">
              <w:rPr>
                <w:rFonts w:cs="Arial"/>
                <w:b/>
                <w:noProof/>
                <w:sz w:val="18"/>
                <w:szCs w:val="18"/>
                <w:lang w:val="en-GB"/>
              </w:rPr>
              <w:t>GDP increase caused by a 1% higher speed</w:t>
            </w:r>
          </w:p>
        </w:tc>
      </w:tr>
      <w:tr w:rsidR="009B33C8" w:rsidRPr="00D86314" w14:paraId="1F1E63FD" w14:textId="77777777">
        <w:tc>
          <w:tcPr>
            <w:tcW w:w="1250" w:type="pct"/>
            <w:tcBorders>
              <w:top w:val="single" w:sz="4" w:space="0" w:color="auto"/>
              <w:left w:val="single" w:sz="4" w:space="0" w:color="auto"/>
              <w:bottom w:val="single" w:sz="4" w:space="0" w:color="auto"/>
              <w:right w:val="single" w:sz="4" w:space="0" w:color="auto"/>
            </w:tcBorders>
            <w:shd w:val="clear" w:color="auto" w:fill="EEF0F4"/>
          </w:tcPr>
          <w:p w14:paraId="7DBE85A7" w14:textId="77777777" w:rsidR="009B33C8" w:rsidRPr="00D86314" w:rsidRDefault="009B33C8">
            <w:pPr>
              <w:spacing w:beforeLines="40" w:before="96" w:afterLines="40" w:after="96"/>
              <w:ind w:left="115"/>
              <w:rPr>
                <w:rFonts w:cs="Arial"/>
                <w:noProof/>
                <w:sz w:val="18"/>
                <w:szCs w:val="18"/>
                <w:lang w:val="en-GB"/>
              </w:rPr>
            </w:pPr>
            <w:r w:rsidRPr="00A36024">
              <w:rPr>
                <w:rFonts w:cs="Arial"/>
                <w:noProof/>
                <w:sz w:val="18"/>
                <w:szCs w:val="18"/>
              </w:rPr>
              <w:t>Kongaut/Bohlin (2017)</w:t>
            </w:r>
          </w:p>
        </w:tc>
        <w:tc>
          <w:tcPr>
            <w:tcW w:w="2580" w:type="pct"/>
            <w:tcBorders>
              <w:top w:val="single" w:sz="4" w:space="0" w:color="auto"/>
              <w:left w:val="single" w:sz="4" w:space="0" w:color="auto"/>
              <w:bottom w:val="single" w:sz="4" w:space="0" w:color="auto"/>
              <w:right w:val="single" w:sz="4" w:space="0" w:color="auto"/>
            </w:tcBorders>
            <w:shd w:val="clear" w:color="auto" w:fill="EEF0F4"/>
          </w:tcPr>
          <w:p w14:paraId="111A4B6F" w14:textId="77777777" w:rsidR="009B33C8" w:rsidRPr="00D86314" w:rsidRDefault="009B33C8">
            <w:pPr>
              <w:spacing w:beforeLines="40" w:before="96" w:afterLines="40" w:after="96"/>
              <w:ind w:left="115"/>
              <w:rPr>
                <w:rFonts w:cs="Arial"/>
                <w:noProof/>
                <w:sz w:val="18"/>
                <w:szCs w:val="18"/>
                <w:lang w:val="en-GB"/>
              </w:rPr>
            </w:pPr>
            <w:r w:rsidRPr="00C20A01">
              <w:rPr>
                <w:rFonts w:cs="Arial"/>
                <w:noProof/>
                <w:sz w:val="18"/>
                <w:szCs w:val="18"/>
                <w:lang w:val="en-GB"/>
              </w:rPr>
              <w:t>“10% increase in broadband speed yields an 0.8% increase in GDP per capita”</w:t>
            </w:r>
          </w:p>
        </w:tc>
        <w:tc>
          <w:tcPr>
            <w:tcW w:w="1170" w:type="pct"/>
            <w:tcBorders>
              <w:top w:val="single" w:sz="4" w:space="0" w:color="auto"/>
              <w:left w:val="single" w:sz="4" w:space="0" w:color="auto"/>
              <w:bottom w:val="single" w:sz="4" w:space="0" w:color="auto"/>
              <w:right w:val="single" w:sz="4" w:space="0" w:color="auto"/>
            </w:tcBorders>
            <w:shd w:val="clear" w:color="auto" w:fill="EEF0F4"/>
          </w:tcPr>
          <w:p w14:paraId="38CCAD3A" w14:textId="77777777" w:rsidR="009B33C8" w:rsidRPr="00D86314" w:rsidRDefault="009B33C8">
            <w:pPr>
              <w:spacing w:beforeLines="40" w:before="96" w:afterLines="40" w:after="96"/>
              <w:ind w:left="115"/>
              <w:rPr>
                <w:rFonts w:cs="Arial"/>
                <w:noProof/>
                <w:sz w:val="18"/>
                <w:szCs w:val="18"/>
                <w:lang w:val="en-GB"/>
              </w:rPr>
            </w:pPr>
            <w:r w:rsidRPr="00A36024">
              <w:rPr>
                <w:rFonts w:cs="Arial"/>
                <w:noProof/>
                <w:sz w:val="18"/>
                <w:szCs w:val="18"/>
              </w:rPr>
              <w:t>0.08%</w:t>
            </w:r>
          </w:p>
        </w:tc>
      </w:tr>
      <w:tr w:rsidR="009B33C8" w:rsidRPr="00D86314" w14:paraId="129D3609" w14:textId="77777777">
        <w:trPr>
          <w:cnfStyle w:val="000000010000" w:firstRow="0" w:lastRow="0" w:firstColumn="0" w:lastColumn="0" w:oddVBand="0" w:evenVBand="0" w:oddHBand="0" w:evenHBand="1" w:firstRowFirstColumn="0" w:firstRowLastColumn="0" w:lastRowFirstColumn="0" w:lastRowLastColumn="0"/>
        </w:trPr>
        <w:tc>
          <w:tcPr>
            <w:tcW w:w="1250" w:type="pct"/>
            <w:tcBorders>
              <w:top w:val="single" w:sz="4" w:space="0" w:color="auto"/>
              <w:left w:val="single" w:sz="4" w:space="0" w:color="auto"/>
              <w:bottom w:val="single" w:sz="4" w:space="0" w:color="auto"/>
              <w:right w:val="single" w:sz="4" w:space="0" w:color="auto"/>
            </w:tcBorders>
          </w:tcPr>
          <w:p w14:paraId="6BEE932F" w14:textId="77777777" w:rsidR="009B33C8" w:rsidRPr="00D86314" w:rsidRDefault="009B33C8">
            <w:pPr>
              <w:spacing w:beforeLines="40" w:before="96" w:afterLines="40" w:after="96"/>
              <w:ind w:left="115"/>
              <w:rPr>
                <w:rFonts w:cs="Arial"/>
                <w:noProof/>
                <w:sz w:val="18"/>
                <w:szCs w:val="18"/>
                <w:lang w:val="en-GB"/>
              </w:rPr>
            </w:pPr>
            <w:r w:rsidRPr="00A36024">
              <w:rPr>
                <w:rFonts w:cs="Arial"/>
                <w:noProof/>
                <w:sz w:val="18"/>
                <w:szCs w:val="18"/>
              </w:rPr>
              <w:t>Katz/Callorda (2020)</w:t>
            </w:r>
          </w:p>
        </w:tc>
        <w:tc>
          <w:tcPr>
            <w:tcW w:w="2580" w:type="pct"/>
            <w:tcBorders>
              <w:top w:val="single" w:sz="4" w:space="0" w:color="auto"/>
              <w:left w:val="single" w:sz="4" w:space="0" w:color="auto"/>
              <w:bottom w:val="single" w:sz="4" w:space="0" w:color="auto"/>
              <w:right w:val="single" w:sz="4" w:space="0" w:color="auto"/>
            </w:tcBorders>
          </w:tcPr>
          <w:p w14:paraId="3A916DB5" w14:textId="77777777" w:rsidR="009B33C8" w:rsidRPr="00D86314" w:rsidRDefault="009B33C8">
            <w:pPr>
              <w:spacing w:beforeLines="40" w:before="96" w:afterLines="40" w:after="96"/>
              <w:ind w:left="115"/>
              <w:rPr>
                <w:rFonts w:cs="Arial"/>
                <w:noProof/>
                <w:sz w:val="18"/>
                <w:szCs w:val="18"/>
                <w:lang w:val="en-GB"/>
              </w:rPr>
            </w:pPr>
            <w:r w:rsidRPr="00C20A01">
              <w:rPr>
                <w:rFonts w:cs="Arial"/>
                <w:noProof/>
                <w:sz w:val="18"/>
                <w:szCs w:val="18"/>
                <w:lang w:val="en-GB"/>
              </w:rPr>
              <w:t>“1% increase in broadband speed yields a 0.73% increase in GDP”</w:t>
            </w:r>
          </w:p>
        </w:tc>
        <w:tc>
          <w:tcPr>
            <w:tcW w:w="1170" w:type="pct"/>
            <w:tcBorders>
              <w:top w:val="single" w:sz="4" w:space="0" w:color="auto"/>
              <w:left w:val="single" w:sz="4" w:space="0" w:color="auto"/>
              <w:bottom w:val="single" w:sz="4" w:space="0" w:color="auto"/>
              <w:right w:val="single" w:sz="4" w:space="0" w:color="auto"/>
            </w:tcBorders>
          </w:tcPr>
          <w:p w14:paraId="782A8780" w14:textId="77777777" w:rsidR="009B33C8" w:rsidRPr="00D86314" w:rsidRDefault="009B33C8">
            <w:pPr>
              <w:spacing w:beforeLines="40" w:before="96" w:afterLines="40" w:after="96"/>
              <w:ind w:left="115"/>
              <w:rPr>
                <w:rFonts w:cs="Arial"/>
                <w:noProof/>
                <w:sz w:val="18"/>
                <w:szCs w:val="18"/>
                <w:lang w:val="en-GB"/>
              </w:rPr>
            </w:pPr>
            <w:r w:rsidRPr="00A36024">
              <w:rPr>
                <w:rFonts w:cs="Arial"/>
                <w:noProof/>
                <w:sz w:val="18"/>
                <w:szCs w:val="18"/>
              </w:rPr>
              <w:t>0.73%</w:t>
            </w:r>
          </w:p>
        </w:tc>
      </w:tr>
      <w:tr w:rsidR="009B33C8" w:rsidRPr="00D86314" w14:paraId="47373E0D" w14:textId="77777777">
        <w:tc>
          <w:tcPr>
            <w:tcW w:w="1250" w:type="pct"/>
            <w:tcBorders>
              <w:top w:val="single" w:sz="4" w:space="0" w:color="auto"/>
              <w:left w:val="single" w:sz="4" w:space="0" w:color="auto"/>
              <w:bottom w:val="single" w:sz="4" w:space="0" w:color="auto"/>
              <w:right w:val="single" w:sz="4" w:space="0" w:color="auto"/>
            </w:tcBorders>
            <w:shd w:val="clear" w:color="auto" w:fill="EEF0F4"/>
          </w:tcPr>
          <w:p w14:paraId="342EA68D" w14:textId="77777777" w:rsidR="009B33C8" w:rsidRPr="00D86314" w:rsidRDefault="009B33C8">
            <w:pPr>
              <w:spacing w:beforeLines="40" w:before="96" w:afterLines="40" w:after="96"/>
              <w:ind w:left="115"/>
              <w:rPr>
                <w:rFonts w:cs="Arial"/>
                <w:noProof/>
                <w:sz w:val="18"/>
                <w:szCs w:val="18"/>
                <w:lang w:val="en-GB"/>
              </w:rPr>
            </w:pPr>
            <w:r w:rsidRPr="00A36024">
              <w:rPr>
                <w:rFonts w:cs="Arial"/>
                <w:noProof/>
                <w:sz w:val="18"/>
                <w:szCs w:val="18"/>
              </w:rPr>
              <w:t>Katz/Jung (2022)</w:t>
            </w:r>
          </w:p>
        </w:tc>
        <w:tc>
          <w:tcPr>
            <w:tcW w:w="2580" w:type="pct"/>
            <w:tcBorders>
              <w:top w:val="single" w:sz="4" w:space="0" w:color="auto"/>
              <w:left w:val="single" w:sz="4" w:space="0" w:color="auto"/>
              <w:bottom w:val="single" w:sz="4" w:space="0" w:color="auto"/>
              <w:right w:val="single" w:sz="4" w:space="0" w:color="auto"/>
            </w:tcBorders>
            <w:shd w:val="clear" w:color="auto" w:fill="EEF0F4"/>
          </w:tcPr>
          <w:p w14:paraId="7CB83A4C" w14:textId="77777777" w:rsidR="009B33C8" w:rsidRPr="00D86314" w:rsidRDefault="009B33C8">
            <w:pPr>
              <w:spacing w:beforeLines="40" w:before="96" w:afterLines="40" w:after="96"/>
              <w:ind w:left="115"/>
              <w:rPr>
                <w:rFonts w:cs="Arial"/>
                <w:noProof/>
                <w:sz w:val="18"/>
                <w:szCs w:val="18"/>
                <w:lang w:val="en-GB"/>
              </w:rPr>
            </w:pPr>
            <w:r w:rsidRPr="00C20A01">
              <w:rPr>
                <w:rFonts w:cs="Arial"/>
                <w:noProof/>
                <w:sz w:val="18"/>
                <w:szCs w:val="18"/>
                <w:lang w:val="en-GB"/>
              </w:rPr>
              <w:t>“33.04% speed growth caused a GDP-growth 0.44% per year”</w:t>
            </w:r>
          </w:p>
        </w:tc>
        <w:tc>
          <w:tcPr>
            <w:tcW w:w="1170" w:type="pct"/>
            <w:tcBorders>
              <w:top w:val="single" w:sz="4" w:space="0" w:color="auto"/>
              <w:left w:val="single" w:sz="4" w:space="0" w:color="auto"/>
              <w:bottom w:val="single" w:sz="4" w:space="0" w:color="auto"/>
              <w:right w:val="single" w:sz="4" w:space="0" w:color="auto"/>
            </w:tcBorders>
            <w:shd w:val="clear" w:color="auto" w:fill="EEF0F4"/>
          </w:tcPr>
          <w:p w14:paraId="42A175F6" w14:textId="77777777" w:rsidR="009B33C8" w:rsidRPr="00D86314" w:rsidRDefault="009B33C8">
            <w:pPr>
              <w:spacing w:beforeLines="40" w:before="96" w:afterLines="40" w:after="96"/>
              <w:ind w:left="115"/>
              <w:rPr>
                <w:rFonts w:cs="Arial"/>
                <w:noProof/>
                <w:sz w:val="18"/>
                <w:szCs w:val="18"/>
                <w:lang w:val="en-GB"/>
              </w:rPr>
            </w:pPr>
            <w:r w:rsidRPr="00A36024">
              <w:rPr>
                <w:rFonts w:cs="Arial"/>
                <w:noProof/>
                <w:sz w:val="18"/>
                <w:szCs w:val="18"/>
              </w:rPr>
              <w:t>0.01332%</w:t>
            </w:r>
          </w:p>
        </w:tc>
      </w:tr>
    </w:tbl>
    <w:p w14:paraId="2D5450D7" w14:textId="7F961669" w:rsidR="009B33C8" w:rsidRPr="00C20A01" w:rsidRDefault="009B33C8" w:rsidP="009B33C8">
      <w:pPr>
        <w:pStyle w:val="Quelle"/>
        <w:rPr>
          <w:rFonts w:ascii="Times New Roman" w:hAnsi="Times New Roman"/>
          <w:noProof/>
        </w:rPr>
      </w:pPr>
      <w:r w:rsidRPr="00C20A01">
        <w:rPr>
          <w:rFonts w:ascii="Times New Roman" w:hAnsi="Times New Roman"/>
          <w:noProof/>
        </w:rPr>
        <w:t>Sources: Kongaut/Bohlin (2017), Katz/Callorda (2020), Katz/Jung (2022)</w:t>
      </w:r>
    </w:p>
    <w:p w14:paraId="16AE12F6" w14:textId="77777777" w:rsidR="009B33C8" w:rsidRPr="00D86314" w:rsidRDefault="009B33C8" w:rsidP="009B33C8">
      <w:pPr>
        <w:rPr>
          <w:b/>
          <w:bCs/>
          <w:noProof/>
        </w:rPr>
      </w:pPr>
      <w:r w:rsidRPr="00D86314">
        <w:rPr>
          <w:b/>
          <w:bCs/>
          <w:noProof/>
        </w:rPr>
        <w:t>Linear vs. degressive/progressive impact on annual GDP growth</w:t>
      </w:r>
    </w:p>
    <w:p w14:paraId="2F1A2C74" w14:textId="0A3F8FE8" w:rsidR="009B33C8" w:rsidRPr="00D86314" w:rsidRDefault="009B33C8" w:rsidP="009B33C8">
      <w:pPr>
        <w:rPr>
          <w:noProof/>
        </w:rPr>
      </w:pPr>
      <w:r w:rsidRPr="00D86314">
        <w:rPr>
          <w:noProof/>
        </w:rPr>
        <w:t xml:space="preserve">All academic studies consulted ensured that the quantifications were based on causal effects rather than random correlations. </w:t>
      </w:r>
    </w:p>
    <w:p w14:paraId="56F608C2" w14:textId="516E5AF0" w:rsidR="00777693" w:rsidRPr="00D86314" w:rsidRDefault="009B33C8" w:rsidP="009B33C8">
      <w:pPr>
        <w:rPr>
          <w:noProof/>
        </w:rPr>
      </w:pPr>
      <w:r w:rsidRPr="00D86314">
        <w:rPr>
          <w:noProof/>
        </w:rPr>
        <w:t>The question arises whether increase</w:t>
      </w:r>
      <w:r w:rsidR="006B11D4" w:rsidRPr="00D86314">
        <w:rPr>
          <w:noProof/>
        </w:rPr>
        <w:t>s</w:t>
      </w:r>
      <w:r w:rsidRPr="00D86314">
        <w:rPr>
          <w:noProof/>
        </w:rPr>
        <w:t xml:space="preserve"> in speed ha</w:t>
      </w:r>
      <w:r w:rsidR="006B11D4" w:rsidRPr="00D86314">
        <w:rPr>
          <w:noProof/>
        </w:rPr>
        <w:t>ve</w:t>
      </w:r>
      <w:r w:rsidRPr="00D86314">
        <w:rPr>
          <w:noProof/>
        </w:rPr>
        <w:t xml:space="preserve"> a linear impact on annual GDP growth and</w:t>
      </w:r>
      <w:r w:rsidRPr="00D86314" w:rsidDel="00BF7E0A">
        <w:rPr>
          <w:noProof/>
        </w:rPr>
        <w:t xml:space="preserve"> </w:t>
      </w:r>
      <w:r w:rsidRPr="00D86314">
        <w:rPr>
          <w:noProof/>
        </w:rPr>
        <w:t xml:space="preserve">what coefficient </w:t>
      </w:r>
      <w:r w:rsidR="00BF7E0A" w:rsidRPr="00D86314">
        <w:rPr>
          <w:noProof/>
        </w:rPr>
        <w:t>should be applied</w:t>
      </w:r>
      <w:r w:rsidRPr="00D86314">
        <w:rPr>
          <w:noProof/>
        </w:rPr>
        <w:t xml:space="preserve">. The studies </w:t>
      </w:r>
      <w:r w:rsidR="00466728" w:rsidRPr="00D86314">
        <w:rPr>
          <w:noProof/>
        </w:rPr>
        <w:t>indicate</w:t>
      </w:r>
      <w:r w:rsidRPr="00D86314">
        <w:rPr>
          <w:noProof/>
        </w:rPr>
        <w:t xml:space="preserve"> that the effect of VHCN is not necessarily linear. Briglauer et</w:t>
      </w:r>
      <w:r w:rsidR="00716167" w:rsidRPr="00D86314">
        <w:rPr>
          <w:noProof/>
        </w:rPr>
        <w:t xml:space="preserve"> </w:t>
      </w:r>
      <w:r w:rsidRPr="00D86314">
        <w:rPr>
          <w:noProof/>
        </w:rPr>
        <w:t>al</w:t>
      </w:r>
      <w:r w:rsidR="00716167" w:rsidRPr="00D86314">
        <w:rPr>
          <w:noProof/>
        </w:rPr>
        <w:t>.</w:t>
      </w:r>
      <w:r w:rsidRPr="00D86314">
        <w:rPr>
          <w:noProof/>
        </w:rPr>
        <w:t xml:space="preserve"> (2025) argue that full economic benefits only unfold over time, </w:t>
      </w:r>
      <w:r w:rsidR="00346295" w:rsidRPr="00D86314">
        <w:rPr>
          <w:noProof/>
        </w:rPr>
        <w:t>for example</w:t>
      </w:r>
      <w:r w:rsidRPr="00D86314" w:rsidDel="00181961">
        <w:rPr>
          <w:noProof/>
        </w:rPr>
        <w:t xml:space="preserve"> </w:t>
      </w:r>
      <w:r w:rsidR="00181961" w:rsidRPr="00D86314">
        <w:rPr>
          <w:noProof/>
        </w:rPr>
        <w:t xml:space="preserve">as </w:t>
      </w:r>
      <w:r w:rsidRPr="00D86314">
        <w:rPr>
          <w:noProof/>
        </w:rPr>
        <w:t xml:space="preserve">consumers </w:t>
      </w:r>
      <w:r w:rsidR="00181961" w:rsidRPr="00D86314">
        <w:rPr>
          <w:noProof/>
        </w:rPr>
        <w:t>adopt</w:t>
      </w:r>
      <w:r w:rsidRPr="00D86314">
        <w:rPr>
          <w:noProof/>
        </w:rPr>
        <w:t xml:space="preserve"> better and new services </w:t>
      </w:r>
      <w:r w:rsidR="00347D70" w:rsidRPr="00D86314">
        <w:rPr>
          <w:noProof/>
        </w:rPr>
        <w:t>enabled by</w:t>
      </w:r>
      <w:r w:rsidRPr="00D86314">
        <w:rPr>
          <w:noProof/>
        </w:rPr>
        <w:t xml:space="preserve"> higher speeds and more reliable connections, </w:t>
      </w:r>
      <w:r w:rsidR="00081CB8" w:rsidRPr="00D86314">
        <w:rPr>
          <w:noProof/>
        </w:rPr>
        <w:t>and as</w:t>
      </w:r>
      <w:r w:rsidRPr="00D86314">
        <w:rPr>
          <w:noProof/>
        </w:rPr>
        <w:t xml:space="preserve"> </w:t>
      </w:r>
      <w:r w:rsidR="00081CB8" w:rsidRPr="00D86314">
        <w:rPr>
          <w:noProof/>
        </w:rPr>
        <w:t>firms</w:t>
      </w:r>
      <w:r w:rsidRPr="00D86314">
        <w:rPr>
          <w:noProof/>
        </w:rPr>
        <w:t xml:space="preserve"> make complementary investments in digital transformation. Koutroumpis (2018) acknowledges diminishing returns </w:t>
      </w:r>
      <w:r w:rsidR="00924AE5" w:rsidRPr="00D86314">
        <w:rPr>
          <w:noProof/>
        </w:rPr>
        <w:t>at</w:t>
      </w:r>
      <w:r w:rsidRPr="00D86314">
        <w:rPr>
          <w:noProof/>
        </w:rPr>
        <w:t xml:space="preserve"> higher speeds, but argues that the threshold beyond which further increases in speed become unproductive </w:t>
      </w:r>
      <w:r w:rsidR="002A3EB5" w:rsidRPr="00D86314">
        <w:rPr>
          <w:noProof/>
        </w:rPr>
        <w:t>rises</w:t>
      </w:r>
      <w:r w:rsidRPr="00D86314">
        <w:rPr>
          <w:noProof/>
        </w:rPr>
        <w:t xml:space="preserve"> over time, as new services emerge to help firms and individuals make productive use of improved infrastructure. </w:t>
      </w:r>
    </w:p>
    <w:p w14:paraId="31A6727A" w14:textId="6C90719E" w:rsidR="009B33C8" w:rsidRPr="00D86314" w:rsidRDefault="00CC1D91" w:rsidP="009B33C8">
      <w:pPr>
        <w:rPr>
          <w:noProof/>
        </w:rPr>
      </w:pPr>
      <w:r w:rsidRPr="00D86314">
        <w:rPr>
          <w:noProof/>
        </w:rPr>
        <w:t>Since</w:t>
      </w:r>
      <w:r w:rsidR="009B33C8" w:rsidRPr="00D86314">
        <w:rPr>
          <w:noProof/>
        </w:rPr>
        <w:t xml:space="preserve"> it is unclear</w:t>
      </w:r>
      <w:r w:rsidR="00F3598F" w:rsidRPr="00D86314">
        <w:rPr>
          <w:noProof/>
        </w:rPr>
        <w:t>,</w:t>
      </w:r>
      <w:r w:rsidR="009B33C8" w:rsidRPr="00D86314">
        <w:rPr>
          <w:noProof/>
        </w:rPr>
        <w:t xml:space="preserve"> to what extent the coefficient used for the link between increased speed and GDP should decrease or </w:t>
      </w:r>
      <w:r w:rsidR="00F730D3" w:rsidRPr="00D86314">
        <w:rPr>
          <w:noProof/>
        </w:rPr>
        <w:t>in</w:t>
      </w:r>
      <w:r w:rsidR="009B33C8" w:rsidRPr="00D86314">
        <w:rPr>
          <w:noProof/>
        </w:rPr>
        <w:t>crease</w:t>
      </w:r>
      <w:r w:rsidR="00F730D3" w:rsidRPr="00D86314">
        <w:rPr>
          <w:noProof/>
        </w:rPr>
        <w:t>, the model appl</w:t>
      </w:r>
      <w:r w:rsidR="00B36614" w:rsidRPr="00D86314">
        <w:rPr>
          <w:noProof/>
        </w:rPr>
        <w:t>i</w:t>
      </w:r>
      <w:r w:rsidR="00F730D3" w:rsidRPr="00D86314">
        <w:rPr>
          <w:noProof/>
        </w:rPr>
        <w:t>es</w:t>
      </w:r>
      <w:r w:rsidR="009B33C8" w:rsidRPr="00D86314">
        <w:rPr>
          <w:noProof/>
        </w:rPr>
        <w:t xml:space="preserve"> a linear factor over </w:t>
      </w:r>
      <w:r w:rsidR="004470FA" w:rsidRPr="00D86314">
        <w:rPr>
          <w:noProof/>
        </w:rPr>
        <w:t xml:space="preserve">the </w:t>
      </w:r>
      <w:r w:rsidR="009B33C8" w:rsidRPr="00D86314">
        <w:rPr>
          <w:noProof/>
        </w:rPr>
        <w:t>projection period.</w:t>
      </w:r>
    </w:p>
    <w:p w14:paraId="6BD05FD5" w14:textId="4030CE73" w:rsidR="003608DD" w:rsidRPr="00D86314" w:rsidRDefault="003608DD" w:rsidP="007469EE">
      <w:pPr>
        <w:rPr>
          <w:noProof/>
        </w:rPr>
      </w:pPr>
      <w:r w:rsidRPr="00D86314">
        <w:rPr>
          <w:noProof/>
        </w:rPr>
        <w:t xml:space="preserve">In the impact assessment projected increases in broadband download speeds arising from the different options were converted to GDP impacts based on the equation that 1% increase in speed results in 0.06% increase in GDP. The coefficient applied lies in the corridor of the coefficients indicated in the literature (0.01%-0.08%). This corridor excludes outliers such as the results from the study by Katz/Callorda (2020) </w:t>
      </w:r>
      <w:r w:rsidR="00C46C1C" w:rsidRPr="00D86314">
        <w:rPr>
          <w:noProof/>
        </w:rPr>
        <w:t>that a</w:t>
      </w:r>
      <w:r w:rsidRPr="00D86314">
        <w:rPr>
          <w:noProof/>
        </w:rPr>
        <w:t xml:space="preserve"> 1% increase in broadband speed yield</w:t>
      </w:r>
      <w:r w:rsidR="00C46C1C" w:rsidRPr="00D86314">
        <w:rPr>
          <w:noProof/>
        </w:rPr>
        <w:t>s</w:t>
      </w:r>
      <w:r w:rsidRPr="00D86314">
        <w:rPr>
          <w:noProof/>
        </w:rPr>
        <w:t xml:space="preserve"> a 0.73% increase in GDP. As regards the remaining studies, a coefficient in the upper range was chosen because take-up of gigabit speeds in the EU27 is not yet very high. The demand forecast showed that there is a gap between gigabit take-up and the forecasted demand (without restrictions). This means that there is potential to leverage benefits from increased gigabit take-up. A sensitivity analysis is included assuming a coefficient of 0.01%. Calculations were made for each year between 2025-2035. </w:t>
      </w:r>
    </w:p>
    <w:p w14:paraId="30ECDA23" w14:textId="10998001" w:rsidR="009B33C8" w:rsidRPr="00D86314" w:rsidRDefault="009B33C8" w:rsidP="009B33C8">
      <w:pPr>
        <w:keepNext/>
        <w:rPr>
          <w:b/>
          <w:noProof/>
        </w:rPr>
      </w:pPr>
      <w:r w:rsidRPr="00D86314">
        <w:rPr>
          <w:b/>
          <w:noProof/>
        </w:rPr>
        <w:t>The impact of increased fixed broadband speeds on GDP per capita</w:t>
      </w:r>
    </w:p>
    <w:p w14:paraId="3F2A1075" w14:textId="63ED56C6" w:rsidR="00AB4B9D" w:rsidRPr="00D86314" w:rsidRDefault="004C0D61" w:rsidP="00AB4B9D">
      <w:pPr>
        <w:rPr>
          <w:noProof/>
        </w:rPr>
      </w:pPr>
      <w:r w:rsidRPr="00D86314">
        <w:rPr>
          <w:noProof/>
        </w:rPr>
        <w:fldChar w:fldCharType="begin"/>
      </w:r>
      <w:r w:rsidRPr="00D86314">
        <w:rPr>
          <w:noProof/>
        </w:rPr>
        <w:instrText xml:space="preserve"> REF _Ref214890000 \h </w:instrText>
      </w:r>
      <w:r w:rsidR="00F87B9B" w:rsidRPr="00D86314">
        <w:rPr>
          <w:noProof/>
        </w:rPr>
        <w:instrText xml:space="preserve"> \* MERGEFORMAT </w:instrText>
      </w:r>
      <w:r w:rsidRPr="00D86314">
        <w:rPr>
          <w:noProof/>
        </w:rPr>
      </w:r>
      <w:r w:rsidRPr="00D86314">
        <w:rPr>
          <w:noProof/>
        </w:rPr>
        <w:fldChar w:fldCharType="separate"/>
      </w:r>
      <w:r w:rsidR="00870CA9" w:rsidRPr="00D86314">
        <w:rPr>
          <w:noProof/>
        </w:rPr>
        <w:t>Table A4 1</w:t>
      </w:r>
      <w:r w:rsidR="00870CA9" w:rsidRPr="00D86314">
        <w:rPr>
          <w:noProof/>
        </w:rPr>
        <w:noBreakHyphen/>
      </w:r>
      <w:r w:rsidRPr="00D86314">
        <w:rPr>
          <w:noProof/>
        </w:rPr>
        <w:fldChar w:fldCharType="end"/>
      </w:r>
      <w:r w:rsidR="007B03CE">
        <w:rPr>
          <w:noProof/>
        </w:rPr>
        <w:t>12</w:t>
      </w:r>
      <w:r w:rsidRPr="00D86314">
        <w:rPr>
          <w:noProof/>
        </w:rPr>
        <w:t xml:space="preserve"> </w:t>
      </w:r>
      <w:r w:rsidR="009B33C8" w:rsidRPr="00D86314">
        <w:rPr>
          <w:noProof/>
        </w:rPr>
        <w:t xml:space="preserve">displays </w:t>
      </w:r>
      <w:r w:rsidR="009B33C8" w:rsidRPr="00D86314">
        <w:rPr>
          <w:b/>
          <w:bCs/>
          <w:noProof/>
        </w:rPr>
        <w:t>the overall impact over 10</w:t>
      </w:r>
      <w:r w:rsidR="00E31E06" w:rsidRPr="00D86314">
        <w:rPr>
          <w:b/>
          <w:bCs/>
          <w:noProof/>
        </w:rPr>
        <w:t xml:space="preserve"> </w:t>
      </w:r>
      <w:r w:rsidR="009B33C8" w:rsidRPr="00D86314">
        <w:rPr>
          <w:b/>
          <w:bCs/>
          <w:noProof/>
        </w:rPr>
        <w:t xml:space="preserve">years (2025-2035) on GDP for each option (in EUR billions). </w:t>
      </w:r>
      <w:r w:rsidR="00AB4B9D" w:rsidRPr="00D86314">
        <w:rPr>
          <w:noProof/>
        </w:rPr>
        <w:t xml:space="preserve">Option 2 has the highest impact on GDP with an increase in GDP of </w:t>
      </w:r>
      <w:r w:rsidR="00B245B3" w:rsidRPr="00D86314">
        <w:rPr>
          <w:noProof/>
        </w:rPr>
        <w:t>EUR </w:t>
      </w:r>
      <w:r w:rsidR="00AB4B9D" w:rsidRPr="00D86314">
        <w:rPr>
          <w:noProof/>
        </w:rPr>
        <w:t xml:space="preserve">1,862 billion. Option 3 has the lowest cumulative impact. It is possible that there may be declining marginal returns relating to the impact of increasing broadband speeds on productivity (expected to be driven by factors such as support for home-working, use of digital public and commercial services and associated efficiencies, increased availability of higher capacities for businesses including SMEs). However, there could equally be increased returns if higher speeds for broadband in premises unlock new behaviour patterns or new business models or improve efficiencies e.g. in the delivery of healthcare and other public services etc. The results of the impact of speed increases on GDP are shown in the table below for </w:t>
      </w:r>
      <w:r w:rsidR="009A1EDC" w:rsidRPr="00D86314">
        <w:rPr>
          <w:noProof/>
        </w:rPr>
        <w:t>four</w:t>
      </w:r>
      <w:r w:rsidR="0004740A" w:rsidRPr="00D86314">
        <w:rPr>
          <w:noProof/>
        </w:rPr>
        <w:t xml:space="preserve"> different </w:t>
      </w:r>
      <w:r w:rsidR="00C31221" w:rsidRPr="00D86314">
        <w:rPr>
          <w:noProof/>
        </w:rPr>
        <w:t xml:space="preserve">estimated </w:t>
      </w:r>
      <w:r w:rsidR="0004740A" w:rsidRPr="00D86314">
        <w:rPr>
          <w:noProof/>
        </w:rPr>
        <w:t xml:space="preserve">values of </w:t>
      </w:r>
      <w:r w:rsidR="00FB4D64" w:rsidRPr="00D86314">
        <w:rPr>
          <w:noProof/>
        </w:rPr>
        <w:t xml:space="preserve">the </w:t>
      </w:r>
      <w:r w:rsidR="00AB4B9D" w:rsidRPr="00D86314">
        <w:rPr>
          <w:noProof/>
        </w:rPr>
        <w:t>coefficient</w:t>
      </w:r>
      <w:r w:rsidR="00FB4D64" w:rsidRPr="00D86314">
        <w:rPr>
          <w:noProof/>
        </w:rPr>
        <w:t xml:space="preserve">: </w:t>
      </w:r>
      <w:r w:rsidR="00AB4B9D" w:rsidRPr="00D86314">
        <w:rPr>
          <w:noProof/>
        </w:rPr>
        <w:t>0.01</w:t>
      </w:r>
      <w:r w:rsidR="00C31221" w:rsidRPr="00D86314">
        <w:rPr>
          <w:noProof/>
        </w:rPr>
        <w:t xml:space="preserve"> (low estimate), 0.</w:t>
      </w:r>
      <w:r w:rsidR="00D65B52" w:rsidRPr="00D86314">
        <w:rPr>
          <w:noProof/>
        </w:rPr>
        <w:t xml:space="preserve">03 (medium estimate – lower part), </w:t>
      </w:r>
      <w:r w:rsidR="00C31221" w:rsidRPr="00D86314">
        <w:rPr>
          <w:noProof/>
        </w:rPr>
        <w:t xml:space="preserve">0.06 (medium estimate </w:t>
      </w:r>
      <w:r w:rsidR="00D65B52" w:rsidRPr="00D86314">
        <w:rPr>
          <w:noProof/>
        </w:rPr>
        <w:t>– higher part)</w:t>
      </w:r>
      <w:r w:rsidR="00C31221" w:rsidRPr="00D86314">
        <w:rPr>
          <w:noProof/>
        </w:rPr>
        <w:t xml:space="preserve"> and 0.08 (</w:t>
      </w:r>
      <w:r w:rsidR="00743D0C" w:rsidRPr="00D86314">
        <w:rPr>
          <w:noProof/>
        </w:rPr>
        <w:t>high estimate</w:t>
      </w:r>
      <w:r w:rsidR="00C31221" w:rsidRPr="00D86314">
        <w:rPr>
          <w:noProof/>
        </w:rPr>
        <w:t>)</w:t>
      </w:r>
      <w:r w:rsidR="00AB4B9D" w:rsidRPr="00D86314">
        <w:rPr>
          <w:noProof/>
        </w:rPr>
        <w:t xml:space="preserve">. This does not change the comparison of the different options. </w:t>
      </w:r>
    </w:p>
    <w:p w14:paraId="0D4D99D7" w14:textId="7455AACC" w:rsidR="009B33C8" w:rsidRPr="00D86314" w:rsidRDefault="009B33C8" w:rsidP="009B33C8">
      <w:pPr>
        <w:rPr>
          <w:noProof/>
        </w:rPr>
      </w:pPr>
      <w:r w:rsidRPr="00D86314">
        <w:rPr>
          <w:noProof/>
        </w:rPr>
        <w:t>The results under options 2 are subject to the uncertainty and problems related with the approach to access regulation. GDP benefits could be increased further if those problems were addressed</w:t>
      </w:r>
      <w:r w:rsidR="002A3A84" w:rsidRPr="00D86314">
        <w:rPr>
          <w:noProof/>
        </w:rPr>
        <w:t xml:space="preserve">. </w:t>
      </w:r>
    </w:p>
    <w:p w14:paraId="75137929" w14:textId="627AE68C" w:rsidR="009B33C8" w:rsidRPr="00D86314" w:rsidRDefault="00CC5F96" w:rsidP="009B33C8">
      <w:pPr>
        <w:pStyle w:val="Tabberschrift"/>
        <w:rPr>
          <w:rFonts w:ascii="Times New Roman" w:hAnsi="Times New Roman"/>
          <w:noProof/>
        </w:rPr>
      </w:pPr>
      <w:bookmarkStart w:id="88" w:name="_Ref214890000"/>
      <w:bookmarkStart w:id="89" w:name="_Ref202474906"/>
      <w:bookmarkStart w:id="90" w:name="_Toc214231345"/>
      <w:r w:rsidRPr="00D86314">
        <w:rPr>
          <w:rFonts w:ascii="Times New Roman" w:hAnsi="Times New Roman"/>
          <w:noProof/>
        </w:rPr>
        <w:t>Table A4 1</w:t>
      </w:r>
      <w:r w:rsidRPr="00D86314">
        <w:rPr>
          <w:rFonts w:ascii="Times New Roman" w:hAnsi="Times New Roman"/>
          <w:noProof/>
        </w:rPr>
        <w:noBreakHyphen/>
      </w:r>
      <w:bookmarkEnd w:id="88"/>
      <w:r w:rsidR="00AD3F84" w:rsidRPr="00D86314">
        <w:rPr>
          <w:rFonts w:ascii="Times New Roman" w:hAnsi="Times New Roman"/>
          <w:noProof/>
        </w:rPr>
        <w:t>12</w:t>
      </w:r>
      <w:bookmarkEnd w:id="89"/>
      <w:r w:rsidR="009B33C8" w:rsidRPr="00D86314">
        <w:rPr>
          <w:rFonts w:ascii="Times New Roman" w:hAnsi="Times New Roman"/>
          <w:noProof/>
        </w:rPr>
        <w:t>:</w:t>
      </w:r>
      <w:r w:rsidR="004C0D61" w:rsidRPr="00D86314">
        <w:rPr>
          <w:rFonts w:ascii="Times New Roman" w:hAnsi="Times New Roman"/>
          <w:noProof/>
        </w:rPr>
        <w:t xml:space="preserve"> </w:t>
      </w:r>
      <w:r w:rsidR="009B33C8" w:rsidRPr="00D86314">
        <w:rPr>
          <w:rFonts w:ascii="Times New Roman" w:hAnsi="Times New Roman"/>
          <w:noProof/>
        </w:rPr>
        <w:t>Accumulated GDP impact (2025-2035) of options (EUR billion)</w:t>
      </w:r>
      <w:bookmarkEnd w:id="90"/>
    </w:p>
    <w:tbl>
      <w:tblPr>
        <w:tblW w:w="7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1160"/>
        <w:gridCol w:w="1160"/>
        <w:gridCol w:w="1160"/>
        <w:gridCol w:w="1160"/>
        <w:gridCol w:w="1160"/>
      </w:tblGrid>
      <w:tr w:rsidR="009A1EDC" w:rsidRPr="00D86314" w14:paraId="4056570D" w14:textId="77777777" w:rsidTr="00065DD1">
        <w:trPr>
          <w:trHeight w:val="576"/>
        </w:trPr>
        <w:tc>
          <w:tcPr>
            <w:tcW w:w="1360" w:type="dxa"/>
            <w:shd w:val="clear" w:color="auto" w:fill="1F497D" w:themeFill="text2"/>
            <w:vAlign w:val="center"/>
            <w:hideMark/>
          </w:tcPr>
          <w:p w14:paraId="1F4D589C" w14:textId="77777777" w:rsidR="009A1EDC" w:rsidRPr="00C20A01" w:rsidRDefault="009A1EDC">
            <w:pPr>
              <w:jc w:val="center"/>
              <w:rPr>
                <w:rFonts w:ascii="Aptos Narrow" w:eastAsia="Times New Roman" w:hAnsi="Aptos Narrow"/>
                <w:b/>
                <w:bCs/>
                <w:noProof/>
                <w:color w:val="FFFFFF" w:themeColor="background1"/>
                <w:sz w:val="22"/>
                <w:szCs w:val="22"/>
                <w:lang w:eastAsia="en-IE"/>
              </w:rPr>
            </w:pPr>
            <w:r w:rsidRPr="00C20A01">
              <w:rPr>
                <w:rFonts w:ascii="Aptos Narrow" w:eastAsia="Times New Roman" w:hAnsi="Aptos Narrow"/>
                <w:b/>
                <w:bCs/>
                <w:noProof/>
                <w:color w:val="FFFFFF" w:themeColor="background1"/>
                <w:sz w:val="22"/>
                <w:szCs w:val="22"/>
                <w:lang w:eastAsia="en-IE"/>
              </w:rPr>
              <w:t>Coefficient</w:t>
            </w:r>
          </w:p>
        </w:tc>
        <w:tc>
          <w:tcPr>
            <w:tcW w:w="1160" w:type="dxa"/>
            <w:shd w:val="clear" w:color="auto" w:fill="1F497D" w:themeFill="text2"/>
            <w:noWrap/>
            <w:vAlign w:val="center"/>
            <w:hideMark/>
          </w:tcPr>
          <w:p w14:paraId="754D27A5" w14:textId="77777777" w:rsidR="009A1EDC" w:rsidRPr="00C20A01" w:rsidRDefault="009A1EDC">
            <w:pPr>
              <w:jc w:val="center"/>
              <w:rPr>
                <w:rFonts w:ascii="Aptos Narrow" w:eastAsia="Times New Roman" w:hAnsi="Aptos Narrow"/>
                <w:b/>
                <w:bCs/>
                <w:noProof/>
                <w:color w:val="FFFFFF" w:themeColor="background1"/>
                <w:sz w:val="22"/>
                <w:szCs w:val="22"/>
                <w:lang w:eastAsia="en-IE"/>
              </w:rPr>
            </w:pPr>
            <w:r w:rsidRPr="00C20A01">
              <w:rPr>
                <w:rFonts w:ascii="Aptos Narrow" w:eastAsia="Times New Roman" w:hAnsi="Aptos Narrow"/>
                <w:b/>
                <w:bCs/>
                <w:noProof/>
                <w:color w:val="FFFFFF" w:themeColor="background1"/>
                <w:sz w:val="22"/>
                <w:szCs w:val="22"/>
                <w:lang w:eastAsia="en-IE"/>
              </w:rPr>
              <w:t>Option 0</w:t>
            </w:r>
          </w:p>
        </w:tc>
        <w:tc>
          <w:tcPr>
            <w:tcW w:w="1160" w:type="dxa"/>
            <w:shd w:val="clear" w:color="auto" w:fill="1F497D" w:themeFill="text2"/>
            <w:noWrap/>
            <w:vAlign w:val="center"/>
            <w:hideMark/>
          </w:tcPr>
          <w:p w14:paraId="2BF6D004" w14:textId="77777777" w:rsidR="009A1EDC" w:rsidRPr="00C20A01" w:rsidRDefault="009A1EDC">
            <w:pPr>
              <w:jc w:val="center"/>
              <w:rPr>
                <w:rFonts w:ascii="Aptos Narrow" w:eastAsia="Times New Roman" w:hAnsi="Aptos Narrow"/>
                <w:b/>
                <w:bCs/>
                <w:noProof/>
                <w:color w:val="FFFFFF" w:themeColor="background1"/>
                <w:sz w:val="22"/>
                <w:szCs w:val="22"/>
                <w:lang w:eastAsia="en-IE"/>
              </w:rPr>
            </w:pPr>
            <w:r w:rsidRPr="00C20A01">
              <w:rPr>
                <w:rFonts w:ascii="Aptos Narrow" w:eastAsia="Times New Roman" w:hAnsi="Aptos Narrow"/>
                <w:b/>
                <w:bCs/>
                <w:noProof/>
                <w:color w:val="FFFFFF" w:themeColor="background1"/>
                <w:sz w:val="22"/>
                <w:szCs w:val="22"/>
                <w:lang w:eastAsia="en-IE"/>
              </w:rPr>
              <w:t>Option 1</w:t>
            </w:r>
          </w:p>
        </w:tc>
        <w:tc>
          <w:tcPr>
            <w:tcW w:w="1160" w:type="dxa"/>
            <w:shd w:val="clear" w:color="auto" w:fill="1F497D" w:themeFill="text2"/>
            <w:noWrap/>
            <w:vAlign w:val="center"/>
            <w:hideMark/>
          </w:tcPr>
          <w:p w14:paraId="3696F2A9" w14:textId="77777777" w:rsidR="009A1EDC" w:rsidRPr="00C20A01" w:rsidRDefault="009A1EDC">
            <w:pPr>
              <w:jc w:val="center"/>
              <w:rPr>
                <w:rFonts w:ascii="Aptos Narrow" w:eastAsia="Times New Roman" w:hAnsi="Aptos Narrow"/>
                <w:b/>
                <w:bCs/>
                <w:noProof/>
                <w:color w:val="FFFFFF" w:themeColor="background1"/>
                <w:sz w:val="22"/>
                <w:szCs w:val="22"/>
                <w:lang w:eastAsia="en-IE"/>
              </w:rPr>
            </w:pPr>
            <w:r w:rsidRPr="00C20A01">
              <w:rPr>
                <w:rFonts w:ascii="Aptos Narrow" w:eastAsia="Times New Roman" w:hAnsi="Aptos Narrow"/>
                <w:b/>
                <w:bCs/>
                <w:noProof/>
                <w:color w:val="FFFFFF" w:themeColor="background1"/>
                <w:sz w:val="22"/>
                <w:szCs w:val="22"/>
                <w:lang w:eastAsia="en-IE"/>
              </w:rPr>
              <w:t>Option 2</w:t>
            </w:r>
          </w:p>
        </w:tc>
        <w:tc>
          <w:tcPr>
            <w:tcW w:w="1160" w:type="dxa"/>
            <w:shd w:val="clear" w:color="auto" w:fill="1F497D" w:themeFill="text2"/>
            <w:noWrap/>
            <w:vAlign w:val="center"/>
            <w:hideMark/>
          </w:tcPr>
          <w:p w14:paraId="57E802A1" w14:textId="77777777" w:rsidR="009A1EDC" w:rsidRPr="00C20A01" w:rsidRDefault="009A1EDC">
            <w:pPr>
              <w:jc w:val="center"/>
              <w:rPr>
                <w:rFonts w:ascii="Aptos Narrow" w:eastAsia="Times New Roman" w:hAnsi="Aptos Narrow"/>
                <w:b/>
                <w:bCs/>
                <w:noProof/>
                <w:color w:val="FFFFFF" w:themeColor="background1"/>
                <w:sz w:val="22"/>
                <w:szCs w:val="22"/>
                <w:lang w:eastAsia="en-IE"/>
              </w:rPr>
            </w:pPr>
            <w:r w:rsidRPr="00C20A01">
              <w:rPr>
                <w:rFonts w:ascii="Aptos Narrow" w:eastAsia="Times New Roman" w:hAnsi="Aptos Narrow"/>
                <w:b/>
                <w:bCs/>
                <w:noProof/>
                <w:color w:val="FFFFFF" w:themeColor="background1"/>
                <w:sz w:val="22"/>
                <w:szCs w:val="22"/>
                <w:lang w:eastAsia="en-IE"/>
              </w:rPr>
              <w:t>Option 3</w:t>
            </w:r>
          </w:p>
        </w:tc>
        <w:tc>
          <w:tcPr>
            <w:tcW w:w="1160" w:type="dxa"/>
            <w:shd w:val="clear" w:color="auto" w:fill="1F497D" w:themeFill="text2"/>
            <w:noWrap/>
            <w:vAlign w:val="center"/>
            <w:hideMark/>
          </w:tcPr>
          <w:p w14:paraId="7AB9AE08" w14:textId="77777777" w:rsidR="009A1EDC" w:rsidRPr="00C20A01" w:rsidRDefault="009A1EDC">
            <w:pPr>
              <w:jc w:val="center"/>
              <w:rPr>
                <w:rFonts w:ascii="Aptos Narrow" w:eastAsia="Times New Roman" w:hAnsi="Aptos Narrow"/>
                <w:b/>
                <w:bCs/>
                <w:noProof/>
                <w:color w:val="FFFFFF" w:themeColor="background1"/>
                <w:sz w:val="22"/>
                <w:szCs w:val="22"/>
                <w:lang w:eastAsia="en-IE"/>
              </w:rPr>
            </w:pPr>
            <w:r w:rsidRPr="00C20A01">
              <w:rPr>
                <w:rFonts w:ascii="Aptos Narrow" w:eastAsia="Times New Roman" w:hAnsi="Aptos Narrow"/>
                <w:b/>
                <w:bCs/>
                <w:noProof/>
                <w:color w:val="FFFFFF" w:themeColor="background1"/>
                <w:sz w:val="22"/>
                <w:szCs w:val="22"/>
                <w:lang w:eastAsia="en-IE"/>
              </w:rPr>
              <w:t>Option 4</w:t>
            </w:r>
          </w:p>
        </w:tc>
      </w:tr>
      <w:tr w:rsidR="009A1EDC" w:rsidRPr="00D86314" w14:paraId="21DE268C" w14:textId="77777777" w:rsidTr="00BE3015">
        <w:trPr>
          <w:trHeight w:val="576"/>
        </w:trPr>
        <w:tc>
          <w:tcPr>
            <w:tcW w:w="1360" w:type="dxa"/>
            <w:vAlign w:val="center"/>
            <w:hideMark/>
          </w:tcPr>
          <w:p w14:paraId="4B566829" w14:textId="0AEC7052"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0.08 (high estimate)</w:t>
            </w:r>
          </w:p>
        </w:tc>
        <w:tc>
          <w:tcPr>
            <w:tcW w:w="1160" w:type="dxa"/>
            <w:noWrap/>
            <w:vAlign w:val="center"/>
            <w:hideMark/>
          </w:tcPr>
          <w:p w14:paraId="4CE6CFF3" w14:textId="009B1536"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073</w:t>
            </w:r>
          </w:p>
        </w:tc>
        <w:tc>
          <w:tcPr>
            <w:tcW w:w="1160" w:type="dxa"/>
            <w:noWrap/>
            <w:vAlign w:val="center"/>
            <w:hideMark/>
          </w:tcPr>
          <w:p w14:paraId="4DC47C10" w14:textId="29C594C0"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179</w:t>
            </w:r>
          </w:p>
        </w:tc>
        <w:tc>
          <w:tcPr>
            <w:tcW w:w="1160" w:type="dxa"/>
            <w:noWrap/>
            <w:vAlign w:val="center"/>
            <w:hideMark/>
          </w:tcPr>
          <w:p w14:paraId="05D8430A" w14:textId="38B81DC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514</w:t>
            </w:r>
          </w:p>
        </w:tc>
        <w:tc>
          <w:tcPr>
            <w:tcW w:w="1160" w:type="dxa"/>
            <w:noWrap/>
            <w:vAlign w:val="center"/>
            <w:hideMark/>
          </w:tcPr>
          <w:p w14:paraId="54908636" w14:textId="648B93A1"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1</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938</w:t>
            </w:r>
          </w:p>
        </w:tc>
        <w:tc>
          <w:tcPr>
            <w:tcW w:w="1160" w:type="dxa"/>
            <w:noWrap/>
            <w:vAlign w:val="center"/>
            <w:hideMark/>
          </w:tcPr>
          <w:p w14:paraId="4779AC92" w14:textId="22E37599"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388</w:t>
            </w:r>
          </w:p>
        </w:tc>
      </w:tr>
      <w:tr w:rsidR="009A1EDC" w:rsidRPr="00D86314" w14:paraId="4240DBA0" w14:textId="77777777" w:rsidTr="00BE3015">
        <w:trPr>
          <w:trHeight w:val="576"/>
        </w:trPr>
        <w:tc>
          <w:tcPr>
            <w:tcW w:w="1360" w:type="dxa"/>
            <w:vAlign w:val="center"/>
            <w:hideMark/>
          </w:tcPr>
          <w:p w14:paraId="6279839A" w14:textId="556299FE" w:rsidR="009A1EDC" w:rsidRPr="00C20A01" w:rsidRDefault="009A1EDC">
            <w:pPr>
              <w:jc w:val="center"/>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0.06</w:t>
            </w:r>
            <w:r w:rsidR="007846A1" w:rsidRPr="00C20A01">
              <w:rPr>
                <w:rFonts w:ascii="Aptos Narrow" w:eastAsia="Times New Roman" w:hAnsi="Aptos Narrow"/>
                <w:b/>
                <w:bCs/>
                <w:noProof/>
                <w:color w:val="000000"/>
                <w:sz w:val="22"/>
                <w:szCs w:val="22"/>
                <w:lang w:eastAsia="en-IE"/>
              </w:rPr>
              <w:t xml:space="preserve"> </w:t>
            </w:r>
            <w:r w:rsidRPr="00C20A01">
              <w:rPr>
                <w:rFonts w:ascii="Aptos Narrow" w:eastAsia="Times New Roman" w:hAnsi="Aptos Narrow"/>
                <w:b/>
                <w:bCs/>
                <w:noProof/>
                <w:color w:val="000000"/>
                <w:sz w:val="22"/>
                <w:szCs w:val="22"/>
                <w:lang w:eastAsia="en-IE"/>
              </w:rPr>
              <w:t xml:space="preserve">(medium estimate </w:t>
            </w:r>
            <w:r w:rsidR="00065DD1" w:rsidRPr="00C20A01">
              <w:rPr>
                <w:rFonts w:ascii="Aptos Narrow" w:eastAsia="Times New Roman" w:hAnsi="Aptos Narrow"/>
                <w:b/>
                <w:bCs/>
                <w:noProof/>
                <w:color w:val="000000"/>
                <w:sz w:val="22"/>
                <w:szCs w:val="22"/>
                <w:lang w:eastAsia="en-IE"/>
              </w:rPr>
              <w:t>–</w:t>
            </w:r>
            <w:r w:rsidRPr="00C20A01">
              <w:rPr>
                <w:rFonts w:ascii="Aptos Narrow" w:eastAsia="Times New Roman" w:hAnsi="Aptos Narrow"/>
                <w:b/>
                <w:bCs/>
                <w:noProof/>
                <w:color w:val="000000"/>
                <w:sz w:val="22"/>
                <w:szCs w:val="22"/>
                <w:lang w:eastAsia="en-IE"/>
              </w:rPr>
              <w:t xml:space="preserve"> </w:t>
            </w:r>
            <w:r w:rsidR="00065DD1" w:rsidRPr="00C20A01">
              <w:rPr>
                <w:rFonts w:ascii="Aptos Narrow" w:eastAsia="Times New Roman" w:hAnsi="Aptos Narrow"/>
                <w:b/>
                <w:bCs/>
                <w:noProof/>
                <w:color w:val="000000"/>
                <w:sz w:val="22"/>
                <w:szCs w:val="22"/>
                <w:lang w:eastAsia="en-IE"/>
              </w:rPr>
              <w:t>upper part</w:t>
            </w:r>
            <w:r w:rsidRPr="00C20A01">
              <w:rPr>
                <w:rFonts w:ascii="Aptos Narrow" w:eastAsia="Times New Roman" w:hAnsi="Aptos Narrow"/>
                <w:b/>
                <w:bCs/>
                <w:noProof/>
                <w:color w:val="000000"/>
                <w:sz w:val="22"/>
                <w:szCs w:val="22"/>
                <w:lang w:eastAsia="en-IE"/>
              </w:rPr>
              <w:t>)</w:t>
            </w:r>
          </w:p>
        </w:tc>
        <w:tc>
          <w:tcPr>
            <w:tcW w:w="1160" w:type="dxa"/>
            <w:noWrap/>
            <w:vAlign w:val="center"/>
            <w:hideMark/>
          </w:tcPr>
          <w:p w14:paraId="6ABA945E" w14:textId="607F0CDB" w:rsidR="009A1EDC" w:rsidRPr="00C20A01" w:rsidRDefault="009A1EDC">
            <w:pPr>
              <w:jc w:val="center"/>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535</w:t>
            </w:r>
          </w:p>
        </w:tc>
        <w:tc>
          <w:tcPr>
            <w:tcW w:w="1160" w:type="dxa"/>
            <w:noWrap/>
            <w:vAlign w:val="center"/>
            <w:hideMark/>
          </w:tcPr>
          <w:p w14:paraId="12DAC9CB" w14:textId="4A96ED57" w:rsidR="009A1EDC" w:rsidRPr="00C20A01" w:rsidRDefault="009A1EDC">
            <w:pPr>
              <w:jc w:val="center"/>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679</w:t>
            </w:r>
          </w:p>
        </w:tc>
        <w:tc>
          <w:tcPr>
            <w:tcW w:w="1160" w:type="dxa"/>
            <w:noWrap/>
            <w:vAlign w:val="center"/>
            <w:hideMark/>
          </w:tcPr>
          <w:p w14:paraId="6E7C3CF2" w14:textId="1C90A900" w:rsidR="009A1EDC" w:rsidRPr="00C20A01" w:rsidRDefault="009A1EDC">
            <w:pPr>
              <w:jc w:val="center"/>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862</w:t>
            </w:r>
          </w:p>
        </w:tc>
        <w:tc>
          <w:tcPr>
            <w:tcW w:w="1160" w:type="dxa"/>
            <w:noWrap/>
            <w:vAlign w:val="center"/>
            <w:hideMark/>
          </w:tcPr>
          <w:p w14:paraId="2F3B05B4" w14:textId="2628A9A5" w:rsidR="009A1EDC" w:rsidRPr="00C20A01" w:rsidRDefault="009A1EDC">
            <w:pPr>
              <w:jc w:val="center"/>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437</w:t>
            </w:r>
          </w:p>
        </w:tc>
        <w:tc>
          <w:tcPr>
            <w:tcW w:w="1160" w:type="dxa"/>
            <w:noWrap/>
            <w:vAlign w:val="center"/>
            <w:hideMark/>
          </w:tcPr>
          <w:p w14:paraId="0656928D" w14:textId="1A5284FD" w:rsidR="009A1EDC" w:rsidRPr="00C20A01" w:rsidRDefault="009A1EDC">
            <w:pPr>
              <w:jc w:val="center"/>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761</w:t>
            </w:r>
          </w:p>
        </w:tc>
      </w:tr>
      <w:tr w:rsidR="009A1EDC" w:rsidRPr="00D86314" w14:paraId="4CF8FD3E" w14:textId="77777777" w:rsidTr="00BE3015">
        <w:trPr>
          <w:trHeight w:val="576"/>
        </w:trPr>
        <w:tc>
          <w:tcPr>
            <w:tcW w:w="1360" w:type="dxa"/>
            <w:vAlign w:val="center"/>
            <w:hideMark/>
          </w:tcPr>
          <w:p w14:paraId="4D367000" w14:textId="1B75298E"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0.03</w:t>
            </w:r>
            <w:r w:rsidR="007846A1" w:rsidRPr="00C20A01">
              <w:rPr>
                <w:rFonts w:ascii="Aptos Narrow" w:eastAsia="Times New Roman" w:hAnsi="Aptos Narrow"/>
                <w:noProof/>
                <w:color w:val="000000"/>
                <w:sz w:val="22"/>
                <w:szCs w:val="22"/>
                <w:lang w:eastAsia="en-IE"/>
              </w:rPr>
              <w:t xml:space="preserve"> </w:t>
            </w:r>
            <w:r w:rsidR="00065DD1" w:rsidRPr="00C20A01">
              <w:rPr>
                <w:rFonts w:ascii="Aptos Narrow" w:eastAsia="Times New Roman" w:hAnsi="Aptos Narrow"/>
                <w:noProof/>
                <w:color w:val="000000"/>
                <w:sz w:val="22"/>
                <w:szCs w:val="22"/>
                <w:lang w:eastAsia="en-IE"/>
              </w:rPr>
              <w:t>(medium estimate – lower part)</w:t>
            </w:r>
          </w:p>
        </w:tc>
        <w:tc>
          <w:tcPr>
            <w:tcW w:w="1160" w:type="dxa"/>
            <w:noWrap/>
            <w:vAlign w:val="center"/>
            <w:hideMark/>
          </w:tcPr>
          <w:p w14:paraId="3C7398E6"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753</w:t>
            </w:r>
          </w:p>
        </w:tc>
        <w:tc>
          <w:tcPr>
            <w:tcW w:w="1160" w:type="dxa"/>
            <w:noWrap/>
            <w:vAlign w:val="center"/>
            <w:hideMark/>
          </w:tcPr>
          <w:p w14:paraId="39BD94C9"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822</w:t>
            </w:r>
          </w:p>
        </w:tc>
        <w:tc>
          <w:tcPr>
            <w:tcW w:w="1160" w:type="dxa"/>
            <w:noWrap/>
            <w:vAlign w:val="center"/>
            <w:hideMark/>
          </w:tcPr>
          <w:p w14:paraId="3901A5B5"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910</w:t>
            </w:r>
          </w:p>
        </w:tc>
        <w:tc>
          <w:tcPr>
            <w:tcW w:w="1160" w:type="dxa"/>
            <w:noWrap/>
            <w:vAlign w:val="center"/>
            <w:hideMark/>
          </w:tcPr>
          <w:p w14:paraId="0F3EDD8F"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706</w:t>
            </w:r>
          </w:p>
        </w:tc>
        <w:tc>
          <w:tcPr>
            <w:tcW w:w="1160" w:type="dxa"/>
            <w:noWrap/>
            <w:vAlign w:val="center"/>
            <w:hideMark/>
          </w:tcPr>
          <w:p w14:paraId="79C67164"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862</w:t>
            </w:r>
          </w:p>
        </w:tc>
      </w:tr>
      <w:tr w:rsidR="009A1EDC" w:rsidRPr="00D86314" w14:paraId="7558E653" w14:textId="77777777" w:rsidTr="00BE3015">
        <w:trPr>
          <w:trHeight w:val="576"/>
        </w:trPr>
        <w:tc>
          <w:tcPr>
            <w:tcW w:w="1360" w:type="dxa"/>
            <w:vAlign w:val="center"/>
            <w:hideMark/>
          </w:tcPr>
          <w:p w14:paraId="07180D5E" w14:textId="3A6B2790"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0.01 (low estimate)</w:t>
            </w:r>
          </w:p>
        </w:tc>
        <w:tc>
          <w:tcPr>
            <w:tcW w:w="1160" w:type="dxa"/>
            <w:noWrap/>
            <w:vAlign w:val="center"/>
            <w:hideMark/>
          </w:tcPr>
          <w:p w14:paraId="40C57A75"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248</w:t>
            </w:r>
          </w:p>
        </w:tc>
        <w:tc>
          <w:tcPr>
            <w:tcW w:w="1160" w:type="dxa"/>
            <w:noWrap/>
            <w:vAlign w:val="center"/>
            <w:hideMark/>
          </w:tcPr>
          <w:p w14:paraId="72F7B3E4"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270</w:t>
            </w:r>
          </w:p>
        </w:tc>
        <w:tc>
          <w:tcPr>
            <w:tcW w:w="1160" w:type="dxa"/>
            <w:noWrap/>
            <w:vAlign w:val="center"/>
            <w:hideMark/>
          </w:tcPr>
          <w:p w14:paraId="23BD266B"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299</w:t>
            </w:r>
          </w:p>
        </w:tc>
        <w:tc>
          <w:tcPr>
            <w:tcW w:w="1160" w:type="dxa"/>
            <w:noWrap/>
            <w:vAlign w:val="center"/>
            <w:hideMark/>
          </w:tcPr>
          <w:p w14:paraId="2A77A2A0"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233</w:t>
            </w:r>
          </w:p>
        </w:tc>
        <w:tc>
          <w:tcPr>
            <w:tcW w:w="1160" w:type="dxa"/>
            <w:noWrap/>
            <w:vAlign w:val="center"/>
            <w:hideMark/>
          </w:tcPr>
          <w:p w14:paraId="4AA6A01A" w14:textId="77777777" w:rsidR="009A1EDC" w:rsidRPr="00C20A01" w:rsidRDefault="009A1EDC">
            <w:pPr>
              <w:jc w:val="center"/>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238</w:t>
            </w:r>
          </w:p>
        </w:tc>
      </w:tr>
    </w:tbl>
    <w:p w14:paraId="46A6104D" w14:textId="16826CAB" w:rsidR="00707021" w:rsidRPr="00D86314" w:rsidRDefault="00707021" w:rsidP="00707021">
      <w:pPr>
        <w:spacing w:before="240"/>
        <w:rPr>
          <w:noProof/>
        </w:rPr>
      </w:pPr>
      <w:r w:rsidRPr="00D86314">
        <w:rPr>
          <w:noProof/>
        </w:rPr>
        <w:t>It should be mentioned that a coefficient value in the upper half part but well below extreme estimates (i.e., around 0.06) is considered as the most appropriate for the estimation of the impact, because take-up of gigabit speeds in the EU27 is not yet very high. The forecasted demand gap between gigabit take-up and the demand shows that there may be potential to leverage benefits from increased gigabit take-up and the economic benefits will appear in the course of time. Using a coefficient at the upper end of the empirically supported range for speed-related effects is justified in a forward-looking assessment that explicitly models the “speed → adoption → productivity → GDP” pathway. A coefficient of 0.06% reflects both the substantial role of speed in enabling adoption and the cumulative, quality-driven economic effects.</w:t>
      </w:r>
    </w:p>
    <w:p w14:paraId="42DA5583" w14:textId="4E7891A9" w:rsidR="009B33C8" w:rsidRPr="00D86314" w:rsidRDefault="006C2EFE" w:rsidP="00FF16B0">
      <w:pPr>
        <w:spacing w:before="240"/>
        <w:rPr>
          <w:noProof/>
        </w:rPr>
      </w:pPr>
      <w:r w:rsidRPr="00D86314">
        <w:rPr>
          <w:noProof/>
        </w:rPr>
        <w:t xml:space="preserve">Figure A4 </w:t>
      </w:r>
      <w:r w:rsidR="00496383" w:rsidRPr="00D86314">
        <w:rPr>
          <w:noProof/>
        </w:rPr>
        <w:t>1-</w:t>
      </w:r>
      <w:r w:rsidRPr="00D86314">
        <w:rPr>
          <w:noProof/>
        </w:rPr>
        <w:t>1</w:t>
      </w:r>
      <w:r w:rsidR="00596077">
        <w:rPr>
          <w:noProof/>
        </w:rPr>
        <w:t>9</w:t>
      </w:r>
      <w:r w:rsidR="009B33C8" w:rsidRPr="00D86314">
        <w:rPr>
          <w:noProof/>
        </w:rPr>
        <w:t xml:space="preserve"> </w:t>
      </w:r>
      <w:bookmarkStart w:id="91" w:name="_Ref214214831"/>
      <w:r w:rsidR="009B33C8" w:rsidRPr="00D86314">
        <w:rPr>
          <w:noProof/>
        </w:rPr>
        <w:t>shows the anticipated impact on GDP growth per capita of FTTH download speed over 10 years (2025-2035), based on the elasticity of GDP growth per capita</w:t>
      </w:r>
      <w:r w:rsidR="005B08FC" w:rsidRPr="00D86314">
        <w:rPr>
          <w:noProof/>
        </w:rPr>
        <w:t>,</w:t>
      </w:r>
      <w:r w:rsidR="009B33C8" w:rsidRPr="00D86314">
        <w:rPr>
          <w:noProof/>
        </w:rPr>
        <w:t xml:space="preserve"> estimated at 0.08% GDP increase per each percent point of broadband speed increase. The expected economic growth is a multiple of the FTTH download projections, that is, an elasticity coefficient multiplies the projected download speed.</w:t>
      </w:r>
    </w:p>
    <w:p w14:paraId="4D0F52FD" w14:textId="1BE0B6AA" w:rsidR="009B33C8" w:rsidRPr="00D86314" w:rsidRDefault="009B33C8" w:rsidP="009B33C8">
      <w:pPr>
        <w:pStyle w:val="Abbberschrift"/>
        <w:rPr>
          <w:rFonts w:ascii="Times New Roman" w:hAnsi="Times New Roman"/>
          <w:i/>
          <w:noProof/>
        </w:rPr>
      </w:pPr>
      <w:bookmarkStart w:id="92" w:name="_Ref204950634"/>
      <w:r w:rsidRPr="00D86314">
        <w:rPr>
          <w:rFonts w:ascii="Times New Roman" w:hAnsi="Times New Roman"/>
          <w:i/>
          <w:noProof/>
        </w:rPr>
        <w:t xml:space="preserve">Figure </w:t>
      </w:r>
      <w:r w:rsidR="006C3B5D" w:rsidRPr="00D86314">
        <w:rPr>
          <w:rFonts w:ascii="Times New Roman" w:hAnsi="Times New Roman"/>
          <w:i/>
          <w:noProof/>
        </w:rPr>
        <w:t>A4 1</w:t>
      </w:r>
      <w:bookmarkEnd w:id="91"/>
      <w:bookmarkEnd w:id="92"/>
      <w:r w:rsidR="001F10E6" w:rsidRPr="00D86314">
        <w:rPr>
          <w:rFonts w:ascii="Times New Roman" w:hAnsi="Times New Roman"/>
          <w:i/>
          <w:noProof/>
        </w:rPr>
        <w:noBreakHyphen/>
      </w:r>
      <w:r w:rsidR="005B5146">
        <w:rPr>
          <w:rFonts w:ascii="Times New Roman" w:hAnsi="Times New Roman"/>
          <w:i/>
          <w:noProof/>
        </w:rPr>
        <w:noBreakHyphen/>
      </w:r>
      <w:r w:rsidR="00596077">
        <w:rPr>
          <w:rFonts w:ascii="Times New Roman" w:hAnsi="Times New Roman"/>
          <w:i/>
          <w:noProof/>
        </w:rPr>
        <w:t>19</w:t>
      </w:r>
      <w:r w:rsidRPr="00D86314">
        <w:rPr>
          <w:rFonts w:ascii="Times New Roman" w:hAnsi="Times New Roman"/>
          <w:i/>
          <w:noProof/>
        </w:rPr>
        <w:t>:FTTH download speed impact on GDP growth of access options</w:t>
      </w:r>
    </w:p>
    <w:p w14:paraId="55101B1D" w14:textId="23F6EC4A" w:rsidR="00240634" w:rsidRPr="00D86314" w:rsidRDefault="00332C7E" w:rsidP="00B22BA5">
      <w:pPr>
        <w:rPr>
          <w:noProof/>
        </w:rPr>
      </w:pPr>
      <w:r w:rsidRPr="00E46BC9">
        <w:rPr>
          <w:noProof/>
          <w:lang w:eastAsia="en-GB"/>
        </w:rPr>
        <w:drawing>
          <wp:inline distT="0" distB="0" distL="0" distR="0" wp14:anchorId="52D385FC" wp14:editId="216C905F">
            <wp:extent cx="5226050" cy="3054069"/>
            <wp:effectExtent l="0" t="0" r="0" b="0"/>
            <wp:docPr id="2063391628" name="Grafik 6" descr="Ein Bild, das Text, Screensho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91628" name="Grafik 6" descr="Ein Bild, das Text, Screenshot, Reihe, Diagramm enthält.&#10;&#10;KI-generierte Inhalte können fehlerhaft sei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49186" cy="3067590"/>
                    </a:xfrm>
                    <a:prstGeom prst="rect">
                      <a:avLst/>
                    </a:prstGeom>
                    <a:noFill/>
                  </pic:spPr>
                </pic:pic>
              </a:graphicData>
            </a:graphic>
          </wp:inline>
        </w:drawing>
      </w:r>
    </w:p>
    <w:p w14:paraId="038B3705" w14:textId="77777777" w:rsidR="009B33C8" w:rsidRPr="00D86314" w:rsidRDefault="009B33C8" w:rsidP="009B33C8">
      <w:pPr>
        <w:pStyle w:val="Quelle"/>
        <w:rPr>
          <w:rFonts w:ascii="Times New Roman" w:hAnsi="Times New Roman"/>
          <w:noProof/>
        </w:rPr>
      </w:pPr>
      <w:r w:rsidRPr="00D86314">
        <w:rPr>
          <w:rFonts w:ascii="Times New Roman" w:hAnsi="Times New Roman"/>
          <w:noProof/>
        </w:rPr>
        <w:t>Source: WIK based on FTTH projections and literature review.</w:t>
      </w:r>
    </w:p>
    <w:p w14:paraId="0ECA8034" w14:textId="77777777" w:rsidR="009B33C8" w:rsidRPr="00D86314" w:rsidRDefault="009B33C8" w:rsidP="009B33C8">
      <w:pPr>
        <w:rPr>
          <w:noProof/>
        </w:rPr>
      </w:pPr>
      <w:r w:rsidRPr="00D86314">
        <w:rPr>
          <w:noProof/>
        </w:rPr>
        <w:t>The strong growth from 2028 to 2029 of Option 4 reflects the accelerated fibre roll-out induced by the strict mandatory copper switch-off date. After copper switch-off, fibre roll-out continues at a slower pace. Fibre roll-out and the extension of coverage is linked with higher take-up and to an increase in speed. But the increase in speed is limited by low take-up of gigabit speed under this option due to the high share of active wholesale access and higher price levels and a price structure with high surcharges for higher bandwidths. Further, under option 4 a coverage gap remains and in consequence copper switch-off results in a higher share of FWA and 4G/5G mobile which are linked with lower speed compared to fibre or cable. Under option 2 fibre roll-out does not accelerate to the same extent as under option 4 but access to passive wholesale products could result in a higher choice of speeds at lower price levels and smaller price steps for higher bandwidths.</w:t>
      </w:r>
    </w:p>
    <w:p w14:paraId="09A50603" w14:textId="77777777" w:rsidR="009B33C8" w:rsidRPr="00D86314" w:rsidRDefault="009B33C8" w:rsidP="009B33C8">
      <w:pPr>
        <w:rPr>
          <w:noProof/>
        </w:rPr>
      </w:pPr>
      <w:r w:rsidRPr="00D86314">
        <w:rPr>
          <w:noProof/>
        </w:rPr>
        <w:t xml:space="preserve">Option 2 has the strongest impact on GDP followed by option 4. Such results are consistent with the literature, highlighting the role of FTTH in enhancing economic performance. </w:t>
      </w:r>
    </w:p>
    <w:p w14:paraId="1AE460A2" w14:textId="77777777" w:rsidR="009B33C8" w:rsidRPr="00D86314" w:rsidRDefault="009B33C8" w:rsidP="009B33C8">
      <w:pPr>
        <w:keepNext/>
        <w:rPr>
          <w:b/>
          <w:bCs/>
          <w:noProof/>
          <w:u w:val="single"/>
        </w:rPr>
      </w:pPr>
      <w:r w:rsidRPr="00D86314">
        <w:rPr>
          <w:b/>
          <w:bCs/>
          <w:noProof/>
          <w:u w:val="single"/>
        </w:rPr>
        <w:t>Universal Service Obligation</w:t>
      </w:r>
    </w:p>
    <w:p w14:paraId="465BDB87" w14:textId="1A9177C8" w:rsidR="009B33C8" w:rsidRPr="00D86314" w:rsidRDefault="006C3B5D" w:rsidP="009B33C8">
      <w:pPr>
        <w:pStyle w:val="Tabberschrift"/>
        <w:rPr>
          <w:rFonts w:ascii="Times New Roman" w:hAnsi="Times New Roman"/>
          <w:noProof/>
        </w:rPr>
      </w:pPr>
      <w:bookmarkStart w:id="93" w:name="_Ref202951143"/>
      <w:bookmarkStart w:id="94" w:name="_Toc202973187"/>
      <w:bookmarkStart w:id="95" w:name="_Toc214231346"/>
      <w:r w:rsidRPr="00D86314">
        <w:rPr>
          <w:rFonts w:ascii="Times New Roman" w:hAnsi="Times New Roman"/>
          <w:noProof/>
        </w:rPr>
        <w:t>Table A4 1</w:t>
      </w:r>
      <w:r w:rsidRPr="00D86314">
        <w:rPr>
          <w:rFonts w:ascii="Times New Roman" w:hAnsi="Times New Roman"/>
          <w:noProof/>
        </w:rPr>
        <w:noBreakHyphen/>
      </w:r>
      <w:r w:rsidR="00C909A0" w:rsidRPr="00D86314">
        <w:rPr>
          <w:rFonts w:ascii="Times New Roman" w:hAnsi="Times New Roman"/>
          <w:noProof/>
        </w:rPr>
        <w:t>13</w:t>
      </w:r>
      <w:bookmarkEnd w:id="93"/>
      <w:r w:rsidR="009B33C8" w:rsidRPr="00D86314">
        <w:rPr>
          <w:rFonts w:ascii="Times New Roman" w:hAnsi="Times New Roman"/>
          <w:noProof/>
        </w:rPr>
        <w:t>:Accumulated GDP impact (2025-2035) of options (</w:t>
      </w:r>
      <w:r w:rsidR="00A07013" w:rsidRPr="00D86314">
        <w:rPr>
          <w:rFonts w:ascii="Times New Roman" w:hAnsi="Times New Roman"/>
          <w:noProof/>
        </w:rPr>
        <w:t xml:space="preserve">billion </w:t>
      </w:r>
      <w:r w:rsidR="009B33C8" w:rsidRPr="00D86314">
        <w:rPr>
          <w:rFonts w:ascii="Times New Roman" w:hAnsi="Times New Roman"/>
          <w:noProof/>
        </w:rPr>
        <w:t>EUR)</w:t>
      </w:r>
      <w:bookmarkEnd w:id="94"/>
      <w:bookmarkEnd w:id="95"/>
    </w:p>
    <w:tbl>
      <w:tblPr>
        <w:tblW w:w="7500" w:type="dxa"/>
        <w:tblLook w:val="04A0" w:firstRow="1" w:lastRow="0" w:firstColumn="1" w:lastColumn="0" w:noHBand="0" w:noVBand="1"/>
      </w:tblPr>
      <w:tblGrid>
        <w:gridCol w:w="1700"/>
        <w:gridCol w:w="1160"/>
        <w:gridCol w:w="1160"/>
        <w:gridCol w:w="1160"/>
        <w:gridCol w:w="1160"/>
        <w:gridCol w:w="1160"/>
      </w:tblGrid>
      <w:tr w:rsidR="00892716" w:rsidRPr="00D86314" w14:paraId="03C08465" w14:textId="77777777" w:rsidTr="00892716">
        <w:trPr>
          <w:trHeight w:val="288"/>
        </w:trPr>
        <w:tc>
          <w:tcPr>
            <w:tcW w:w="1700" w:type="dxa"/>
            <w:tcBorders>
              <w:top w:val="single" w:sz="4" w:space="0" w:color="44B3E1"/>
              <w:left w:val="single" w:sz="4" w:space="0" w:color="44B3E1"/>
              <w:bottom w:val="single" w:sz="4" w:space="0" w:color="44B3E1"/>
              <w:right w:val="nil"/>
            </w:tcBorders>
            <w:shd w:val="clear" w:color="156082" w:fill="156082"/>
            <w:noWrap/>
            <w:vAlign w:val="bottom"/>
            <w:hideMark/>
          </w:tcPr>
          <w:p w14:paraId="5ED393A8" w14:textId="77777777" w:rsidR="00892716" w:rsidRPr="00C20A01" w:rsidRDefault="00892716" w:rsidP="00892716">
            <w:pPr>
              <w:spacing w:after="0"/>
              <w:jc w:val="left"/>
              <w:rPr>
                <w:rFonts w:ascii="Aptos Narrow" w:eastAsia="Times New Roman" w:hAnsi="Aptos Narrow"/>
                <w:b/>
                <w:bCs/>
                <w:noProof/>
                <w:color w:val="FFFFFF"/>
                <w:sz w:val="22"/>
                <w:szCs w:val="22"/>
                <w:lang w:eastAsia="en-IE"/>
              </w:rPr>
            </w:pPr>
            <w:r w:rsidRPr="00C20A01">
              <w:rPr>
                <w:rFonts w:ascii="Aptos Narrow" w:eastAsia="Times New Roman" w:hAnsi="Aptos Narrow"/>
                <w:b/>
                <w:bCs/>
                <w:noProof/>
                <w:color w:val="FFFFFF"/>
                <w:sz w:val="22"/>
                <w:szCs w:val="22"/>
                <w:lang w:eastAsia="en-IE"/>
              </w:rPr>
              <w:t>Scenario</w:t>
            </w:r>
          </w:p>
        </w:tc>
        <w:tc>
          <w:tcPr>
            <w:tcW w:w="1160" w:type="dxa"/>
            <w:tcBorders>
              <w:top w:val="single" w:sz="4" w:space="0" w:color="44B3E1"/>
              <w:left w:val="nil"/>
              <w:bottom w:val="single" w:sz="4" w:space="0" w:color="44B3E1"/>
              <w:right w:val="nil"/>
            </w:tcBorders>
            <w:shd w:val="clear" w:color="156082" w:fill="156082"/>
            <w:noWrap/>
            <w:vAlign w:val="bottom"/>
            <w:hideMark/>
          </w:tcPr>
          <w:p w14:paraId="75D47BBB" w14:textId="77777777" w:rsidR="00892716" w:rsidRPr="00C20A01" w:rsidRDefault="00892716" w:rsidP="00892716">
            <w:pPr>
              <w:spacing w:after="0"/>
              <w:jc w:val="center"/>
              <w:rPr>
                <w:rFonts w:ascii="Aptos Narrow" w:eastAsia="Times New Roman" w:hAnsi="Aptos Narrow"/>
                <w:b/>
                <w:bCs/>
                <w:noProof/>
                <w:color w:val="FFFFFF"/>
                <w:sz w:val="22"/>
                <w:szCs w:val="22"/>
                <w:lang w:eastAsia="en-IE"/>
              </w:rPr>
            </w:pPr>
            <w:r w:rsidRPr="00C20A01">
              <w:rPr>
                <w:rFonts w:ascii="Aptos Narrow" w:eastAsia="Times New Roman" w:hAnsi="Aptos Narrow"/>
                <w:b/>
                <w:bCs/>
                <w:noProof/>
                <w:color w:val="FFFFFF"/>
                <w:sz w:val="22"/>
                <w:szCs w:val="22"/>
                <w:lang w:eastAsia="en-IE"/>
              </w:rPr>
              <w:t>Option 0</w:t>
            </w:r>
          </w:p>
        </w:tc>
        <w:tc>
          <w:tcPr>
            <w:tcW w:w="1160" w:type="dxa"/>
            <w:tcBorders>
              <w:top w:val="single" w:sz="4" w:space="0" w:color="44B3E1"/>
              <w:left w:val="nil"/>
              <w:bottom w:val="single" w:sz="4" w:space="0" w:color="44B3E1"/>
              <w:right w:val="nil"/>
            </w:tcBorders>
            <w:shd w:val="clear" w:color="156082" w:fill="156082"/>
            <w:noWrap/>
            <w:vAlign w:val="bottom"/>
            <w:hideMark/>
          </w:tcPr>
          <w:p w14:paraId="739B9DC1" w14:textId="77777777" w:rsidR="00892716" w:rsidRPr="00C20A01" w:rsidRDefault="00892716" w:rsidP="00892716">
            <w:pPr>
              <w:spacing w:after="0"/>
              <w:jc w:val="center"/>
              <w:rPr>
                <w:rFonts w:ascii="Aptos Narrow" w:eastAsia="Times New Roman" w:hAnsi="Aptos Narrow"/>
                <w:b/>
                <w:bCs/>
                <w:noProof/>
                <w:color w:val="FFFFFF"/>
                <w:sz w:val="22"/>
                <w:szCs w:val="22"/>
                <w:lang w:eastAsia="en-IE"/>
              </w:rPr>
            </w:pPr>
            <w:r w:rsidRPr="00C20A01">
              <w:rPr>
                <w:rFonts w:ascii="Aptos Narrow" w:eastAsia="Times New Roman" w:hAnsi="Aptos Narrow"/>
                <w:b/>
                <w:bCs/>
                <w:noProof/>
                <w:color w:val="FFFFFF"/>
                <w:sz w:val="22"/>
                <w:szCs w:val="22"/>
                <w:lang w:eastAsia="en-IE"/>
              </w:rPr>
              <w:t>Option 1</w:t>
            </w:r>
          </w:p>
        </w:tc>
        <w:tc>
          <w:tcPr>
            <w:tcW w:w="1160" w:type="dxa"/>
            <w:tcBorders>
              <w:top w:val="single" w:sz="4" w:space="0" w:color="44B3E1"/>
              <w:left w:val="nil"/>
              <w:bottom w:val="single" w:sz="4" w:space="0" w:color="44B3E1"/>
              <w:right w:val="nil"/>
            </w:tcBorders>
            <w:shd w:val="clear" w:color="156082" w:fill="156082"/>
            <w:noWrap/>
            <w:vAlign w:val="bottom"/>
            <w:hideMark/>
          </w:tcPr>
          <w:p w14:paraId="33FFF9D0" w14:textId="77777777" w:rsidR="00892716" w:rsidRPr="00C20A01" w:rsidRDefault="00892716" w:rsidP="00892716">
            <w:pPr>
              <w:spacing w:after="0"/>
              <w:jc w:val="center"/>
              <w:rPr>
                <w:rFonts w:ascii="Aptos Narrow" w:eastAsia="Times New Roman" w:hAnsi="Aptos Narrow"/>
                <w:b/>
                <w:bCs/>
                <w:noProof/>
                <w:color w:val="FFFFFF"/>
                <w:sz w:val="22"/>
                <w:szCs w:val="22"/>
                <w:lang w:eastAsia="en-IE"/>
              </w:rPr>
            </w:pPr>
            <w:r w:rsidRPr="00C20A01">
              <w:rPr>
                <w:rFonts w:ascii="Aptos Narrow" w:eastAsia="Times New Roman" w:hAnsi="Aptos Narrow"/>
                <w:b/>
                <w:bCs/>
                <w:noProof/>
                <w:color w:val="FFFFFF"/>
                <w:sz w:val="22"/>
                <w:szCs w:val="22"/>
                <w:lang w:eastAsia="en-IE"/>
              </w:rPr>
              <w:t>Option 2</w:t>
            </w:r>
          </w:p>
        </w:tc>
        <w:tc>
          <w:tcPr>
            <w:tcW w:w="1160" w:type="dxa"/>
            <w:tcBorders>
              <w:top w:val="single" w:sz="4" w:space="0" w:color="44B3E1"/>
              <w:left w:val="nil"/>
              <w:bottom w:val="single" w:sz="4" w:space="0" w:color="44B3E1"/>
              <w:right w:val="nil"/>
            </w:tcBorders>
            <w:shd w:val="clear" w:color="156082" w:fill="156082"/>
            <w:noWrap/>
            <w:vAlign w:val="bottom"/>
            <w:hideMark/>
          </w:tcPr>
          <w:p w14:paraId="7E1F6E69" w14:textId="77777777" w:rsidR="00892716" w:rsidRPr="00C20A01" w:rsidRDefault="00892716" w:rsidP="00892716">
            <w:pPr>
              <w:spacing w:after="0"/>
              <w:jc w:val="center"/>
              <w:rPr>
                <w:rFonts w:ascii="Aptos Narrow" w:eastAsia="Times New Roman" w:hAnsi="Aptos Narrow"/>
                <w:b/>
                <w:bCs/>
                <w:noProof/>
                <w:color w:val="FFFFFF"/>
                <w:sz w:val="22"/>
                <w:szCs w:val="22"/>
                <w:lang w:eastAsia="en-IE"/>
              </w:rPr>
            </w:pPr>
            <w:r w:rsidRPr="00C20A01">
              <w:rPr>
                <w:rFonts w:ascii="Aptos Narrow" w:eastAsia="Times New Roman" w:hAnsi="Aptos Narrow"/>
                <w:b/>
                <w:bCs/>
                <w:noProof/>
                <w:color w:val="FFFFFF"/>
                <w:sz w:val="22"/>
                <w:szCs w:val="22"/>
                <w:lang w:eastAsia="en-IE"/>
              </w:rPr>
              <w:t>Option 3</w:t>
            </w:r>
          </w:p>
        </w:tc>
        <w:tc>
          <w:tcPr>
            <w:tcW w:w="1160" w:type="dxa"/>
            <w:tcBorders>
              <w:top w:val="single" w:sz="4" w:space="0" w:color="44B3E1"/>
              <w:left w:val="nil"/>
              <w:bottom w:val="single" w:sz="4" w:space="0" w:color="44B3E1"/>
              <w:right w:val="single" w:sz="4" w:space="0" w:color="44B3E1"/>
            </w:tcBorders>
            <w:shd w:val="clear" w:color="156082" w:fill="156082"/>
            <w:noWrap/>
            <w:vAlign w:val="bottom"/>
            <w:hideMark/>
          </w:tcPr>
          <w:p w14:paraId="16DBA7C9" w14:textId="77777777" w:rsidR="00892716" w:rsidRPr="00C20A01" w:rsidRDefault="00892716" w:rsidP="00892716">
            <w:pPr>
              <w:spacing w:after="0"/>
              <w:jc w:val="center"/>
              <w:rPr>
                <w:rFonts w:ascii="Aptos Narrow" w:eastAsia="Times New Roman" w:hAnsi="Aptos Narrow"/>
                <w:b/>
                <w:bCs/>
                <w:noProof/>
                <w:color w:val="FFFFFF"/>
                <w:sz w:val="22"/>
                <w:szCs w:val="22"/>
                <w:lang w:eastAsia="en-IE"/>
              </w:rPr>
            </w:pPr>
            <w:r w:rsidRPr="00C20A01">
              <w:rPr>
                <w:rFonts w:ascii="Aptos Narrow" w:eastAsia="Times New Roman" w:hAnsi="Aptos Narrow"/>
                <w:b/>
                <w:bCs/>
                <w:noProof/>
                <w:color w:val="FFFFFF"/>
                <w:sz w:val="22"/>
                <w:szCs w:val="22"/>
                <w:lang w:eastAsia="en-IE"/>
              </w:rPr>
              <w:t>Option 4</w:t>
            </w:r>
          </w:p>
        </w:tc>
      </w:tr>
      <w:tr w:rsidR="00892716" w:rsidRPr="00D86314" w14:paraId="1F96CEC0" w14:textId="77777777" w:rsidTr="00892716">
        <w:trPr>
          <w:trHeight w:val="288"/>
        </w:trPr>
        <w:tc>
          <w:tcPr>
            <w:tcW w:w="1700" w:type="dxa"/>
            <w:tcBorders>
              <w:top w:val="nil"/>
              <w:left w:val="single" w:sz="4" w:space="0" w:color="44B3E1"/>
              <w:bottom w:val="single" w:sz="4" w:space="0" w:color="44B3E1"/>
              <w:right w:val="nil"/>
            </w:tcBorders>
            <w:hideMark/>
          </w:tcPr>
          <w:p w14:paraId="0BA3B6EA" w14:textId="77777777" w:rsidR="00892716" w:rsidRPr="00C20A01" w:rsidRDefault="00892716" w:rsidP="00892716">
            <w:pPr>
              <w:spacing w:after="0"/>
              <w:jc w:val="lef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Excl. USO</w:t>
            </w:r>
          </w:p>
        </w:tc>
        <w:tc>
          <w:tcPr>
            <w:tcW w:w="1160" w:type="dxa"/>
            <w:tcBorders>
              <w:top w:val="nil"/>
              <w:left w:val="nil"/>
              <w:bottom w:val="single" w:sz="4" w:space="0" w:color="44B3E1"/>
              <w:right w:val="nil"/>
            </w:tcBorders>
            <w:noWrap/>
            <w:hideMark/>
          </w:tcPr>
          <w:p w14:paraId="22ACE688" w14:textId="5EFEF5CD"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1</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535</w:t>
            </w:r>
          </w:p>
        </w:tc>
        <w:tc>
          <w:tcPr>
            <w:tcW w:w="1160" w:type="dxa"/>
            <w:tcBorders>
              <w:top w:val="nil"/>
              <w:left w:val="nil"/>
              <w:bottom w:val="single" w:sz="4" w:space="0" w:color="44B3E1"/>
              <w:right w:val="nil"/>
            </w:tcBorders>
            <w:noWrap/>
            <w:hideMark/>
          </w:tcPr>
          <w:p w14:paraId="5E14B9BC" w14:textId="12961CF7"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1</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679</w:t>
            </w:r>
          </w:p>
        </w:tc>
        <w:tc>
          <w:tcPr>
            <w:tcW w:w="1160" w:type="dxa"/>
            <w:tcBorders>
              <w:top w:val="nil"/>
              <w:left w:val="nil"/>
              <w:bottom w:val="single" w:sz="4" w:space="0" w:color="44B3E1"/>
              <w:right w:val="nil"/>
            </w:tcBorders>
            <w:noWrap/>
            <w:hideMark/>
          </w:tcPr>
          <w:p w14:paraId="5C264254" w14:textId="2ADF050D"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1</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862</w:t>
            </w:r>
          </w:p>
        </w:tc>
        <w:tc>
          <w:tcPr>
            <w:tcW w:w="1160" w:type="dxa"/>
            <w:tcBorders>
              <w:top w:val="nil"/>
              <w:left w:val="nil"/>
              <w:bottom w:val="single" w:sz="4" w:space="0" w:color="44B3E1"/>
              <w:right w:val="nil"/>
            </w:tcBorders>
            <w:noWrap/>
            <w:hideMark/>
          </w:tcPr>
          <w:p w14:paraId="42CB72F9" w14:textId="28242233"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1</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437</w:t>
            </w:r>
          </w:p>
        </w:tc>
        <w:tc>
          <w:tcPr>
            <w:tcW w:w="1160" w:type="dxa"/>
            <w:tcBorders>
              <w:top w:val="nil"/>
              <w:left w:val="nil"/>
              <w:bottom w:val="single" w:sz="4" w:space="0" w:color="44B3E1"/>
              <w:right w:val="single" w:sz="4" w:space="0" w:color="44B3E1"/>
            </w:tcBorders>
            <w:noWrap/>
            <w:hideMark/>
          </w:tcPr>
          <w:p w14:paraId="120687DC" w14:textId="0901BF1F"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1</w:t>
            </w:r>
            <w:r w:rsidR="00F53F9A">
              <w:rPr>
                <w:rFonts w:ascii="Aptos Narrow" w:eastAsia="Times New Roman" w:hAnsi="Aptos Narrow"/>
                <w:noProof/>
                <w:color w:val="000000"/>
                <w:sz w:val="22"/>
                <w:szCs w:val="22"/>
                <w:lang w:eastAsia="en-IE"/>
              </w:rPr>
              <w:t> </w:t>
            </w:r>
            <w:r w:rsidRPr="00C20A01">
              <w:rPr>
                <w:rFonts w:ascii="Aptos Narrow" w:eastAsia="Times New Roman" w:hAnsi="Aptos Narrow"/>
                <w:noProof/>
                <w:color w:val="000000"/>
                <w:sz w:val="22"/>
                <w:szCs w:val="22"/>
                <w:lang w:eastAsia="en-IE"/>
              </w:rPr>
              <w:t>761</w:t>
            </w:r>
          </w:p>
        </w:tc>
      </w:tr>
      <w:tr w:rsidR="00892716" w:rsidRPr="00D86314" w14:paraId="59C460FB" w14:textId="77777777" w:rsidTr="00892716">
        <w:trPr>
          <w:trHeight w:val="288"/>
        </w:trPr>
        <w:tc>
          <w:tcPr>
            <w:tcW w:w="1700" w:type="dxa"/>
            <w:tcBorders>
              <w:top w:val="nil"/>
              <w:left w:val="single" w:sz="4" w:space="0" w:color="44B3E1"/>
              <w:bottom w:val="single" w:sz="4" w:space="0" w:color="44B3E1"/>
              <w:right w:val="nil"/>
            </w:tcBorders>
            <w:hideMark/>
          </w:tcPr>
          <w:p w14:paraId="77866EB1" w14:textId="77777777" w:rsidR="00892716" w:rsidRPr="00C20A01" w:rsidRDefault="00892716" w:rsidP="00892716">
            <w:pPr>
              <w:spacing w:after="0"/>
              <w:jc w:val="left"/>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Incl. USO</w:t>
            </w:r>
          </w:p>
        </w:tc>
        <w:tc>
          <w:tcPr>
            <w:tcW w:w="1160" w:type="dxa"/>
            <w:tcBorders>
              <w:top w:val="nil"/>
              <w:left w:val="nil"/>
              <w:bottom w:val="single" w:sz="4" w:space="0" w:color="44B3E1"/>
              <w:right w:val="nil"/>
            </w:tcBorders>
            <w:noWrap/>
            <w:hideMark/>
          </w:tcPr>
          <w:p w14:paraId="7B517F6C" w14:textId="60D1145D" w:rsidR="00892716" w:rsidRPr="00C20A01" w:rsidRDefault="00892716" w:rsidP="00892716">
            <w:pPr>
              <w:spacing w:after="0"/>
              <w:jc w:val="right"/>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535</w:t>
            </w:r>
          </w:p>
        </w:tc>
        <w:tc>
          <w:tcPr>
            <w:tcW w:w="1160" w:type="dxa"/>
            <w:tcBorders>
              <w:top w:val="nil"/>
              <w:left w:val="nil"/>
              <w:bottom w:val="single" w:sz="4" w:space="0" w:color="44B3E1"/>
              <w:right w:val="nil"/>
            </w:tcBorders>
            <w:noWrap/>
            <w:hideMark/>
          </w:tcPr>
          <w:p w14:paraId="00924DA5" w14:textId="3E820CAB" w:rsidR="00892716" w:rsidRPr="00C20A01" w:rsidRDefault="00892716" w:rsidP="00892716">
            <w:pPr>
              <w:spacing w:after="0"/>
              <w:jc w:val="right"/>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679</w:t>
            </w:r>
          </w:p>
        </w:tc>
        <w:tc>
          <w:tcPr>
            <w:tcW w:w="1160" w:type="dxa"/>
            <w:tcBorders>
              <w:top w:val="nil"/>
              <w:left w:val="nil"/>
              <w:bottom w:val="single" w:sz="4" w:space="0" w:color="44B3E1"/>
              <w:right w:val="nil"/>
            </w:tcBorders>
            <w:noWrap/>
            <w:hideMark/>
          </w:tcPr>
          <w:p w14:paraId="07B96CB7" w14:textId="3B3577BA" w:rsidR="00892716" w:rsidRPr="00C20A01" w:rsidRDefault="00892716" w:rsidP="00892716">
            <w:pPr>
              <w:spacing w:after="0"/>
              <w:jc w:val="right"/>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865</w:t>
            </w:r>
          </w:p>
        </w:tc>
        <w:tc>
          <w:tcPr>
            <w:tcW w:w="1160" w:type="dxa"/>
            <w:tcBorders>
              <w:top w:val="nil"/>
              <w:left w:val="nil"/>
              <w:bottom w:val="single" w:sz="4" w:space="0" w:color="44B3E1"/>
              <w:right w:val="nil"/>
            </w:tcBorders>
            <w:noWrap/>
            <w:hideMark/>
          </w:tcPr>
          <w:p w14:paraId="6F8C5DAE" w14:textId="42027F86" w:rsidR="00892716" w:rsidRPr="00C20A01" w:rsidRDefault="00892716" w:rsidP="00892716">
            <w:pPr>
              <w:spacing w:after="0"/>
              <w:jc w:val="right"/>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437</w:t>
            </w:r>
          </w:p>
        </w:tc>
        <w:tc>
          <w:tcPr>
            <w:tcW w:w="1160" w:type="dxa"/>
            <w:tcBorders>
              <w:top w:val="nil"/>
              <w:left w:val="nil"/>
              <w:bottom w:val="single" w:sz="4" w:space="0" w:color="44B3E1"/>
              <w:right w:val="single" w:sz="4" w:space="0" w:color="44B3E1"/>
            </w:tcBorders>
            <w:noWrap/>
            <w:hideMark/>
          </w:tcPr>
          <w:p w14:paraId="76F2C033" w14:textId="484BD428" w:rsidR="00892716" w:rsidRPr="00C20A01" w:rsidRDefault="00892716" w:rsidP="00892716">
            <w:pPr>
              <w:spacing w:after="0"/>
              <w:jc w:val="right"/>
              <w:rPr>
                <w:rFonts w:ascii="Aptos Narrow" w:eastAsia="Times New Roman" w:hAnsi="Aptos Narrow"/>
                <w:b/>
                <w:bCs/>
                <w:noProof/>
                <w:color w:val="000000"/>
                <w:sz w:val="22"/>
                <w:szCs w:val="22"/>
                <w:lang w:eastAsia="en-IE"/>
              </w:rPr>
            </w:pPr>
            <w:r w:rsidRPr="00C20A01">
              <w:rPr>
                <w:rFonts w:ascii="Aptos Narrow" w:eastAsia="Times New Roman" w:hAnsi="Aptos Narrow"/>
                <w:b/>
                <w:bCs/>
                <w:noProof/>
                <w:color w:val="000000"/>
                <w:sz w:val="22"/>
                <w:szCs w:val="22"/>
                <w:lang w:eastAsia="en-IE"/>
              </w:rPr>
              <w:t>1</w:t>
            </w:r>
            <w:r w:rsidR="00F53F9A">
              <w:rPr>
                <w:rFonts w:ascii="Aptos Narrow" w:eastAsia="Times New Roman" w:hAnsi="Aptos Narrow"/>
                <w:b/>
                <w:bCs/>
                <w:noProof/>
                <w:color w:val="000000"/>
                <w:sz w:val="22"/>
                <w:szCs w:val="22"/>
                <w:lang w:eastAsia="en-IE"/>
              </w:rPr>
              <w:t> </w:t>
            </w:r>
            <w:r w:rsidRPr="00C20A01">
              <w:rPr>
                <w:rFonts w:ascii="Aptos Narrow" w:eastAsia="Times New Roman" w:hAnsi="Aptos Narrow"/>
                <w:b/>
                <w:bCs/>
                <w:noProof/>
                <w:color w:val="000000"/>
                <w:sz w:val="22"/>
                <w:szCs w:val="22"/>
                <w:lang w:eastAsia="en-IE"/>
              </w:rPr>
              <w:t>781</w:t>
            </w:r>
          </w:p>
        </w:tc>
      </w:tr>
      <w:tr w:rsidR="00892716" w:rsidRPr="00D86314" w14:paraId="74A71FBE" w14:textId="77777777" w:rsidTr="00892716">
        <w:trPr>
          <w:trHeight w:val="576"/>
        </w:trPr>
        <w:tc>
          <w:tcPr>
            <w:tcW w:w="1700" w:type="dxa"/>
            <w:tcBorders>
              <w:top w:val="nil"/>
              <w:left w:val="single" w:sz="4" w:space="0" w:color="44B3E1"/>
              <w:bottom w:val="single" w:sz="4" w:space="0" w:color="44B3E1"/>
              <w:right w:val="nil"/>
            </w:tcBorders>
            <w:hideMark/>
          </w:tcPr>
          <w:p w14:paraId="5DC97225" w14:textId="77777777" w:rsidR="00892716" w:rsidRPr="00C20A01" w:rsidRDefault="00892716" w:rsidP="00892716">
            <w:pPr>
              <w:spacing w:after="0"/>
              <w:jc w:val="lef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Δ USO (from 2030 onwards)</w:t>
            </w:r>
          </w:p>
        </w:tc>
        <w:tc>
          <w:tcPr>
            <w:tcW w:w="1160" w:type="dxa"/>
            <w:tcBorders>
              <w:top w:val="nil"/>
              <w:left w:val="nil"/>
              <w:bottom w:val="single" w:sz="4" w:space="0" w:color="44B3E1"/>
              <w:right w:val="nil"/>
            </w:tcBorders>
            <w:noWrap/>
            <w:hideMark/>
          </w:tcPr>
          <w:p w14:paraId="142CE40A" w14:textId="77777777"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0</w:t>
            </w:r>
          </w:p>
        </w:tc>
        <w:tc>
          <w:tcPr>
            <w:tcW w:w="1160" w:type="dxa"/>
            <w:tcBorders>
              <w:top w:val="nil"/>
              <w:left w:val="nil"/>
              <w:bottom w:val="single" w:sz="4" w:space="0" w:color="44B3E1"/>
              <w:right w:val="nil"/>
            </w:tcBorders>
            <w:noWrap/>
            <w:hideMark/>
          </w:tcPr>
          <w:p w14:paraId="19350B02" w14:textId="77777777"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0</w:t>
            </w:r>
          </w:p>
        </w:tc>
        <w:tc>
          <w:tcPr>
            <w:tcW w:w="1160" w:type="dxa"/>
            <w:tcBorders>
              <w:top w:val="nil"/>
              <w:left w:val="nil"/>
              <w:bottom w:val="single" w:sz="4" w:space="0" w:color="44B3E1"/>
              <w:right w:val="nil"/>
            </w:tcBorders>
            <w:noWrap/>
            <w:hideMark/>
          </w:tcPr>
          <w:p w14:paraId="22F4081F" w14:textId="77777777"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3</w:t>
            </w:r>
          </w:p>
        </w:tc>
        <w:tc>
          <w:tcPr>
            <w:tcW w:w="1160" w:type="dxa"/>
            <w:tcBorders>
              <w:top w:val="nil"/>
              <w:left w:val="nil"/>
              <w:bottom w:val="single" w:sz="4" w:space="0" w:color="44B3E1"/>
              <w:right w:val="nil"/>
            </w:tcBorders>
            <w:noWrap/>
            <w:hideMark/>
          </w:tcPr>
          <w:p w14:paraId="06E8502D" w14:textId="77777777"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0</w:t>
            </w:r>
          </w:p>
        </w:tc>
        <w:tc>
          <w:tcPr>
            <w:tcW w:w="1160" w:type="dxa"/>
            <w:tcBorders>
              <w:top w:val="nil"/>
              <w:left w:val="nil"/>
              <w:bottom w:val="single" w:sz="4" w:space="0" w:color="44B3E1"/>
              <w:right w:val="single" w:sz="4" w:space="0" w:color="44B3E1"/>
            </w:tcBorders>
            <w:noWrap/>
            <w:hideMark/>
          </w:tcPr>
          <w:p w14:paraId="195889B2" w14:textId="77777777" w:rsidR="00892716" w:rsidRPr="00C20A01" w:rsidRDefault="00892716" w:rsidP="00892716">
            <w:pPr>
              <w:spacing w:after="0"/>
              <w:jc w:val="right"/>
              <w:rPr>
                <w:rFonts w:ascii="Aptos Narrow" w:eastAsia="Times New Roman" w:hAnsi="Aptos Narrow"/>
                <w:noProof/>
                <w:color w:val="000000"/>
                <w:sz w:val="22"/>
                <w:szCs w:val="22"/>
                <w:lang w:eastAsia="en-IE"/>
              </w:rPr>
            </w:pPr>
            <w:r w:rsidRPr="00C20A01">
              <w:rPr>
                <w:rFonts w:ascii="Aptos Narrow" w:eastAsia="Times New Roman" w:hAnsi="Aptos Narrow"/>
                <w:noProof/>
                <w:color w:val="000000"/>
                <w:sz w:val="22"/>
                <w:szCs w:val="22"/>
                <w:lang w:eastAsia="en-IE"/>
              </w:rPr>
              <w:t>20</w:t>
            </w:r>
          </w:p>
        </w:tc>
      </w:tr>
    </w:tbl>
    <w:p w14:paraId="31F50308" w14:textId="77777777" w:rsidR="00892716" w:rsidRPr="00D86314" w:rsidRDefault="00892716" w:rsidP="00B22BA5">
      <w:pPr>
        <w:rPr>
          <w:noProof/>
        </w:rPr>
      </w:pPr>
    </w:p>
    <w:p w14:paraId="50F9345D" w14:textId="77777777" w:rsidR="009B33C8" w:rsidRPr="00D86314" w:rsidRDefault="009B33C8" w:rsidP="009B33C8">
      <w:pPr>
        <w:pStyle w:val="Quelle"/>
        <w:rPr>
          <w:rFonts w:ascii="Times New Roman" w:hAnsi="Times New Roman"/>
          <w:noProof/>
        </w:rPr>
      </w:pPr>
      <w:r w:rsidRPr="00D86314">
        <w:rPr>
          <w:rFonts w:ascii="Times New Roman" w:hAnsi="Times New Roman"/>
          <w:noProof/>
        </w:rPr>
        <w:t>Source: WIK-Consult</w:t>
      </w:r>
    </w:p>
    <w:p w14:paraId="035ABBA4" w14:textId="2A1079E9" w:rsidR="009B33C8" w:rsidRPr="00D86314" w:rsidRDefault="009B33C8" w:rsidP="009B33C8">
      <w:pPr>
        <w:rPr>
          <w:noProof/>
        </w:rPr>
      </w:pPr>
      <w:r w:rsidRPr="00D86314">
        <w:rPr>
          <w:noProof/>
        </w:rPr>
        <w:fldChar w:fldCharType="begin"/>
      </w:r>
      <w:r w:rsidRPr="00D86314">
        <w:rPr>
          <w:noProof/>
        </w:rPr>
        <w:instrText xml:space="preserve"> REF _Ref202951143 \h  \* MERGEFORMAT </w:instrText>
      </w:r>
      <w:r w:rsidRPr="00D86314">
        <w:rPr>
          <w:noProof/>
        </w:rPr>
      </w:r>
      <w:r w:rsidRPr="00D86314">
        <w:rPr>
          <w:noProof/>
        </w:rPr>
        <w:fldChar w:fldCharType="separate"/>
      </w:r>
      <w:r w:rsidR="00870CA9" w:rsidRPr="00D86314">
        <w:rPr>
          <w:noProof/>
        </w:rPr>
        <w:t>Table A4 1</w:t>
      </w:r>
      <w:r w:rsidR="00870CA9" w:rsidRPr="00D86314">
        <w:rPr>
          <w:noProof/>
        </w:rPr>
        <w:noBreakHyphen/>
        <w:t>1</w:t>
      </w:r>
      <w:r w:rsidRPr="00D86314">
        <w:rPr>
          <w:noProof/>
        </w:rPr>
        <w:fldChar w:fldCharType="end"/>
      </w:r>
      <w:r w:rsidR="00A81603">
        <w:rPr>
          <w:noProof/>
        </w:rPr>
        <w:t xml:space="preserve">3 </w:t>
      </w:r>
      <w:r w:rsidRPr="00D86314">
        <w:rPr>
          <w:noProof/>
        </w:rPr>
        <w:t>shows the estimated impact of each USO option on GDP. USO option 2 and option 4 would have an estimated impact of 5 (option 2) and 28</w:t>
      </w:r>
      <w:r w:rsidR="009C6747" w:rsidRPr="00D86314">
        <w:rPr>
          <w:noProof/>
        </w:rPr>
        <w:t xml:space="preserve"> </w:t>
      </w:r>
      <w:r w:rsidRPr="00D86314">
        <w:rPr>
          <w:noProof/>
        </w:rPr>
        <w:t xml:space="preserve">(option 4) billion EUR respectively. In total the GDP impact would still be highest under option 2 at </w:t>
      </w:r>
      <w:r w:rsidR="003D4E7C" w:rsidRPr="00D86314">
        <w:rPr>
          <w:noProof/>
        </w:rPr>
        <w:t>EUR</w:t>
      </w:r>
      <w:r w:rsidR="00CA7F07" w:rsidRPr="00D86314">
        <w:rPr>
          <w:noProof/>
        </w:rPr>
        <w:t> </w:t>
      </w:r>
      <w:r w:rsidRPr="00D86314">
        <w:rPr>
          <w:noProof/>
        </w:rPr>
        <w:t>2</w:t>
      </w:r>
      <w:r w:rsidR="009C6747" w:rsidRPr="00D86314">
        <w:rPr>
          <w:noProof/>
        </w:rPr>
        <w:t> </w:t>
      </w:r>
      <w:r w:rsidRPr="00D86314">
        <w:rPr>
          <w:noProof/>
        </w:rPr>
        <w:t>525 billion.</w:t>
      </w:r>
    </w:p>
    <w:p w14:paraId="4ADD2C9D" w14:textId="6F06DF5D" w:rsidR="009B33C8" w:rsidRPr="00D86314" w:rsidRDefault="009B33C8" w:rsidP="003D4E7C">
      <w:pPr>
        <w:pStyle w:val="Abbberschrift"/>
        <w:spacing w:line="240" w:lineRule="auto"/>
        <w:ind w:left="1701" w:hanging="1701"/>
        <w:rPr>
          <w:rFonts w:ascii="Times New Roman" w:hAnsi="Times New Roman"/>
          <w:i/>
          <w:noProof/>
        </w:rPr>
      </w:pPr>
      <w:bookmarkStart w:id="96" w:name="_Ref202951378"/>
      <w:bookmarkStart w:id="97" w:name="_Toc202973171"/>
      <w:r w:rsidRPr="00D86314">
        <w:rPr>
          <w:rFonts w:ascii="Times New Roman" w:hAnsi="Times New Roman"/>
          <w:i/>
          <w:noProof/>
        </w:rPr>
        <w:t xml:space="preserve">Figure </w:t>
      </w:r>
      <w:r w:rsidR="00317946" w:rsidRPr="00D86314">
        <w:rPr>
          <w:rFonts w:ascii="Times New Roman" w:hAnsi="Times New Roman"/>
          <w:i/>
          <w:noProof/>
        </w:rPr>
        <w:t>A4 1</w:t>
      </w:r>
      <w:bookmarkEnd w:id="96"/>
      <w:r w:rsidR="005B5146">
        <w:rPr>
          <w:rFonts w:ascii="Times New Roman" w:hAnsi="Times New Roman"/>
          <w:i/>
          <w:noProof/>
        </w:rPr>
        <w:noBreakHyphen/>
      </w:r>
      <w:r w:rsidR="005B5146">
        <w:rPr>
          <w:rFonts w:ascii="Times New Roman" w:hAnsi="Times New Roman"/>
          <w:i/>
          <w:noProof/>
        </w:rPr>
        <w:fldChar w:fldCharType="begin"/>
      </w:r>
      <w:r w:rsidR="005B5146">
        <w:rPr>
          <w:rFonts w:ascii="Times New Roman" w:hAnsi="Times New Roman"/>
          <w:i/>
          <w:noProof/>
        </w:rPr>
        <w:instrText xml:space="preserve"> SEQ Figure \* ARABIC \s 1 </w:instrText>
      </w:r>
      <w:r w:rsidR="005B5146">
        <w:rPr>
          <w:rFonts w:ascii="Times New Roman" w:hAnsi="Times New Roman"/>
          <w:i/>
          <w:noProof/>
        </w:rPr>
        <w:fldChar w:fldCharType="separate"/>
      </w:r>
      <w:r w:rsidR="005B5146">
        <w:rPr>
          <w:rFonts w:ascii="Times New Roman" w:hAnsi="Times New Roman"/>
          <w:i/>
          <w:noProof/>
        </w:rPr>
        <w:t>19</w:t>
      </w:r>
      <w:r w:rsidR="005B5146">
        <w:rPr>
          <w:rFonts w:ascii="Times New Roman" w:hAnsi="Times New Roman"/>
          <w:i/>
          <w:noProof/>
        </w:rPr>
        <w:fldChar w:fldCharType="end"/>
      </w:r>
      <w:r w:rsidR="00596077">
        <w:rPr>
          <w:rFonts w:ascii="Times New Roman" w:hAnsi="Times New Roman"/>
          <w:i/>
          <w:noProof/>
        </w:rPr>
        <w:t>20</w:t>
      </w:r>
      <w:r w:rsidRPr="00D86314">
        <w:rPr>
          <w:rFonts w:ascii="Times New Roman" w:hAnsi="Times New Roman"/>
          <w:i/>
          <w:noProof/>
        </w:rPr>
        <w:t>:</w:t>
      </w:r>
      <w:r w:rsidRPr="00D86314">
        <w:rPr>
          <w:rFonts w:ascii="Times New Roman" w:hAnsi="Times New Roman"/>
          <w:i/>
          <w:noProof/>
        </w:rPr>
        <w:tab/>
        <w:t>FTTH download speed impact on GDP growth of access options including USO</w:t>
      </w:r>
      <w:bookmarkEnd w:id="97"/>
      <w:r w:rsidRPr="00D86314">
        <w:rPr>
          <w:rFonts w:ascii="Times New Roman" w:hAnsi="Times New Roman"/>
          <w:i/>
          <w:noProof/>
        </w:rPr>
        <w:t xml:space="preserve"> options 2 and 4</w:t>
      </w:r>
    </w:p>
    <w:p w14:paraId="0B9DB4A6" w14:textId="3C27E93F" w:rsidR="00F35294" w:rsidRPr="00D86314" w:rsidRDefault="00F35294" w:rsidP="00B22BA5">
      <w:pPr>
        <w:rPr>
          <w:noProof/>
        </w:rPr>
      </w:pPr>
      <w:r w:rsidRPr="00E46BC9">
        <w:rPr>
          <w:noProof/>
          <w:lang w:eastAsia="en-GB"/>
        </w:rPr>
        <w:drawing>
          <wp:inline distT="0" distB="0" distL="0" distR="0" wp14:anchorId="622BDE6A" wp14:editId="0EA390F0">
            <wp:extent cx="5491480" cy="2654170"/>
            <wp:effectExtent l="0" t="0" r="0" b="0"/>
            <wp:docPr id="237420493" name="Grafik 8" descr="Ein Bild, das Text,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20493" name="Grafik 8" descr="Ein Bild, das Text, Screenshot, Diagramm, Reihe enthält.&#10;&#10;KI-generierte Inhalte können fehlerhaft sei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507257" cy="2661795"/>
                    </a:xfrm>
                    <a:prstGeom prst="rect">
                      <a:avLst/>
                    </a:prstGeom>
                    <a:noFill/>
                  </pic:spPr>
                </pic:pic>
              </a:graphicData>
            </a:graphic>
          </wp:inline>
        </w:drawing>
      </w:r>
    </w:p>
    <w:p w14:paraId="423635A5" w14:textId="77777777" w:rsidR="009B33C8" w:rsidRPr="00D86314" w:rsidRDefault="009B33C8" w:rsidP="009B33C8">
      <w:pPr>
        <w:rPr>
          <w:noProof/>
        </w:rPr>
      </w:pPr>
      <w:r w:rsidRPr="00D86314">
        <w:rPr>
          <w:rStyle w:val="QuelleChar"/>
          <w:rFonts w:ascii="Times New Roman" w:eastAsiaTheme="minorHAnsi" w:hAnsi="Times New Roman"/>
          <w:noProof/>
        </w:rPr>
        <w:t>Source: WIK based on FTTH projections, Bohlin Rohman Kongaut (2017) and Briglauer et al. (2025).</w:t>
      </w:r>
    </w:p>
    <w:p w14:paraId="09EFD7C7" w14:textId="49F17504" w:rsidR="002E079D" w:rsidRPr="00D86314" w:rsidRDefault="009B33C8" w:rsidP="00703057">
      <w:pPr>
        <w:rPr>
          <w:noProof/>
        </w:rPr>
      </w:pPr>
      <w:r w:rsidRPr="00D86314">
        <w:rPr>
          <w:noProof/>
        </w:rPr>
        <w:fldChar w:fldCharType="begin"/>
      </w:r>
      <w:r w:rsidRPr="00D86314">
        <w:rPr>
          <w:noProof/>
        </w:rPr>
        <w:instrText xml:space="preserve"> REF _Ref202951378 \h </w:instrText>
      </w:r>
      <w:r w:rsidR="00534028" w:rsidRPr="00D86314">
        <w:rPr>
          <w:noProof/>
        </w:rPr>
        <w:instrText xml:space="preserve"> \* MERGEFORMAT </w:instrText>
      </w:r>
      <w:r w:rsidRPr="00D86314">
        <w:rPr>
          <w:noProof/>
        </w:rPr>
      </w:r>
      <w:r w:rsidRPr="00D86314">
        <w:rPr>
          <w:noProof/>
        </w:rPr>
        <w:fldChar w:fldCharType="separate"/>
      </w:r>
      <w:r w:rsidR="00870CA9" w:rsidRPr="00D86314">
        <w:rPr>
          <w:i/>
          <w:noProof/>
        </w:rPr>
        <w:t xml:space="preserve">Figure A4 </w:t>
      </w:r>
      <w:r w:rsidRPr="00D86314">
        <w:rPr>
          <w:noProof/>
        </w:rPr>
        <w:fldChar w:fldCharType="end"/>
      </w:r>
      <w:r w:rsidR="00596077">
        <w:rPr>
          <w:i/>
          <w:iCs/>
          <w:noProof/>
        </w:rPr>
        <w:t>1-20</w:t>
      </w:r>
      <w:r w:rsidRPr="00D86314">
        <w:rPr>
          <w:noProof/>
        </w:rPr>
        <w:t xml:space="preserve"> shows the expected impact of the access and USO options on GDP growth. While options 1 and 3 of USO would have no impact on GDP, options 2 and 4 have a positive impact, as shown in </w:t>
      </w:r>
      <w:r w:rsidRPr="00D86314">
        <w:rPr>
          <w:noProof/>
        </w:rPr>
        <w:fldChar w:fldCharType="begin"/>
      </w:r>
      <w:r w:rsidRPr="00D86314">
        <w:rPr>
          <w:noProof/>
        </w:rPr>
        <w:instrText xml:space="preserve"> REF _Ref202951143 \h </w:instrText>
      </w:r>
      <w:r w:rsidR="00534028" w:rsidRPr="00D86314">
        <w:rPr>
          <w:noProof/>
        </w:rPr>
        <w:instrText xml:space="preserve"> \* MERGEFORMAT </w:instrText>
      </w:r>
      <w:r w:rsidRPr="00D86314">
        <w:rPr>
          <w:noProof/>
        </w:rPr>
      </w:r>
      <w:r w:rsidRPr="00D86314">
        <w:rPr>
          <w:noProof/>
        </w:rPr>
        <w:fldChar w:fldCharType="separate"/>
      </w:r>
      <w:r w:rsidR="00870CA9" w:rsidRPr="00D86314">
        <w:rPr>
          <w:noProof/>
        </w:rPr>
        <w:t>Table A4 1</w:t>
      </w:r>
      <w:r w:rsidR="00870CA9" w:rsidRPr="00D86314">
        <w:rPr>
          <w:noProof/>
        </w:rPr>
        <w:noBreakHyphen/>
        <w:t>13</w:t>
      </w:r>
      <w:r w:rsidRPr="00D86314">
        <w:rPr>
          <w:noProof/>
        </w:rPr>
        <w:fldChar w:fldCharType="end"/>
      </w:r>
      <w:r w:rsidRPr="00D86314">
        <w:rPr>
          <w:noProof/>
        </w:rPr>
        <w:t>. However, the growth curve is essentially determined by the impact of the access options.</w:t>
      </w:r>
    </w:p>
    <w:p w14:paraId="275B2B8F" w14:textId="1854D534" w:rsidR="00C40F7C" w:rsidRPr="00D86314" w:rsidRDefault="00512B6D" w:rsidP="00703057">
      <w:pPr>
        <w:pStyle w:val="Heading2"/>
        <w:rPr>
          <w:smallCaps/>
          <w:noProof/>
        </w:rPr>
      </w:pPr>
      <w:bookmarkStart w:id="98" w:name="_Toc219718363"/>
      <w:r w:rsidRPr="00D86314">
        <w:rPr>
          <w:noProof/>
        </w:rPr>
        <w:t>Impacts on society</w:t>
      </w:r>
      <w:bookmarkEnd w:id="98"/>
    </w:p>
    <w:p w14:paraId="01946B20" w14:textId="76C13F53" w:rsidR="00CF15DE" w:rsidRPr="00D86314" w:rsidRDefault="00CF15DE" w:rsidP="00CF15DE">
      <w:pPr>
        <w:rPr>
          <w:noProof/>
        </w:rPr>
      </w:pPr>
      <w:r w:rsidRPr="00D86314">
        <w:rPr>
          <w:noProof/>
        </w:rPr>
        <w:t xml:space="preserve">The terms societal impact and social impact are often used synonymously and interchangeably in literature. While societal impact refers to the impact of science on various levels and areas of society, social impact often refers to a more personal level of influence, affecting people directly (private) or indirectly (public). In this section, the term societal impact </w:t>
      </w:r>
      <w:r w:rsidR="007F3B83" w:rsidRPr="00D86314">
        <w:rPr>
          <w:noProof/>
        </w:rPr>
        <w:t xml:space="preserve">is used </w:t>
      </w:r>
      <w:r w:rsidRPr="00D86314">
        <w:rPr>
          <w:noProof/>
        </w:rPr>
        <w:t xml:space="preserve">to cover direct benefits to citizens as well as indirect benefits to society of ultrafast broadband. </w:t>
      </w:r>
    </w:p>
    <w:p w14:paraId="35DE65E5" w14:textId="4F29012D" w:rsidR="00CF15DE" w:rsidRPr="00D86314" w:rsidRDefault="00CF15DE" w:rsidP="00703057">
      <w:pPr>
        <w:pStyle w:val="Heading3"/>
        <w:rPr>
          <w:noProof/>
        </w:rPr>
      </w:pPr>
      <w:bookmarkStart w:id="99" w:name="_Toc219718364"/>
      <w:r w:rsidRPr="00D86314">
        <w:rPr>
          <w:noProof/>
        </w:rPr>
        <w:t>Societal impact of VHCN</w:t>
      </w:r>
      <w:bookmarkEnd w:id="99"/>
      <w:r w:rsidRPr="00D86314">
        <w:rPr>
          <w:noProof/>
        </w:rPr>
        <w:t xml:space="preserve"> </w:t>
      </w:r>
    </w:p>
    <w:p w14:paraId="2FF7CFAB" w14:textId="77777777" w:rsidR="00CF15DE" w:rsidRPr="00D86314" w:rsidRDefault="00CF15DE" w:rsidP="00CF15DE">
      <w:pPr>
        <w:rPr>
          <w:noProof/>
        </w:rPr>
      </w:pPr>
      <w:r w:rsidRPr="00D86314">
        <w:rPr>
          <w:noProof/>
        </w:rPr>
        <w:t xml:space="preserve">Examples of societal benefits from Gigabit broadband include home care applications as well as greater educational opportunities, support for teleworking and improved entertainment options. In addition to boosting consumer welfare, these applications can also save money both for the individuals concerned and for the service provider. </w:t>
      </w:r>
    </w:p>
    <w:p w14:paraId="50E6B161" w14:textId="5F8F3E2D" w:rsidR="00CF15DE" w:rsidRPr="00D86314" w:rsidRDefault="00CF15DE" w:rsidP="00CF15DE">
      <w:pPr>
        <w:rPr>
          <w:noProof/>
        </w:rPr>
      </w:pPr>
      <w:r w:rsidRPr="00D86314">
        <w:rPr>
          <w:noProof/>
        </w:rPr>
        <w:t xml:space="preserve">A recent </w:t>
      </w:r>
      <w:r w:rsidR="00016B12" w:rsidRPr="00D86314">
        <w:rPr>
          <w:noProof/>
        </w:rPr>
        <w:t xml:space="preserve">evaluation of the </w:t>
      </w:r>
      <w:r w:rsidR="00545B95" w:rsidRPr="00D86314">
        <w:rPr>
          <w:noProof/>
        </w:rPr>
        <w:t xml:space="preserve">Superfast Broadband </w:t>
      </w:r>
      <w:r w:rsidR="0036482A" w:rsidRPr="00D86314">
        <w:rPr>
          <w:noProof/>
        </w:rPr>
        <w:t>P</w:t>
      </w:r>
      <w:r w:rsidR="00545B95" w:rsidRPr="00D86314">
        <w:rPr>
          <w:noProof/>
        </w:rPr>
        <w:t xml:space="preserve">rogramme in the </w:t>
      </w:r>
      <w:r w:rsidRPr="00D86314" w:rsidDel="00C77960">
        <w:rPr>
          <w:noProof/>
        </w:rPr>
        <w:t>UK</w:t>
      </w:r>
      <w:r w:rsidR="00CE1FB8" w:rsidRPr="00D86314">
        <w:rPr>
          <w:rStyle w:val="FootnoteReference"/>
          <w:noProof/>
        </w:rPr>
        <w:footnoteReference w:id="46"/>
      </w:r>
      <w:r w:rsidRPr="00D86314">
        <w:rPr>
          <w:noProof/>
        </w:rPr>
        <w:t xml:space="preserve"> found that it led to an increase in house prices of between </w:t>
      </w:r>
      <w:r w:rsidR="00575285" w:rsidRPr="00D86314">
        <w:rPr>
          <w:noProof/>
        </w:rPr>
        <w:t>GBP </w:t>
      </w:r>
      <w:r w:rsidRPr="00D86314">
        <w:rPr>
          <w:noProof/>
        </w:rPr>
        <w:t>1</w:t>
      </w:r>
      <w:r w:rsidR="000D7A68" w:rsidRPr="00D86314">
        <w:rPr>
          <w:noProof/>
        </w:rPr>
        <w:t> </w:t>
      </w:r>
      <w:r w:rsidRPr="00D86314">
        <w:rPr>
          <w:noProof/>
        </w:rPr>
        <w:t xml:space="preserve">900 and </w:t>
      </w:r>
      <w:r w:rsidR="000D7A68" w:rsidRPr="00D86314">
        <w:rPr>
          <w:noProof/>
        </w:rPr>
        <w:t>GBP </w:t>
      </w:r>
      <w:r w:rsidRPr="00D86314">
        <w:rPr>
          <w:noProof/>
        </w:rPr>
        <w:t>4</w:t>
      </w:r>
      <w:r w:rsidR="000D7A68" w:rsidRPr="00D86314">
        <w:rPr>
          <w:noProof/>
        </w:rPr>
        <w:t> </w:t>
      </w:r>
      <w:r w:rsidRPr="00D86314">
        <w:rPr>
          <w:noProof/>
        </w:rPr>
        <w:t xml:space="preserve">900. This increase in willingness to pay can be interpreted as a gain in social welfare associated with access to superfast and gigabit capable broadband networks. In 2018, Simetrica-Jacobs found that having access to superfast broadband was associated with an increase in wellbeing worth around </w:t>
      </w:r>
      <w:r w:rsidR="00613447" w:rsidRPr="00D86314">
        <w:rPr>
          <w:noProof/>
        </w:rPr>
        <w:t>GBP </w:t>
      </w:r>
      <w:r w:rsidRPr="00D86314">
        <w:rPr>
          <w:noProof/>
        </w:rPr>
        <w:t xml:space="preserve">225 (equivalent to around </w:t>
      </w:r>
      <w:r w:rsidR="00613447" w:rsidRPr="00D86314">
        <w:rPr>
          <w:noProof/>
        </w:rPr>
        <w:t>EUR </w:t>
      </w:r>
      <w:r w:rsidRPr="00D86314">
        <w:rPr>
          <w:noProof/>
        </w:rPr>
        <w:t>260) per household per year. While in these studies, superfast broadband was defined as having a download speed of only 30 and 24 Mbps respectively, other research confirms that services which require higher bandwidths could provide equal (or even greater) contributions to consumer welfare and play an important role in reducing inequalities.</w:t>
      </w:r>
      <w:r w:rsidR="00A53F40" w:rsidRPr="00D86314">
        <w:rPr>
          <w:noProof/>
        </w:rPr>
        <w:t xml:space="preserve"> </w:t>
      </w:r>
      <w:r w:rsidRPr="00D86314">
        <w:rPr>
          <w:noProof/>
        </w:rPr>
        <w:t xml:space="preserve">For example, one important function of Gigabit broadband, which has received increased attention following the COVID-19 pandemic, is the ability to support remote working. </w:t>
      </w:r>
    </w:p>
    <w:p w14:paraId="2CB97CFE" w14:textId="3BA303EA" w:rsidR="00CF15DE" w:rsidRPr="00D86314" w:rsidRDefault="00CF15DE" w:rsidP="00CF15DE">
      <w:pPr>
        <w:rPr>
          <w:noProof/>
        </w:rPr>
      </w:pPr>
      <w:r w:rsidRPr="00D86314">
        <w:rPr>
          <w:noProof/>
        </w:rPr>
        <w:t xml:space="preserve">In a 2015 article published in Psychological Science in the Public Interest Allen et al. (2015) found that teleworking is associated with many benefits for employees, such as increased job satisfaction, organizational commitment, and job performance and lower work stress and exhaustion. In contrast, Eurofund (2022a) reports that during the pandemic, teleworkers registered lower well-being scores, which can be partly explained by pandemic-related restrictions. A meta-analysis by Eurofund (2022b) suggests that teleworking positively impacts job productivity during the pandemic. Citing evidence from Austria, Belgium, Czech Republic, Finland, Germany, Ireland, Italy, Luxembourg, Malta and the Netherlands they report that 39-68% of employees say that remote working increases their productivity. Aksoy et al. (2023) quantified the time savings associated with teleworking, drawing on data from 27 countries. In their sample, the average daily time saving when working from home was 72 minutes. </w:t>
      </w:r>
      <w:r w:rsidR="00F53273" w:rsidRPr="00D86314">
        <w:rPr>
          <w:noProof/>
        </w:rPr>
        <w:t>Workers allocated 40</w:t>
      </w:r>
      <w:r w:rsidRPr="00D86314">
        <w:rPr>
          <w:noProof/>
        </w:rPr>
        <w:t>% of this time to their jobs and around 11% to caregiving activities.</w:t>
      </w:r>
    </w:p>
    <w:p w14:paraId="62FCF7D6" w14:textId="55872ED2" w:rsidR="00CF15DE" w:rsidRPr="00D86314" w:rsidRDefault="00CF15DE" w:rsidP="00CF15DE">
      <w:pPr>
        <w:rPr>
          <w:noProof/>
        </w:rPr>
      </w:pPr>
      <w:r w:rsidRPr="00D86314">
        <w:rPr>
          <w:noProof/>
        </w:rPr>
        <w:t xml:space="preserve">A quantitative model estimation by SQW (2013) of the projected social impacts of faster broadband speeds </w:t>
      </w:r>
      <w:r w:rsidR="00FE6313" w:rsidRPr="00D86314">
        <w:rPr>
          <w:noProof/>
        </w:rPr>
        <w:t xml:space="preserve">indicates </w:t>
      </w:r>
      <w:r w:rsidRPr="00D86314">
        <w:rPr>
          <w:noProof/>
        </w:rPr>
        <w:t xml:space="preserve">that the increase in teleworking driven by faster broadband would save about 60 million hours of leisure time per annum in the UK by 2024. In addition, by avoiding commuting costs, the additional teleworking enabled by faster broadband would lead to total household savings </w:t>
      </w:r>
      <w:r w:rsidR="00D07BD9" w:rsidRPr="00D86314">
        <w:rPr>
          <w:noProof/>
        </w:rPr>
        <w:t>of</w:t>
      </w:r>
      <w:r w:rsidRPr="00D86314">
        <w:rPr>
          <w:noProof/>
        </w:rPr>
        <w:t xml:space="preserve"> </w:t>
      </w:r>
      <w:r w:rsidR="00372B85" w:rsidRPr="00D86314">
        <w:rPr>
          <w:noProof/>
        </w:rPr>
        <w:t>GBP </w:t>
      </w:r>
      <w:r w:rsidRPr="00D86314">
        <w:rPr>
          <w:noProof/>
        </w:rPr>
        <w:t>270 million p</w:t>
      </w:r>
      <w:r w:rsidR="009A254C" w:rsidRPr="00D86314">
        <w:rPr>
          <w:noProof/>
        </w:rPr>
        <w:t>er year</w:t>
      </w:r>
      <w:r w:rsidRPr="00D86314">
        <w:rPr>
          <w:noProof/>
        </w:rPr>
        <w:t xml:space="preserve"> by 2024. Furthermore, SQW projected that increased productivity from </w:t>
      </w:r>
      <w:r w:rsidR="00353660" w:rsidRPr="00D86314">
        <w:rPr>
          <w:noProof/>
        </w:rPr>
        <w:t>t</w:t>
      </w:r>
      <w:r w:rsidRPr="00D86314">
        <w:rPr>
          <w:noProof/>
        </w:rPr>
        <w:t xml:space="preserve">eleworking could reach </w:t>
      </w:r>
      <w:r w:rsidR="00724FBC" w:rsidRPr="00D86314">
        <w:rPr>
          <w:noProof/>
        </w:rPr>
        <w:t>GBP </w:t>
      </w:r>
      <w:r w:rsidRPr="00D86314">
        <w:rPr>
          <w:noProof/>
        </w:rPr>
        <w:t xml:space="preserve">1.8 billion by 2024. </w:t>
      </w:r>
    </w:p>
    <w:p w14:paraId="03C42EA9" w14:textId="0307ECEF" w:rsidR="00F408A3" w:rsidRPr="00D86314" w:rsidRDefault="00F408A3" w:rsidP="004959D3">
      <w:pPr>
        <w:pStyle w:val="Abbberschrift"/>
        <w:ind w:left="2127" w:hanging="2127"/>
        <w:rPr>
          <w:rFonts w:ascii="Times New Roman" w:hAnsi="Times New Roman"/>
          <w:i/>
          <w:noProof/>
        </w:rPr>
      </w:pPr>
      <w:bookmarkStart w:id="100" w:name="_Ref87631177"/>
      <w:r w:rsidRPr="00D86314">
        <w:rPr>
          <w:rFonts w:ascii="Times New Roman" w:hAnsi="Times New Roman"/>
          <w:i/>
          <w:noProof/>
        </w:rPr>
        <w:t xml:space="preserve">Figure </w:t>
      </w:r>
      <w:r w:rsidR="00317946" w:rsidRPr="00D86314">
        <w:rPr>
          <w:rFonts w:ascii="Times New Roman" w:hAnsi="Times New Roman"/>
          <w:i/>
          <w:noProof/>
        </w:rPr>
        <w:t>A4 1</w:t>
      </w:r>
      <w:bookmarkEnd w:id="100"/>
      <w:r w:rsidR="005B5146">
        <w:rPr>
          <w:rFonts w:ascii="Times New Roman" w:hAnsi="Times New Roman"/>
          <w:i/>
          <w:noProof/>
        </w:rPr>
        <w:noBreakHyphen/>
      </w:r>
      <w:r w:rsidR="00596077">
        <w:rPr>
          <w:rFonts w:ascii="Times New Roman" w:hAnsi="Times New Roman"/>
          <w:i/>
          <w:noProof/>
        </w:rPr>
        <w:t>21</w:t>
      </w:r>
      <w:r w:rsidRPr="00D86314">
        <w:rPr>
          <w:rFonts w:ascii="Times New Roman" w:hAnsi="Times New Roman"/>
          <w:i/>
          <w:noProof/>
        </w:rPr>
        <w:t>:Net annual GVA impact of faster broadband speed on increased teleworker productivity in the UK, 2008 – 2024</w:t>
      </w:r>
    </w:p>
    <w:p w14:paraId="183EA9FE" w14:textId="77777777" w:rsidR="00F408A3" w:rsidRPr="00D86314" w:rsidRDefault="00F408A3" w:rsidP="00703057">
      <w:pPr>
        <w:keepNext/>
        <w:spacing w:before="120" w:after="0"/>
        <w:jc w:val="left"/>
        <w:rPr>
          <w:noProof/>
        </w:rPr>
      </w:pPr>
      <w:r w:rsidRPr="00E46BC9">
        <w:rPr>
          <w:noProof/>
          <w:lang w:eastAsia="en-GB"/>
        </w:rPr>
        <w:drawing>
          <wp:inline distT="0" distB="0" distL="0" distR="0" wp14:anchorId="33A330DC" wp14:editId="169638C6">
            <wp:extent cx="4885302" cy="2762250"/>
            <wp:effectExtent l="0" t="0" r="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85302" cy="2762250"/>
                    </a:xfrm>
                    <a:prstGeom prst="rect">
                      <a:avLst/>
                    </a:prstGeom>
                    <a:noFill/>
                    <a:ln>
                      <a:noFill/>
                    </a:ln>
                  </pic:spPr>
                </pic:pic>
              </a:graphicData>
            </a:graphic>
          </wp:inline>
        </w:drawing>
      </w:r>
    </w:p>
    <w:p w14:paraId="5EB7082C" w14:textId="20615872" w:rsidR="00CF15DE" w:rsidRPr="00D86314" w:rsidRDefault="00CF15DE" w:rsidP="00B22BA5">
      <w:pPr>
        <w:pStyle w:val="Quelle"/>
        <w:ind w:left="624" w:hanging="624"/>
        <w:rPr>
          <w:rFonts w:ascii="Times New Roman" w:hAnsi="Times New Roman"/>
          <w:noProof/>
        </w:rPr>
      </w:pPr>
      <w:r w:rsidRPr="00D86314">
        <w:rPr>
          <w:rFonts w:ascii="Times New Roman" w:hAnsi="Times New Roman"/>
          <w:noProof/>
        </w:rPr>
        <w:t>Source:</w:t>
      </w:r>
      <w:r w:rsidR="009378AA" w:rsidRPr="00D86314">
        <w:rPr>
          <w:rFonts w:ascii="Times New Roman" w:hAnsi="Times New Roman"/>
          <w:noProof/>
        </w:rPr>
        <w:t xml:space="preserve"> </w:t>
      </w:r>
      <w:r w:rsidRPr="00D86314">
        <w:rPr>
          <w:rFonts w:ascii="Times New Roman" w:hAnsi="Times New Roman"/>
          <w:noProof/>
        </w:rPr>
        <w:t>SQW (2013), UK Broadband Impact Model. 1-10 represents population density from the least dense to the most dense</w:t>
      </w:r>
    </w:p>
    <w:p w14:paraId="7D56B472" w14:textId="5D416B8A" w:rsidR="00CF15DE" w:rsidRPr="00D86314" w:rsidRDefault="00CF15DE" w:rsidP="00CF15DE">
      <w:pPr>
        <w:rPr>
          <w:noProof/>
        </w:rPr>
      </w:pPr>
      <w:r w:rsidRPr="00C20A01">
        <w:rPr>
          <w:noProof/>
        </w:rPr>
        <w:t xml:space="preserve">However, Samek Lodovici et al. </w:t>
      </w:r>
      <w:r w:rsidRPr="00D86314">
        <w:rPr>
          <w:noProof/>
        </w:rPr>
        <w:t>(2021) note on a societal level that teleworking may contribute to the emergence of new employment and social inequalities, between those who can telework and those who cannot, because they are employed in non–teleworkable sectors/occupations or have no access to a broadband connection. Thus, the absence of a suitable connection to support teleworking (and the failure to digitize in sectors which could take advantage of remote working opportunities) could have detrimental effects on equality and societal cohesion.</w:t>
      </w:r>
    </w:p>
    <w:p w14:paraId="1DBCA53C" w14:textId="1BD94FC9" w:rsidR="00CF15DE" w:rsidRPr="00D86314" w:rsidRDefault="00CF15DE" w:rsidP="00CF15DE">
      <w:pPr>
        <w:rPr>
          <w:noProof/>
        </w:rPr>
      </w:pPr>
      <w:r w:rsidRPr="00D86314">
        <w:rPr>
          <w:noProof/>
        </w:rPr>
        <w:t>Inadequate broadband connectivity is likely to be a particular challenge for rural areas, because the cost of deployment is significantly higher. The effects of inadequate connectivity (amongst other factors) may have been amongst the drivers of rural unemployment and depopulation. It is estimated that the population in urban regions will increase between 2023 and 2051 on average by 1.0% per year while rural regions will shrink by 3.3% per year. However, various studies suggest that improved broadband connectivity in rural areas could help to reverse these trends and ensure more equitable distribution of economic benefits. For example, using data from 290 Swedish municipalities between 2007 and 2010, Forzati and Mattson (2012) found that an increase in the proportion of the population living within 353 metres from a fibre-connected (FTTP) premise was linked to both higher migration and a positive change in employment (resulting both from migration and independently). A study by de Clercq et al. (2023) confirms that high-speed broadband (at least 100 Mbps) can significantly boost economic growth in rural regions across 1</w:t>
      </w:r>
      <w:r w:rsidR="002F71D3" w:rsidRPr="00D86314">
        <w:rPr>
          <w:noProof/>
        </w:rPr>
        <w:t> </w:t>
      </w:r>
      <w:r w:rsidRPr="00D86314">
        <w:rPr>
          <w:noProof/>
        </w:rPr>
        <w:t>348 EU regions between 2011 and 2018. This highlights the importance of expanding high-speed digital infrastructure in rural Europe in order to close the urban-rural digital divide. According to the World Social Report 2021 published by the UN, improved Internet access and connectivity will provide better jobs and higher standards of living for the roughly 3.4</w:t>
      </w:r>
      <w:r w:rsidR="00731398" w:rsidRPr="00D86314">
        <w:rPr>
          <w:noProof/>
        </w:rPr>
        <w:t> </w:t>
      </w:r>
      <w:r w:rsidRPr="00D86314">
        <w:rPr>
          <w:noProof/>
        </w:rPr>
        <w:t>billion people living in rural</w:t>
      </w:r>
      <w:r w:rsidR="005063FE" w:rsidRPr="00D86314">
        <w:rPr>
          <w:noProof/>
        </w:rPr>
        <w:t xml:space="preserve"> </w:t>
      </w:r>
      <w:r w:rsidRPr="00D86314">
        <w:rPr>
          <w:noProof/>
        </w:rPr>
        <w:t>areas. The latest World Social Report 2025 emphasises that there is still a digital divide between rural and urban areas, a division that is made more meaningful by innovations in education, employment, civic participation, social protection and more.</w:t>
      </w:r>
    </w:p>
    <w:p w14:paraId="691BB620" w14:textId="07C27CC1" w:rsidR="00CF15DE" w:rsidRPr="00D86314" w:rsidRDefault="00CF15DE" w:rsidP="00CF15DE">
      <w:pPr>
        <w:rPr>
          <w:noProof/>
        </w:rPr>
      </w:pPr>
      <w:r w:rsidRPr="00D86314">
        <w:rPr>
          <w:noProof/>
        </w:rPr>
        <w:t xml:space="preserve">Faster broadband can also support more efficient delivery of healthcare in rural areas (as well as elsewhere). A study assessing developments in Sweden found significant savings in using digital FTTH-based homecare especially in rural areas. It concluded that even with limited adoption, these solutions could contribute to annual net cost reductions of </w:t>
      </w:r>
      <w:r w:rsidR="00BD5767" w:rsidRPr="00D86314">
        <w:rPr>
          <w:noProof/>
        </w:rPr>
        <w:t>USD </w:t>
      </w:r>
      <w:r w:rsidRPr="00D86314">
        <w:rPr>
          <w:noProof/>
        </w:rPr>
        <w:t>0.6</w:t>
      </w:r>
      <w:r w:rsidR="00BD5767" w:rsidRPr="00D86314">
        <w:rPr>
          <w:noProof/>
        </w:rPr>
        <w:t xml:space="preserve"> </w:t>
      </w:r>
      <w:r w:rsidRPr="00D86314">
        <w:rPr>
          <w:noProof/>
        </w:rPr>
        <w:t>m</w:t>
      </w:r>
      <w:r w:rsidR="00BD5767" w:rsidRPr="00D86314">
        <w:rPr>
          <w:noProof/>
        </w:rPr>
        <w:t>illion</w:t>
      </w:r>
      <w:r w:rsidRPr="00D86314">
        <w:rPr>
          <w:noProof/>
        </w:rPr>
        <w:t xml:space="preserve"> in a rural municipality with 8</w:t>
      </w:r>
      <w:r w:rsidR="00723E66" w:rsidRPr="00D86314">
        <w:rPr>
          <w:noProof/>
        </w:rPr>
        <w:t> </w:t>
      </w:r>
      <w:r w:rsidRPr="00D86314">
        <w:rPr>
          <w:noProof/>
        </w:rPr>
        <w:t>000 residents by 2020. In another study, examining the effects of ultrafast broadband deplo</w:t>
      </w:r>
      <w:r w:rsidR="000E29D0" w:rsidRPr="00D86314">
        <w:rPr>
          <w:noProof/>
        </w:rPr>
        <w:t xml:space="preserve">yed </w:t>
      </w:r>
      <w:r w:rsidRPr="00D86314">
        <w:rPr>
          <w:noProof/>
        </w:rPr>
        <w:t xml:space="preserve">in the rural county of Cornwall in the UK, Garner et al. (2019) found, that eHealth readiness improved over 18 months from 4.36 out of 10 to 4.59 out of 10. The authors concluded that one of the reasons for improved readiness for the adoption of eHealth services was the rollout of </w:t>
      </w:r>
      <w:r w:rsidR="006F1722" w:rsidRPr="00D86314">
        <w:rPr>
          <w:noProof/>
        </w:rPr>
        <w:t>ul</w:t>
      </w:r>
      <w:r w:rsidRPr="00D86314">
        <w:rPr>
          <w:noProof/>
        </w:rPr>
        <w:t>tra-fast broadband, which increased both people’s personal ability to use eHealth and their methods of access.</w:t>
      </w:r>
    </w:p>
    <w:p w14:paraId="2534131F" w14:textId="3A743395" w:rsidR="00CF15DE" w:rsidRPr="00D86314" w:rsidRDefault="00CF15DE" w:rsidP="00CF15DE">
      <w:pPr>
        <w:rPr>
          <w:noProof/>
        </w:rPr>
      </w:pPr>
      <w:r w:rsidRPr="00D86314">
        <w:rPr>
          <w:noProof/>
        </w:rPr>
        <w:t>The COVID-19 pandemic also highlighted the importance of ultrafast connectivity for education, confirming the need not only to ensure high performance connectivity for students but also for schools and higher education institutions themselves.</w:t>
      </w:r>
    </w:p>
    <w:p w14:paraId="641AF112" w14:textId="29C2AD79" w:rsidR="00552531" w:rsidRPr="00D86314" w:rsidRDefault="00CF15DE" w:rsidP="00F8079C">
      <w:pPr>
        <w:rPr>
          <w:noProof/>
        </w:rPr>
      </w:pPr>
      <w:r w:rsidRPr="00D86314">
        <w:rPr>
          <w:noProof/>
        </w:rPr>
        <w:t>A study by Briglauer et al. (2024) provides an overview of previous research on the impact of fast broadband on education, which shows mixed results. A New Zealand study (Grimes and Towsend, 2018) found that fibre availability in state schools had a positive effect on grades, increasing them by around 1 percentage point per year in primary schools. Similar results were found by Campbell (2024) when analysing students' maths and reading test scores in the US. However, an Italian study by Cambini et al. (2021) found that the availability of high-speed broadband decreased the maths and Italian test scores of 8th graders. This effect was particularly evident among male students whose parents had a low level of education and who attended schools with low IT usage. Briglauer et al. (2024) conclude that progress must be made in closing the digital divide, both between urban and rural areas, and between those who can afford high-speed internet connections, and those who cannot. Another report from the Broadband Commission reports as well as a White Paper by Hyperoptic illustrates, on the basis of various case studies, the overall benefits education and school connectivity can bring to society.</w:t>
      </w:r>
    </w:p>
    <w:p w14:paraId="051F2585" w14:textId="40BEDBA9" w:rsidR="004C43C3" w:rsidRPr="00D86314" w:rsidRDefault="004C43C3" w:rsidP="00703057">
      <w:pPr>
        <w:pStyle w:val="Heading3"/>
        <w:rPr>
          <w:noProof/>
          <w:lang w:eastAsia="de-DE"/>
        </w:rPr>
      </w:pPr>
      <w:bookmarkStart w:id="101" w:name="_Toc202973132"/>
      <w:bookmarkStart w:id="102" w:name="_Toc214231534"/>
      <w:bookmarkStart w:id="103" w:name="_Toc219718365"/>
      <w:r w:rsidRPr="00D86314">
        <w:rPr>
          <w:noProof/>
          <w:lang w:eastAsia="de-DE"/>
        </w:rPr>
        <w:t>Societal Impact of Internet access on vulnerable consumer groups</w:t>
      </w:r>
      <w:bookmarkEnd w:id="101"/>
      <w:bookmarkEnd w:id="102"/>
      <w:bookmarkEnd w:id="103"/>
    </w:p>
    <w:p w14:paraId="7D4A9698" w14:textId="36770823" w:rsidR="00DF676E" w:rsidRPr="00D86314" w:rsidRDefault="00DF676E" w:rsidP="00DF676E">
      <w:pPr>
        <w:rPr>
          <w:noProof/>
        </w:rPr>
      </w:pPr>
      <w:r w:rsidRPr="00D86314">
        <w:rPr>
          <w:noProof/>
        </w:rPr>
        <w:t xml:space="preserve">The impacts on the technology mix of the different options associated with </w:t>
      </w:r>
      <w:r w:rsidR="006077E0" w:rsidRPr="00D86314">
        <w:rPr>
          <w:noProof/>
        </w:rPr>
        <w:t>copper switch off</w:t>
      </w:r>
      <w:r w:rsidRPr="00D86314">
        <w:rPr>
          <w:noProof/>
        </w:rPr>
        <w:t xml:space="preserve"> and access could have an important effect on vulnerable consumer groups. While Option 1 would involve incremental improvements and limited disruption, Options 3 and 4 could entail significant changes impacting vulnerable consumer groups. By removing safeguards which currently support competition in retail broadband services, Option 3 would be likely to lead to market consolidation competition, leading to higher prices, which could have a disproportionately negative impact on vulnerable consumer groups. Meanwhile option 4 could result in a high proportion of consumers relying on copper (which may include the elderly, disabled and those in remote locations) being disconnected and forced to rely on mobile or wireless connectivity. The quality or reliability of these connections may not in all cases match those available via copper, leading to a deterioration in consumer experience. While option 4 would safeguard retail competition, because competition would be based on active wholesale access on fair and reasonable pricing, it may not provide sufficient safeguards to avoid price increases in cases where service providers are reliant on an infrastructure provider which can exploit market power. Conversely, option 2 would provide explicit safeguards for consumers to ensure that copper switch-off would not occur unless consumers can be transferred to equivalent services without price increases. It would also likely result in improvements in quality for</w:t>
      </w:r>
      <w:r w:rsidR="74A3873F" w:rsidRPr="00D86314">
        <w:rPr>
          <w:noProof/>
        </w:rPr>
        <w:t xml:space="preserve"> </w:t>
      </w:r>
      <w:r w:rsidR="522E4BC7" w:rsidRPr="00D86314">
        <w:rPr>
          <w:noProof/>
        </w:rPr>
        <w:t>a similar</w:t>
      </w:r>
      <w:r w:rsidRPr="00D86314">
        <w:rPr>
          <w:noProof/>
        </w:rPr>
        <w:t xml:space="preserve"> price, as consumers would be transferred for the most part to more performant FTTH networks. As CSO could occur where FTTH coverage is at 95%, it can be expected that some consumers would nonetheless be transferred to wireless or mobile alternatives. The onus would be on Member States in this case to ensure that appropriate safeguards are provided to ensure that all customers receive an </w:t>
      </w:r>
      <w:r w:rsidR="009C3CBE" w:rsidRPr="00D86314">
        <w:rPr>
          <w:noProof/>
        </w:rPr>
        <w:t>adequate broadband service</w:t>
      </w:r>
      <w:r w:rsidRPr="00D86314">
        <w:rPr>
          <w:noProof/>
        </w:rPr>
        <w:t>, through use of USO provisions on adequate broadband availability, where necessary.</w:t>
      </w:r>
    </w:p>
    <w:p w14:paraId="318053A9" w14:textId="77777777" w:rsidR="00DF676E" w:rsidRPr="00D86314" w:rsidRDefault="00DF676E" w:rsidP="00DF676E">
      <w:pPr>
        <w:rPr>
          <w:noProof/>
        </w:rPr>
      </w:pPr>
      <w:r w:rsidRPr="00D86314">
        <w:rPr>
          <w:noProof/>
        </w:rPr>
        <w:t xml:space="preserve">Those transferred to fibre-based broadband should however experience numerous benefits as described in the following literature. </w:t>
      </w:r>
    </w:p>
    <w:p w14:paraId="23163969" w14:textId="77777777" w:rsidR="00DF676E" w:rsidRPr="00D86314" w:rsidRDefault="00DF676E" w:rsidP="00DF676E">
      <w:pPr>
        <w:rPr>
          <w:noProof/>
        </w:rPr>
      </w:pPr>
      <w:r w:rsidRPr="00D86314">
        <w:rPr>
          <w:noProof/>
        </w:rPr>
        <w:t>While 94% of all EU households have internet access</w:t>
      </w:r>
      <w:r w:rsidRPr="00D86314">
        <w:rPr>
          <w:rStyle w:val="FootnoteReference"/>
          <w:noProof/>
        </w:rPr>
        <w:footnoteReference w:id="47"/>
      </w:r>
      <w:r w:rsidRPr="00D86314">
        <w:rPr>
          <w:noProof/>
        </w:rPr>
        <w:t>, significant gaps remain for low-income households, consumers with disabilities, and the elderly. In 2022, 2.4% of the EU's total population could not afford an internet connection. This figure was significantly higher for people at risk of poverty, at 7.6%</w:t>
      </w:r>
      <w:r w:rsidRPr="00D86314">
        <w:rPr>
          <w:rStyle w:val="FootnoteReference"/>
          <w:noProof/>
        </w:rPr>
        <w:footnoteReference w:id="48"/>
      </w:r>
      <w:r w:rsidRPr="00D86314">
        <w:rPr>
          <w:noProof/>
        </w:rPr>
        <w:t>. Similarly, while 93.5% of people aged 16–74 without disabilities in the EU used the internet regularly (at least once a week in the previous three months), the figure was significantly lower for those with disabilities at 78.2%. The gap widens with age: among 55–74-year-olds, only 70.8% of people with severe disabilities used the internet regularly, compared to 84.3% of those without disabilities in the same age group.</w:t>
      </w:r>
      <w:r w:rsidRPr="00D86314">
        <w:rPr>
          <w:rStyle w:val="FootnoteReference"/>
          <w:noProof/>
        </w:rPr>
        <w:footnoteReference w:id="49"/>
      </w:r>
      <w:r w:rsidRPr="00D86314">
        <w:rPr>
          <w:noProof/>
        </w:rPr>
        <w:t xml:space="preserve"> The use of internet can help to reduce inequalities and improve welfare for those consumer groups. </w:t>
      </w:r>
    </w:p>
    <w:p w14:paraId="26A541C5" w14:textId="7060DDC8" w:rsidR="00DF676E" w:rsidRPr="00D86314" w:rsidRDefault="00DF676E" w:rsidP="00DF676E">
      <w:pPr>
        <w:rPr>
          <w:noProof/>
        </w:rPr>
      </w:pPr>
      <w:r w:rsidRPr="00D86314">
        <w:rPr>
          <w:noProof/>
        </w:rPr>
        <w:t>For example, Zuo (2021)</w:t>
      </w:r>
      <w:r w:rsidRPr="00D86314">
        <w:rPr>
          <w:rStyle w:val="FootnoteReference"/>
          <w:noProof/>
        </w:rPr>
        <w:footnoteReference w:id="50"/>
      </w:r>
      <w:r w:rsidRPr="00D86314">
        <w:rPr>
          <w:noProof/>
        </w:rPr>
        <w:t xml:space="preserve"> analysed the effects of a discounted broadband programme launched in 2021 in the US for low-income families in the U.S on </w:t>
      </w:r>
      <w:r w:rsidR="002F09E2" w:rsidRPr="00D86314">
        <w:rPr>
          <w:noProof/>
        </w:rPr>
        <w:t>labour</w:t>
      </w:r>
      <w:r w:rsidRPr="00D86314">
        <w:rPr>
          <w:noProof/>
        </w:rPr>
        <w:t xml:space="preserve"> market outcomes. He found that enrolees were 14.3% more likely to be employed. </w:t>
      </w:r>
    </w:p>
    <w:p w14:paraId="2CD8E721" w14:textId="0CC121B7" w:rsidR="00DF676E" w:rsidRPr="00D86314" w:rsidRDefault="00DF676E" w:rsidP="00DF676E">
      <w:pPr>
        <w:rPr>
          <w:noProof/>
        </w:rPr>
      </w:pPr>
      <w:r w:rsidRPr="00D86314">
        <w:rPr>
          <w:noProof/>
        </w:rPr>
        <w:t xml:space="preserve">Access to the internet and digital engagement can improve older people’s social lives, thereby enhancing their well-being. Mohan </w:t>
      </w:r>
      <w:r w:rsidR="00792B62" w:rsidRPr="00D86314">
        <w:rPr>
          <w:noProof/>
        </w:rPr>
        <w:t>and</w:t>
      </w:r>
      <w:r w:rsidRPr="00D86314">
        <w:rPr>
          <w:noProof/>
        </w:rPr>
        <w:t xml:space="preserve"> Lyons (2024)</w:t>
      </w:r>
      <w:r w:rsidRPr="00D86314">
        <w:rPr>
          <w:rStyle w:val="FootnoteReference"/>
          <w:noProof/>
        </w:rPr>
        <w:footnoteReference w:id="51"/>
      </w:r>
      <w:r w:rsidRPr="00D86314">
        <w:rPr>
          <w:noProof/>
        </w:rPr>
        <w:t xml:space="preserve"> examined patterns of internet use and psychosocial outcomes for over 3,500 people aged 50 and over in Ireland using the Irish Longitudinal Study on Ageing. They found that high-speed broadband access increased internet use and improved quality of life among older adults. However, there is little evidence that internet access reduces loneliness in this group. Studies have found positive associations between internet use and the health of older people. Tavares (2020)</w:t>
      </w:r>
      <w:r w:rsidRPr="00D86314">
        <w:rPr>
          <w:rStyle w:val="FootnoteReference"/>
          <w:noProof/>
        </w:rPr>
        <w:footnoteReference w:id="52"/>
      </w:r>
      <w:r w:rsidRPr="00D86314">
        <w:rPr>
          <w:noProof/>
        </w:rPr>
        <w:t xml:space="preserve"> used data from 66,279 individuals aged 50 to 106 collected by the Survey of Health, Ageing and Retirement in Europe (SHARE). Their analysis showed that internet use was related to older people reporting better health, even when after socio-economic characteristics were taken into account. Silva et al. (2022)</w:t>
      </w:r>
      <w:r w:rsidRPr="00D86314">
        <w:rPr>
          <w:rStyle w:val="FootnoteReference"/>
          <w:noProof/>
        </w:rPr>
        <w:footnoteReference w:id="53"/>
      </w:r>
      <w:r w:rsidRPr="00D86314">
        <w:rPr>
          <w:noProof/>
        </w:rPr>
        <w:t xml:space="preserve"> analyse the impact of internet usage on the social isolation of people aged above 50 in Europe. Their study found that internet use reduces the risk of social isolation among elderly people.</w:t>
      </w:r>
    </w:p>
    <w:p w14:paraId="1827982F" w14:textId="7D6A0FB8" w:rsidR="00DF676E" w:rsidRPr="00D86314" w:rsidRDefault="00DF676E" w:rsidP="00DF676E">
      <w:pPr>
        <w:rPr>
          <w:noProof/>
        </w:rPr>
      </w:pPr>
      <w:r w:rsidRPr="00D86314">
        <w:rPr>
          <w:noProof/>
        </w:rPr>
        <w:t>Similarly to the group including elderly people, internet access has been shown to have a positive impact on the wellbeing of people with disabilities. Duplaga and Szulc (2019)</w:t>
      </w:r>
      <w:r w:rsidRPr="00D86314">
        <w:rPr>
          <w:rStyle w:val="FootnoteReference"/>
          <w:noProof/>
        </w:rPr>
        <w:footnoteReference w:id="54"/>
      </w:r>
      <w:r w:rsidRPr="00D86314">
        <w:rPr>
          <w:noProof/>
        </w:rPr>
        <w:t xml:space="preserve"> use a dataset collected from the panel study “Social Diagnosis” from 2015 to analyse the effects of internet usage on the health and wellbeing of people with disabilities via regression. The data collected consists of interview responses from 2</w:t>
      </w:r>
      <w:r w:rsidR="00F53F9A">
        <w:rPr>
          <w:noProof/>
        </w:rPr>
        <w:t> </w:t>
      </w:r>
      <w:r w:rsidRPr="00D86314">
        <w:rPr>
          <w:noProof/>
        </w:rPr>
        <w:t>529 people. This work presents that people with disabilities tend to have a more positive view of their lives, less experience of loneliness, and report less frequent suicidal thoughts. Furthermore, Duplaga and Szulc found that people with disabilities tend to have better physical health due to a lower chance of consuming alcohol and smoking, while having a higher chance of being physically active.</w:t>
      </w:r>
    </w:p>
    <w:p w14:paraId="42060995" w14:textId="77777777" w:rsidR="00DF676E" w:rsidRPr="00D86314" w:rsidRDefault="00DF676E" w:rsidP="00DF676E">
      <w:pPr>
        <w:rPr>
          <w:noProof/>
        </w:rPr>
      </w:pPr>
      <w:r w:rsidRPr="00D86314">
        <w:rPr>
          <w:noProof/>
        </w:rPr>
        <w:t>The impact of the COVID-19 pandemic on vulnerable consumer groups highlights another important aspect regarding the benefits of internet access. Caton et al. (2024)</w:t>
      </w:r>
      <w:r w:rsidRPr="00D86314">
        <w:rPr>
          <w:rStyle w:val="FootnoteReference"/>
          <w:noProof/>
        </w:rPr>
        <w:footnoteReference w:id="55"/>
      </w:r>
      <w:r w:rsidRPr="00D86314">
        <w:rPr>
          <w:noProof/>
        </w:rPr>
        <w:t xml:space="preserve"> conducted a study on the impact of internet usage on people with disabilities via interviews during April and May 2021 in the United Kingdom. Their results suggest that people with disabilities were able to combat social isolation and loneliness during the COVID-19 pandemic by maintaining social connections through online activities. </w:t>
      </w:r>
    </w:p>
    <w:p w14:paraId="7CAA700B" w14:textId="6FF1491E" w:rsidR="00DF676E" w:rsidRPr="00D86314" w:rsidRDefault="00DF676E" w:rsidP="00DF676E">
      <w:pPr>
        <w:rPr>
          <w:noProof/>
        </w:rPr>
      </w:pPr>
      <w:r w:rsidRPr="00D86314">
        <w:rPr>
          <w:noProof/>
        </w:rPr>
        <w:t xml:space="preserve">In summary, the literature review has shown that internet access generally benefits </w:t>
      </w:r>
      <w:r w:rsidR="00E532C8" w:rsidRPr="00D86314">
        <w:rPr>
          <w:noProof/>
        </w:rPr>
        <w:t>the</w:t>
      </w:r>
      <w:r w:rsidRPr="00D86314">
        <w:rPr>
          <w:noProof/>
        </w:rPr>
        <w:t xml:space="preserve"> physical and mental well-being </w:t>
      </w:r>
      <w:r w:rsidR="00E532C8" w:rsidRPr="00D86314">
        <w:rPr>
          <w:noProof/>
        </w:rPr>
        <w:t xml:space="preserve">of </w:t>
      </w:r>
      <w:r w:rsidRPr="00D86314">
        <w:rPr>
          <w:noProof/>
        </w:rPr>
        <w:t xml:space="preserve">consumers with disabilities </w:t>
      </w:r>
      <w:r w:rsidR="00E532C8" w:rsidRPr="00D86314">
        <w:rPr>
          <w:noProof/>
        </w:rPr>
        <w:t>due</w:t>
      </w:r>
      <w:r w:rsidRPr="00D86314">
        <w:rPr>
          <w:noProof/>
        </w:rPr>
        <w:t xml:space="preserve"> to reduced loneliness. The COVID-19 pandemic </w:t>
      </w:r>
      <w:r w:rsidR="00707988" w:rsidRPr="00D86314">
        <w:rPr>
          <w:noProof/>
        </w:rPr>
        <w:t>demonstrated</w:t>
      </w:r>
      <w:r w:rsidRPr="00D86314">
        <w:rPr>
          <w:noProof/>
        </w:rPr>
        <w:t xml:space="preserve"> the importance of having access to the internet especially for vulnerable consumer groups.</w:t>
      </w:r>
    </w:p>
    <w:p w14:paraId="32BFD76C" w14:textId="63111712" w:rsidR="00662599" w:rsidRPr="00D86314" w:rsidRDefault="00662599" w:rsidP="00CB3E4E">
      <w:pPr>
        <w:pStyle w:val="Heading2"/>
        <w:rPr>
          <w:noProof/>
        </w:rPr>
      </w:pPr>
      <w:bookmarkStart w:id="104" w:name="_Ref87342636"/>
      <w:bookmarkStart w:id="105" w:name="_Ref87362676"/>
      <w:bookmarkStart w:id="106" w:name="_Ref91502568"/>
      <w:bookmarkStart w:id="107" w:name="_Toc214231535"/>
      <w:bookmarkStart w:id="108" w:name="_Toc219718366"/>
      <w:r w:rsidRPr="00D86314">
        <w:rPr>
          <w:noProof/>
        </w:rPr>
        <w:t>Environmental impacts</w:t>
      </w:r>
      <w:bookmarkEnd w:id="104"/>
      <w:bookmarkEnd w:id="105"/>
      <w:bookmarkEnd w:id="106"/>
      <w:bookmarkEnd w:id="107"/>
      <w:bookmarkEnd w:id="108"/>
    </w:p>
    <w:p w14:paraId="04B8147E" w14:textId="186D5C06" w:rsidR="00662599" w:rsidRPr="00D86314" w:rsidRDefault="00775AA3" w:rsidP="00662599">
      <w:pPr>
        <w:rPr>
          <w:noProof/>
        </w:rPr>
      </w:pPr>
      <w:r w:rsidRPr="00D86314">
        <w:rPr>
          <w:noProof/>
        </w:rPr>
        <w:t>The deployment and o</w:t>
      </w:r>
      <w:r w:rsidR="00662599" w:rsidRPr="00D86314">
        <w:rPr>
          <w:noProof/>
        </w:rPr>
        <w:t xml:space="preserve">peration of fixed broadband can have significant environmental impacts. </w:t>
      </w:r>
      <w:r w:rsidR="00452A6A" w:rsidRPr="00D86314">
        <w:rPr>
          <w:noProof/>
        </w:rPr>
        <w:t>T</w:t>
      </w:r>
      <w:r w:rsidR="00662599" w:rsidRPr="00D86314">
        <w:rPr>
          <w:noProof/>
        </w:rPr>
        <w:t>his section</w:t>
      </w:r>
      <w:r w:rsidR="00452A6A" w:rsidRPr="00D86314">
        <w:rPr>
          <w:noProof/>
        </w:rPr>
        <w:t xml:space="preserve"> </w:t>
      </w:r>
      <w:r w:rsidR="00662599" w:rsidRPr="00D86314">
        <w:rPr>
          <w:noProof/>
        </w:rPr>
        <w:t>consider</w:t>
      </w:r>
      <w:r w:rsidR="00452A6A" w:rsidRPr="00D86314">
        <w:rPr>
          <w:noProof/>
        </w:rPr>
        <w:t>s</w:t>
      </w:r>
      <w:r w:rsidR="00662599" w:rsidRPr="00D86314">
        <w:rPr>
          <w:noProof/>
        </w:rPr>
        <w:t xml:space="preserve"> the potential effects of </w:t>
      </w:r>
      <w:r w:rsidR="00292729" w:rsidRPr="00D86314">
        <w:rPr>
          <w:noProof/>
        </w:rPr>
        <w:t>the policy options</w:t>
      </w:r>
      <w:r w:rsidR="00662599" w:rsidRPr="00D86314">
        <w:rPr>
          <w:noProof/>
        </w:rPr>
        <w:t xml:space="preserve"> on </w:t>
      </w:r>
      <w:r w:rsidR="005A05AC" w:rsidRPr="00D86314">
        <w:rPr>
          <w:noProof/>
        </w:rPr>
        <w:t>greenhouse gas</w:t>
      </w:r>
      <w:r w:rsidR="008F3F2A" w:rsidRPr="00D86314">
        <w:rPr>
          <w:noProof/>
        </w:rPr>
        <w:t xml:space="preserve"> </w:t>
      </w:r>
      <w:r w:rsidR="00662599" w:rsidRPr="00D86314">
        <w:rPr>
          <w:noProof/>
        </w:rPr>
        <w:t>emissions</w:t>
      </w:r>
      <w:r w:rsidR="00662599" w:rsidRPr="00D86314" w:rsidDel="005A05AC">
        <w:rPr>
          <w:noProof/>
        </w:rPr>
        <w:t xml:space="preserve"> </w:t>
      </w:r>
      <w:r w:rsidR="00F303B8" w:rsidRPr="00D86314">
        <w:rPr>
          <w:noProof/>
        </w:rPr>
        <w:t>(GHG)</w:t>
      </w:r>
      <w:r w:rsidR="00662599" w:rsidRPr="00D86314">
        <w:rPr>
          <w:noProof/>
        </w:rPr>
        <w:t>.</w:t>
      </w:r>
      <w:r w:rsidR="00662599" w:rsidRPr="00D86314" w:rsidDel="00F303B8">
        <w:rPr>
          <w:noProof/>
        </w:rPr>
        <w:t xml:space="preserve"> </w:t>
      </w:r>
      <w:r w:rsidR="00F303B8" w:rsidRPr="00D86314">
        <w:rPr>
          <w:noProof/>
        </w:rPr>
        <w:t>It also examines</w:t>
      </w:r>
      <w:r w:rsidR="00662599" w:rsidRPr="00D86314">
        <w:rPr>
          <w:noProof/>
        </w:rPr>
        <w:t xml:space="preserve"> the wider potential </w:t>
      </w:r>
      <w:r w:rsidR="000B7FB4" w:rsidRPr="00D86314">
        <w:rPr>
          <w:noProof/>
        </w:rPr>
        <w:t xml:space="preserve">of </w:t>
      </w:r>
      <w:r w:rsidR="00662599" w:rsidRPr="00D86314">
        <w:rPr>
          <w:noProof/>
        </w:rPr>
        <w:t xml:space="preserve">fibre </w:t>
      </w:r>
      <w:r w:rsidR="000B7FB4" w:rsidRPr="00D86314">
        <w:rPr>
          <w:noProof/>
        </w:rPr>
        <w:t xml:space="preserve">networks </w:t>
      </w:r>
      <w:r w:rsidR="00662599" w:rsidRPr="00D86314">
        <w:rPr>
          <w:noProof/>
        </w:rPr>
        <w:t xml:space="preserve">to support </w:t>
      </w:r>
      <w:r w:rsidR="00DC1632" w:rsidRPr="00D86314">
        <w:rPr>
          <w:noProof/>
        </w:rPr>
        <w:t xml:space="preserve">GHG emission </w:t>
      </w:r>
      <w:r w:rsidR="00662599" w:rsidRPr="00D86314">
        <w:rPr>
          <w:noProof/>
        </w:rPr>
        <w:t>reduction</w:t>
      </w:r>
      <w:r w:rsidR="00DC1632" w:rsidRPr="00D86314">
        <w:rPr>
          <w:noProof/>
        </w:rPr>
        <w:t>s</w:t>
      </w:r>
      <w:r w:rsidR="00662599" w:rsidRPr="00D86314">
        <w:rPr>
          <w:noProof/>
        </w:rPr>
        <w:t xml:space="preserve"> in other sectors.</w:t>
      </w:r>
    </w:p>
    <w:p w14:paraId="3939AED9" w14:textId="63D9A661" w:rsidR="00E37902" w:rsidRPr="00D86314" w:rsidRDefault="00E37902" w:rsidP="00703057">
      <w:pPr>
        <w:pStyle w:val="Heading3"/>
        <w:rPr>
          <w:noProof/>
        </w:rPr>
      </w:pPr>
      <w:bookmarkStart w:id="109" w:name="_Toc214231536"/>
      <w:bookmarkStart w:id="110" w:name="_Toc219718367"/>
      <w:r w:rsidRPr="00D86314">
        <w:rPr>
          <w:noProof/>
        </w:rPr>
        <w:t xml:space="preserve">The lifecycle of environmental impacts linked to </w:t>
      </w:r>
      <w:bookmarkEnd w:id="109"/>
      <w:r w:rsidR="005F593F" w:rsidRPr="00D86314">
        <w:rPr>
          <w:noProof/>
        </w:rPr>
        <w:t>networks</w:t>
      </w:r>
      <w:bookmarkEnd w:id="110"/>
    </w:p>
    <w:p w14:paraId="7374D643" w14:textId="3476BCE3" w:rsidR="00815A16" w:rsidRPr="00D86314" w:rsidRDefault="00815A16" w:rsidP="00815A16">
      <w:pPr>
        <w:rPr>
          <w:noProof/>
        </w:rPr>
      </w:pPr>
      <w:r w:rsidRPr="00D86314">
        <w:rPr>
          <w:noProof/>
        </w:rPr>
        <w:t>The environmental impacts associated with electronic communications networks can be classified into three distinct phases</w:t>
      </w:r>
      <w:r w:rsidRPr="00D86314">
        <w:rPr>
          <w:rStyle w:val="FootnoteReference"/>
          <w:noProof/>
        </w:rPr>
        <w:footnoteReference w:id="56"/>
      </w:r>
      <w:r w:rsidRPr="00D86314">
        <w:rPr>
          <w:noProof/>
        </w:rPr>
        <w:t xml:space="preserve"> The </w:t>
      </w:r>
      <w:r w:rsidRPr="00D86314">
        <w:rPr>
          <w:b/>
          <w:noProof/>
        </w:rPr>
        <w:t>deployment phase</w:t>
      </w:r>
      <w:r w:rsidRPr="00D86314">
        <w:rPr>
          <w:noProof/>
        </w:rPr>
        <w:t xml:space="preserve">, encompassing the manufacturing of equipment, ducts, and cables, as well as the civil engineering works required for network installation, including excavation and construction activities. The </w:t>
      </w:r>
      <w:r w:rsidRPr="00D86314">
        <w:rPr>
          <w:b/>
          <w:noProof/>
        </w:rPr>
        <w:t>operation phase</w:t>
      </w:r>
      <w:r w:rsidRPr="00D86314">
        <w:rPr>
          <w:noProof/>
        </w:rPr>
        <w:t xml:space="preserve">, referring to the continuous functioning of the network, entails mainly the electricity consumption but also regular maintenance activities to ensure reliable service delivery. The </w:t>
      </w:r>
      <w:r w:rsidRPr="00D86314">
        <w:rPr>
          <w:b/>
          <w:noProof/>
        </w:rPr>
        <w:t>decommissioning phase</w:t>
      </w:r>
      <w:r w:rsidRPr="00D86314">
        <w:rPr>
          <w:noProof/>
        </w:rPr>
        <w:t>, involving the dismantling and removal of network infrastructure and equipment, together with the management and recycling of the resulting waste materials.</w:t>
      </w:r>
    </w:p>
    <w:p w14:paraId="644CBCA0" w14:textId="5313D550" w:rsidR="00815A16" w:rsidRPr="00D86314" w:rsidRDefault="00815A16" w:rsidP="00CF6C01">
      <w:pPr>
        <w:keepNext/>
        <w:ind w:left="1701" w:hanging="1701"/>
        <w:rPr>
          <w:rFonts w:eastAsia="Calibri"/>
          <w:i/>
          <w:noProof/>
          <w:sz w:val="22"/>
          <w:szCs w:val="22"/>
        </w:rPr>
      </w:pPr>
      <w:bookmarkStart w:id="111" w:name="_Ref214013799"/>
      <w:r w:rsidRPr="00D86314">
        <w:rPr>
          <w:i/>
          <w:noProof/>
          <w:sz w:val="22"/>
          <w:szCs w:val="22"/>
        </w:rPr>
        <w:t xml:space="preserve">Figure </w:t>
      </w:r>
      <w:r w:rsidR="00317946" w:rsidRPr="00D86314">
        <w:rPr>
          <w:i/>
          <w:noProof/>
          <w:sz w:val="22"/>
          <w:szCs w:val="22"/>
        </w:rPr>
        <w:t>A4 1</w:t>
      </w:r>
      <w:bookmarkEnd w:id="111"/>
      <w:r w:rsidR="005B5146">
        <w:rPr>
          <w:i/>
          <w:noProof/>
          <w:sz w:val="22"/>
          <w:szCs w:val="22"/>
        </w:rPr>
        <w:noBreakHyphen/>
      </w:r>
      <w:r w:rsidR="00596077">
        <w:rPr>
          <w:i/>
          <w:noProof/>
          <w:sz w:val="22"/>
          <w:szCs w:val="22"/>
        </w:rPr>
        <w:t>22</w:t>
      </w:r>
      <w:r w:rsidRPr="00D86314">
        <w:rPr>
          <w:i/>
          <w:noProof/>
          <w:sz w:val="22"/>
          <w:szCs w:val="22"/>
        </w:rPr>
        <w:t>:Lifecycle overview of the environmental impacts for electronic communications networks</w:t>
      </w:r>
    </w:p>
    <w:p w14:paraId="6EED42BA" w14:textId="77777777" w:rsidR="00815A16" w:rsidRPr="00D86314" w:rsidRDefault="00815A16" w:rsidP="004D5D56">
      <w:pPr>
        <w:spacing w:after="0"/>
        <w:rPr>
          <w:noProof/>
        </w:rPr>
      </w:pPr>
      <w:r w:rsidRPr="00E46BC9">
        <w:rPr>
          <w:noProof/>
          <w:lang w:eastAsia="en-GB"/>
        </w:rPr>
        <w:drawing>
          <wp:inline distT="0" distB="0" distL="0" distR="0" wp14:anchorId="28B3F140" wp14:editId="1A3AF759">
            <wp:extent cx="5522614" cy="2710767"/>
            <wp:effectExtent l="0" t="0" r="1905" b="0"/>
            <wp:docPr id="197379150" name="Grafik 1" descr="Ein Bild, das Text, Screenshot,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9150" name="Grafik 1" descr="Ein Bild, das Text, Screenshot, Schrift, Kreis enthält.&#10;&#10;KI-generierte Inhalte können fehlerhaft sein."/>
                    <pic:cNvPicPr/>
                  </pic:nvPicPr>
                  <pic:blipFill>
                    <a:blip r:embed="rId51"/>
                    <a:stretch>
                      <a:fillRect/>
                    </a:stretch>
                  </pic:blipFill>
                  <pic:spPr>
                    <a:xfrm>
                      <a:off x="0" y="0"/>
                      <a:ext cx="5539576" cy="2719093"/>
                    </a:xfrm>
                    <a:prstGeom prst="rect">
                      <a:avLst/>
                    </a:prstGeom>
                  </pic:spPr>
                </pic:pic>
              </a:graphicData>
            </a:graphic>
          </wp:inline>
        </w:drawing>
      </w:r>
    </w:p>
    <w:p w14:paraId="1F25DC66" w14:textId="77777777" w:rsidR="00815A16" w:rsidRPr="00D86314" w:rsidRDefault="00815A16" w:rsidP="00815A16">
      <w:pPr>
        <w:pStyle w:val="Quelle"/>
        <w:rPr>
          <w:rFonts w:ascii="Times New Roman" w:hAnsi="Times New Roman"/>
          <w:noProof/>
        </w:rPr>
      </w:pPr>
      <w:r w:rsidRPr="00D86314">
        <w:rPr>
          <w:rFonts w:ascii="Times New Roman" w:hAnsi="Times New Roman"/>
          <w:noProof/>
        </w:rPr>
        <w:t>Source: Ramboll and WIK-Consult</w:t>
      </w:r>
    </w:p>
    <w:p w14:paraId="0A84EE3B" w14:textId="39F6512C" w:rsidR="00815A16" w:rsidRPr="00D86314" w:rsidRDefault="00815A16" w:rsidP="00815A16">
      <w:pPr>
        <w:rPr>
          <w:noProof/>
        </w:rPr>
      </w:pPr>
      <w:r w:rsidRPr="00D86314">
        <w:rPr>
          <w:noProof/>
        </w:rPr>
        <w:t xml:space="preserve">The usage phase accounts for the largest share of the footprint by far. Sample calculations by Nokia for typical fixed and mobile networks show that around 90 </w:t>
      </w:r>
      <w:r w:rsidR="00F466D4">
        <w:rPr>
          <w:noProof/>
        </w:rPr>
        <w:t>%</w:t>
      </w:r>
      <w:r w:rsidRPr="00D86314">
        <w:rPr>
          <w:noProof/>
        </w:rPr>
        <w:t xml:space="preserve"> of emissions occur during this phase (see </w:t>
      </w:r>
      <w:r w:rsidRPr="00D86314">
        <w:rPr>
          <w:noProof/>
        </w:rPr>
        <w:fldChar w:fldCharType="begin"/>
      </w:r>
      <w:r w:rsidRPr="00D86314">
        <w:rPr>
          <w:noProof/>
        </w:rPr>
        <w:instrText xml:space="preserve"> REF _Ref214022135 </w:instrText>
      </w:r>
      <w:r w:rsidR="00534028" w:rsidRPr="00D86314">
        <w:rPr>
          <w:noProof/>
        </w:rPr>
        <w:instrText xml:space="preserve"> \* MERGEFORMAT </w:instrText>
      </w:r>
      <w:r w:rsidRPr="00D86314">
        <w:rPr>
          <w:noProof/>
        </w:rPr>
        <w:fldChar w:fldCharType="separate"/>
      </w:r>
      <w:r w:rsidR="00870CA9" w:rsidRPr="00D86314">
        <w:rPr>
          <w:noProof/>
        </w:rPr>
        <w:t>Figure A4 1</w:t>
      </w:r>
      <w:r w:rsidRPr="00D86314">
        <w:rPr>
          <w:noProof/>
        </w:rPr>
        <w:fldChar w:fldCharType="end"/>
      </w:r>
      <w:r w:rsidR="00E15682">
        <w:rPr>
          <w:noProof/>
        </w:rPr>
        <w:t>-2</w:t>
      </w:r>
      <w:r w:rsidR="00596077">
        <w:rPr>
          <w:noProof/>
        </w:rPr>
        <w:t>3</w:t>
      </w:r>
      <w:r w:rsidRPr="00D86314">
        <w:rPr>
          <w:noProof/>
        </w:rPr>
        <w:t>). The zero or negative contribution of the end-of-life phase in this sample calculation is due to recycling of copper and other precious raw materials. Recycling prevents higher emissions from newly extracted raw materials.</w:t>
      </w:r>
    </w:p>
    <w:p w14:paraId="33EAB1E7" w14:textId="0E111CFA" w:rsidR="004A3A77" w:rsidRPr="00D86314" w:rsidRDefault="004A3A77" w:rsidP="004A3A77">
      <w:pPr>
        <w:pStyle w:val="Caption"/>
        <w:rPr>
          <w:noProof/>
          <w:sz w:val="22"/>
          <w:szCs w:val="22"/>
        </w:rPr>
      </w:pPr>
      <w:bookmarkStart w:id="112" w:name="_Ref214022135"/>
      <w:r w:rsidRPr="00D86314">
        <w:rPr>
          <w:noProof/>
          <w:color w:val="auto"/>
          <w:sz w:val="22"/>
          <w:szCs w:val="22"/>
        </w:rPr>
        <w:t xml:space="preserve">Figure </w:t>
      </w:r>
      <w:r w:rsidR="00317946" w:rsidRPr="00D86314">
        <w:rPr>
          <w:noProof/>
          <w:color w:val="auto"/>
          <w:sz w:val="22"/>
          <w:szCs w:val="22"/>
        </w:rPr>
        <w:t>A4 1</w:t>
      </w:r>
      <w:bookmarkEnd w:id="112"/>
      <w:r w:rsidR="005B5146">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SEQ Figure \* ARABIC \s 1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96077">
        <w:rPr>
          <w:noProof/>
          <w:color w:val="auto"/>
          <w:sz w:val="22"/>
          <w:szCs w:val="22"/>
        </w:rPr>
        <w:t>3</w:t>
      </w:r>
      <w:r w:rsidRPr="00D86314">
        <w:rPr>
          <w:noProof/>
          <w:color w:val="auto"/>
          <w:sz w:val="22"/>
          <w:szCs w:val="22"/>
        </w:rPr>
        <w:t xml:space="preserve">:Percentage of GHG emissions from </w:t>
      </w:r>
      <w:r w:rsidR="005D5B22" w:rsidRPr="00D86314">
        <w:rPr>
          <w:noProof/>
          <w:color w:val="auto"/>
          <w:sz w:val="22"/>
          <w:szCs w:val="22"/>
        </w:rPr>
        <w:t>different</w:t>
      </w:r>
      <w:r w:rsidRPr="00D86314">
        <w:rPr>
          <w:noProof/>
          <w:color w:val="auto"/>
          <w:sz w:val="22"/>
          <w:szCs w:val="22"/>
        </w:rPr>
        <w:t xml:space="preserve"> product </w:t>
      </w:r>
      <w:r w:rsidR="00666B9A" w:rsidRPr="00D86314">
        <w:rPr>
          <w:noProof/>
          <w:color w:val="auto"/>
          <w:sz w:val="22"/>
          <w:szCs w:val="22"/>
        </w:rPr>
        <w:t>lifecycle</w:t>
      </w:r>
      <w:r w:rsidRPr="00D86314">
        <w:rPr>
          <w:noProof/>
          <w:color w:val="auto"/>
          <w:sz w:val="22"/>
          <w:szCs w:val="22"/>
        </w:rPr>
        <w:t xml:space="preserve"> stages</w:t>
      </w:r>
    </w:p>
    <w:p w14:paraId="4DB7AB81" w14:textId="77777777" w:rsidR="004A3A77" w:rsidRPr="00D86314" w:rsidRDefault="004A3A77" w:rsidP="00317946">
      <w:pPr>
        <w:pStyle w:val="Quelle"/>
        <w:spacing w:after="0"/>
        <w:rPr>
          <w:noProof/>
        </w:rPr>
      </w:pPr>
      <w:r w:rsidRPr="00E46BC9">
        <w:rPr>
          <w:noProof/>
          <w:lang w:eastAsia="en-GB"/>
        </w:rPr>
        <w:drawing>
          <wp:inline distT="0" distB="0" distL="0" distR="0" wp14:anchorId="736DDE0A" wp14:editId="2B622EB1">
            <wp:extent cx="4122420" cy="3038751"/>
            <wp:effectExtent l="0" t="0" r="0" b="9525"/>
            <wp:docPr id="1443297177" name="Grafik 1" descr="Ein Bild, das Text, Screenshot, Zah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97177" name="Grafik 1" descr="Ein Bild, das Text, Screenshot, Zahl, Schrift enthält.&#10;&#10;KI-generierte Inhalte können fehlerhaft sein."/>
                    <pic:cNvPicPr/>
                  </pic:nvPicPr>
                  <pic:blipFill rotWithShape="1">
                    <a:blip r:embed="rId52"/>
                    <a:srcRect t="6779"/>
                    <a:stretch>
                      <a:fillRect/>
                    </a:stretch>
                  </pic:blipFill>
                  <pic:spPr bwMode="auto">
                    <a:xfrm>
                      <a:off x="0" y="0"/>
                      <a:ext cx="4181292" cy="3082147"/>
                    </a:xfrm>
                    <a:prstGeom prst="rect">
                      <a:avLst/>
                    </a:prstGeom>
                    <a:ln>
                      <a:noFill/>
                    </a:ln>
                    <a:extLst>
                      <a:ext uri="{53640926-AAD7-44D8-BBD7-CCE9431645EC}">
                        <a14:shadowObscured xmlns:a14="http://schemas.microsoft.com/office/drawing/2010/main"/>
                      </a:ext>
                    </a:extLst>
                  </pic:spPr>
                </pic:pic>
              </a:graphicData>
            </a:graphic>
          </wp:inline>
        </w:drawing>
      </w:r>
    </w:p>
    <w:p w14:paraId="1A3B63BC" w14:textId="77777777" w:rsidR="004A3A77" w:rsidRPr="00D86314" w:rsidRDefault="004A3A77" w:rsidP="004A3A77">
      <w:pPr>
        <w:pStyle w:val="Quelle"/>
        <w:rPr>
          <w:rFonts w:ascii="Times New Roman" w:hAnsi="Times New Roman"/>
          <w:noProof/>
        </w:rPr>
      </w:pPr>
      <w:r w:rsidRPr="00D86314">
        <w:rPr>
          <w:rFonts w:ascii="Times New Roman" w:hAnsi="Times New Roman"/>
          <w:noProof/>
        </w:rPr>
        <w:t>Source: Nokia (2019)</w:t>
      </w:r>
      <w:r w:rsidRPr="00D86314">
        <w:rPr>
          <w:rStyle w:val="FootnoteReference"/>
          <w:rFonts w:ascii="Times New Roman" w:hAnsi="Times New Roman"/>
          <w:noProof/>
        </w:rPr>
        <w:footnoteReference w:id="57"/>
      </w:r>
    </w:p>
    <w:p w14:paraId="41AE7820" w14:textId="6BB32F5D" w:rsidR="00CF15DE" w:rsidRPr="00D86314" w:rsidRDefault="00A230DC" w:rsidP="00703057">
      <w:pPr>
        <w:pStyle w:val="Heading3"/>
        <w:rPr>
          <w:noProof/>
        </w:rPr>
      </w:pPr>
      <w:bookmarkStart w:id="113" w:name="_Toc219718368"/>
      <w:r w:rsidRPr="00D86314">
        <w:rPr>
          <w:noProof/>
        </w:rPr>
        <w:t xml:space="preserve">Fixed </w:t>
      </w:r>
      <w:r w:rsidR="00074A0E" w:rsidRPr="00D86314">
        <w:rPr>
          <w:noProof/>
        </w:rPr>
        <w:t>network</w:t>
      </w:r>
      <w:r w:rsidRPr="00D86314">
        <w:rPr>
          <w:noProof/>
        </w:rPr>
        <w:t xml:space="preserve"> deployment</w:t>
      </w:r>
      <w:bookmarkEnd w:id="113"/>
    </w:p>
    <w:p w14:paraId="338A45C9" w14:textId="77777777" w:rsidR="000233D0" w:rsidRPr="00D86314" w:rsidRDefault="000233D0" w:rsidP="000233D0">
      <w:pPr>
        <w:rPr>
          <w:noProof/>
        </w:rPr>
      </w:pPr>
      <w:r w:rsidRPr="00D86314">
        <w:rPr>
          <w:noProof/>
        </w:rPr>
        <w:t>Research on the environmental effects of fixed network deployment shows that construction methods have a significant impact on ecological outcomes.</w:t>
      </w:r>
      <w:r w:rsidRPr="00D86314">
        <w:rPr>
          <w:rStyle w:val="FootnoteReference"/>
          <w:noProof/>
        </w:rPr>
        <w:footnoteReference w:id="58"/>
      </w:r>
      <w:r w:rsidRPr="00D86314">
        <w:rPr>
          <w:noProof/>
        </w:rPr>
        <w:t xml:space="preserve"> Smaller excavation volumes and infrastructure reuse provide the most substantial benefits. Life Cycle Assessment studies, such as Solivan's (2015)</w:t>
      </w:r>
      <w:r w:rsidRPr="00D86314">
        <w:rPr>
          <w:rStyle w:val="FootnoteReference"/>
          <w:noProof/>
        </w:rPr>
        <w:footnoteReference w:id="59"/>
      </w:r>
      <w:r w:rsidRPr="00D86314">
        <w:rPr>
          <w:noProof/>
        </w:rPr>
        <w:t xml:space="preserve"> analysis of fibre cable construction, show that micro-trenching and ploughing methods minimise environmental disruption compared to traditional trenching. This is particularly true when they are used under asphalt surfaces, as they reduce fuel consumption for machinery and limit the transformation of natural land. Further environmental gains can be achieved by reusing existing infrastructure, including ducts, sewer pipes, water pipes, gas pipes and cable decoring. As demonstrated by Ecobilan (2008)</w:t>
      </w:r>
      <w:r w:rsidRPr="00D86314">
        <w:rPr>
          <w:rStyle w:val="FootnoteReference"/>
          <w:noProof/>
        </w:rPr>
        <w:footnoteReference w:id="60"/>
      </w:r>
      <w:r w:rsidRPr="00D86314">
        <w:rPr>
          <w:noProof/>
        </w:rPr>
        <w:t xml:space="preserve"> and Stockman and Zhao (2014)</w:t>
      </w:r>
      <w:r w:rsidRPr="00D86314">
        <w:rPr>
          <w:rStyle w:val="FootnoteReference"/>
          <w:noProof/>
        </w:rPr>
        <w:footnoteReference w:id="61"/>
      </w:r>
      <w:r w:rsidRPr="00D86314">
        <w:rPr>
          <w:noProof/>
        </w:rPr>
        <w:t>, this produces significantly lower environmental impacts than traditional civil engineering works. While underground cable installation primarily causes environmental damage during the construction phase, overhead wires create permanent visual impacts, which are particularly problematic in environmentally sensitive areas, such as cultural heritage sites and ridgelines.</w:t>
      </w:r>
    </w:p>
    <w:p w14:paraId="02557EB7" w14:textId="7F9A13ED" w:rsidR="000233D0" w:rsidRPr="00D86314" w:rsidRDefault="000233D0" w:rsidP="000233D0">
      <w:pPr>
        <w:rPr>
          <w:noProof/>
        </w:rPr>
      </w:pPr>
      <w:r w:rsidRPr="00D86314">
        <w:rPr>
          <w:noProof/>
        </w:rPr>
        <w:t>In a study by the Fibr</w:t>
      </w:r>
      <w:r w:rsidR="00A04338" w:rsidRPr="00D86314">
        <w:rPr>
          <w:noProof/>
        </w:rPr>
        <w:t>e</w:t>
      </w:r>
      <w:r w:rsidRPr="00D86314">
        <w:rPr>
          <w:noProof/>
        </w:rPr>
        <w:t xml:space="preserve"> Broadband Association (2024)</w:t>
      </w:r>
      <w:r w:rsidRPr="00D86314">
        <w:rPr>
          <w:rStyle w:val="FootnoteReference"/>
          <w:noProof/>
        </w:rPr>
        <w:footnoteReference w:id="62"/>
      </w:r>
      <w:r w:rsidRPr="00D86314">
        <w:rPr>
          <w:noProof/>
        </w:rPr>
        <w:t xml:space="preserve"> an estimate was made of the carbon footprint associated with the manufacturing one kilometre of FTTH compared with an HFC network. The sample calculation resulted in a carbon footprint of 883</w:t>
      </w:r>
      <w:r w:rsidR="00A733FF">
        <w:rPr>
          <w:noProof/>
        </w:rPr>
        <w:t xml:space="preserve"> </w:t>
      </w:r>
      <w:r w:rsidR="00253DA6">
        <w:rPr>
          <w:noProof/>
        </w:rPr>
        <w:t>k</w:t>
      </w:r>
      <w:r w:rsidRPr="00D86314">
        <w:rPr>
          <w:noProof/>
        </w:rPr>
        <w:t>g CO2e for one kilometre of FTTH and 2,408 kg CO2e for one kilometre of HFC. In this comparison with an HFC network, the manufacturing of an all-fibre network produces an approximately 60% lower carbon footprint.</w:t>
      </w:r>
    </w:p>
    <w:p w14:paraId="0BE12B10" w14:textId="057222EF" w:rsidR="004E7AA2" w:rsidRPr="00D86314" w:rsidRDefault="004E7AA2" w:rsidP="00CB3E4E">
      <w:pPr>
        <w:pStyle w:val="Heading3"/>
        <w:rPr>
          <w:noProof/>
        </w:rPr>
      </w:pPr>
      <w:bookmarkStart w:id="114" w:name="_Toc214231538"/>
      <w:bookmarkStart w:id="115" w:name="_Toc219718369"/>
      <w:r w:rsidRPr="00D86314">
        <w:rPr>
          <w:noProof/>
        </w:rPr>
        <w:t>Fixed network operation</w:t>
      </w:r>
      <w:bookmarkEnd w:id="114"/>
      <w:bookmarkEnd w:id="115"/>
    </w:p>
    <w:p w14:paraId="758BB6DD" w14:textId="77777777" w:rsidR="0026699D" w:rsidRPr="00D86314" w:rsidRDefault="0026699D" w:rsidP="00CB3E4E">
      <w:pPr>
        <w:pStyle w:val="Heading4"/>
        <w:rPr>
          <w:noProof/>
        </w:rPr>
      </w:pPr>
      <w:r w:rsidRPr="00D86314">
        <w:rPr>
          <w:noProof/>
        </w:rPr>
        <w:t>Environmental impact of broadband operation in the literature</w:t>
      </w:r>
    </w:p>
    <w:p w14:paraId="0BF32065" w14:textId="38C1E632" w:rsidR="0026699D" w:rsidRPr="00D86314" w:rsidRDefault="0026699D" w:rsidP="0026699D">
      <w:pPr>
        <w:rPr>
          <w:noProof/>
        </w:rPr>
      </w:pPr>
      <w:r w:rsidRPr="00D86314">
        <w:rPr>
          <w:noProof/>
        </w:rPr>
        <w:t>The operation is an important part of the lifecycle of electronic communications networks as these systems often remain in place for many years. In a study of an Italian dense urban area (Griffa et al., 2010) found the use phase to dominate emissions representing between 57.5% and 73% of total emissions of FTTx deployment.</w:t>
      </w:r>
    </w:p>
    <w:p w14:paraId="092E6995" w14:textId="43EC0FCF" w:rsidR="0026699D" w:rsidRPr="00D86314" w:rsidRDefault="0026699D" w:rsidP="0026699D">
      <w:pPr>
        <w:rPr>
          <w:noProof/>
        </w:rPr>
      </w:pPr>
      <w:r w:rsidRPr="00D86314">
        <w:rPr>
          <w:noProof/>
        </w:rPr>
        <w:t>A wide range of studies has been conducted to analyse CO</w:t>
      </w:r>
      <w:r w:rsidRPr="00D86314">
        <w:rPr>
          <w:rFonts w:ascii="Cambria Math" w:hAnsi="Cambria Math" w:cs="Cambria Math"/>
          <w:noProof/>
        </w:rPr>
        <w:t>₂</w:t>
      </w:r>
      <w:r w:rsidRPr="00D86314">
        <w:rPr>
          <w:noProof/>
        </w:rPr>
        <w:t xml:space="preserve"> emissions and energy consumption in access networks in the last decade.</w:t>
      </w:r>
      <w:r w:rsidRPr="00D86314">
        <w:rPr>
          <w:rStyle w:val="FootnoteReference"/>
          <w:noProof/>
        </w:rPr>
        <w:footnoteReference w:id="63"/>
      </w:r>
      <w:r w:rsidRPr="00D86314">
        <w:rPr>
          <w:noProof/>
        </w:rPr>
        <w:t xml:space="preserve"> The available studies vary significantly with regard to their methodological approach and are targeted to different regions and technological mixes. The most relevant methodologies that are applied to quantify the effects include bottom-up approach, </w:t>
      </w:r>
      <w:r w:rsidR="008531DA" w:rsidRPr="00D86314">
        <w:rPr>
          <w:noProof/>
        </w:rPr>
        <w:t>top-down</w:t>
      </w:r>
      <w:r w:rsidRPr="00D86314">
        <w:rPr>
          <w:noProof/>
        </w:rPr>
        <w:t xml:space="preserve"> approach and life cycle analysis.</w:t>
      </w:r>
      <w:r w:rsidRPr="00D86314">
        <w:rPr>
          <w:rStyle w:val="FootnoteReference"/>
          <w:noProof/>
        </w:rPr>
        <w:footnoteReference w:id="64"/>
      </w:r>
      <w:r w:rsidRPr="00D86314">
        <w:rPr>
          <w:noProof/>
        </w:rPr>
        <w:t xml:space="preserve"> </w:t>
      </w:r>
    </w:p>
    <w:p w14:paraId="54953705" w14:textId="77777777" w:rsidR="0026699D" w:rsidRPr="00D86314" w:rsidRDefault="0026699D" w:rsidP="0026699D">
      <w:pPr>
        <w:rPr>
          <w:noProof/>
        </w:rPr>
      </w:pPr>
      <w:r w:rsidRPr="00D86314">
        <w:rPr>
          <w:noProof/>
        </w:rPr>
        <w:t>Relevant studies with a focus on fixed broadband operation include the following:</w:t>
      </w:r>
    </w:p>
    <w:p w14:paraId="7B6C9600" w14:textId="47EA2B00" w:rsidR="0026699D" w:rsidRPr="00D86314" w:rsidRDefault="0026699D" w:rsidP="0026699D">
      <w:pPr>
        <w:rPr>
          <w:noProof/>
        </w:rPr>
      </w:pPr>
      <w:r w:rsidRPr="00D86314">
        <w:rPr>
          <w:noProof/>
        </w:rPr>
        <w:t xml:space="preserve">Several studies have investigated the environmental impact and energy consumption associated with alternative wired systems. Aleksic &amp; Lovric </w:t>
      </w:r>
      <w:sdt>
        <w:sdtPr>
          <w:rPr>
            <w:noProof/>
          </w:rPr>
          <w:id w:val="836272095"/>
          <w:citation/>
        </w:sdtPr>
        <w:sdtEndPr/>
        <w:sdtContent>
          <w:r w:rsidRPr="00D86314">
            <w:rPr>
              <w:noProof/>
            </w:rPr>
            <w:fldChar w:fldCharType="begin"/>
          </w:r>
          <w:r w:rsidRPr="00D86314">
            <w:rPr>
              <w:noProof/>
            </w:rPr>
            <w:instrText xml:space="preserve">CITATION Sla11 \n  \l 1033 </w:instrText>
          </w:r>
          <w:r w:rsidRPr="00D86314">
            <w:rPr>
              <w:noProof/>
            </w:rPr>
            <w:fldChar w:fldCharType="separate"/>
          </w:r>
          <w:r w:rsidR="00EA737B" w:rsidRPr="00D86314">
            <w:rPr>
              <w:noProof/>
            </w:rPr>
            <w:t>(Energy Consumption and Environmental Implications of Wired Access Networks, 2011)</w:t>
          </w:r>
          <w:r w:rsidRPr="00D86314">
            <w:rPr>
              <w:noProof/>
            </w:rPr>
            <w:fldChar w:fldCharType="end"/>
          </w:r>
        </w:sdtContent>
      </w:sdt>
      <w:r w:rsidRPr="00D86314">
        <w:rPr>
          <w:noProof/>
        </w:rPr>
        <w:t xml:space="preserve"> found FTTH could reduce GHG emissions per Gbit by 88% compared to the prevailing mix of Digital Subscriber Line (DSL) and Hybrid Fibr</w:t>
      </w:r>
      <w:r w:rsidR="002C5E52" w:rsidRPr="00D86314">
        <w:rPr>
          <w:noProof/>
        </w:rPr>
        <w:t>e</w:t>
      </w:r>
      <w:r w:rsidRPr="00D86314">
        <w:rPr>
          <w:noProof/>
        </w:rPr>
        <w:t xml:space="preserve"> Coax (HFC) in 2008. Baliga et al. </w:t>
      </w:r>
      <w:sdt>
        <w:sdtPr>
          <w:rPr>
            <w:noProof/>
          </w:rPr>
          <w:id w:val="1514491351"/>
          <w:citation/>
        </w:sdtPr>
        <w:sdtEndPr/>
        <w:sdtContent>
          <w:r w:rsidRPr="00D86314">
            <w:rPr>
              <w:noProof/>
            </w:rPr>
            <w:fldChar w:fldCharType="begin"/>
          </w:r>
          <w:r w:rsidRPr="00D86314">
            <w:rPr>
              <w:noProof/>
            </w:rPr>
            <w:instrText xml:space="preserve">CITATION Jay11 \n  \l 1033 </w:instrText>
          </w:r>
          <w:r w:rsidRPr="00D86314">
            <w:rPr>
              <w:noProof/>
            </w:rPr>
            <w:fldChar w:fldCharType="separate"/>
          </w:r>
          <w:r w:rsidR="00EA737B" w:rsidRPr="00D86314">
            <w:rPr>
              <w:noProof/>
            </w:rPr>
            <w:t>(Energy Consumption in Wired and Wireless Access Networks, 2011)</w:t>
          </w:r>
          <w:r w:rsidRPr="00D86314">
            <w:rPr>
              <w:noProof/>
            </w:rPr>
            <w:fldChar w:fldCharType="end"/>
          </w:r>
        </w:sdtContent>
      </w:sdt>
      <w:r w:rsidRPr="00D86314">
        <w:rPr>
          <w:noProof/>
        </w:rPr>
        <w:t xml:space="preserve"> found that at higher access rates a Passive Optical Network (PON) has clear energy advantages over other networks such as HFC, DSL, and FTTN. Similarly, Oberman </w:t>
      </w:r>
      <w:sdt>
        <w:sdtPr>
          <w:rPr>
            <w:noProof/>
          </w:rPr>
          <w:id w:val="1865476978"/>
          <w:citation/>
        </w:sdtPr>
        <w:sdtEndPr/>
        <w:sdtContent>
          <w:r w:rsidRPr="00D86314">
            <w:rPr>
              <w:noProof/>
            </w:rPr>
            <w:fldChar w:fldCharType="begin"/>
          </w:r>
          <w:r w:rsidRPr="00D86314">
            <w:rPr>
              <w:noProof/>
            </w:rPr>
            <w:instrText xml:space="preserve">CITATION Kri20 \n  \l 1033 </w:instrText>
          </w:r>
          <w:r w:rsidRPr="00D86314">
            <w:rPr>
              <w:noProof/>
            </w:rPr>
            <w:fldChar w:fldCharType="separate"/>
          </w:r>
          <w:r w:rsidR="00EA737B" w:rsidRPr="00D86314">
            <w:rPr>
              <w:noProof/>
            </w:rPr>
            <w:t>(Nachhaltigkeitsvergleich der Zugangsnetz-Technologien FTTC und FTTH, 2020)</w:t>
          </w:r>
          <w:r w:rsidRPr="00D86314">
            <w:rPr>
              <w:noProof/>
            </w:rPr>
            <w:fldChar w:fldCharType="end"/>
          </w:r>
        </w:sdtContent>
      </w:sdt>
      <w:r w:rsidRPr="00D86314">
        <w:rPr>
          <w:noProof/>
        </w:rPr>
        <w:t xml:space="preserve"> found an improved higher energy efficiency of PON compared to FTTC. Finally, Breide et al. </w:t>
      </w:r>
      <w:sdt>
        <w:sdtPr>
          <w:rPr>
            <w:noProof/>
          </w:rPr>
          <w:id w:val="-1581986049"/>
          <w:citation/>
        </w:sdtPr>
        <w:sdtEndPr/>
        <w:sdtContent>
          <w:r w:rsidRPr="00D86314">
            <w:rPr>
              <w:noProof/>
            </w:rPr>
            <w:fldChar w:fldCharType="begin"/>
          </w:r>
          <w:r w:rsidRPr="00D86314">
            <w:rPr>
              <w:noProof/>
            </w:rPr>
            <w:instrText xml:space="preserve">CITATION Ste21 \n  \l 1033 </w:instrText>
          </w:r>
          <w:r w:rsidRPr="00D86314">
            <w:rPr>
              <w:noProof/>
            </w:rPr>
            <w:fldChar w:fldCharType="separate"/>
          </w:r>
          <w:r w:rsidR="00EA737B" w:rsidRPr="00D86314">
            <w:rPr>
              <w:noProof/>
            </w:rPr>
            <w:t>(Energy consumption of telecommunications access networks, 2021)</w:t>
          </w:r>
          <w:r w:rsidRPr="00D86314">
            <w:rPr>
              <w:noProof/>
            </w:rPr>
            <w:fldChar w:fldCharType="end"/>
          </w:r>
        </w:sdtContent>
      </w:sdt>
      <w:r w:rsidRPr="00D86314">
        <w:rPr>
          <w:noProof/>
        </w:rPr>
        <w:t xml:space="preserve"> found reduced energy consumption of the PON access network of above 80% compared to VDSL2 and a reduction of 10% including CPE.</w:t>
      </w:r>
    </w:p>
    <w:p w14:paraId="0FC38061" w14:textId="77777777" w:rsidR="0026699D" w:rsidRPr="00D86314" w:rsidRDefault="0026699D" w:rsidP="0026699D">
      <w:pPr>
        <w:rPr>
          <w:noProof/>
        </w:rPr>
      </w:pPr>
      <w:r w:rsidRPr="00D86314">
        <w:rPr>
          <w:noProof/>
        </w:rPr>
        <w:t xml:space="preserve">Griffa et al. </w:t>
      </w:r>
      <w:sdt>
        <w:sdtPr>
          <w:rPr>
            <w:noProof/>
          </w:rPr>
          <w:id w:val="1870802309"/>
          <w:citation/>
        </w:sdtPr>
        <w:sdtEndPr/>
        <w:sdtContent>
          <w:r w:rsidRPr="00D86314">
            <w:rPr>
              <w:noProof/>
            </w:rPr>
            <w:fldChar w:fldCharType="begin"/>
          </w:r>
          <w:r w:rsidRPr="00D86314">
            <w:rPr>
              <w:noProof/>
            </w:rPr>
            <w:instrText xml:space="preserve">CITATION Gia10 \n  \l 1033 </w:instrText>
          </w:r>
          <w:r w:rsidRPr="00D86314">
            <w:rPr>
              <w:noProof/>
            </w:rPr>
            <w:fldChar w:fldCharType="separate"/>
          </w:r>
          <w:r w:rsidR="00EA737B" w:rsidRPr="00D86314">
            <w:rPr>
              <w:noProof/>
            </w:rPr>
            <w:t>(Carbon Footprint of Next Generation Fixed Networks, 2010)</w:t>
          </w:r>
          <w:r w:rsidRPr="00D86314">
            <w:rPr>
              <w:noProof/>
            </w:rPr>
            <w:fldChar w:fldCharType="end"/>
          </w:r>
        </w:sdtContent>
      </w:sdt>
      <w:r w:rsidRPr="00D86314">
        <w:rPr>
          <w:noProof/>
        </w:rPr>
        <w:t xml:space="preserve"> indicates, however, that when considering deployment FTTH may indeed lead to higher emissions compared to FTTC in absolute terms but suggest that with low-power modes on CPE this may significantly improve over time. Baliga et al. </w:t>
      </w:r>
      <w:sdt>
        <w:sdtPr>
          <w:rPr>
            <w:noProof/>
          </w:rPr>
          <w:id w:val="479499490"/>
          <w:citation/>
        </w:sdtPr>
        <w:sdtEndPr/>
        <w:sdtContent>
          <w:r w:rsidRPr="00D86314">
            <w:rPr>
              <w:noProof/>
            </w:rPr>
            <w:fldChar w:fldCharType="begin"/>
          </w:r>
          <w:r w:rsidRPr="00D86314">
            <w:rPr>
              <w:noProof/>
            </w:rPr>
            <w:instrText xml:space="preserve">CITATION Jay11 \n  \l 1033 </w:instrText>
          </w:r>
          <w:r w:rsidRPr="00D86314">
            <w:rPr>
              <w:noProof/>
            </w:rPr>
            <w:fldChar w:fldCharType="separate"/>
          </w:r>
          <w:r w:rsidR="00EA737B" w:rsidRPr="00D86314">
            <w:rPr>
              <w:noProof/>
            </w:rPr>
            <w:t>(Energy Consumption in Wired and Wireless Access Networks, 2011)</w:t>
          </w:r>
          <w:r w:rsidRPr="00D86314">
            <w:rPr>
              <w:noProof/>
            </w:rPr>
            <w:fldChar w:fldCharType="end"/>
          </w:r>
        </w:sdtContent>
      </w:sdt>
      <w:r w:rsidRPr="00D86314">
        <w:rPr>
          <w:noProof/>
        </w:rPr>
        <w:t xml:space="preserve"> also indicate potential for improvement in energy efficiencies over time, suggesting that “the per-user power consumption of most high-speed access technologies should fall by around 70 percent from 2010 to 2020”.</w:t>
      </w:r>
    </w:p>
    <w:p w14:paraId="5A20BED0" w14:textId="741F37C5" w:rsidR="0026699D" w:rsidRPr="00D86314" w:rsidRDefault="0026699D" w:rsidP="0026699D">
      <w:pPr>
        <w:rPr>
          <w:noProof/>
        </w:rPr>
      </w:pPr>
      <w:r w:rsidRPr="00D86314">
        <w:rPr>
          <w:noProof/>
        </w:rPr>
        <w:t xml:space="preserve">Looking across from the first version JRC’s Code of Conduct on Energy Consumption of Broadband Equipment to the most recent in 2020 </w:t>
      </w:r>
      <w:sdt>
        <w:sdtPr>
          <w:rPr>
            <w:noProof/>
          </w:rPr>
          <w:id w:val="1623719408"/>
          <w:citation/>
        </w:sdtPr>
        <w:sdtEndPr/>
        <w:sdtContent>
          <w:r w:rsidRPr="00D86314">
            <w:rPr>
              <w:noProof/>
            </w:rPr>
            <w:fldChar w:fldCharType="begin"/>
          </w:r>
          <w:r w:rsidRPr="00D86314">
            <w:rPr>
              <w:noProof/>
            </w:rPr>
            <w:instrText xml:space="preserve"> CITATION ECJ20 \l 1033 </w:instrText>
          </w:r>
          <w:r w:rsidRPr="00D86314">
            <w:rPr>
              <w:noProof/>
            </w:rPr>
            <w:fldChar w:fldCharType="separate"/>
          </w:r>
          <w:r w:rsidR="00EA737B" w:rsidRPr="00D86314">
            <w:rPr>
              <w:noProof/>
            </w:rPr>
            <w:t>(EC JRC, 2020)</w:t>
          </w:r>
          <w:r w:rsidRPr="00D86314">
            <w:rPr>
              <w:noProof/>
            </w:rPr>
            <w:fldChar w:fldCharType="end"/>
          </w:r>
        </w:sdtContent>
      </w:sdt>
      <w:r w:rsidRPr="00D86314">
        <w:rPr>
          <w:noProof/>
        </w:rPr>
        <w:t>, also indicates significant energy efficiency improvement potential across all network equipment. It is therefore generally recognized that fibre (PON) can reduce energy consumption for the data delivered to the end user. It is also likely that these systems will improve their energy efficiency over time.</w:t>
      </w:r>
    </w:p>
    <w:p w14:paraId="35450688" w14:textId="4823DC54" w:rsidR="0026699D" w:rsidRPr="00D86314" w:rsidRDefault="0026699D" w:rsidP="0026699D">
      <w:pPr>
        <w:rPr>
          <w:noProof/>
        </w:rPr>
      </w:pPr>
      <w:r w:rsidRPr="00D86314">
        <w:rPr>
          <w:noProof/>
        </w:rPr>
        <w:t>Where a connection is not fully utilized, however, the potential reductions in CO2 emiss</w:t>
      </w:r>
      <w:r w:rsidR="001C4AEA" w:rsidRPr="00D86314">
        <w:rPr>
          <w:noProof/>
        </w:rPr>
        <w:t>i</w:t>
      </w:r>
      <w:r w:rsidRPr="00D86314">
        <w:rPr>
          <w:noProof/>
        </w:rPr>
        <w:t xml:space="preserve">ons are likely to be much lower. For example, the reduction in energy consumption is much less in a 10% utilization case (Obermann, 2020). In aggregate, however, the copper switch-off is likely to reduce energy consumption and hence emissions. In a study by WIK-Consult, Godlovitch et al. (Neutral fibre and the European Green Deal, 2020) found that “if there was a complete migration from the current technology mix in the EU to all fibre … the power consumption would be reduced from 52,608 GWh to 10,857 GWh. Moreover, if there is a complete switch to </w:t>
      </w:r>
      <w:r w:rsidR="27D61070" w:rsidRPr="00D86314">
        <w:rPr>
          <w:noProof/>
        </w:rPr>
        <w:t>point-to-point (</w:t>
      </w:r>
      <w:r w:rsidRPr="00D86314">
        <w:rPr>
          <w:noProof/>
        </w:rPr>
        <w:t>PtP</w:t>
      </w:r>
      <w:r w:rsidR="2C0B5FB4" w:rsidRPr="00D86314">
        <w:rPr>
          <w:noProof/>
        </w:rPr>
        <w:t>)</w:t>
      </w:r>
      <w:r w:rsidRPr="00D86314">
        <w:rPr>
          <w:noProof/>
        </w:rPr>
        <w:t xml:space="preserve"> connections the power consumption would decrease further to 3,376 GWh.” They find that this would reduce GHG emissions by more than 90% if all households switched to PtP FTTH connections.</w:t>
      </w:r>
    </w:p>
    <w:p w14:paraId="24EAEB5A" w14:textId="77777777" w:rsidR="0026699D" w:rsidRPr="00D86314" w:rsidRDefault="0026699D" w:rsidP="0026699D">
      <w:pPr>
        <w:rPr>
          <w:noProof/>
        </w:rPr>
      </w:pPr>
      <w:r w:rsidRPr="00D86314">
        <w:rPr>
          <w:noProof/>
        </w:rPr>
        <w:t>Zuloaga et al. (2025)</w:t>
      </w:r>
      <w:r w:rsidRPr="00D86314">
        <w:rPr>
          <w:rStyle w:val="FootnoteReference"/>
          <w:noProof/>
        </w:rPr>
        <w:footnoteReference w:id="65"/>
      </w:r>
      <w:r w:rsidRPr="00D86314">
        <w:rPr>
          <w:noProof/>
        </w:rPr>
        <w:t xml:space="preserve"> quantify the ecological effects of fibre roll-out and copper-to-fibre migration on energy consumption and carbon emissions. Using disaggregated data on fibre coverage and take-up rates in Germany, they estimate energy-consumption differences across access technologies and model several deployment and migration scenarios through 2050. They find that FTTH is the most energy-efficient access technology (in terms of kWh/ GB), particularly when compared with alternatives commonly found in Germany such as FTTB and DOCSIS. Energy savings increase substantially when policy measures accelerate full-fibre migration to FTTH – especially in urban regions, where comparatively less efficient technologies such as FTTB and DOCSIS remain prevalent. </w:t>
      </w:r>
    </w:p>
    <w:p w14:paraId="276DA8DB" w14:textId="53E34F44" w:rsidR="0026699D" w:rsidRPr="00D86314" w:rsidRDefault="0026699D" w:rsidP="0026699D">
      <w:pPr>
        <w:rPr>
          <w:noProof/>
        </w:rPr>
      </w:pPr>
      <w:r w:rsidRPr="00D86314">
        <w:rPr>
          <w:noProof/>
        </w:rPr>
        <w:t>Zuloaga et al. (2024)</w:t>
      </w:r>
      <w:r w:rsidRPr="00D86314">
        <w:rPr>
          <w:rStyle w:val="FootnoteReference"/>
          <w:noProof/>
        </w:rPr>
        <w:footnoteReference w:id="66"/>
      </w:r>
      <w:r w:rsidRPr="00D86314">
        <w:rPr>
          <w:noProof/>
        </w:rPr>
        <w:t xml:space="preserve"> analyse and quantify the energy consumption and CO</w:t>
      </w:r>
      <w:r w:rsidRPr="00D86314">
        <w:rPr>
          <w:rFonts w:ascii="Cambria Math" w:hAnsi="Cambria Math" w:cs="Cambria Math"/>
          <w:noProof/>
        </w:rPr>
        <w:t>₂</w:t>
      </w:r>
      <w:r w:rsidRPr="00D86314">
        <w:rPr>
          <w:noProof/>
        </w:rPr>
        <w:t xml:space="preserve"> emissions associated with operating access networks (including fixed broadband (FFTH) and mobile networks (4G/5G)) in Germany, using a bottom-up modelling approach. The study also investigates how different settlement structures impact the environmental footprint of telecommunications networks. Based on these findings, the study analyses whether using mobile networks is a more sustainable way to supply rural areas than fixed network technologies. The analysis shows that, from an environmental perspective, FTTH access networks perform better than mobile access networks. These findings apply to all regional structures but are particularly significant for rural areas. Energy consumption in FTTH access networks is driven by usage, i.e. the number of end users. Regarding differences between FTTH topologies (PtP and </w:t>
      </w:r>
      <w:r w:rsidR="000A21DD" w:rsidRPr="00D86314">
        <w:rPr>
          <w:noProof/>
        </w:rPr>
        <w:t>Point to Multipoint -</w:t>
      </w:r>
      <w:r w:rsidRPr="00D86314">
        <w:rPr>
          <w:noProof/>
        </w:rPr>
        <w:t xml:space="preserve"> PtMP), the energy curves of PtP and PtMP converge with an increasing number of end customers. </w:t>
      </w:r>
    </w:p>
    <w:p w14:paraId="34F38F6F" w14:textId="21CB1797" w:rsidR="0026699D" w:rsidRPr="00D86314" w:rsidRDefault="0026699D" w:rsidP="0026699D">
      <w:pPr>
        <w:rPr>
          <w:noProof/>
        </w:rPr>
      </w:pPr>
      <w:r w:rsidRPr="00D86314">
        <w:rPr>
          <w:noProof/>
        </w:rPr>
        <w:t xml:space="preserve">The study estimates, that FTTH PtP totals 31.5 kWh/a per connection, while FTTH PtMP reaches 30.8 kWh/a per connection. It takes into consideration results from other studies for validation (see </w:t>
      </w:r>
      <w:r w:rsidRPr="00D86314">
        <w:rPr>
          <w:noProof/>
        </w:rPr>
        <w:fldChar w:fldCharType="begin"/>
      </w:r>
      <w:r w:rsidRPr="00D86314">
        <w:rPr>
          <w:noProof/>
        </w:rPr>
        <w:instrText xml:space="preserve"> REF _Ref205016686 \h </w:instrText>
      </w:r>
      <w:r w:rsidR="00534028" w:rsidRPr="00D86314">
        <w:rPr>
          <w:noProof/>
        </w:rPr>
        <w:instrText xml:space="preserve"> \* MERGEFORMAT </w:instrText>
      </w:r>
      <w:r w:rsidRPr="00D86314">
        <w:rPr>
          <w:noProof/>
        </w:rPr>
      </w:r>
      <w:r w:rsidRPr="00D86314">
        <w:rPr>
          <w:noProof/>
        </w:rPr>
        <w:fldChar w:fldCharType="separate"/>
      </w:r>
      <w:r w:rsidR="00870CA9" w:rsidRPr="00D86314">
        <w:rPr>
          <w:noProof/>
        </w:rPr>
        <w:t>Table A4 1</w:t>
      </w:r>
      <w:r w:rsidR="00870CA9" w:rsidRPr="00D86314">
        <w:rPr>
          <w:noProof/>
        </w:rPr>
        <w:noBreakHyphen/>
        <w:t>1</w:t>
      </w:r>
      <w:r w:rsidRPr="00D86314">
        <w:rPr>
          <w:noProof/>
        </w:rPr>
        <w:fldChar w:fldCharType="end"/>
      </w:r>
      <w:r w:rsidR="00B87CAF">
        <w:rPr>
          <w:noProof/>
        </w:rPr>
        <w:t>4</w:t>
      </w:r>
      <w:r w:rsidRPr="00D86314">
        <w:rPr>
          <w:noProof/>
        </w:rPr>
        <w:t>).</w:t>
      </w:r>
    </w:p>
    <w:p w14:paraId="7ED25FCD" w14:textId="438716C3" w:rsidR="0026699D" w:rsidRPr="00D86314" w:rsidRDefault="004D5D56" w:rsidP="0026699D">
      <w:pPr>
        <w:pStyle w:val="Tabberschrift"/>
        <w:rPr>
          <w:rFonts w:ascii="Times New Roman" w:hAnsi="Times New Roman"/>
          <w:noProof/>
        </w:rPr>
      </w:pPr>
      <w:bookmarkStart w:id="116" w:name="_Ref205016686"/>
      <w:bookmarkStart w:id="117" w:name="_Toc214231347"/>
      <w:r w:rsidRPr="00D86314">
        <w:rPr>
          <w:rFonts w:ascii="Times New Roman" w:hAnsi="Times New Roman"/>
          <w:noProof/>
        </w:rPr>
        <w:t>Table A4 1</w:t>
      </w:r>
      <w:r w:rsidRPr="00D86314">
        <w:rPr>
          <w:rFonts w:ascii="Times New Roman" w:hAnsi="Times New Roman"/>
          <w:noProof/>
        </w:rPr>
        <w:noBreakHyphen/>
      </w:r>
      <w:r w:rsidR="00980C99" w:rsidRPr="00D86314">
        <w:rPr>
          <w:rFonts w:ascii="Times New Roman" w:hAnsi="Times New Roman"/>
          <w:noProof/>
        </w:rPr>
        <w:t>14</w:t>
      </w:r>
      <w:bookmarkEnd w:id="116"/>
      <w:r w:rsidR="0026699D" w:rsidRPr="00D86314">
        <w:rPr>
          <w:rFonts w:ascii="Times New Roman" w:hAnsi="Times New Roman"/>
          <w:noProof/>
        </w:rPr>
        <w:t>:Energy consumption FTTH PtP and PtMP</w:t>
      </w:r>
      <w:bookmarkEnd w:id="117"/>
    </w:p>
    <w:tbl>
      <w:tblPr>
        <w:tblStyle w:val="TableGridLight"/>
        <w:tblW w:w="0" w:type="auto"/>
        <w:tblLayout w:type="fixed"/>
        <w:tblCellMar>
          <w:top w:w="28" w:type="dxa"/>
          <w:bottom w:w="28" w:type="dxa"/>
        </w:tblCellMar>
        <w:tblLook w:val="04A0" w:firstRow="1" w:lastRow="0" w:firstColumn="1" w:lastColumn="0" w:noHBand="0" w:noVBand="1"/>
      </w:tblPr>
      <w:tblGrid>
        <w:gridCol w:w="3114"/>
        <w:gridCol w:w="2835"/>
        <w:gridCol w:w="2693"/>
      </w:tblGrid>
      <w:tr w:rsidR="0026699D" w:rsidRPr="00D86314" w14:paraId="5E94E93B" w14:textId="77777777">
        <w:tc>
          <w:tcPr>
            <w:tcW w:w="3114" w:type="dxa"/>
            <w:shd w:val="clear" w:color="auto" w:fill="0C4DA2"/>
          </w:tcPr>
          <w:p w14:paraId="67B22A70" w14:textId="77777777" w:rsidR="0026699D" w:rsidRPr="00D86314" w:rsidRDefault="0026699D">
            <w:pPr>
              <w:keepNext/>
              <w:spacing w:after="0"/>
              <w:rPr>
                <w:noProof/>
                <w:color w:val="FFFFFF" w:themeColor="background1"/>
                <w:sz w:val="18"/>
                <w:szCs w:val="18"/>
              </w:rPr>
            </w:pPr>
          </w:p>
        </w:tc>
        <w:tc>
          <w:tcPr>
            <w:tcW w:w="2835" w:type="dxa"/>
            <w:shd w:val="clear" w:color="auto" w:fill="0C4DA2"/>
          </w:tcPr>
          <w:p w14:paraId="39130B57" w14:textId="77777777" w:rsidR="0026699D" w:rsidRPr="00D86314" w:rsidRDefault="0026699D">
            <w:pPr>
              <w:keepNext/>
              <w:spacing w:after="0"/>
              <w:jc w:val="center"/>
              <w:rPr>
                <w:noProof/>
                <w:color w:val="FFFFFF" w:themeColor="background1"/>
                <w:sz w:val="18"/>
                <w:szCs w:val="18"/>
              </w:rPr>
            </w:pPr>
            <w:r w:rsidRPr="00D86314">
              <w:rPr>
                <w:noProof/>
                <w:color w:val="FFFFFF" w:themeColor="background1"/>
                <w:sz w:val="18"/>
                <w:szCs w:val="18"/>
              </w:rPr>
              <w:t>FTTH PtP</w:t>
            </w:r>
          </w:p>
        </w:tc>
        <w:tc>
          <w:tcPr>
            <w:tcW w:w="2693" w:type="dxa"/>
            <w:shd w:val="clear" w:color="auto" w:fill="0C4DA2"/>
          </w:tcPr>
          <w:p w14:paraId="2AA6DDBA" w14:textId="77777777" w:rsidR="0026699D" w:rsidRPr="00D86314" w:rsidRDefault="0026699D">
            <w:pPr>
              <w:keepNext/>
              <w:spacing w:after="0"/>
              <w:jc w:val="center"/>
              <w:rPr>
                <w:noProof/>
                <w:color w:val="FFFFFF" w:themeColor="background1"/>
                <w:sz w:val="18"/>
                <w:szCs w:val="18"/>
              </w:rPr>
            </w:pPr>
            <w:r w:rsidRPr="00D86314">
              <w:rPr>
                <w:noProof/>
                <w:color w:val="FFFFFF" w:themeColor="background1"/>
                <w:sz w:val="18"/>
                <w:szCs w:val="18"/>
              </w:rPr>
              <w:t>FTTH PtMP</w:t>
            </w:r>
          </w:p>
        </w:tc>
      </w:tr>
      <w:tr w:rsidR="0026699D" w:rsidRPr="00D86314" w14:paraId="7278D96F" w14:textId="77777777">
        <w:tc>
          <w:tcPr>
            <w:tcW w:w="3114" w:type="dxa"/>
            <w:shd w:val="clear" w:color="auto" w:fill="0C4DA2"/>
          </w:tcPr>
          <w:p w14:paraId="11C47346" w14:textId="77777777" w:rsidR="0026699D" w:rsidRPr="00D86314" w:rsidRDefault="0026699D">
            <w:pPr>
              <w:keepNext/>
              <w:spacing w:after="0"/>
              <w:rPr>
                <w:noProof/>
                <w:color w:val="FFFFFF" w:themeColor="background1"/>
                <w:sz w:val="18"/>
                <w:szCs w:val="18"/>
              </w:rPr>
            </w:pPr>
          </w:p>
        </w:tc>
        <w:tc>
          <w:tcPr>
            <w:tcW w:w="2835" w:type="dxa"/>
            <w:shd w:val="clear" w:color="auto" w:fill="0C4DA2"/>
          </w:tcPr>
          <w:p w14:paraId="3886FB0E" w14:textId="77777777" w:rsidR="0026699D" w:rsidRPr="00D86314" w:rsidRDefault="0026699D">
            <w:pPr>
              <w:keepNext/>
              <w:spacing w:after="0"/>
              <w:jc w:val="center"/>
              <w:rPr>
                <w:noProof/>
                <w:color w:val="FFFFFF" w:themeColor="background1"/>
                <w:sz w:val="18"/>
                <w:szCs w:val="18"/>
              </w:rPr>
            </w:pPr>
            <w:r w:rsidRPr="00D86314">
              <w:rPr>
                <w:noProof/>
                <w:color w:val="FFFFFF" w:themeColor="background1"/>
                <w:sz w:val="18"/>
                <w:szCs w:val="18"/>
              </w:rPr>
              <w:t>kWH/a per connection</w:t>
            </w:r>
          </w:p>
        </w:tc>
        <w:tc>
          <w:tcPr>
            <w:tcW w:w="2693" w:type="dxa"/>
            <w:shd w:val="clear" w:color="auto" w:fill="0C4DA2"/>
          </w:tcPr>
          <w:p w14:paraId="2D5A0B86" w14:textId="77777777" w:rsidR="0026699D" w:rsidRPr="00D86314" w:rsidRDefault="0026699D">
            <w:pPr>
              <w:keepNext/>
              <w:spacing w:after="0"/>
              <w:jc w:val="center"/>
              <w:rPr>
                <w:noProof/>
                <w:color w:val="FFFFFF" w:themeColor="background1"/>
                <w:sz w:val="18"/>
                <w:szCs w:val="18"/>
              </w:rPr>
            </w:pPr>
            <w:r w:rsidRPr="00D86314">
              <w:rPr>
                <w:noProof/>
                <w:color w:val="FFFFFF" w:themeColor="background1"/>
                <w:sz w:val="18"/>
                <w:szCs w:val="18"/>
              </w:rPr>
              <w:t>kWH/a per connection</w:t>
            </w:r>
          </w:p>
        </w:tc>
      </w:tr>
      <w:tr w:rsidR="0026699D" w:rsidRPr="00D86314" w14:paraId="13EA182C" w14:textId="77777777">
        <w:tc>
          <w:tcPr>
            <w:tcW w:w="3114" w:type="dxa"/>
          </w:tcPr>
          <w:p w14:paraId="213A7BA6" w14:textId="77777777" w:rsidR="0026699D" w:rsidRPr="00D86314" w:rsidRDefault="0026699D">
            <w:pPr>
              <w:spacing w:after="0"/>
              <w:rPr>
                <w:noProof/>
                <w:sz w:val="18"/>
                <w:szCs w:val="18"/>
              </w:rPr>
            </w:pPr>
            <w:r w:rsidRPr="00D86314">
              <w:rPr>
                <w:noProof/>
                <w:sz w:val="18"/>
                <w:szCs w:val="18"/>
              </w:rPr>
              <w:t>Zuloaga (2024)</w:t>
            </w:r>
            <w:r w:rsidRPr="00D86314">
              <w:rPr>
                <w:rStyle w:val="FootnoteReference"/>
                <w:noProof/>
                <w:sz w:val="16"/>
                <w:szCs w:val="16"/>
              </w:rPr>
              <w:footnoteReference w:id="67"/>
            </w:r>
          </w:p>
        </w:tc>
        <w:tc>
          <w:tcPr>
            <w:tcW w:w="2835" w:type="dxa"/>
          </w:tcPr>
          <w:p w14:paraId="5BA660C0" w14:textId="77777777" w:rsidR="0026699D" w:rsidRPr="00D86314" w:rsidRDefault="0026699D">
            <w:pPr>
              <w:spacing w:after="0"/>
              <w:jc w:val="center"/>
              <w:rPr>
                <w:noProof/>
                <w:sz w:val="18"/>
                <w:szCs w:val="18"/>
              </w:rPr>
            </w:pPr>
            <w:r w:rsidRPr="00D86314">
              <w:rPr>
                <w:noProof/>
                <w:sz w:val="18"/>
                <w:szCs w:val="18"/>
              </w:rPr>
              <w:t>31.5</w:t>
            </w:r>
          </w:p>
        </w:tc>
        <w:tc>
          <w:tcPr>
            <w:tcW w:w="2693" w:type="dxa"/>
          </w:tcPr>
          <w:p w14:paraId="18DA909A" w14:textId="77777777" w:rsidR="0026699D" w:rsidRPr="00D86314" w:rsidRDefault="0026699D">
            <w:pPr>
              <w:spacing w:after="0"/>
              <w:jc w:val="center"/>
              <w:rPr>
                <w:noProof/>
                <w:sz w:val="18"/>
                <w:szCs w:val="18"/>
              </w:rPr>
            </w:pPr>
            <w:r w:rsidRPr="00D86314">
              <w:rPr>
                <w:noProof/>
                <w:sz w:val="18"/>
                <w:szCs w:val="18"/>
              </w:rPr>
              <w:t>30.8</w:t>
            </w:r>
          </w:p>
        </w:tc>
      </w:tr>
      <w:tr w:rsidR="0026699D" w:rsidRPr="00D86314" w14:paraId="17A64B90" w14:textId="77777777">
        <w:tc>
          <w:tcPr>
            <w:tcW w:w="3114" w:type="dxa"/>
          </w:tcPr>
          <w:p w14:paraId="16AE1A9E" w14:textId="77777777" w:rsidR="0026699D" w:rsidRPr="00D86314" w:rsidRDefault="0026699D">
            <w:pPr>
              <w:spacing w:after="0"/>
              <w:rPr>
                <w:noProof/>
                <w:sz w:val="18"/>
                <w:szCs w:val="18"/>
              </w:rPr>
            </w:pPr>
            <w:r w:rsidRPr="00D86314">
              <w:rPr>
                <w:noProof/>
                <w:sz w:val="18"/>
                <w:szCs w:val="18"/>
              </w:rPr>
              <w:t>Obermann (2022)</w:t>
            </w:r>
            <w:r w:rsidRPr="00D86314">
              <w:rPr>
                <w:rStyle w:val="FootnoteReference"/>
                <w:noProof/>
                <w:sz w:val="16"/>
                <w:szCs w:val="16"/>
              </w:rPr>
              <w:footnoteReference w:id="68"/>
            </w:r>
          </w:p>
        </w:tc>
        <w:tc>
          <w:tcPr>
            <w:tcW w:w="2835" w:type="dxa"/>
          </w:tcPr>
          <w:p w14:paraId="303FCF94" w14:textId="77777777" w:rsidR="0026699D" w:rsidRPr="00D86314" w:rsidRDefault="0026699D">
            <w:pPr>
              <w:spacing w:after="0"/>
              <w:jc w:val="center"/>
              <w:rPr>
                <w:noProof/>
                <w:sz w:val="18"/>
                <w:szCs w:val="18"/>
              </w:rPr>
            </w:pPr>
            <w:r w:rsidRPr="00D86314">
              <w:rPr>
                <w:noProof/>
                <w:sz w:val="18"/>
                <w:szCs w:val="18"/>
              </w:rPr>
              <w:t>30.7</w:t>
            </w:r>
          </w:p>
        </w:tc>
        <w:tc>
          <w:tcPr>
            <w:tcW w:w="2693" w:type="dxa"/>
          </w:tcPr>
          <w:p w14:paraId="1B0B32BD" w14:textId="77777777" w:rsidR="0026699D" w:rsidRPr="00D86314" w:rsidRDefault="0026699D">
            <w:pPr>
              <w:spacing w:after="0"/>
              <w:jc w:val="center"/>
              <w:rPr>
                <w:noProof/>
                <w:sz w:val="18"/>
                <w:szCs w:val="18"/>
              </w:rPr>
            </w:pPr>
            <w:r w:rsidRPr="00D86314">
              <w:rPr>
                <w:noProof/>
                <w:sz w:val="18"/>
                <w:szCs w:val="18"/>
              </w:rPr>
              <w:t>53.4</w:t>
            </w:r>
          </w:p>
        </w:tc>
      </w:tr>
      <w:tr w:rsidR="0026699D" w:rsidRPr="00D86314" w14:paraId="24339954" w14:textId="77777777">
        <w:tc>
          <w:tcPr>
            <w:tcW w:w="3114" w:type="dxa"/>
          </w:tcPr>
          <w:p w14:paraId="61AD910D" w14:textId="77777777" w:rsidR="0026699D" w:rsidRPr="00D86314" w:rsidRDefault="0026699D">
            <w:pPr>
              <w:spacing w:after="0"/>
              <w:rPr>
                <w:noProof/>
                <w:sz w:val="18"/>
                <w:szCs w:val="18"/>
              </w:rPr>
            </w:pPr>
            <w:r w:rsidRPr="00D86314">
              <w:rPr>
                <w:noProof/>
                <w:sz w:val="18"/>
                <w:szCs w:val="18"/>
              </w:rPr>
              <w:t>Breide et al. (2021)</w:t>
            </w:r>
            <w:r w:rsidRPr="00D86314">
              <w:rPr>
                <w:rStyle w:val="FootnoteReference"/>
                <w:noProof/>
                <w:sz w:val="16"/>
                <w:szCs w:val="16"/>
              </w:rPr>
              <w:footnoteReference w:id="69"/>
            </w:r>
          </w:p>
        </w:tc>
        <w:tc>
          <w:tcPr>
            <w:tcW w:w="2835" w:type="dxa"/>
          </w:tcPr>
          <w:p w14:paraId="5AA29356" w14:textId="77777777" w:rsidR="0026699D" w:rsidRPr="00D86314" w:rsidRDefault="0026699D">
            <w:pPr>
              <w:spacing w:after="0"/>
              <w:jc w:val="center"/>
              <w:rPr>
                <w:noProof/>
                <w:sz w:val="18"/>
                <w:szCs w:val="18"/>
              </w:rPr>
            </w:pPr>
            <w:r w:rsidRPr="00D86314">
              <w:rPr>
                <w:noProof/>
                <w:sz w:val="18"/>
                <w:szCs w:val="18"/>
              </w:rPr>
              <w:t>52.9</w:t>
            </w:r>
          </w:p>
        </w:tc>
        <w:tc>
          <w:tcPr>
            <w:tcW w:w="2693" w:type="dxa"/>
          </w:tcPr>
          <w:p w14:paraId="29FB2E7F" w14:textId="77777777" w:rsidR="0026699D" w:rsidRPr="00D86314" w:rsidRDefault="0026699D">
            <w:pPr>
              <w:spacing w:after="0"/>
              <w:jc w:val="center"/>
              <w:rPr>
                <w:noProof/>
                <w:sz w:val="18"/>
                <w:szCs w:val="18"/>
              </w:rPr>
            </w:pPr>
            <w:r w:rsidRPr="00D86314">
              <w:rPr>
                <w:noProof/>
                <w:sz w:val="18"/>
                <w:szCs w:val="18"/>
              </w:rPr>
              <w:t>37.1</w:t>
            </w:r>
          </w:p>
        </w:tc>
      </w:tr>
    </w:tbl>
    <w:p w14:paraId="6A8DE129" w14:textId="77777777" w:rsidR="0026699D" w:rsidRPr="00D86314" w:rsidRDefault="0026699D" w:rsidP="0026699D">
      <w:pPr>
        <w:rPr>
          <w:noProof/>
        </w:rPr>
      </w:pPr>
      <w:r w:rsidRPr="00D86314">
        <w:rPr>
          <w:noProof/>
          <w:sz w:val="18"/>
          <w:szCs w:val="18"/>
        </w:rPr>
        <w:t>Source: Zuluoga et al. (2024)</w:t>
      </w:r>
      <w:r w:rsidRPr="00D86314">
        <w:rPr>
          <w:rStyle w:val="FootnoteReference"/>
          <w:noProof/>
        </w:rPr>
        <w:footnoteReference w:id="70"/>
      </w:r>
    </w:p>
    <w:p w14:paraId="6003E431" w14:textId="77777777" w:rsidR="0026699D" w:rsidRPr="00D86314" w:rsidRDefault="0026699D" w:rsidP="0026699D">
      <w:pPr>
        <w:rPr>
          <w:noProof/>
        </w:rPr>
      </w:pPr>
      <w:r w:rsidRPr="00D86314">
        <w:rPr>
          <w:noProof/>
        </w:rPr>
        <w:t>Zuloaga et al. (2024)</w:t>
      </w:r>
      <w:r w:rsidRPr="00D86314">
        <w:rPr>
          <w:rStyle w:val="FootnoteReference"/>
          <w:noProof/>
        </w:rPr>
        <w:footnoteReference w:id="71"/>
      </w:r>
      <w:r w:rsidRPr="00D86314">
        <w:rPr>
          <w:noProof/>
        </w:rPr>
        <w:t xml:space="preserve"> analyse the ecological impact of Austria’s fibre broadband deployment applying a bottom-up model. The study assesses energy consumption and CO</w:t>
      </w:r>
      <w:r w:rsidRPr="00D86314">
        <w:rPr>
          <w:rFonts w:ascii="Cambria Math" w:hAnsi="Cambria Math" w:cs="Cambria Math"/>
          <w:noProof/>
        </w:rPr>
        <w:t>₂</w:t>
      </w:r>
      <w:r w:rsidRPr="00D86314">
        <w:rPr>
          <w:noProof/>
        </w:rPr>
        <w:t xml:space="preserve"> emissions for six rollout scenarios (2025 to 2050) and for different technologies. Scenario modelling results show that a complete transition to FTTH could reduce cumulative CO</w:t>
      </w:r>
      <w:r w:rsidRPr="00D86314">
        <w:rPr>
          <w:rFonts w:ascii="Cambria Math" w:hAnsi="Cambria Math" w:cs="Cambria Math"/>
          <w:noProof/>
        </w:rPr>
        <w:t>₂</w:t>
      </w:r>
      <w:r w:rsidRPr="00D86314">
        <w:rPr>
          <w:noProof/>
        </w:rPr>
        <w:t xml:space="preserve"> emissions by 2050 by up to 33.8% compared to a moderate baseline scenario. In contrast, alternative scenarios could result in substantial increases in energy demand, particularly if data volume requirements increases rapidly and the existing stationary mobile based broadband connections are kept instead of being migrated to energy-efficient fibre networks. The study concludes that early and complete migration to FTTH is critical for maximising environmental benefits and aligning with Austria’s climate targets.</w:t>
      </w:r>
    </w:p>
    <w:p w14:paraId="10562723" w14:textId="49C31F82" w:rsidR="0026699D" w:rsidRPr="00C20A01" w:rsidRDefault="0026699D" w:rsidP="0026699D">
      <w:pPr>
        <w:pStyle w:val="Abbberschrift"/>
        <w:rPr>
          <w:rFonts w:ascii="Times New Roman" w:hAnsi="Times New Roman"/>
          <w:i/>
          <w:iCs/>
          <w:noProof/>
        </w:rPr>
      </w:pPr>
      <w:r w:rsidRPr="00C20A01">
        <w:rPr>
          <w:rFonts w:ascii="Times New Roman" w:hAnsi="Times New Roman"/>
          <w:i/>
          <w:iCs/>
          <w:noProof/>
        </w:rPr>
        <w:t xml:space="preserve">Figure </w:t>
      </w:r>
      <w:r w:rsidR="00420973" w:rsidRPr="00C20A01">
        <w:rPr>
          <w:rFonts w:ascii="Times New Roman" w:hAnsi="Times New Roman"/>
          <w:i/>
          <w:iCs/>
          <w:noProof/>
        </w:rPr>
        <w:t>A4 1</w:t>
      </w:r>
      <w:r w:rsidR="005B5146">
        <w:rPr>
          <w:rFonts w:ascii="Times New Roman" w:hAnsi="Times New Roman"/>
          <w:i/>
          <w:iCs/>
          <w:noProof/>
        </w:rPr>
        <w:noBreakHyphen/>
      </w:r>
      <w:r w:rsidR="005B5146">
        <w:rPr>
          <w:rFonts w:ascii="Times New Roman" w:hAnsi="Times New Roman"/>
          <w:i/>
          <w:iCs/>
          <w:noProof/>
        </w:rPr>
        <w:fldChar w:fldCharType="begin"/>
      </w:r>
      <w:r w:rsidR="005B5146">
        <w:rPr>
          <w:rFonts w:ascii="Times New Roman" w:hAnsi="Times New Roman"/>
          <w:i/>
          <w:iCs/>
          <w:noProof/>
        </w:rPr>
        <w:instrText xml:space="preserve"> SEQ Figure \* ARABIC \s 1 </w:instrText>
      </w:r>
      <w:r w:rsidR="005B5146">
        <w:rPr>
          <w:rFonts w:ascii="Times New Roman" w:hAnsi="Times New Roman"/>
          <w:i/>
          <w:iCs/>
          <w:noProof/>
        </w:rPr>
        <w:fldChar w:fldCharType="separate"/>
      </w:r>
      <w:r w:rsidR="005B5146">
        <w:rPr>
          <w:rFonts w:ascii="Times New Roman" w:hAnsi="Times New Roman"/>
          <w:i/>
          <w:iCs/>
          <w:noProof/>
        </w:rPr>
        <w:t>2</w:t>
      </w:r>
      <w:r w:rsidR="005B5146">
        <w:rPr>
          <w:rFonts w:ascii="Times New Roman" w:hAnsi="Times New Roman"/>
          <w:i/>
          <w:iCs/>
          <w:noProof/>
        </w:rPr>
        <w:fldChar w:fldCharType="end"/>
      </w:r>
      <w:r w:rsidR="00596077">
        <w:rPr>
          <w:rFonts w:ascii="Times New Roman" w:hAnsi="Times New Roman"/>
          <w:i/>
          <w:iCs/>
          <w:noProof/>
        </w:rPr>
        <w:t>4</w:t>
      </w:r>
      <w:r w:rsidRPr="00C20A01">
        <w:rPr>
          <w:rFonts w:ascii="Times New Roman" w:hAnsi="Times New Roman"/>
          <w:i/>
          <w:iCs/>
          <w:noProof/>
        </w:rPr>
        <w:t>:Energy efficiency in Austrian access networks 2024 (Wh/Mbps per user)</w:t>
      </w:r>
    </w:p>
    <w:p w14:paraId="54281C71" w14:textId="77777777" w:rsidR="0026699D" w:rsidRPr="00D86314" w:rsidRDefault="0026699D" w:rsidP="0026699D">
      <w:pPr>
        <w:keepNext/>
        <w:spacing w:after="120"/>
        <w:jc w:val="center"/>
        <w:rPr>
          <w:noProof/>
        </w:rPr>
      </w:pPr>
      <w:r w:rsidRPr="00E46BC9">
        <w:rPr>
          <w:noProof/>
          <w:lang w:eastAsia="en-GB"/>
        </w:rPr>
        <w:drawing>
          <wp:inline distT="0" distB="0" distL="0" distR="0" wp14:anchorId="501B36A9" wp14:editId="7043DB3F">
            <wp:extent cx="3442853" cy="1839817"/>
            <wp:effectExtent l="0" t="0" r="5715" b="8255"/>
            <wp:docPr id="3" name="Grafik 3" descr="A graph of a number of stock market sh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A graph of a number of stock market share&#10;&#10;AI-generated content may be incorrect."/>
                    <pic:cNvPicPr/>
                  </pic:nvPicPr>
                  <pic:blipFill rotWithShape="1">
                    <a:blip r:embed="rId53"/>
                    <a:srcRect l="5129" t="3948"/>
                    <a:stretch>
                      <a:fillRect/>
                    </a:stretch>
                  </pic:blipFill>
                  <pic:spPr bwMode="auto">
                    <a:xfrm>
                      <a:off x="0" y="0"/>
                      <a:ext cx="3462230" cy="1850172"/>
                    </a:xfrm>
                    <a:prstGeom prst="rect">
                      <a:avLst/>
                    </a:prstGeom>
                    <a:ln>
                      <a:noFill/>
                    </a:ln>
                    <a:extLst>
                      <a:ext uri="{53640926-AAD7-44D8-BBD7-CCE9431645EC}">
                        <a14:shadowObscured xmlns:a14="http://schemas.microsoft.com/office/drawing/2010/main"/>
                      </a:ext>
                    </a:extLst>
                  </pic:spPr>
                </pic:pic>
              </a:graphicData>
            </a:graphic>
          </wp:inline>
        </w:drawing>
      </w:r>
    </w:p>
    <w:p w14:paraId="21D7F3C5" w14:textId="77777777" w:rsidR="0026699D" w:rsidRPr="00D86314" w:rsidRDefault="0026699D" w:rsidP="0026699D">
      <w:pPr>
        <w:pStyle w:val="Quelle"/>
        <w:rPr>
          <w:rFonts w:ascii="Times New Roman" w:hAnsi="Times New Roman"/>
          <w:noProof/>
        </w:rPr>
      </w:pPr>
      <w:r w:rsidRPr="00D86314">
        <w:rPr>
          <w:rFonts w:ascii="Times New Roman" w:hAnsi="Times New Roman"/>
          <w:noProof/>
        </w:rPr>
        <w:t>Source: Zuloaga et al. (2024)</w:t>
      </w:r>
      <w:r w:rsidRPr="00D86314">
        <w:rPr>
          <w:rStyle w:val="FootnoteReference"/>
          <w:rFonts w:ascii="Times New Roman" w:hAnsi="Times New Roman"/>
          <w:noProof/>
        </w:rPr>
        <w:footnoteReference w:id="72"/>
      </w:r>
    </w:p>
    <w:p w14:paraId="74AF8270" w14:textId="77777777" w:rsidR="0026699D" w:rsidRPr="00D86314" w:rsidRDefault="0026699D" w:rsidP="0026699D">
      <w:pPr>
        <w:rPr>
          <w:noProof/>
        </w:rPr>
      </w:pPr>
      <w:r w:rsidRPr="00D86314">
        <w:rPr>
          <w:b/>
          <w:noProof/>
        </w:rPr>
        <w:t>Analysys Mason (2023)</w:t>
      </w:r>
      <w:r w:rsidRPr="00D86314">
        <w:rPr>
          <w:rStyle w:val="FootnoteReference"/>
          <w:noProof/>
        </w:rPr>
        <w:footnoteReference w:id="73"/>
      </w:r>
      <w:r w:rsidRPr="00D86314">
        <w:rPr>
          <w:noProof/>
        </w:rPr>
        <w:t xml:space="preserve"> deals with energy consumption in different networks in the context of a broader study. It outlines that copper-based FTTC and coax-based DOCSIS technologies use 8 to 18 times more power than fibre-based GPON technology per connection (just for the network equipment). </w:t>
      </w:r>
    </w:p>
    <w:p w14:paraId="0C2BF388" w14:textId="4D41D6A9" w:rsidR="0026699D" w:rsidRPr="00D86314" w:rsidRDefault="0026699D" w:rsidP="004959D3">
      <w:pPr>
        <w:pStyle w:val="Abbberschrift"/>
        <w:ind w:left="2127" w:hanging="2127"/>
        <w:rPr>
          <w:rFonts w:ascii="Times New Roman" w:hAnsi="Times New Roman"/>
          <w:i/>
          <w:noProof/>
        </w:rPr>
      </w:pPr>
      <w:r w:rsidRPr="00D86314">
        <w:rPr>
          <w:rFonts w:ascii="Times New Roman" w:hAnsi="Times New Roman"/>
          <w:i/>
          <w:noProof/>
        </w:rPr>
        <w:t xml:space="preserve">Figure </w:t>
      </w:r>
      <w:r w:rsidR="00420973" w:rsidRPr="00D86314">
        <w:rPr>
          <w:rFonts w:ascii="Times New Roman" w:hAnsi="Times New Roman"/>
          <w:i/>
          <w:noProof/>
        </w:rPr>
        <w:t>A4 1</w:t>
      </w:r>
      <w:r w:rsidR="005B5146">
        <w:rPr>
          <w:rFonts w:ascii="Times New Roman" w:hAnsi="Times New Roman"/>
          <w:i/>
          <w:noProof/>
        </w:rPr>
        <w:noBreakHyphen/>
      </w:r>
      <w:r w:rsidR="005B5146">
        <w:rPr>
          <w:rFonts w:ascii="Times New Roman" w:hAnsi="Times New Roman"/>
          <w:i/>
          <w:noProof/>
        </w:rPr>
        <w:fldChar w:fldCharType="begin"/>
      </w:r>
      <w:r w:rsidR="005B5146">
        <w:rPr>
          <w:rFonts w:ascii="Times New Roman" w:hAnsi="Times New Roman"/>
          <w:i/>
          <w:noProof/>
        </w:rPr>
        <w:instrText xml:space="preserve"> SEQ Figure \* ARABIC \s 1 </w:instrText>
      </w:r>
      <w:r w:rsidR="005B5146">
        <w:rPr>
          <w:rFonts w:ascii="Times New Roman" w:hAnsi="Times New Roman"/>
          <w:i/>
          <w:noProof/>
        </w:rPr>
        <w:fldChar w:fldCharType="separate"/>
      </w:r>
      <w:r w:rsidR="005B5146">
        <w:rPr>
          <w:rFonts w:ascii="Times New Roman" w:hAnsi="Times New Roman"/>
          <w:i/>
          <w:noProof/>
        </w:rPr>
        <w:t>2</w:t>
      </w:r>
      <w:r w:rsidR="005B5146">
        <w:rPr>
          <w:rFonts w:ascii="Times New Roman" w:hAnsi="Times New Roman"/>
          <w:i/>
          <w:noProof/>
        </w:rPr>
        <w:fldChar w:fldCharType="end"/>
      </w:r>
      <w:r w:rsidR="00596077">
        <w:rPr>
          <w:rFonts w:ascii="Times New Roman" w:hAnsi="Times New Roman"/>
          <w:i/>
          <w:noProof/>
        </w:rPr>
        <w:t>5</w:t>
      </w:r>
      <w:r w:rsidRPr="00D86314">
        <w:rPr>
          <w:rFonts w:ascii="Times New Roman" w:hAnsi="Times New Roman"/>
          <w:i/>
          <w:noProof/>
        </w:rPr>
        <w:t>:Energy Usage and environmental impact of different fixed network technologies</w:t>
      </w:r>
    </w:p>
    <w:p w14:paraId="0D2A712A" w14:textId="77777777" w:rsidR="0026699D" w:rsidRPr="00D86314" w:rsidRDefault="0026699D" w:rsidP="0026699D">
      <w:pPr>
        <w:rPr>
          <w:noProof/>
        </w:rPr>
      </w:pPr>
      <w:r w:rsidRPr="00E46BC9">
        <w:rPr>
          <w:noProof/>
          <w:lang w:eastAsia="en-GB"/>
        </w:rPr>
        <w:drawing>
          <wp:inline distT="0" distB="0" distL="0" distR="0" wp14:anchorId="69284B1B" wp14:editId="763F010F">
            <wp:extent cx="4831070" cy="2893804"/>
            <wp:effectExtent l="0" t="0" r="8255" b="1905"/>
            <wp:docPr id="1" name="Grafik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A close-up of a graph&#10;&#10;AI-generated content may be incorrect."/>
                    <pic:cNvPicPr/>
                  </pic:nvPicPr>
                  <pic:blipFill rotWithShape="1">
                    <a:blip r:embed="rId54"/>
                    <a:srcRect l="3389" r="4969" b="5814"/>
                    <a:stretch/>
                  </pic:blipFill>
                  <pic:spPr bwMode="auto">
                    <a:xfrm>
                      <a:off x="0" y="0"/>
                      <a:ext cx="4842863" cy="2900868"/>
                    </a:xfrm>
                    <a:prstGeom prst="rect">
                      <a:avLst/>
                    </a:prstGeom>
                    <a:ln>
                      <a:noFill/>
                    </a:ln>
                    <a:extLst>
                      <a:ext uri="{53640926-AAD7-44D8-BBD7-CCE9431645EC}">
                        <a14:shadowObscured xmlns:a14="http://schemas.microsoft.com/office/drawing/2010/main"/>
                      </a:ext>
                    </a:extLst>
                  </pic:spPr>
                </pic:pic>
              </a:graphicData>
            </a:graphic>
          </wp:inline>
        </w:drawing>
      </w:r>
    </w:p>
    <w:p w14:paraId="30441A0C" w14:textId="77777777" w:rsidR="0026699D" w:rsidRPr="00D86314" w:rsidRDefault="0026699D" w:rsidP="0026699D">
      <w:pPr>
        <w:rPr>
          <w:noProof/>
        </w:rPr>
      </w:pPr>
      <w:r w:rsidRPr="00D86314">
        <w:rPr>
          <w:noProof/>
          <w:sz w:val="18"/>
          <w:szCs w:val="18"/>
        </w:rPr>
        <w:t>Source: Analysys Mason</w:t>
      </w:r>
      <w:r w:rsidRPr="00D86314">
        <w:rPr>
          <w:rStyle w:val="FootnoteReference"/>
          <w:noProof/>
        </w:rPr>
        <w:footnoteReference w:id="74"/>
      </w:r>
    </w:p>
    <w:p w14:paraId="3FA80445" w14:textId="0AC573E6" w:rsidR="0026699D" w:rsidRPr="00D86314" w:rsidRDefault="0026699D" w:rsidP="0026699D">
      <w:pPr>
        <w:rPr>
          <w:noProof/>
        </w:rPr>
      </w:pPr>
      <w:r w:rsidRPr="00D86314">
        <w:rPr>
          <w:b/>
          <w:noProof/>
        </w:rPr>
        <w:t>Obermann (2022)</w:t>
      </w:r>
      <w:r w:rsidRPr="00D86314">
        <w:rPr>
          <w:rStyle w:val="FootnoteReference"/>
          <w:noProof/>
        </w:rPr>
        <w:footnoteReference w:id="75"/>
      </w:r>
      <w:r w:rsidRPr="00D86314">
        <w:rPr>
          <w:noProof/>
        </w:rPr>
        <w:t xml:space="preserve"> provides a comprehensive comparison of internet access network technologies regarding environmental sustainability, emphasising energy consumption and CO</w:t>
      </w:r>
      <w:r w:rsidRPr="00D86314">
        <w:rPr>
          <w:rFonts w:ascii="Cambria Math" w:hAnsi="Cambria Math" w:cs="Cambria Math"/>
          <w:noProof/>
        </w:rPr>
        <w:t>₂</w:t>
      </w:r>
      <w:r w:rsidRPr="00D86314">
        <w:rPr>
          <w:noProof/>
        </w:rPr>
        <w:t xml:space="preserve"> emissions across FTTH, FTTB, FTTC, and HFC networks. Employing a bottom-up approach, the analysis measures power consumption of network components, evaluates deployment scenarios across urban and rural regions, and considers varying load levels to assess utilisation effects. The findings highlight FTTH as the most energy-efficient technology, consuming up to six times less energy than HFC networks. Additionally, implementing sleep modes in network equipment could reduce energy consumption by up to 40%. </w:t>
      </w:r>
    </w:p>
    <w:p w14:paraId="2BB8909A" w14:textId="3A42C184" w:rsidR="0026699D" w:rsidRPr="00D86314" w:rsidRDefault="0026699D" w:rsidP="0026699D">
      <w:pPr>
        <w:rPr>
          <w:noProof/>
        </w:rPr>
      </w:pPr>
      <w:r w:rsidRPr="00D86314">
        <w:rPr>
          <w:b/>
          <w:noProof/>
        </w:rPr>
        <w:t>Breide et al. (2021)</w:t>
      </w:r>
      <w:r w:rsidRPr="00D86314">
        <w:rPr>
          <w:rStyle w:val="FootnoteReference"/>
          <w:noProof/>
        </w:rPr>
        <w:footnoteReference w:id="76"/>
      </w:r>
      <w:r w:rsidRPr="00D86314">
        <w:rPr>
          <w:noProof/>
        </w:rPr>
        <w:t xml:space="preserve"> provides a detailed analysis of energy consumption and CO</w:t>
      </w:r>
      <w:r w:rsidRPr="00D86314">
        <w:rPr>
          <w:rFonts w:ascii="Cambria Math" w:hAnsi="Cambria Math" w:cs="Cambria Math"/>
          <w:noProof/>
        </w:rPr>
        <w:t>₂</w:t>
      </w:r>
      <w:r w:rsidRPr="00D86314">
        <w:rPr>
          <w:noProof/>
        </w:rPr>
        <w:t xml:space="preserve"> emissions across broadband access technologies, including FTTH differentiating it in PtP and PtMP architectures. They use network energy consumption averages derived from actual regional network nodes from six municipalities in North Rhine-Westphalia, Germany. Findings indicate that FTTH PtMP is the most energy</w:t>
      </w:r>
      <w:r w:rsidR="00A77F01" w:rsidRPr="00D86314">
        <w:rPr>
          <w:noProof/>
        </w:rPr>
        <w:t xml:space="preserve"> </w:t>
      </w:r>
      <w:r w:rsidRPr="00D86314">
        <w:rPr>
          <w:noProof/>
        </w:rPr>
        <w:t>efficient technology, with consumption ranging between 56 kWh/year per capita, significantly lower than HFC and VDSL2, which require approximately 61 kW and 88 kW, respectively.</w:t>
      </w:r>
    </w:p>
    <w:p w14:paraId="62902D00" w14:textId="27CE244E" w:rsidR="0026699D" w:rsidRPr="00D86314" w:rsidRDefault="0026699D" w:rsidP="0026699D">
      <w:pPr>
        <w:rPr>
          <w:noProof/>
        </w:rPr>
      </w:pPr>
      <w:r w:rsidRPr="00D86314">
        <w:rPr>
          <w:b/>
          <w:noProof/>
        </w:rPr>
        <w:t>Godlovitch et al. (2020)</w:t>
      </w:r>
      <w:r w:rsidRPr="00D86314">
        <w:rPr>
          <w:rStyle w:val="FootnoteReference"/>
          <w:noProof/>
        </w:rPr>
        <w:footnoteReference w:id="77"/>
      </w:r>
      <w:r w:rsidRPr="00D86314">
        <w:rPr>
          <w:noProof/>
        </w:rPr>
        <w:t xml:space="preserve"> analyses the role of fibre networks for the European green deal based on a detail analysis of the Stokab fibre network with regard to its contribution to Stockholm</w:t>
      </w:r>
      <w:r w:rsidR="00DE7798" w:rsidRPr="00D86314">
        <w:rPr>
          <w:noProof/>
        </w:rPr>
        <w:t>’</w:t>
      </w:r>
      <w:r w:rsidRPr="00D86314">
        <w:rPr>
          <w:noProof/>
        </w:rPr>
        <w:t xml:space="preserve">s ecological sustainability. It estimates that a complete migration from the current fixed broadband technology mix in the EU to all fibre would result in emissions from the use of broadband access falling from 15.5 Mio t CO2 to 3.2 Mio t (fibre technology mix) and to 1.1 Mio t of CO2 (only point to point (PtP) connections) per year, if the existing power sources remained unchanged. This represents a reduction in emissions of more than 90% if all broadband connections in the EU moved to PtP FTTH. </w:t>
      </w:r>
    </w:p>
    <w:p w14:paraId="67D68C96" w14:textId="77777777" w:rsidR="008E192B" w:rsidRPr="00D86314" w:rsidRDefault="008E192B" w:rsidP="00CB3E4E">
      <w:pPr>
        <w:pStyle w:val="Heading4"/>
        <w:rPr>
          <w:noProof/>
        </w:rPr>
      </w:pPr>
      <w:r w:rsidRPr="00D86314">
        <w:rPr>
          <w:noProof/>
        </w:rPr>
        <w:t xml:space="preserve">Theory based quantification of the environmental impact of the different options </w:t>
      </w:r>
    </w:p>
    <w:p w14:paraId="24557B8F" w14:textId="7420C22B" w:rsidR="001452C5" w:rsidRPr="00D86314" w:rsidRDefault="00305A5C" w:rsidP="001452C5">
      <w:pPr>
        <w:rPr>
          <w:noProof/>
        </w:rPr>
      </w:pPr>
      <w:r w:rsidRPr="00D86314">
        <w:rPr>
          <w:noProof/>
        </w:rPr>
        <w:t>T</w:t>
      </w:r>
      <w:r w:rsidR="001452C5" w:rsidRPr="00D86314">
        <w:rPr>
          <w:noProof/>
        </w:rPr>
        <w:t>o estimate the environmental impact of increased FTTH coverage, a two-step procedure</w:t>
      </w:r>
      <w:r w:rsidR="007C44AC" w:rsidRPr="00D86314">
        <w:rPr>
          <w:noProof/>
        </w:rPr>
        <w:t xml:space="preserve"> is applied</w:t>
      </w:r>
      <w:r w:rsidR="001452C5" w:rsidRPr="00D86314">
        <w:rPr>
          <w:noProof/>
        </w:rPr>
        <w:t>. First, total electricity consumption resulting from changes in the access network technology mix</w:t>
      </w:r>
      <w:r w:rsidR="00712326" w:rsidRPr="00D86314">
        <w:rPr>
          <w:noProof/>
        </w:rPr>
        <w:t xml:space="preserve"> is estimated</w:t>
      </w:r>
      <w:r w:rsidR="001452C5" w:rsidRPr="00D86314">
        <w:rPr>
          <w:noProof/>
        </w:rPr>
        <w:t xml:space="preserve">. Second, the corresponding electricity demand </w:t>
      </w:r>
      <w:r w:rsidR="00712326" w:rsidRPr="00D86314">
        <w:rPr>
          <w:noProof/>
        </w:rPr>
        <w:t xml:space="preserve">is translated </w:t>
      </w:r>
      <w:r w:rsidR="001452C5" w:rsidRPr="00D86314">
        <w:rPr>
          <w:noProof/>
        </w:rPr>
        <w:t>into CO₂ emissions</w:t>
      </w:r>
      <w:r w:rsidR="00712326" w:rsidRPr="00D86314">
        <w:rPr>
          <w:noProof/>
        </w:rPr>
        <w:t>.</w:t>
      </w:r>
      <w:r w:rsidR="001452C5" w:rsidRPr="00D86314">
        <w:rPr>
          <w:noProof/>
        </w:rPr>
        <w:t xml:space="preserve"> </w:t>
      </w:r>
      <w:r w:rsidR="00E175B4" w:rsidRPr="00D86314">
        <w:rPr>
          <w:noProof/>
        </w:rPr>
        <w:t>B</w:t>
      </w:r>
      <w:r w:rsidR="001452C5" w:rsidRPr="00D86314">
        <w:rPr>
          <w:noProof/>
        </w:rPr>
        <w:t xml:space="preserve">ased on the </w:t>
      </w:r>
      <w:r w:rsidR="00AC1D84" w:rsidRPr="00D86314">
        <w:rPr>
          <w:noProof/>
        </w:rPr>
        <w:t xml:space="preserve">emission </w:t>
      </w:r>
      <w:r w:rsidR="001452C5" w:rsidRPr="00D86314">
        <w:rPr>
          <w:noProof/>
        </w:rPr>
        <w:t>calculation</w:t>
      </w:r>
      <w:r w:rsidR="00CC04A3" w:rsidRPr="00D86314">
        <w:rPr>
          <w:noProof/>
        </w:rPr>
        <w:t>,</w:t>
      </w:r>
      <w:r w:rsidR="001452C5" w:rsidRPr="00D86314">
        <w:rPr>
          <w:noProof/>
        </w:rPr>
        <w:t xml:space="preserve"> the CO2 emissions per MB can be </w:t>
      </w:r>
      <w:r w:rsidR="00351842" w:rsidRPr="00D86314">
        <w:rPr>
          <w:noProof/>
        </w:rPr>
        <w:t>derived</w:t>
      </w:r>
      <w:r w:rsidR="00D44257" w:rsidRPr="00D86314">
        <w:rPr>
          <w:noProof/>
        </w:rPr>
        <w:t>,</w:t>
      </w:r>
      <w:r w:rsidR="00351842" w:rsidRPr="00D86314">
        <w:rPr>
          <w:noProof/>
        </w:rPr>
        <w:t xml:space="preserve"> </w:t>
      </w:r>
      <w:r w:rsidR="001452C5" w:rsidRPr="00D86314">
        <w:rPr>
          <w:noProof/>
        </w:rPr>
        <w:t xml:space="preserve">as </w:t>
      </w:r>
      <w:r w:rsidR="00D44257" w:rsidRPr="00D86314">
        <w:rPr>
          <w:noProof/>
        </w:rPr>
        <w:t xml:space="preserve">well as </w:t>
      </w:r>
      <w:r w:rsidR="001452C5" w:rsidRPr="00D86314">
        <w:rPr>
          <w:noProof/>
        </w:rPr>
        <w:t>electricity intensity (kW/GB).</w:t>
      </w:r>
    </w:p>
    <w:p w14:paraId="7E71F0CA" w14:textId="77777777" w:rsidR="001452C5" w:rsidRPr="00D86314" w:rsidRDefault="001452C5" w:rsidP="001452C5">
      <w:pPr>
        <w:rPr>
          <w:b/>
          <w:noProof/>
        </w:rPr>
      </w:pPr>
      <w:r w:rsidRPr="00D86314">
        <w:rPr>
          <w:b/>
          <w:bCs/>
          <w:noProof/>
        </w:rPr>
        <w:t xml:space="preserve">Estimation </w:t>
      </w:r>
      <w:r w:rsidRPr="00D86314">
        <w:rPr>
          <w:b/>
          <w:noProof/>
        </w:rPr>
        <w:t xml:space="preserve">of </w:t>
      </w:r>
      <w:r w:rsidRPr="00D86314">
        <w:rPr>
          <w:b/>
          <w:bCs/>
          <w:noProof/>
        </w:rPr>
        <w:t xml:space="preserve">total </w:t>
      </w:r>
      <w:r w:rsidRPr="00D86314">
        <w:rPr>
          <w:b/>
          <w:noProof/>
        </w:rPr>
        <w:t>electricity consumption</w:t>
      </w:r>
    </w:p>
    <w:p w14:paraId="742F7F66" w14:textId="77777777" w:rsidR="001452C5" w:rsidRPr="00D86314" w:rsidRDefault="001452C5" w:rsidP="001452C5">
      <w:pPr>
        <w:rPr>
          <w:noProof/>
        </w:rPr>
      </w:pPr>
      <w:r w:rsidRPr="00D86314">
        <w:rPr>
          <w:rFonts w:eastAsia="Arial" w:cs="Arial"/>
          <w:noProof/>
          <w:szCs w:val="22"/>
        </w:rPr>
        <w:t>Total electricity consumption in the access network is derived from (i) the evolution of the technology mix over time across the different options and (ii) the electricity intensity of each access technology. The technology mix reflects how the number of subscribers using ADSL, FTTC, FTTB, FTTH, cable, mobile, or FWA evolves in each scenario, thereby capturing shifts from copper-based to fibre-based infrastructures. As the subscriber distribution changes, the aggregate electricity demand of the access network changes accordingly, since each technology exhibits a distinct power profile.</w:t>
      </w:r>
      <w:r w:rsidRPr="00D86314">
        <w:rPr>
          <w:noProof/>
        </w:rPr>
        <w:t xml:space="preserve"> </w:t>
      </w:r>
      <w:r w:rsidRPr="00D86314">
        <w:rPr>
          <w:rFonts w:eastAsia="Arial" w:cs="Arial"/>
          <w:noProof/>
        </w:rPr>
        <w:t xml:space="preserve">Each technology is associated with a specific data-transmission capability, allowing us to </w:t>
      </w:r>
      <w:r w:rsidRPr="00D86314">
        <w:rPr>
          <w:noProof/>
        </w:rPr>
        <w:t>account for the increase in data consumption that is expected across each of the options.</w:t>
      </w:r>
    </w:p>
    <w:p w14:paraId="5D375C5F" w14:textId="77777777" w:rsidR="001452C5" w:rsidRPr="00D86314" w:rsidRDefault="001452C5" w:rsidP="001452C5">
      <w:pPr>
        <w:rPr>
          <w:noProof/>
        </w:rPr>
      </w:pPr>
      <w:r w:rsidRPr="00D86314">
        <w:rPr>
          <w:rFonts w:eastAsia="Arial" w:cs="Arial"/>
          <w:noProof/>
        </w:rPr>
        <w:t xml:space="preserve">The technology mix is obtained from the projected number of subscribers per access technology over time, implying a growing share of fibre connections (and associated data traffic) and a declining share of copper-based connections as </w:t>
      </w:r>
      <w:r w:rsidRPr="00D86314">
        <w:rPr>
          <w:noProof/>
        </w:rPr>
        <w:t>defined by each option.</w:t>
      </w:r>
      <w:r w:rsidRPr="00D86314">
        <w:rPr>
          <w:rFonts w:eastAsia="Arial" w:cs="Arial"/>
          <w:noProof/>
        </w:rPr>
        <w:t xml:space="preserve"> </w:t>
      </w:r>
    </w:p>
    <w:p w14:paraId="2FDF8D24" w14:textId="0E368D8E" w:rsidR="001452C5" w:rsidRPr="00D86314" w:rsidRDefault="001452C5" w:rsidP="001452C5">
      <w:pPr>
        <w:rPr>
          <w:noProof/>
        </w:rPr>
      </w:pPr>
      <w:r w:rsidRPr="00D86314">
        <w:rPr>
          <w:rFonts w:eastAsia="Arial" w:cs="Arial"/>
          <w:noProof/>
        </w:rPr>
        <w:t xml:space="preserve">For the electricity intensities (kWh/ subscriber) </w:t>
      </w:r>
      <w:r w:rsidRPr="00D86314">
        <w:rPr>
          <w:noProof/>
        </w:rPr>
        <w:t>across different types of access network technologies,</w:t>
      </w:r>
      <w:r w:rsidRPr="00D86314">
        <w:rPr>
          <w:rFonts w:eastAsia="Arial"/>
          <w:noProof/>
        </w:rPr>
        <w:t xml:space="preserve"> </w:t>
      </w:r>
      <w:r w:rsidR="0038527C" w:rsidRPr="00D86314">
        <w:rPr>
          <w:rFonts w:eastAsia="Arial" w:cs="Arial"/>
          <w:noProof/>
        </w:rPr>
        <w:t xml:space="preserve">the model </w:t>
      </w:r>
      <w:r w:rsidRPr="00D86314">
        <w:rPr>
          <w:rFonts w:eastAsia="Arial" w:cs="Arial"/>
          <w:noProof/>
        </w:rPr>
        <w:t>use</w:t>
      </w:r>
      <w:r w:rsidR="0038527C" w:rsidRPr="00D86314">
        <w:rPr>
          <w:rFonts w:eastAsia="Arial" w:cs="Arial"/>
          <w:noProof/>
        </w:rPr>
        <w:t>s</w:t>
      </w:r>
      <w:r w:rsidRPr="00D86314">
        <w:rPr>
          <w:rFonts w:eastAsia="Arial" w:cs="Arial"/>
          <w:noProof/>
        </w:rPr>
        <w:t xml:space="preserve"> the values reported by Zuloaga et al. (2024). </w:t>
      </w:r>
      <w:r w:rsidRPr="00D86314">
        <w:rPr>
          <w:noProof/>
        </w:rPr>
        <w:t>The electricity consumption per subscriber is as follows:</w:t>
      </w:r>
    </w:p>
    <w:p w14:paraId="2E3675BF" w14:textId="2A142963" w:rsidR="001452C5" w:rsidRPr="00C20A01" w:rsidRDefault="001452C5" w:rsidP="00A00C17">
      <w:pPr>
        <w:pStyle w:val="bullettext"/>
        <w:numPr>
          <w:ilvl w:val="0"/>
          <w:numId w:val="47"/>
        </w:numPr>
        <w:rPr>
          <w:rFonts w:ascii="Times New Roman" w:hAnsi="Times New Roman"/>
          <w:szCs w:val="22"/>
        </w:rPr>
      </w:pPr>
      <w:r w:rsidRPr="00C20A01">
        <w:rPr>
          <w:rFonts w:ascii="Times New Roman" w:hAnsi="Times New Roman"/>
          <w:szCs w:val="22"/>
        </w:rPr>
        <w:t>ADSL: 3</w:t>
      </w:r>
      <w:r w:rsidR="00D1429F" w:rsidRPr="00C20A01">
        <w:rPr>
          <w:rFonts w:ascii="Times New Roman" w:hAnsi="Times New Roman"/>
          <w:szCs w:val="22"/>
        </w:rPr>
        <w:t>.</w:t>
      </w:r>
      <w:r w:rsidRPr="00C20A01">
        <w:rPr>
          <w:rFonts w:ascii="Times New Roman" w:hAnsi="Times New Roman"/>
          <w:szCs w:val="22"/>
        </w:rPr>
        <w:t>6 W per subscriber</w:t>
      </w:r>
    </w:p>
    <w:p w14:paraId="7A4FE7CA" w14:textId="708122D1" w:rsidR="001452C5" w:rsidRPr="00C20A01" w:rsidRDefault="001452C5" w:rsidP="00A00C17">
      <w:pPr>
        <w:pStyle w:val="bullettext"/>
        <w:numPr>
          <w:ilvl w:val="0"/>
          <w:numId w:val="47"/>
        </w:numPr>
        <w:rPr>
          <w:rFonts w:ascii="Times New Roman" w:hAnsi="Times New Roman"/>
          <w:szCs w:val="22"/>
        </w:rPr>
      </w:pPr>
      <w:r w:rsidRPr="00C20A01">
        <w:rPr>
          <w:rFonts w:ascii="Times New Roman" w:hAnsi="Times New Roman"/>
          <w:szCs w:val="22"/>
        </w:rPr>
        <w:t>FTTC: 10</w:t>
      </w:r>
      <w:r w:rsidR="00D1429F" w:rsidRPr="00C20A01">
        <w:rPr>
          <w:rFonts w:ascii="Times New Roman" w:hAnsi="Times New Roman"/>
          <w:szCs w:val="22"/>
        </w:rPr>
        <w:t>.</w:t>
      </w:r>
      <w:r w:rsidRPr="00C20A01">
        <w:rPr>
          <w:rFonts w:ascii="Times New Roman" w:hAnsi="Times New Roman"/>
          <w:szCs w:val="22"/>
        </w:rPr>
        <w:t>3 W per subscriber</w:t>
      </w:r>
    </w:p>
    <w:p w14:paraId="667C348E" w14:textId="77777777" w:rsidR="001452C5" w:rsidRPr="00C20A01" w:rsidRDefault="001452C5" w:rsidP="00A00C17">
      <w:pPr>
        <w:pStyle w:val="bullettext"/>
        <w:numPr>
          <w:ilvl w:val="0"/>
          <w:numId w:val="47"/>
        </w:numPr>
        <w:rPr>
          <w:rFonts w:ascii="Times New Roman" w:hAnsi="Times New Roman"/>
          <w:szCs w:val="22"/>
        </w:rPr>
      </w:pPr>
      <w:r w:rsidRPr="00C20A01">
        <w:rPr>
          <w:rFonts w:ascii="Times New Roman" w:hAnsi="Times New Roman"/>
          <w:szCs w:val="22"/>
        </w:rPr>
        <w:t>Cable: 15 W per subscriber</w:t>
      </w:r>
    </w:p>
    <w:p w14:paraId="45F9154F" w14:textId="77777777" w:rsidR="001452C5" w:rsidRPr="00C20A01" w:rsidRDefault="001452C5" w:rsidP="00A00C17">
      <w:pPr>
        <w:pStyle w:val="bullettext"/>
        <w:numPr>
          <w:ilvl w:val="0"/>
          <w:numId w:val="47"/>
        </w:numPr>
        <w:rPr>
          <w:rFonts w:ascii="Times New Roman" w:hAnsi="Times New Roman"/>
          <w:szCs w:val="22"/>
        </w:rPr>
      </w:pPr>
      <w:r w:rsidRPr="00C20A01">
        <w:rPr>
          <w:rFonts w:ascii="Times New Roman" w:hAnsi="Times New Roman"/>
          <w:szCs w:val="22"/>
        </w:rPr>
        <w:t>FWA: for FWA a consupmtion of 0,069 kWh/GB was assumed</w:t>
      </w:r>
    </w:p>
    <w:p w14:paraId="7FB35CD9" w14:textId="46295B65" w:rsidR="001452C5" w:rsidRPr="00C20A01" w:rsidRDefault="001452C5" w:rsidP="00A00C17">
      <w:pPr>
        <w:pStyle w:val="bullettext"/>
        <w:numPr>
          <w:ilvl w:val="0"/>
          <w:numId w:val="47"/>
        </w:numPr>
        <w:spacing w:after="240"/>
        <w:rPr>
          <w:rFonts w:ascii="Times New Roman" w:hAnsi="Times New Roman"/>
          <w:szCs w:val="22"/>
        </w:rPr>
      </w:pPr>
      <w:r w:rsidRPr="00C20A01">
        <w:rPr>
          <w:rFonts w:ascii="Times New Roman" w:hAnsi="Times New Roman"/>
          <w:szCs w:val="22"/>
        </w:rPr>
        <w:t>FTTH: 4</w:t>
      </w:r>
      <w:r w:rsidR="00D1429F" w:rsidRPr="00C20A01">
        <w:rPr>
          <w:rFonts w:ascii="Times New Roman" w:hAnsi="Times New Roman"/>
          <w:szCs w:val="22"/>
        </w:rPr>
        <w:t>.</w:t>
      </w:r>
      <w:r w:rsidRPr="00C20A01">
        <w:rPr>
          <w:rFonts w:ascii="Times New Roman" w:hAnsi="Times New Roman"/>
          <w:szCs w:val="22"/>
        </w:rPr>
        <w:t>6 W per subscriber</w:t>
      </w:r>
    </w:p>
    <w:p w14:paraId="1EFDF947" w14:textId="030F7E01" w:rsidR="001452C5" w:rsidRPr="00C20A01" w:rsidRDefault="001452C5" w:rsidP="00A00C17">
      <w:pPr>
        <w:pStyle w:val="bullettext"/>
        <w:numPr>
          <w:ilvl w:val="0"/>
          <w:numId w:val="47"/>
        </w:numPr>
        <w:spacing w:after="240"/>
        <w:rPr>
          <w:rFonts w:ascii="Times New Roman" w:hAnsi="Times New Roman"/>
          <w:szCs w:val="22"/>
        </w:rPr>
      </w:pPr>
      <w:r w:rsidRPr="00C20A01">
        <w:rPr>
          <w:rFonts w:ascii="Times New Roman" w:hAnsi="Times New Roman"/>
          <w:szCs w:val="22"/>
        </w:rPr>
        <w:t>Mobile: 8</w:t>
      </w:r>
      <w:r w:rsidR="00D1429F" w:rsidRPr="00C20A01">
        <w:rPr>
          <w:rFonts w:ascii="Times New Roman" w:hAnsi="Times New Roman"/>
          <w:szCs w:val="22"/>
        </w:rPr>
        <w:t>.</w:t>
      </w:r>
      <w:r w:rsidRPr="00C20A01">
        <w:rPr>
          <w:rFonts w:ascii="Times New Roman" w:hAnsi="Times New Roman"/>
          <w:szCs w:val="22"/>
        </w:rPr>
        <w:t>8 W per subscriber</w:t>
      </w:r>
    </w:p>
    <w:p w14:paraId="1050E9CB" w14:textId="77777777" w:rsidR="001452C5" w:rsidRPr="00C20A01" w:rsidRDefault="001452C5" w:rsidP="001452C5">
      <w:pPr>
        <w:pStyle w:val="bullettext"/>
        <w:spacing w:after="240"/>
        <w:rPr>
          <w:rFonts w:ascii="Times New Roman" w:hAnsi="Times New Roman"/>
          <w:szCs w:val="22"/>
        </w:rPr>
      </w:pPr>
      <w:r w:rsidRPr="00C20A01">
        <w:rPr>
          <w:rFonts w:ascii="Times New Roman" w:hAnsi="Times New Roman"/>
          <w:szCs w:val="22"/>
        </w:rPr>
        <w:t>G.fast: 16 W per subscriber</w:t>
      </w:r>
    </w:p>
    <w:p w14:paraId="0B25D1CA" w14:textId="7E82A862" w:rsidR="001452C5" w:rsidRPr="00D86314" w:rsidRDefault="009554AF" w:rsidP="00E026D2">
      <w:pPr>
        <w:rPr>
          <w:noProof/>
        </w:rPr>
      </w:pPr>
      <w:r w:rsidRPr="00D86314">
        <w:rPr>
          <w:noProof/>
        </w:rPr>
        <w:t>E</w:t>
      </w:r>
      <w:r w:rsidR="001452C5" w:rsidRPr="00D86314">
        <w:rPr>
          <w:noProof/>
        </w:rPr>
        <w:t>lectricity consumption has therefore been calculated as follows:</w:t>
      </w:r>
    </w:p>
    <w:p w14:paraId="44EDD8F9" w14:textId="77777777" w:rsidR="001452C5" w:rsidRPr="00D86314" w:rsidRDefault="00B046D9" w:rsidP="001452C5">
      <w:pPr>
        <w:rPr>
          <w:noProof/>
        </w:rPr>
      </w:pPr>
      <m:oMathPara>
        <m:oMath>
          <m:sSub>
            <m:sSubPr>
              <m:ctrlPr>
                <w:rPr>
                  <w:rFonts w:ascii="Cambria Math" w:hAnsi="Cambria Math"/>
                  <w:i/>
                  <w:noProof/>
                </w:rPr>
              </m:ctrlPr>
            </m:sSubPr>
            <m:e>
              <m:r>
                <w:rPr>
                  <w:rFonts w:ascii="Cambria Math" w:hAnsi="Cambria Math"/>
                  <w:noProof/>
                </w:rPr>
                <m:t>E</m:t>
              </m:r>
            </m:e>
            <m:sub>
              <m:r>
                <w:rPr>
                  <w:rFonts w:ascii="Cambria Math" w:hAnsi="Cambria Math"/>
                  <w:noProof/>
                </w:rPr>
                <m:t>ANT</m:t>
              </m:r>
              <m:r>
                <w:rPr>
                  <w:rFonts w:ascii="Cambria Math" w:hAnsi="Cambria Math"/>
                  <w:noProof/>
                </w:rPr>
                <m:t>,</m:t>
              </m:r>
              <m:r>
                <w:rPr>
                  <w:rFonts w:ascii="Cambria Math" w:hAnsi="Cambria Math"/>
                  <w:noProof/>
                </w:rPr>
                <m:t>n</m:t>
              </m:r>
            </m:sub>
          </m:sSub>
          <m:r>
            <w:rPr>
              <w:rFonts w:ascii="Cambria Math" w:hAnsi="Cambria Math"/>
              <w:noProof/>
            </w:rPr>
            <m:t>=</m:t>
          </m:r>
          <m:sSub>
            <m:sSubPr>
              <m:ctrlPr>
                <w:rPr>
                  <w:rFonts w:ascii="Cambria Math" w:hAnsi="Cambria Math"/>
                  <w:i/>
                  <w:noProof/>
                </w:rPr>
              </m:ctrlPr>
            </m:sSubPr>
            <m:e>
              <m:r>
                <w:rPr>
                  <w:rFonts w:ascii="Cambria Math" w:hAnsi="Cambria Math"/>
                  <w:noProof/>
                </w:rPr>
                <m:t>sub</m:t>
              </m:r>
            </m:e>
            <m:sub>
              <m:r>
                <w:rPr>
                  <w:rFonts w:ascii="Cambria Math" w:hAnsi="Cambria Math"/>
                  <w:noProof/>
                </w:rPr>
                <m:t>ANT</m:t>
              </m:r>
              <m:r>
                <w:rPr>
                  <w:rFonts w:ascii="Cambria Math" w:hAnsi="Cambria Math"/>
                  <w:noProof/>
                </w:rPr>
                <m:t>,</m:t>
              </m:r>
              <m:r>
                <w:rPr>
                  <w:rFonts w:ascii="Cambria Math" w:hAnsi="Cambria Math"/>
                  <w:noProof/>
                </w:rPr>
                <m:t>n</m:t>
              </m:r>
            </m:sub>
          </m:sSub>
          <m:r>
            <w:rPr>
              <w:rFonts w:ascii="Cambria Math" w:hAnsi="Cambria Math"/>
              <w:noProof/>
            </w:rPr>
            <m:t>*</m:t>
          </m:r>
          <m:r>
            <w:rPr>
              <w:rFonts w:ascii="Cambria Math" w:hAnsi="Cambria Math"/>
              <w:noProof/>
            </w:rPr>
            <m:t>E</m:t>
          </m:r>
          <m:sSub>
            <m:sSubPr>
              <m:ctrlPr>
                <w:rPr>
                  <w:rFonts w:ascii="Cambria Math" w:hAnsi="Cambria Math"/>
                  <w:i/>
                  <w:noProof/>
                </w:rPr>
              </m:ctrlPr>
            </m:sSubPr>
            <m:e>
              <m:r>
                <w:rPr>
                  <w:rFonts w:ascii="Cambria Math" w:hAnsi="Cambria Math"/>
                  <w:noProof/>
                </w:rPr>
                <m:t>I</m:t>
              </m:r>
            </m:e>
            <m:sub>
              <m:r>
                <w:rPr>
                  <w:rFonts w:ascii="Cambria Math" w:hAnsi="Cambria Math"/>
                  <w:noProof/>
                </w:rPr>
                <m:t>ANT</m:t>
              </m:r>
            </m:sub>
          </m:sSub>
          <m:r>
            <w:rPr>
              <w:rFonts w:ascii="Cambria Math" w:hAnsi="Cambria Math"/>
              <w:noProof/>
            </w:rPr>
            <m:t>*</m:t>
          </m:r>
          <m:r>
            <w:rPr>
              <w:rFonts w:ascii="Cambria Math" w:hAnsi="Cambria Math"/>
              <w:noProof/>
            </w:rPr>
            <m:t>365*24</m:t>
          </m:r>
        </m:oMath>
      </m:oMathPara>
    </w:p>
    <w:p w14:paraId="73A990D6" w14:textId="77777777" w:rsidR="001452C5" w:rsidRPr="00D86314" w:rsidRDefault="001452C5" w:rsidP="001452C5">
      <w:pPr>
        <w:keepNext/>
        <w:rPr>
          <w:noProof/>
        </w:rPr>
      </w:pPr>
      <w:r w:rsidRPr="00D86314">
        <w:rPr>
          <w:noProof/>
        </w:rPr>
        <w:t>Where:</w:t>
      </w:r>
    </w:p>
    <w:p w14:paraId="4B264D6A" w14:textId="77777777" w:rsidR="001452C5" w:rsidRPr="00C20A01" w:rsidRDefault="00B046D9" w:rsidP="00A00C17">
      <w:pPr>
        <w:pStyle w:val="bullettext"/>
        <w:numPr>
          <w:ilvl w:val="0"/>
          <w:numId w:val="47"/>
        </w:numPr>
        <w:rPr>
          <w:rFonts w:ascii="Times New Roman" w:hAnsi="Times New Roman"/>
        </w:rPr>
      </w:pPr>
      <m:oMath>
        <m:sSub>
          <m:sSubPr>
            <m:ctrlPr>
              <w:rPr>
                <w:rFonts w:ascii="Cambria Math" w:hAnsi="Cambria Math"/>
                <w:i/>
              </w:rPr>
            </m:ctrlPr>
          </m:sSubPr>
          <m:e>
            <m:r>
              <w:rPr>
                <w:rFonts w:ascii="Cambria Math" w:hAnsi="Cambria Math"/>
              </w:rPr>
              <m:t>E</m:t>
            </m:r>
          </m:e>
          <m:sub>
            <m:r>
              <w:rPr>
                <w:rFonts w:ascii="Cambria Math" w:hAnsi="Cambria Math"/>
              </w:rPr>
              <m:t>AT</m:t>
            </m:r>
            <m:r>
              <w:rPr>
                <w:rFonts w:ascii="Cambria Math" w:hAnsi="Cambria Math"/>
              </w:rPr>
              <m:t>,</m:t>
            </m:r>
            <m:r>
              <w:rPr>
                <w:rFonts w:ascii="Cambria Math" w:hAnsi="Cambria Math"/>
              </w:rPr>
              <m:t>n</m:t>
            </m:r>
          </m:sub>
        </m:sSub>
        <m:r>
          <w:rPr>
            <w:rFonts w:ascii="Cambria Math" w:hAnsi="Cambria Math"/>
          </w:rPr>
          <m:t>=</m:t>
        </m:r>
      </m:oMath>
      <w:r w:rsidR="001452C5" w:rsidRPr="00C20A01">
        <w:rPr>
          <w:rFonts w:ascii="Times New Roman" w:hAnsi="Times New Roman"/>
        </w:rPr>
        <w:t xml:space="preserve"> total electricity consumption, W, for access network technology, ANT, in year n</w:t>
      </w:r>
    </w:p>
    <w:p w14:paraId="1774B619" w14:textId="77777777" w:rsidR="001452C5" w:rsidRPr="00C20A01" w:rsidRDefault="00B046D9" w:rsidP="001452C5">
      <w:pPr>
        <w:pStyle w:val="bullettext"/>
        <w:rPr>
          <w:rFonts w:ascii="Times New Roman" w:hAnsi="Times New Roman"/>
        </w:rPr>
      </w:pPr>
      <m:oMath>
        <m:sSub>
          <m:sSubPr>
            <m:ctrlPr>
              <w:rPr>
                <w:rFonts w:ascii="Cambria Math" w:hAnsi="Cambria Math"/>
                <w:i/>
              </w:rPr>
            </m:ctrlPr>
          </m:sSubPr>
          <m:e>
            <m:r>
              <w:rPr>
                <w:rFonts w:ascii="Cambria Math" w:hAnsi="Cambria Math"/>
              </w:rPr>
              <m:t>sub</m:t>
            </m:r>
          </m:e>
          <m:sub>
            <m:r>
              <w:rPr>
                <w:rFonts w:ascii="Cambria Math" w:hAnsi="Cambria Math"/>
              </w:rPr>
              <m:t>AT</m:t>
            </m:r>
          </m:sub>
        </m:sSub>
        <m:r>
          <w:rPr>
            <w:rFonts w:ascii="Cambria Math" w:hAnsi="Cambria Math"/>
          </w:rPr>
          <m:t>=</m:t>
        </m:r>
      </m:oMath>
      <w:r w:rsidR="001452C5" w:rsidRPr="00C20A01">
        <w:rPr>
          <w:rFonts w:ascii="Times New Roman" w:hAnsi="Times New Roman"/>
        </w:rPr>
        <w:t xml:space="preserve"> number of subscribers for access network technology, ANT in year n</w:t>
      </w:r>
    </w:p>
    <w:p w14:paraId="737AA7B5" w14:textId="77777777" w:rsidR="001452C5" w:rsidRPr="00C20A01" w:rsidRDefault="00001A87" w:rsidP="00A00C17">
      <w:pPr>
        <w:pStyle w:val="bullettext"/>
        <w:numPr>
          <w:ilvl w:val="0"/>
          <w:numId w:val="47"/>
        </w:numPr>
        <w:rPr>
          <w:rFonts w:ascii="Times New Roman" w:hAnsi="Times New Roman"/>
        </w:rPr>
      </w:pPr>
      <m:oMath>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xG,2010</m:t>
            </m:r>
          </m:sub>
        </m:sSub>
        <m:r>
          <w:rPr>
            <w:rFonts w:ascii="Cambria Math" w:hAnsi="Cambria Math"/>
          </w:rPr>
          <m:t>=</m:t>
        </m:r>
      </m:oMath>
      <w:r w:rsidR="001452C5" w:rsidRPr="00C20A01">
        <w:rPr>
          <w:rFonts w:ascii="Times New Roman" w:hAnsi="Times New Roman"/>
        </w:rPr>
        <w:t xml:space="preserve"> electricity intensity, W/subscriber, for access network technology ANT</w:t>
      </w:r>
    </w:p>
    <w:p w14:paraId="3E787071" w14:textId="2E813574" w:rsidR="001452C5" w:rsidRPr="00D86314" w:rsidRDefault="001452C5" w:rsidP="003D4E7C">
      <w:pPr>
        <w:spacing w:before="360"/>
        <w:rPr>
          <w:noProof/>
        </w:rPr>
      </w:pPr>
      <w:r w:rsidRPr="00D86314">
        <w:rPr>
          <w:rFonts w:eastAsia="Arial" w:cs="Arial"/>
          <w:noProof/>
          <w:szCs w:val="22"/>
        </w:rPr>
        <w:t>For FWA, electricity consumption is derived directly from kWh/GB and projected data traffic.</w:t>
      </w:r>
    </w:p>
    <w:p w14:paraId="2D7E74EC" w14:textId="77777777" w:rsidR="001452C5" w:rsidRPr="00D86314" w:rsidRDefault="001452C5" w:rsidP="001452C5">
      <w:pPr>
        <w:spacing w:before="240"/>
        <w:rPr>
          <w:noProof/>
        </w:rPr>
      </w:pPr>
      <w:r w:rsidRPr="00D86314">
        <w:rPr>
          <w:rFonts w:eastAsia="Arial" w:cs="Arial"/>
          <w:noProof/>
          <w:szCs w:val="22"/>
        </w:rPr>
        <w:t>Annual electricity use across the access network is then obtained by summing the technology-specific values according to the technology mix in each year and scenario.</w:t>
      </w:r>
    </w:p>
    <w:p w14:paraId="67583B5A" w14:textId="77777777" w:rsidR="001452C5" w:rsidRPr="00D86314" w:rsidRDefault="001452C5" w:rsidP="001452C5">
      <w:pPr>
        <w:rPr>
          <w:noProof/>
        </w:rPr>
      </w:pPr>
      <w:r w:rsidRPr="00D86314">
        <w:rPr>
          <w:b/>
          <w:bCs/>
          <w:noProof/>
        </w:rPr>
        <w:t>Estimation</w:t>
      </w:r>
      <w:r w:rsidRPr="00D86314">
        <w:rPr>
          <w:b/>
          <w:noProof/>
        </w:rPr>
        <w:t xml:space="preserve"> </w:t>
      </w:r>
      <w:r w:rsidRPr="00D86314">
        <w:rPr>
          <w:b/>
          <w:bCs/>
          <w:noProof/>
        </w:rPr>
        <w:t>of</w:t>
      </w:r>
      <w:r w:rsidRPr="00D86314">
        <w:rPr>
          <w:b/>
          <w:noProof/>
        </w:rPr>
        <w:t xml:space="preserve"> CO2 emissions</w:t>
      </w:r>
    </w:p>
    <w:p w14:paraId="3EE9DFAF" w14:textId="71D4E6A9" w:rsidR="001452C5" w:rsidRPr="00D86314" w:rsidRDefault="001452C5" w:rsidP="001452C5">
      <w:pPr>
        <w:rPr>
          <w:noProof/>
        </w:rPr>
      </w:pPr>
      <w:r w:rsidRPr="00D86314">
        <w:rPr>
          <w:noProof/>
        </w:rPr>
        <w:t xml:space="preserve">To </w:t>
      </w:r>
      <w:r w:rsidR="00E4424D" w:rsidRPr="00D86314">
        <w:rPr>
          <w:noProof/>
        </w:rPr>
        <w:t>quantify</w:t>
      </w:r>
      <w:r w:rsidRPr="00D86314">
        <w:rPr>
          <w:noProof/>
        </w:rPr>
        <w:t xml:space="preserve"> GHG emissions resulting from electricity consumption, </w:t>
      </w:r>
      <w:r w:rsidR="00B3097D" w:rsidRPr="00D86314">
        <w:rPr>
          <w:noProof/>
        </w:rPr>
        <w:t>the model</w:t>
      </w:r>
      <w:r w:rsidR="000C7F66" w:rsidRPr="00D86314">
        <w:rPr>
          <w:noProof/>
        </w:rPr>
        <w:t xml:space="preserve"> uses</w:t>
      </w:r>
      <w:r w:rsidRPr="00D86314">
        <w:rPr>
          <w:noProof/>
        </w:rPr>
        <w:t xml:space="preserve"> EEA data on the emission intensity of electricity</w:t>
      </w:r>
      <w:r w:rsidR="0081368B" w:rsidRPr="00D86314">
        <w:rPr>
          <w:noProof/>
        </w:rPr>
        <w:t xml:space="preserve"> generation</w:t>
      </w:r>
      <w:r w:rsidRPr="00D86314">
        <w:rPr>
          <w:noProof/>
        </w:rPr>
        <w:t>.</w:t>
      </w:r>
      <w:r w:rsidR="00693E08">
        <w:rPr>
          <w:rStyle w:val="FootnoteReference"/>
          <w:noProof/>
        </w:rPr>
        <w:footnoteReference w:id="78"/>
      </w:r>
    </w:p>
    <w:p w14:paraId="2D371D4F" w14:textId="598DB85C" w:rsidR="001452C5" w:rsidRPr="00D86314" w:rsidRDefault="001452C5" w:rsidP="001452C5">
      <w:pPr>
        <w:rPr>
          <w:noProof/>
        </w:rPr>
      </w:pPr>
      <w:r w:rsidRPr="00D86314">
        <w:rPr>
          <w:noProof/>
        </w:rPr>
        <w:t xml:space="preserve">For Europe, the CO₂ intensity of electricity generation is expected to </w:t>
      </w:r>
      <w:r w:rsidR="00D46A67" w:rsidRPr="00D86314">
        <w:rPr>
          <w:noProof/>
        </w:rPr>
        <w:t xml:space="preserve">decline </w:t>
      </w:r>
      <w:r w:rsidRPr="00D86314">
        <w:rPr>
          <w:noProof/>
        </w:rPr>
        <w:t xml:space="preserve">rapidly </w:t>
      </w:r>
      <w:r w:rsidR="002B56B0" w:rsidRPr="00D86314">
        <w:rPr>
          <w:noProof/>
        </w:rPr>
        <w:t xml:space="preserve">as </w:t>
      </w:r>
      <w:r w:rsidRPr="00D86314">
        <w:rPr>
          <w:noProof/>
        </w:rPr>
        <w:t xml:space="preserve">renewable energy sources </w:t>
      </w:r>
      <w:r w:rsidR="002B56B0" w:rsidRPr="00D86314">
        <w:rPr>
          <w:noProof/>
        </w:rPr>
        <w:t>expand</w:t>
      </w:r>
      <w:r w:rsidR="0078535D" w:rsidRPr="00D86314">
        <w:rPr>
          <w:noProof/>
        </w:rPr>
        <w:t>, falling</w:t>
      </w:r>
      <w:r w:rsidR="002B56B0" w:rsidRPr="00D86314">
        <w:rPr>
          <w:noProof/>
        </w:rPr>
        <w:t xml:space="preserve"> </w:t>
      </w:r>
      <w:r w:rsidRPr="00D86314">
        <w:rPr>
          <w:noProof/>
        </w:rPr>
        <w:t>from 0</w:t>
      </w:r>
      <w:r w:rsidR="000D7131" w:rsidRPr="00D86314">
        <w:rPr>
          <w:noProof/>
        </w:rPr>
        <w:t>.</w:t>
      </w:r>
      <w:r w:rsidRPr="00D86314">
        <w:rPr>
          <w:noProof/>
        </w:rPr>
        <w:t>161 kg CO</w:t>
      </w:r>
      <w:r w:rsidRPr="00D86314">
        <w:rPr>
          <w:noProof/>
          <w:vertAlign w:val="subscript"/>
        </w:rPr>
        <w:t>2</w:t>
      </w:r>
      <w:r w:rsidRPr="00D86314">
        <w:rPr>
          <w:noProof/>
        </w:rPr>
        <w:t>e per kWh in 2025 to 0.046 kg CO</w:t>
      </w:r>
      <w:r w:rsidRPr="00D86314">
        <w:rPr>
          <w:noProof/>
          <w:vertAlign w:val="subscript"/>
        </w:rPr>
        <w:t>2</w:t>
      </w:r>
      <w:r w:rsidRPr="00D86314">
        <w:rPr>
          <w:noProof/>
        </w:rPr>
        <w:t>e per kWh in 2035.</w:t>
      </w:r>
      <w:r w:rsidRPr="00D86314" w:rsidDel="00691473">
        <w:rPr>
          <w:noProof/>
        </w:rPr>
        <w:t xml:space="preserve"> </w:t>
      </w:r>
      <w:r w:rsidR="00691473" w:rsidRPr="00D86314">
        <w:rPr>
          <w:noProof/>
        </w:rPr>
        <w:t>A</w:t>
      </w:r>
      <w:r w:rsidRPr="00D86314">
        <w:rPr>
          <w:noProof/>
        </w:rPr>
        <w:t xml:space="preserve"> linear </w:t>
      </w:r>
      <w:r w:rsidR="00691473" w:rsidRPr="00D86314">
        <w:rPr>
          <w:noProof/>
        </w:rPr>
        <w:t xml:space="preserve">trajectory </w:t>
      </w:r>
      <w:r w:rsidRPr="00D86314">
        <w:rPr>
          <w:noProof/>
        </w:rPr>
        <w:t>between the two years</w:t>
      </w:r>
      <w:r w:rsidR="00C422E8" w:rsidRPr="00D86314">
        <w:rPr>
          <w:noProof/>
        </w:rPr>
        <w:t xml:space="preserve"> is assumed</w:t>
      </w:r>
      <w:r w:rsidRPr="00D86314">
        <w:rPr>
          <w:noProof/>
        </w:rPr>
        <w:t>.</w:t>
      </w:r>
    </w:p>
    <w:p w14:paraId="366C2648" w14:textId="75B7DF38" w:rsidR="001452C5" w:rsidRPr="00D86314" w:rsidRDefault="001452C5" w:rsidP="001452C5">
      <w:pPr>
        <w:rPr>
          <w:noProof/>
        </w:rPr>
      </w:pPr>
      <w:r w:rsidRPr="00D86314">
        <w:rPr>
          <w:noProof/>
        </w:rPr>
        <w:t xml:space="preserve">CO₂ emissions </w:t>
      </w:r>
      <w:r w:rsidR="006673FC" w:rsidRPr="00D86314">
        <w:rPr>
          <w:noProof/>
        </w:rPr>
        <w:t xml:space="preserve">are </w:t>
      </w:r>
      <w:r w:rsidR="00603217" w:rsidRPr="00D86314">
        <w:rPr>
          <w:noProof/>
        </w:rPr>
        <w:t xml:space="preserve">then </w:t>
      </w:r>
      <w:r w:rsidR="006673FC" w:rsidRPr="00D86314">
        <w:rPr>
          <w:noProof/>
        </w:rPr>
        <w:t xml:space="preserve">estimated </w:t>
      </w:r>
      <w:r w:rsidRPr="00D86314">
        <w:rPr>
          <w:noProof/>
        </w:rPr>
        <w:t xml:space="preserve">by multiplying total electricity consumption by the </w:t>
      </w:r>
      <w:r w:rsidR="00893AB6" w:rsidRPr="00D86314">
        <w:rPr>
          <w:noProof/>
        </w:rPr>
        <w:t xml:space="preserve">corresponding </w:t>
      </w:r>
      <w:r w:rsidRPr="00D86314">
        <w:rPr>
          <w:noProof/>
        </w:rPr>
        <w:t xml:space="preserve">year-specific emission intensity factor. </w:t>
      </w:r>
    </w:p>
    <w:p w14:paraId="6E05760A" w14:textId="39409711" w:rsidR="001452C5" w:rsidRPr="00D86314" w:rsidRDefault="001452C5" w:rsidP="001452C5">
      <w:pPr>
        <w:rPr>
          <w:noProof/>
        </w:rPr>
      </w:pPr>
      <w:bookmarkStart w:id="119" w:name="_Ref214216032"/>
      <w:r w:rsidRPr="00D86314">
        <w:rPr>
          <w:noProof/>
        </w:rPr>
        <w:t xml:space="preserve">The results are summarized in </w:t>
      </w:r>
      <w:r w:rsidR="77933AC3" w:rsidRPr="00D86314">
        <w:rPr>
          <w:noProof/>
        </w:rPr>
        <w:t xml:space="preserve">Table A4 </w:t>
      </w:r>
      <w:r w:rsidR="00693E08">
        <w:rPr>
          <w:noProof/>
        </w:rPr>
        <w:t>1-</w:t>
      </w:r>
      <w:r w:rsidR="77933AC3" w:rsidRPr="00D86314">
        <w:rPr>
          <w:noProof/>
        </w:rPr>
        <w:t>1</w:t>
      </w:r>
      <w:r w:rsidR="0011089A">
        <w:rPr>
          <w:noProof/>
        </w:rPr>
        <w:t>5</w:t>
      </w:r>
      <w:r w:rsidRPr="00D86314">
        <w:rPr>
          <w:noProof/>
        </w:rPr>
        <w:t>. This shows that in the Status Quo (Option 0), aggregate emissions of 13.7 million tonnes CO</w:t>
      </w:r>
      <w:r w:rsidRPr="00D86314">
        <w:rPr>
          <w:noProof/>
          <w:vertAlign w:val="subscript"/>
        </w:rPr>
        <w:t>2</w:t>
      </w:r>
      <w:r w:rsidRPr="00D86314">
        <w:rPr>
          <w:noProof/>
        </w:rPr>
        <w:t>e can be expected across the 2025-2035 period. Options 1 and 3 show slightly lower CO2e, for option 1 however with a higher level of data consumption than options 0 and 3. Option 4 leads to a considerable reduction in emissions of almost 8% compared to the status quo also with a higher data consumption. However</w:t>
      </w:r>
      <w:r w:rsidR="009E62A0" w:rsidRPr="00D86314">
        <w:rPr>
          <w:noProof/>
        </w:rPr>
        <w:t>,</w:t>
      </w:r>
      <w:r w:rsidRPr="00D86314">
        <w:rPr>
          <w:noProof/>
        </w:rPr>
        <w:t xml:space="preserve"> the data consumption under option 4 is lower than under option 2 which also leads to a reduction of CO2e of around 0.6 m (ca. 6% compared to the status quo) despite showing the highest data consumption. </w:t>
      </w:r>
    </w:p>
    <w:p w14:paraId="628E4E53" w14:textId="4A0B0043" w:rsidR="001452C5" w:rsidRPr="00D86314" w:rsidRDefault="001452C5" w:rsidP="001452C5">
      <w:pPr>
        <w:rPr>
          <w:noProof/>
        </w:rPr>
      </w:pPr>
      <w:r w:rsidRPr="00D86314">
        <w:rPr>
          <w:noProof/>
        </w:rPr>
        <w:t>The results under option 2 are subject to the uncertainty and problems related with the approach to access regulation. Emissions could be reduced and efficiency increased further if those problems were addressed.</w:t>
      </w:r>
    </w:p>
    <w:p w14:paraId="085FA730" w14:textId="19FDDD81" w:rsidR="001452C5" w:rsidRPr="00D86314" w:rsidRDefault="00420973" w:rsidP="00703057">
      <w:pPr>
        <w:rPr>
          <w:noProof/>
          <w:sz w:val="22"/>
          <w:szCs w:val="22"/>
        </w:rPr>
      </w:pPr>
      <w:bookmarkStart w:id="120" w:name="_Ref214216065"/>
      <w:bookmarkEnd w:id="119"/>
      <w:r w:rsidRPr="00D86314">
        <w:rPr>
          <w:noProof/>
          <w:sz w:val="22"/>
          <w:szCs w:val="22"/>
        </w:rPr>
        <w:t>Table A4 1</w:t>
      </w:r>
      <w:r w:rsidRPr="00D86314">
        <w:rPr>
          <w:noProof/>
          <w:sz w:val="22"/>
          <w:szCs w:val="22"/>
        </w:rPr>
        <w:noBreakHyphen/>
      </w:r>
      <w:r w:rsidR="0001754D" w:rsidRPr="00D86314">
        <w:rPr>
          <w:noProof/>
          <w:sz w:val="22"/>
          <w:szCs w:val="22"/>
        </w:rPr>
        <w:t>15</w:t>
      </w:r>
      <w:bookmarkEnd w:id="120"/>
      <w:r w:rsidR="001452C5" w:rsidRPr="00D86314">
        <w:rPr>
          <w:noProof/>
          <w:sz w:val="22"/>
          <w:szCs w:val="22"/>
        </w:rPr>
        <w:t>:Emissions summary for fixed broadband network 2025-2035</w:t>
      </w:r>
    </w:p>
    <w:tbl>
      <w:tblPr>
        <w:tblStyle w:val="TableGridLight"/>
        <w:tblW w:w="6981" w:type="dxa"/>
        <w:tblLayout w:type="fixed"/>
        <w:tblCellMar>
          <w:top w:w="28" w:type="dxa"/>
          <w:left w:w="85" w:type="dxa"/>
          <w:bottom w:w="28" w:type="dxa"/>
          <w:right w:w="85" w:type="dxa"/>
        </w:tblCellMar>
        <w:tblLook w:val="04A0" w:firstRow="1" w:lastRow="0" w:firstColumn="1" w:lastColumn="0" w:noHBand="0" w:noVBand="1"/>
      </w:tblPr>
      <w:tblGrid>
        <w:gridCol w:w="1413"/>
        <w:gridCol w:w="1113"/>
        <w:gridCol w:w="1114"/>
        <w:gridCol w:w="1113"/>
        <w:gridCol w:w="1114"/>
        <w:gridCol w:w="1114"/>
      </w:tblGrid>
      <w:tr w:rsidR="001452C5" w:rsidRPr="00D86314" w14:paraId="5F0887DC" w14:textId="77777777">
        <w:trPr>
          <w:trHeight w:val="227"/>
        </w:trPr>
        <w:tc>
          <w:tcPr>
            <w:tcW w:w="1413" w:type="dxa"/>
            <w:shd w:val="clear" w:color="auto" w:fill="0C4DA2"/>
          </w:tcPr>
          <w:p w14:paraId="589D9887" w14:textId="77777777" w:rsidR="001452C5" w:rsidRPr="00D86314" w:rsidRDefault="001452C5">
            <w:pPr>
              <w:keepNext/>
              <w:spacing w:after="0"/>
              <w:jc w:val="left"/>
              <w:rPr>
                <w:rFonts w:asciiTheme="minorHAnsi" w:hAnsiTheme="minorHAnsi" w:cstheme="minorHAnsi"/>
                <w:noProof/>
                <w:color w:val="FFFFFF" w:themeColor="background1"/>
                <w:sz w:val="18"/>
                <w:szCs w:val="18"/>
              </w:rPr>
            </w:pPr>
          </w:p>
        </w:tc>
        <w:tc>
          <w:tcPr>
            <w:tcW w:w="1113" w:type="dxa"/>
            <w:shd w:val="clear" w:color="auto" w:fill="0C4DA2"/>
          </w:tcPr>
          <w:p w14:paraId="30F166CF"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0</w:t>
            </w:r>
          </w:p>
        </w:tc>
        <w:tc>
          <w:tcPr>
            <w:tcW w:w="1114" w:type="dxa"/>
            <w:shd w:val="clear" w:color="auto" w:fill="0C4DA2"/>
          </w:tcPr>
          <w:p w14:paraId="3801DF07"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1</w:t>
            </w:r>
          </w:p>
        </w:tc>
        <w:tc>
          <w:tcPr>
            <w:tcW w:w="1113" w:type="dxa"/>
            <w:shd w:val="clear" w:color="auto" w:fill="0C4DA2"/>
          </w:tcPr>
          <w:p w14:paraId="3AD5E27D"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2</w:t>
            </w:r>
          </w:p>
        </w:tc>
        <w:tc>
          <w:tcPr>
            <w:tcW w:w="1114" w:type="dxa"/>
            <w:shd w:val="clear" w:color="auto" w:fill="0C4DA2"/>
          </w:tcPr>
          <w:p w14:paraId="3A5EB22C"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3</w:t>
            </w:r>
          </w:p>
        </w:tc>
        <w:tc>
          <w:tcPr>
            <w:tcW w:w="1114" w:type="dxa"/>
            <w:shd w:val="clear" w:color="auto" w:fill="0C4DA2"/>
          </w:tcPr>
          <w:p w14:paraId="5DE616E0"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4</w:t>
            </w:r>
          </w:p>
        </w:tc>
      </w:tr>
      <w:tr w:rsidR="001452C5" w:rsidRPr="00D86314" w14:paraId="14A40D78" w14:textId="77777777">
        <w:trPr>
          <w:trHeight w:val="227"/>
        </w:trPr>
        <w:tc>
          <w:tcPr>
            <w:tcW w:w="1413" w:type="dxa"/>
          </w:tcPr>
          <w:p w14:paraId="6550DFC2" w14:textId="77777777" w:rsidR="001452C5" w:rsidRPr="00D86314" w:rsidRDefault="001452C5">
            <w:pPr>
              <w:keepNext/>
              <w:spacing w:after="0"/>
              <w:jc w:val="left"/>
              <w:rPr>
                <w:rFonts w:asciiTheme="minorHAnsi" w:hAnsiTheme="minorHAnsi" w:cstheme="minorHAnsi"/>
                <w:noProof/>
                <w:sz w:val="18"/>
                <w:szCs w:val="18"/>
              </w:rPr>
            </w:pPr>
            <w:r w:rsidRPr="00D86314">
              <w:rPr>
                <w:rFonts w:asciiTheme="minorHAnsi" w:hAnsiTheme="minorHAnsi" w:cstheme="minorHAnsi"/>
                <w:noProof/>
                <w:sz w:val="18"/>
                <w:szCs w:val="18"/>
              </w:rPr>
              <w:t>Aggregate t CO</w:t>
            </w:r>
            <w:r w:rsidRPr="00D86314">
              <w:rPr>
                <w:rFonts w:asciiTheme="minorHAnsi" w:hAnsiTheme="minorHAnsi" w:cstheme="minorHAnsi"/>
                <w:noProof/>
                <w:sz w:val="18"/>
                <w:szCs w:val="18"/>
                <w:vertAlign w:val="subscript"/>
              </w:rPr>
              <w:t>2</w:t>
            </w:r>
            <w:r w:rsidRPr="00D86314">
              <w:rPr>
                <w:rFonts w:asciiTheme="minorHAnsi" w:hAnsiTheme="minorHAnsi" w:cstheme="minorHAnsi"/>
                <w:noProof/>
                <w:sz w:val="18"/>
                <w:szCs w:val="18"/>
              </w:rPr>
              <w:t>e</w:t>
            </w:r>
          </w:p>
        </w:tc>
        <w:tc>
          <w:tcPr>
            <w:tcW w:w="1113" w:type="dxa"/>
            <w:vAlign w:val="center"/>
          </w:tcPr>
          <w:p w14:paraId="6AA4F156"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Ca. 13.7 m</w:t>
            </w:r>
          </w:p>
        </w:tc>
        <w:tc>
          <w:tcPr>
            <w:tcW w:w="1114" w:type="dxa"/>
            <w:vAlign w:val="center"/>
          </w:tcPr>
          <w:p w14:paraId="54CB649B"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Ca. 13.6 m</w:t>
            </w:r>
          </w:p>
        </w:tc>
        <w:tc>
          <w:tcPr>
            <w:tcW w:w="1113" w:type="dxa"/>
            <w:vAlign w:val="center"/>
          </w:tcPr>
          <w:p w14:paraId="19DF6B86" w14:textId="77777777" w:rsidR="001452C5" w:rsidRPr="00D86314" w:rsidRDefault="001452C5">
            <w:pPr>
              <w:keepNext/>
              <w:spacing w:after="0"/>
              <w:jc w:val="center"/>
              <w:rPr>
                <w:rFonts w:cs="Arial"/>
                <w:noProof/>
                <w:color w:val="000000"/>
                <w:sz w:val="18"/>
                <w:szCs w:val="18"/>
              </w:rPr>
            </w:pPr>
            <w:r w:rsidRPr="00D86314">
              <w:rPr>
                <w:rFonts w:cs="Arial"/>
                <w:noProof/>
                <w:color w:val="000000"/>
                <w:sz w:val="18"/>
                <w:szCs w:val="18"/>
              </w:rPr>
              <w:t>Ca 13.1 m</w:t>
            </w:r>
          </w:p>
        </w:tc>
        <w:tc>
          <w:tcPr>
            <w:tcW w:w="1114" w:type="dxa"/>
            <w:vAlign w:val="center"/>
          </w:tcPr>
          <w:p w14:paraId="2B2CA5A9"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13.7 m</w:t>
            </w:r>
          </w:p>
        </w:tc>
        <w:tc>
          <w:tcPr>
            <w:tcW w:w="1114" w:type="dxa"/>
            <w:vAlign w:val="center"/>
          </w:tcPr>
          <w:p w14:paraId="6ADBFDCA"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12.6 m</w:t>
            </w:r>
          </w:p>
        </w:tc>
      </w:tr>
      <w:tr w:rsidR="001452C5" w:rsidRPr="00D86314" w14:paraId="68CC79DA" w14:textId="77777777">
        <w:trPr>
          <w:trHeight w:val="227"/>
        </w:trPr>
        <w:tc>
          <w:tcPr>
            <w:tcW w:w="1413" w:type="dxa"/>
          </w:tcPr>
          <w:p w14:paraId="74A57B66" w14:textId="77777777" w:rsidR="001452C5" w:rsidRPr="00D86314" w:rsidRDefault="001452C5">
            <w:pPr>
              <w:keepNext/>
              <w:spacing w:after="0"/>
              <w:jc w:val="left"/>
              <w:rPr>
                <w:rFonts w:asciiTheme="minorHAnsi" w:hAnsiTheme="minorHAnsi" w:cstheme="minorHAnsi"/>
                <w:noProof/>
                <w:sz w:val="18"/>
                <w:szCs w:val="18"/>
              </w:rPr>
            </w:pPr>
            <w:r w:rsidRPr="00D86314">
              <w:rPr>
                <w:rFonts w:asciiTheme="minorHAnsi" w:hAnsiTheme="minorHAnsi" w:cstheme="minorHAnsi"/>
                <w:noProof/>
                <w:sz w:val="18"/>
                <w:szCs w:val="18"/>
              </w:rPr>
              <w:t>Difference</w:t>
            </w:r>
          </w:p>
        </w:tc>
        <w:tc>
          <w:tcPr>
            <w:tcW w:w="1113" w:type="dxa"/>
            <w:vAlign w:val="center"/>
          </w:tcPr>
          <w:p w14:paraId="0B7BEAD9" w14:textId="77777777" w:rsidR="001452C5" w:rsidRPr="00D86314" w:rsidRDefault="001452C5">
            <w:pPr>
              <w:keepNext/>
              <w:spacing w:after="0"/>
              <w:jc w:val="center"/>
              <w:rPr>
                <w:rFonts w:cs="Arial"/>
                <w:noProof/>
                <w:sz w:val="18"/>
                <w:szCs w:val="18"/>
              </w:rPr>
            </w:pPr>
          </w:p>
        </w:tc>
        <w:tc>
          <w:tcPr>
            <w:tcW w:w="1114" w:type="dxa"/>
            <w:vAlign w:val="center"/>
          </w:tcPr>
          <w:p w14:paraId="2BED44CD"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Ca -0.15 m</w:t>
            </w:r>
          </w:p>
        </w:tc>
        <w:tc>
          <w:tcPr>
            <w:tcW w:w="1113" w:type="dxa"/>
            <w:vAlign w:val="center"/>
          </w:tcPr>
          <w:p w14:paraId="48752844" w14:textId="77777777" w:rsidR="001452C5" w:rsidRPr="00D86314" w:rsidRDefault="001452C5">
            <w:pPr>
              <w:keepNext/>
              <w:spacing w:after="0"/>
              <w:jc w:val="center"/>
              <w:rPr>
                <w:rFonts w:cs="Arial"/>
                <w:noProof/>
                <w:color w:val="000000"/>
                <w:sz w:val="18"/>
                <w:szCs w:val="18"/>
              </w:rPr>
            </w:pPr>
            <w:r w:rsidRPr="00D86314">
              <w:rPr>
                <w:rFonts w:cs="Arial"/>
                <w:noProof/>
                <w:color w:val="000000"/>
                <w:sz w:val="18"/>
                <w:szCs w:val="18"/>
              </w:rPr>
              <w:t>Ca -0.6 m</w:t>
            </w:r>
          </w:p>
        </w:tc>
        <w:tc>
          <w:tcPr>
            <w:tcW w:w="1114" w:type="dxa"/>
            <w:vAlign w:val="center"/>
          </w:tcPr>
          <w:p w14:paraId="51969098"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Ca -0.04</w:t>
            </w:r>
          </w:p>
        </w:tc>
        <w:tc>
          <w:tcPr>
            <w:tcW w:w="1114" w:type="dxa"/>
            <w:vAlign w:val="center"/>
          </w:tcPr>
          <w:p w14:paraId="1835F388"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Ca -1.1 m</w:t>
            </w:r>
          </w:p>
        </w:tc>
      </w:tr>
      <w:tr w:rsidR="001452C5" w:rsidRPr="00D86314" w14:paraId="6E8CA642" w14:textId="77777777">
        <w:trPr>
          <w:trHeight w:val="227"/>
        </w:trPr>
        <w:tc>
          <w:tcPr>
            <w:tcW w:w="1413" w:type="dxa"/>
          </w:tcPr>
          <w:p w14:paraId="076B8B0C" w14:textId="77777777" w:rsidR="001452C5" w:rsidRPr="00D86314" w:rsidRDefault="001452C5">
            <w:pPr>
              <w:keepNext/>
              <w:spacing w:after="0"/>
              <w:jc w:val="left"/>
              <w:rPr>
                <w:rFonts w:asciiTheme="minorHAnsi" w:hAnsiTheme="minorHAnsi" w:cstheme="minorHAnsi"/>
                <w:noProof/>
                <w:sz w:val="18"/>
                <w:szCs w:val="18"/>
              </w:rPr>
            </w:pPr>
            <w:r w:rsidRPr="00D86314">
              <w:rPr>
                <w:rFonts w:asciiTheme="minorHAnsi" w:hAnsiTheme="minorHAnsi" w:cstheme="minorHAnsi"/>
                <w:noProof/>
                <w:sz w:val="18"/>
                <w:szCs w:val="18"/>
              </w:rPr>
              <w:t>Relative difference to status quo</w:t>
            </w:r>
          </w:p>
        </w:tc>
        <w:tc>
          <w:tcPr>
            <w:tcW w:w="1113" w:type="dxa"/>
            <w:vAlign w:val="center"/>
          </w:tcPr>
          <w:p w14:paraId="43C1FF96" w14:textId="77777777" w:rsidR="001452C5" w:rsidRPr="00D86314" w:rsidRDefault="001452C5">
            <w:pPr>
              <w:keepNext/>
              <w:spacing w:after="0"/>
              <w:jc w:val="center"/>
              <w:rPr>
                <w:rFonts w:cs="Arial"/>
                <w:noProof/>
                <w:sz w:val="18"/>
                <w:szCs w:val="18"/>
              </w:rPr>
            </w:pPr>
          </w:p>
        </w:tc>
        <w:tc>
          <w:tcPr>
            <w:tcW w:w="1114" w:type="dxa"/>
            <w:vAlign w:val="center"/>
          </w:tcPr>
          <w:p w14:paraId="0476E820"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-1.07%</w:t>
            </w:r>
          </w:p>
        </w:tc>
        <w:tc>
          <w:tcPr>
            <w:tcW w:w="1113" w:type="dxa"/>
            <w:vAlign w:val="center"/>
          </w:tcPr>
          <w:p w14:paraId="60B3C3CD" w14:textId="77777777" w:rsidR="001452C5" w:rsidRPr="00D86314" w:rsidRDefault="001452C5">
            <w:pPr>
              <w:keepNext/>
              <w:spacing w:after="0"/>
              <w:jc w:val="center"/>
              <w:rPr>
                <w:rFonts w:cs="Arial"/>
                <w:noProof/>
                <w:color w:val="000000"/>
                <w:sz w:val="18"/>
                <w:szCs w:val="18"/>
              </w:rPr>
            </w:pPr>
            <w:r w:rsidRPr="00D86314">
              <w:rPr>
                <w:rFonts w:cs="Arial"/>
                <w:noProof/>
                <w:color w:val="000000"/>
                <w:sz w:val="18"/>
                <w:szCs w:val="18"/>
              </w:rPr>
              <w:t>-4.5%</w:t>
            </w:r>
          </w:p>
        </w:tc>
        <w:tc>
          <w:tcPr>
            <w:tcW w:w="1114" w:type="dxa"/>
            <w:vAlign w:val="center"/>
          </w:tcPr>
          <w:p w14:paraId="6B6B87CE"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-0.33%</w:t>
            </w:r>
          </w:p>
        </w:tc>
        <w:tc>
          <w:tcPr>
            <w:tcW w:w="1114" w:type="dxa"/>
            <w:vAlign w:val="center"/>
          </w:tcPr>
          <w:p w14:paraId="1745DF1A"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-8%</w:t>
            </w:r>
          </w:p>
        </w:tc>
      </w:tr>
    </w:tbl>
    <w:p w14:paraId="24D32C90" w14:textId="77777777" w:rsidR="001452C5" w:rsidRPr="00D86314" w:rsidRDefault="001452C5" w:rsidP="001452C5">
      <w:pPr>
        <w:spacing w:before="120" w:after="360"/>
        <w:rPr>
          <w:noProof/>
          <w:sz w:val="18"/>
          <w:szCs w:val="18"/>
        </w:rPr>
      </w:pPr>
      <w:r w:rsidRPr="00D86314">
        <w:rPr>
          <w:noProof/>
          <w:sz w:val="18"/>
          <w:szCs w:val="18"/>
        </w:rPr>
        <w:t>Source: WIK.</w:t>
      </w:r>
    </w:p>
    <w:p w14:paraId="54614A15" w14:textId="7BA6B5D4" w:rsidR="001452C5" w:rsidRPr="00D86314" w:rsidRDefault="001452C5" w:rsidP="001452C5">
      <w:pPr>
        <w:pStyle w:val="Abbberschrift"/>
        <w:rPr>
          <w:rFonts w:ascii="Times New Roman" w:hAnsi="Times New Roman"/>
          <w:i/>
          <w:noProof/>
        </w:rPr>
      </w:pPr>
      <w:r w:rsidRPr="00D86314">
        <w:rPr>
          <w:rFonts w:ascii="Times New Roman" w:hAnsi="Times New Roman"/>
          <w:i/>
          <w:noProof/>
        </w:rPr>
        <w:t xml:space="preserve">Figure </w:t>
      </w:r>
      <w:r w:rsidR="00420973" w:rsidRPr="00D86314">
        <w:rPr>
          <w:rFonts w:ascii="Times New Roman" w:hAnsi="Times New Roman"/>
          <w:i/>
          <w:noProof/>
        </w:rPr>
        <w:t>A4 1</w:t>
      </w:r>
      <w:r w:rsidR="005B5146">
        <w:rPr>
          <w:rFonts w:ascii="Times New Roman" w:hAnsi="Times New Roman"/>
          <w:i/>
          <w:noProof/>
        </w:rPr>
        <w:fldChar w:fldCharType="begin"/>
      </w:r>
      <w:r w:rsidR="005B5146">
        <w:rPr>
          <w:rFonts w:ascii="Times New Roman" w:hAnsi="Times New Roman"/>
          <w:i/>
          <w:noProof/>
        </w:rPr>
        <w:instrText xml:space="preserve"> SEQ Figure \* ARABIC \s 1 </w:instrText>
      </w:r>
      <w:r w:rsidR="005B5146">
        <w:rPr>
          <w:rFonts w:ascii="Times New Roman" w:hAnsi="Times New Roman"/>
          <w:i/>
          <w:noProof/>
        </w:rPr>
        <w:fldChar w:fldCharType="separate"/>
      </w:r>
      <w:r w:rsidR="005B5146">
        <w:rPr>
          <w:rFonts w:ascii="Times New Roman" w:hAnsi="Times New Roman"/>
          <w:i/>
          <w:noProof/>
        </w:rPr>
        <w:t>2</w:t>
      </w:r>
      <w:r w:rsidR="005B5146">
        <w:rPr>
          <w:rFonts w:ascii="Times New Roman" w:hAnsi="Times New Roman"/>
          <w:i/>
          <w:noProof/>
        </w:rPr>
        <w:fldChar w:fldCharType="end"/>
      </w:r>
      <w:r w:rsidR="00596077">
        <w:rPr>
          <w:rFonts w:ascii="Times New Roman" w:hAnsi="Times New Roman"/>
          <w:i/>
          <w:noProof/>
        </w:rPr>
        <w:t>6</w:t>
      </w:r>
      <w:r w:rsidRPr="00D86314">
        <w:rPr>
          <w:rFonts w:ascii="Times New Roman" w:hAnsi="Times New Roman"/>
          <w:i/>
          <w:noProof/>
        </w:rPr>
        <w:t>:Emissions (in t CO2e) by option (projections to 2035)</w:t>
      </w:r>
    </w:p>
    <w:p w14:paraId="3363E331" w14:textId="77777777" w:rsidR="001452C5" w:rsidRPr="00D86314" w:rsidRDefault="001452C5" w:rsidP="001452C5">
      <w:pPr>
        <w:rPr>
          <w:noProof/>
        </w:rPr>
      </w:pPr>
      <w:r w:rsidRPr="00E46BC9">
        <w:rPr>
          <w:noProof/>
          <w:lang w:eastAsia="en-GB"/>
        </w:rPr>
        <w:drawing>
          <wp:inline distT="0" distB="0" distL="0" distR="0" wp14:anchorId="62EF6540" wp14:editId="1DACF0EE">
            <wp:extent cx="5604891" cy="2614425"/>
            <wp:effectExtent l="0" t="0" r="0" b="0"/>
            <wp:docPr id="2145779695" name="Grafik 4"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79695" name="Grafik 4" descr="A graph with different colored lines&#10;&#10;AI-generated content may be incorrec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626218" cy="2624373"/>
                    </a:xfrm>
                    <a:prstGeom prst="rect">
                      <a:avLst/>
                    </a:prstGeom>
                    <a:noFill/>
                  </pic:spPr>
                </pic:pic>
              </a:graphicData>
            </a:graphic>
          </wp:inline>
        </w:drawing>
      </w:r>
    </w:p>
    <w:p w14:paraId="1A0FA74B" w14:textId="77777777" w:rsidR="001452C5" w:rsidRPr="00D86314" w:rsidRDefault="001452C5" w:rsidP="001452C5">
      <w:pPr>
        <w:pStyle w:val="Quelle"/>
        <w:rPr>
          <w:rFonts w:ascii="Times New Roman" w:hAnsi="Times New Roman"/>
          <w:noProof/>
        </w:rPr>
      </w:pPr>
      <w:r w:rsidRPr="00D86314">
        <w:rPr>
          <w:rFonts w:ascii="Times New Roman" w:hAnsi="Times New Roman"/>
          <w:noProof/>
        </w:rPr>
        <w:t>Source: WIK-Consult</w:t>
      </w:r>
    </w:p>
    <w:p w14:paraId="6591AF93" w14:textId="518C8193" w:rsidR="001452C5" w:rsidRPr="00D86314" w:rsidRDefault="00420973" w:rsidP="00013048">
      <w:pPr>
        <w:rPr>
          <w:noProof/>
          <w:sz w:val="22"/>
          <w:szCs w:val="22"/>
        </w:rPr>
      </w:pPr>
      <w:r w:rsidRPr="00D86314">
        <w:rPr>
          <w:noProof/>
          <w:sz w:val="22"/>
          <w:szCs w:val="22"/>
        </w:rPr>
        <w:t>Table A4 1</w:t>
      </w:r>
      <w:r w:rsidRPr="00D86314">
        <w:rPr>
          <w:noProof/>
          <w:sz w:val="22"/>
          <w:szCs w:val="22"/>
        </w:rPr>
        <w:noBreakHyphen/>
      </w:r>
      <w:r w:rsidR="0001754D" w:rsidRPr="00D86314">
        <w:rPr>
          <w:noProof/>
          <w:sz w:val="22"/>
          <w:szCs w:val="22"/>
        </w:rPr>
        <w:t>16</w:t>
      </w:r>
      <w:r w:rsidR="001452C5" w:rsidRPr="00D86314">
        <w:rPr>
          <w:noProof/>
          <w:sz w:val="22"/>
          <w:szCs w:val="22"/>
        </w:rPr>
        <w:t>:Electricity intensity summary for fixed broadband network 2025-2035</w:t>
      </w:r>
    </w:p>
    <w:tbl>
      <w:tblPr>
        <w:tblStyle w:val="TableGridLight"/>
        <w:tblW w:w="6981" w:type="dxa"/>
        <w:tblLayout w:type="fixed"/>
        <w:tblCellMar>
          <w:top w:w="28" w:type="dxa"/>
          <w:left w:w="85" w:type="dxa"/>
          <w:bottom w:w="28" w:type="dxa"/>
          <w:right w:w="85" w:type="dxa"/>
        </w:tblCellMar>
        <w:tblLook w:val="04A0" w:firstRow="1" w:lastRow="0" w:firstColumn="1" w:lastColumn="0" w:noHBand="0" w:noVBand="1"/>
      </w:tblPr>
      <w:tblGrid>
        <w:gridCol w:w="1413"/>
        <w:gridCol w:w="1113"/>
        <w:gridCol w:w="1114"/>
        <w:gridCol w:w="1113"/>
        <w:gridCol w:w="1114"/>
        <w:gridCol w:w="1114"/>
      </w:tblGrid>
      <w:tr w:rsidR="001452C5" w:rsidRPr="00D86314" w14:paraId="521C8380" w14:textId="77777777">
        <w:trPr>
          <w:trHeight w:val="227"/>
        </w:trPr>
        <w:tc>
          <w:tcPr>
            <w:tcW w:w="1413" w:type="dxa"/>
            <w:shd w:val="clear" w:color="auto" w:fill="0C4DA2"/>
          </w:tcPr>
          <w:p w14:paraId="2109979C" w14:textId="77777777" w:rsidR="001452C5" w:rsidRPr="00D86314" w:rsidRDefault="001452C5">
            <w:pPr>
              <w:keepNext/>
              <w:spacing w:after="0"/>
              <w:jc w:val="left"/>
              <w:rPr>
                <w:rFonts w:asciiTheme="minorHAnsi" w:hAnsiTheme="minorHAnsi" w:cstheme="minorHAnsi"/>
                <w:noProof/>
                <w:color w:val="FFFFFF" w:themeColor="background1"/>
                <w:sz w:val="18"/>
                <w:szCs w:val="18"/>
              </w:rPr>
            </w:pPr>
          </w:p>
        </w:tc>
        <w:tc>
          <w:tcPr>
            <w:tcW w:w="1113" w:type="dxa"/>
            <w:shd w:val="clear" w:color="auto" w:fill="0C4DA2"/>
          </w:tcPr>
          <w:p w14:paraId="080A0328"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0</w:t>
            </w:r>
          </w:p>
        </w:tc>
        <w:tc>
          <w:tcPr>
            <w:tcW w:w="1114" w:type="dxa"/>
            <w:shd w:val="clear" w:color="auto" w:fill="0C4DA2"/>
          </w:tcPr>
          <w:p w14:paraId="0327D3F3"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1</w:t>
            </w:r>
          </w:p>
        </w:tc>
        <w:tc>
          <w:tcPr>
            <w:tcW w:w="1113" w:type="dxa"/>
            <w:shd w:val="clear" w:color="auto" w:fill="0C4DA2"/>
          </w:tcPr>
          <w:p w14:paraId="29FAD085"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2</w:t>
            </w:r>
          </w:p>
        </w:tc>
        <w:tc>
          <w:tcPr>
            <w:tcW w:w="1114" w:type="dxa"/>
            <w:shd w:val="clear" w:color="auto" w:fill="0C4DA2"/>
          </w:tcPr>
          <w:p w14:paraId="161E3D7C"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3</w:t>
            </w:r>
          </w:p>
        </w:tc>
        <w:tc>
          <w:tcPr>
            <w:tcW w:w="1114" w:type="dxa"/>
            <w:shd w:val="clear" w:color="auto" w:fill="0C4DA2"/>
          </w:tcPr>
          <w:p w14:paraId="21298D40" w14:textId="77777777" w:rsidR="001452C5" w:rsidRPr="00D86314" w:rsidRDefault="001452C5">
            <w:pPr>
              <w:keepNext/>
              <w:spacing w:after="0"/>
              <w:jc w:val="left"/>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4</w:t>
            </w:r>
          </w:p>
        </w:tc>
      </w:tr>
      <w:tr w:rsidR="001452C5" w:rsidRPr="00D86314" w14:paraId="1A5114FE" w14:textId="77777777">
        <w:trPr>
          <w:trHeight w:val="227"/>
        </w:trPr>
        <w:tc>
          <w:tcPr>
            <w:tcW w:w="1413" w:type="dxa"/>
          </w:tcPr>
          <w:p w14:paraId="2AEDA8A2" w14:textId="77777777" w:rsidR="001452C5" w:rsidRPr="00D86314" w:rsidRDefault="001452C5">
            <w:pPr>
              <w:keepNext/>
              <w:spacing w:after="0"/>
              <w:jc w:val="left"/>
              <w:rPr>
                <w:rFonts w:asciiTheme="minorHAnsi" w:hAnsiTheme="minorHAnsi" w:cstheme="minorHAnsi"/>
                <w:noProof/>
                <w:sz w:val="18"/>
                <w:szCs w:val="18"/>
              </w:rPr>
            </w:pPr>
            <w:r w:rsidRPr="00D86314">
              <w:rPr>
                <w:rFonts w:asciiTheme="minorHAnsi" w:hAnsiTheme="minorHAnsi" w:cstheme="minorHAnsi"/>
                <w:noProof/>
                <w:sz w:val="18"/>
                <w:szCs w:val="18"/>
              </w:rPr>
              <w:t>kWh/GB in 2035</w:t>
            </w:r>
          </w:p>
        </w:tc>
        <w:tc>
          <w:tcPr>
            <w:tcW w:w="1113" w:type="dxa"/>
            <w:vAlign w:val="center"/>
          </w:tcPr>
          <w:p w14:paraId="7A6B0E3D" w14:textId="77777777" w:rsidR="001452C5" w:rsidRPr="00D86314" w:rsidRDefault="001452C5">
            <w:pPr>
              <w:keepNext/>
              <w:spacing w:after="0"/>
              <w:jc w:val="center"/>
              <w:rPr>
                <w:rFonts w:cs="Arial"/>
                <w:noProof/>
                <w:sz w:val="18"/>
                <w:szCs w:val="18"/>
              </w:rPr>
            </w:pPr>
            <w:r w:rsidRPr="00D86314">
              <w:rPr>
                <w:rFonts w:cs="Arial"/>
                <w:noProof/>
                <w:sz w:val="18"/>
                <w:szCs w:val="18"/>
              </w:rPr>
              <w:t>0.048</w:t>
            </w:r>
          </w:p>
        </w:tc>
        <w:tc>
          <w:tcPr>
            <w:tcW w:w="1114" w:type="dxa"/>
            <w:vAlign w:val="center"/>
          </w:tcPr>
          <w:p w14:paraId="780E2D9F"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0.05</w:t>
            </w:r>
          </w:p>
        </w:tc>
        <w:tc>
          <w:tcPr>
            <w:tcW w:w="1113" w:type="dxa"/>
            <w:vAlign w:val="center"/>
          </w:tcPr>
          <w:p w14:paraId="52F92984" w14:textId="77777777" w:rsidR="001452C5" w:rsidRPr="00D86314" w:rsidRDefault="001452C5">
            <w:pPr>
              <w:keepNext/>
              <w:spacing w:after="0"/>
              <w:jc w:val="center"/>
              <w:rPr>
                <w:rFonts w:cs="Arial"/>
                <w:noProof/>
                <w:color w:val="000000"/>
                <w:sz w:val="18"/>
                <w:szCs w:val="18"/>
              </w:rPr>
            </w:pPr>
            <w:r w:rsidRPr="00D86314">
              <w:rPr>
                <w:rFonts w:cs="Arial"/>
                <w:noProof/>
                <w:color w:val="000000"/>
                <w:sz w:val="18"/>
                <w:szCs w:val="18"/>
              </w:rPr>
              <w:t>0.037</w:t>
            </w:r>
          </w:p>
        </w:tc>
        <w:tc>
          <w:tcPr>
            <w:tcW w:w="1114" w:type="dxa"/>
            <w:vAlign w:val="center"/>
          </w:tcPr>
          <w:p w14:paraId="3BBA976D" w14:textId="77777777" w:rsidR="001452C5" w:rsidRPr="00D86314" w:rsidRDefault="001452C5">
            <w:pPr>
              <w:keepNext/>
              <w:spacing w:after="0"/>
              <w:jc w:val="center"/>
              <w:rPr>
                <w:rFonts w:cs="Arial"/>
                <w:noProof/>
                <w:sz w:val="18"/>
                <w:szCs w:val="18"/>
              </w:rPr>
            </w:pPr>
            <w:r w:rsidRPr="00D86314">
              <w:rPr>
                <w:rFonts w:cs="Arial"/>
                <w:noProof/>
                <w:sz w:val="18"/>
                <w:szCs w:val="18"/>
              </w:rPr>
              <w:t>0.052</w:t>
            </w:r>
          </w:p>
        </w:tc>
        <w:tc>
          <w:tcPr>
            <w:tcW w:w="1114" w:type="dxa"/>
            <w:vAlign w:val="center"/>
          </w:tcPr>
          <w:p w14:paraId="00500EB6" w14:textId="77777777" w:rsidR="001452C5" w:rsidRPr="00D86314" w:rsidRDefault="001452C5">
            <w:pPr>
              <w:keepNext/>
              <w:spacing w:after="0"/>
              <w:jc w:val="center"/>
              <w:rPr>
                <w:rFonts w:cs="Arial"/>
                <w:noProof/>
                <w:sz w:val="18"/>
                <w:szCs w:val="18"/>
              </w:rPr>
            </w:pPr>
            <w:r w:rsidRPr="00D86314">
              <w:rPr>
                <w:rFonts w:cs="Arial"/>
                <w:noProof/>
                <w:sz w:val="18"/>
                <w:szCs w:val="18"/>
              </w:rPr>
              <w:t>0.04</w:t>
            </w:r>
          </w:p>
        </w:tc>
      </w:tr>
      <w:tr w:rsidR="001452C5" w:rsidRPr="00D86314" w14:paraId="065C22B2" w14:textId="77777777">
        <w:trPr>
          <w:trHeight w:val="227"/>
        </w:trPr>
        <w:tc>
          <w:tcPr>
            <w:tcW w:w="1413" w:type="dxa"/>
          </w:tcPr>
          <w:p w14:paraId="339F0295" w14:textId="77777777" w:rsidR="001452C5" w:rsidRPr="00D86314" w:rsidRDefault="001452C5">
            <w:pPr>
              <w:keepNext/>
              <w:spacing w:after="0"/>
              <w:jc w:val="left"/>
              <w:rPr>
                <w:rFonts w:asciiTheme="minorHAnsi" w:hAnsiTheme="minorHAnsi" w:cstheme="minorHAnsi"/>
                <w:noProof/>
                <w:sz w:val="18"/>
                <w:szCs w:val="18"/>
              </w:rPr>
            </w:pPr>
            <w:r w:rsidRPr="00D86314">
              <w:rPr>
                <w:rFonts w:asciiTheme="minorHAnsi" w:hAnsiTheme="minorHAnsi" w:cstheme="minorHAnsi"/>
                <w:noProof/>
                <w:sz w:val="18"/>
                <w:szCs w:val="18"/>
              </w:rPr>
              <w:t>Difference to 2025 in %</w:t>
            </w:r>
          </w:p>
        </w:tc>
        <w:tc>
          <w:tcPr>
            <w:tcW w:w="1113" w:type="dxa"/>
            <w:vAlign w:val="center"/>
          </w:tcPr>
          <w:p w14:paraId="7632D9B6" w14:textId="77777777" w:rsidR="001452C5" w:rsidRPr="00D86314" w:rsidRDefault="001452C5">
            <w:pPr>
              <w:keepNext/>
              <w:spacing w:after="0"/>
              <w:jc w:val="center"/>
              <w:rPr>
                <w:rFonts w:cs="Arial"/>
                <w:noProof/>
                <w:sz w:val="18"/>
                <w:szCs w:val="18"/>
              </w:rPr>
            </w:pPr>
            <w:r w:rsidRPr="00D86314">
              <w:rPr>
                <w:rFonts w:cs="Arial"/>
                <w:noProof/>
                <w:sz w:val="18"/>
                <w:szCs w:val="18"/>
              </w:rPr>
              <w:t>73%</w:t>
            </w:r>
          </w:p>
        </w:tc>
        <w:tc>
          <w:tcPr>
            <w:tcW w:w="1114" w:type="dxa"/>
            <w:vAlign w:val="center"/>
          </w:tcPr>
          <w:p w14:paraId="17D70764" w14:textId="77777777" w:rsidR="001452C5" w:rsidRPr="00D86314" w:rsidRDefault="001452C5">
            <w:pPr>
              <w:keepNext/>
              <w:spacing w:after="0"/>
              <w:jc w:val="center"/>
              <w:rPr>
                <w:rFonts w:cs="Arial"/>
                <w:noProof/>
                <w:sz w:val="18"/>
                <w:szCs w:val="18"/>
              </w:rPr>
            </w:pPr>
            <w:r w:rsidRPr="00D86314">
              <w:rPr>
                <w:rFonts w:cs="Arial"/>
                <w:noProof/>
                <w:sz w:val="18"/>
                <w:szCs w:val="18"/>
              </w:rPr>
              <w:t>73%</w:t>
            </w:r>
          </w:p>
        </w:tc>
        <w:tc>
          <w:tcPr>
            <w:tcW w:w="1113" w:type="dxa"/>
            <w:vAlign w:val="center"/>
          </w:tcPr>
          <w:p w14:paraId="2F434CF0" w14:textId="77777777" w:rsidR="001452C5" w:rsidRPr="00D86314" w:rsidRDefault="001452C5">
            <w:pPr>
              <w:keepNext/>
              <w:spacing w:after="0"/>
              <w:jc w:val="center"/>
              <w:rPr>
                <w:rFonts w:cs="Arial"/>
                <w:noProof/>
                <w:color w:val="000000"/>
                <w:sz w:val="18"/>
                <w:szCs w:val="18"/>
              </w:rPr>
            </w:pPr>
            <w:r w:rsidRPr="00D86314">
              <w:rPr>
                <w:rFonts w:cs="Arial"/>
                <w:noProof/>
                <w:color w:val="000000"/>
                <w:sz w:val="18"/>
                <w:szCs w:val="18"/>
              </w:rPr>
              <w:t>79%</w:t>
            </w:r>
          </w:p>
        </w:tc>
        <w:tc>
          <w:tcPr>
            <w:tcW w:w="1114" w:type="dxa"/>
            <w:vAlign w:val="center"/>
          </w:tcPr>
          <w:p w14:paraId="43EB6336" w14:textId="77777777" w:rsidR="001452C5" w:rsidRPr="00D86314" w:rsidRDefault="001452C5">
            <w:pPr>
              <w:keepNext/>
              <w:spacing w:after="0"/>
              <w:jc w:val="center"/>
              <w:rPr>
                <w:rFonts w:cs="Arial"/>
                <w:noProof/>
                <w:sz w:val="18"/>
                <w:szCs w:val="18"/>
              </w:rPr>
            </w:pPr>
            <w:r w:rsidRPr="00D86314">
              <w:rPr>
                <w:rFonts w:cs="Arial"/>
                <w:noProof/>
                <w:sz w:val="18"/>
                <w:szCs w:val="18"/>
              </w:rPr>
              <w:t>71%</w:t>
            </w:r>
          </w:p>
        </w:tc>
        <w:tc>
          <w:tcPr>
            <w:tcW w:w="1114" w:type="dxa"/>
            <w:vAlign w:val="center"/>
          </w:tcPr>
          <w:p w14:paraId="3849E828" w14:textId="77777777" w:rsidR="001452C5" w:rsidRPr="00D86314" w:rsidRDefault="001452C5">
            <w:pPr>
              <w:keepNext/>
              <w:spacing w:after="0"/>
              <w:jc w:val="center"/>
              <w:rPr>
                <w:rFonts w:cs="Arial"/>
                <w:noProof/>
                <w:sz w:val="18"/>
                <w:szCs w:val="18"/>
              </w:rPr>
            </w:pPr>
            <w:r w:rsidRPr="00D86314">
              <w:rPr>
                <w:rFonts w:cs="Arial"/>
                <w:noProof/>
                <w:sz w:val="18"/>
                <w:szCs w:val="18"/>
              </w:rPr>
              <w:t>77%</w:t>
            </w:r>
          </w:p>
        </w:tc>
      </w:tr>
      <w:tr w:rsidR="001452C5" w:rsidRPr="00D86314" w14:paraId="276EEA99" w14:textId="77777777">
        <w:trPr>
          <w:trHeight w:val="227"/>
        </w:trPr>
        <w:tc>
          <w:tcPr>
            <w:tcW w:w="1413" w:type="dxa"/>
          </w:tcPr>
          <w:p w14:paraId="17ABCA2D" w14:textId="77777777" w:rsidR="001452C5" w:rsidRPr="00D86314" w:rsidRDefault="001452C5">
            <w:pPr>
              <w:keepNext/>
              <w:spacing w:after="0"/>
              <w:jc w:val="left"/>
              <w:rPr>
                <w:rFonts w:asciiTheme="minorHAnsi" w:hAnsiTheme="minorHAnsi" w:cstheme="minorHAnsi"/>
                <w:noProof/>
                <w:sz w:val="18"/>
                <w:szCs w:val="18"/>
              </w:rPr>
            </w:pPr>
            <w:r w:rsidRPr="00D86314">
              <w:rPr>
                <w:rFonts w:asciiTheme="minorHAnsi" w:hAnsiTheme="minorHAnsi" w:cstheme="minorHAnsi"/>
                <w:noProof/>
                <w:sz w:val="18"/>
                <w:szCs w:val="18"/>
              </w:rPr>
              <w:t>Relative difference to status quo</w:t>
            </w:r>
          </w:p>
        </w:tc>
        <w:tc>
          <w:tcPr>
            <w:tcW w:w="1113" w:type="dxa"/>
            <w:vAlign w:val="center"/>
          </w:tcPr>
          <w:p w14:paraId="3477ED13" w14:textId="77777777" w:rsidR="001452C5" w:rsidRPr="00D86314" w:rsidRDefault="001452C5">
            <w:pPr>
              <w:keepNext/>
              <w:spacing w:after="0"/>
              <w:jc w:val="center"/>
              <w:rPr>
                <w:rFonts w:cs="Arial"/>
                <w:noProof/>
                <w:sz w:val="18"/>
                <w:szCs w:val="18"/>
              </w:rPr>
            </w:pPr>
          </w:p>
        </w:tc>
        <w:tc>
          <w:tcPr>
            <w:tcW w:w="1114" w:type="dxa"/>
            <w:vAlign w:val="center"/>
          </w:tcPr>
          <w:p w14:paraId="77CECBBD"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-0%</w:t>
            </w:r>
          </w:p>
        </w:tc>
        <w:tc>
          <w:tcPr>
            <w:tcW w:w="1113" w:type="dxa"/>
            <w:vAlign w:val="center"/>
          </w:tcPr>
          <w:p w14:paraId="536B09B2" w14:textId="77777777" w:rsidR="001452C5" w:rsidRPr="00D86314" w:rsidRDefault="001452C5">
            <w:pPr>
              <w:keepNext/>
              <w:spacing w:after="0"/>
              <w:jc w:val="center"/>
              <w:rPr>
                <w:rFonts w:cs="Arial"/>
                <w:noProof/>
                <w:color w:val="000000"/>
                <w:sz w:val="18"/>
                <w:szCs w:val="18"/>
              </w:rPr>
            </w:pPr>
            <w:r w:rsidRPr="00D86314">
              <w:rPr>
                <w:rFonts w:cs="Arial"/>
                <w:noProof/>
                <w:color w:val="000000"/>
                <w:sz w:val="18"/>
                <w:szCs w:val="18"/>
              </w:rPr>
              <w:t>-22%</w:t>
            </w:r>
          </w:p>
        </w:tc>
        <w:tc>
          <w:tcPr>
            <w:tcW w:w="1114" w:type="dxa"/>
            <w:vAlign w:val="center"/>
          </w:tcPr>
          <w:p w14:paraId="4C5FCB34" w14:textId="77777777" w:rsidR="001452C5" w:rsidRPr="00D86314" w:rsidRDefault="001452C5">
            <w:pPr>
              <w:keepNext/>
              <w:spacing w:after="0"/>
              <w:jc w:val="center"/>
              <w:rPr>
                <w:rFonts w:cs="Arial"/>
                <w:noProof/>
                <w:sz w:val="18"/>
                <w:szCs w:val="18"/>
              </w:rPr>
            </w:pPr>
            <w:r w:rsidRPr="00D86314">
              <w:rPr>
                <w:rFonts w:cs="Arial"/>
                <w:noProof/>
                <w:color w:val="000000"/>
                <w:sz w:val="18"/>
                <w:szCs w:val="18"/>
              </w:rPr>
              <w:t>8%</w:t>
            </w:r>
          </w:p>
        </w:tc>
        <w:tc>
          <w:tcPr>
            <w:tcW w:w="1114" w:type="dxa"/>
            <w:vAlign w:val="center"/>
          </w:tcPr>
          <w:p w14:paraId="1203660E" w14:textId="77777777" w:rsidR="001452C5" w:rsidRPr="00D86314" w:rsidRDefault="001452C5">
            <w:pPr>
              <w:keepNext/>
              <w:spacing w:after="0"/>
              <w:jc w:val="center"/>
              <w:rPr>
                <w:rFonts w:cs="Arial"/>
                <w:noProof/>
                <w:sz w:val="18"/>
                <w:szCs w:val="18"/>
              </w:rPr>
            </w:pPr>
            <w:r w:rsidRPr="00D86314">
              <w:rPr>
                <w:rFonts w:cs="Arial"/>
                <w:noProof/>
                <w:sz w:val="18"/>
                <w:szCs w:val="18"/>
              </w:rPr>
              <w:t>-16%</w:t>
            </w:r>
          </w:p>
        </w:tc>
      </w:tr>
    </w:tbl>
    <w:p w14:paraId="652ABC4F" w14:textId="77777777" w:rsidR="001452C5" w:rsidRPr="00D86314" w:rsidRDefault="001452C5" w:rsidP="001452C5">
      <w:pPr>
        <w:pStyle w:val="Quelle"/>
        <w:rPr>
          <w:rFonts w:ascii="Times New Roman" w:hAnsi="Times New Roman"/>
          <w:noProof/>
          <w:szCs w:val="18"/>
        </w:rPr>
      </w:pPr>
      <w:r w:rsidRPr="00D86314">
        <w:rPr>
          <w:rFonts w:ascii="Times New Roman" w:hAnsi="Times New Roman"/>
          <w:noProof/>
        </w:rPr>
        <w:t>Source: WIK.</w:t>
      </w:r>
    </w:p>
    <w:p w14:paraId="3386FC8A" w14:textId="77777777" w:rsidR="001452C5" w:rsidRPr="00D86314" w:rsidRDefault="001452C5" w:rsidP="001452C5">
      <w:pPr>
        <w:rPr>
          <w:b/>
          <w:noProof/>
        </w:rPr>
      </w:pPr>
      <w:r w:rsidRPr="00D86314">
        <w:rPr>
          <w:b/>
          <w:noProof/>
        </w:rPr>
        <w:t>Data consumption</w:t>
      </w:r>
    </w:p>
    <w:p w14:paraId="5C930BCE" w14:textId="3811D0B8" w:rsidR="001452C5" w:rsidRPr="00D86314" w:rsidRDefault="001452C5" w:rsidP="001452C5">
      <w:pPr>
        <w:rPr>
          <w:noProof/>
        </w:rPr>
      </w:pPr>
      <w:r w:rsidRPr="00D86314">
        <w:rPr>
          <w:noProof/>
        </w:rPr>
        <w:t>On fibre networks</w:t>
      </w:r>
      <w:r w:rsidR="000D310F" w:rsidRPr="00D86314">
        <w:rPr>
          <w:noProof/>
        </w:rPr>
        <w:t>,</w:t>
      </w:r>
      <w:r w:rsidRPr="00D86314">
        <w:rPr>
          <w:noProof/>
        </w:rPr>
        <w:t xml:space="preserve"> data consumption is not the main driver of electricity </w:t>
      </w:r>
      <w:r w:rsidR="000D310F" w:rsidRPr="00D86314">
        <w:rPr>
          <w:noProof/>
        </w:rPr>
        <w:t>consumption</w:t>
      </w:r>
      <w:r w:rsidRPr="00D86314">
        <w:rPr>
          <w:noProof/>
        </w:rPr>
        <w:t xml:space="preserve"> and as a result the CO2 emissions. This means that a growth in data consumption on fibre networks leads to significantly lower increase in CO2 emissions compared to a growth in data consumption on copper, cable or mobile networks. Against the background that fibre networks are significantly more energy efficient than copper, cable and mobile networks</w:t>
      </w:r>
      <w:r w:rsidR="00A1540E" w:rsidRPr="00D86314">
        <w:rPr>
          <w:noProof/>
        </w:rPr>
        <w:t>,</w:t>
      </w:r>
      <w:r w:rsidRPr="00D86314">
        <w:rPr>
          <w:noProof/>
        </w:rPr>
        <w:t xml:space="preserve"> the migration to fibre networks means that </w:t>
      </w:r>
    </w:p>
    <w:p w14:paraId="11D68285" w14:textId="6F79EAB9" w:rsidR="009A256A" w:rsidRPr="00D86314" w:rsidRDefault="001452C5" w:rsidP="009A256A">
      <w:pPr>
        <w:pStyle w:val="ListParagraph"/>
        <w:numPr>
          <w:ilvl w:val="0"/>
          <w:numId w:val="57"/>
        </w:numPr>
        <w:spacing w:before="120" w:after="120"/>
        <w:contextualSpacing w:val="0"/>
        <w:rPr>
          <w:noProof/>
        </w:rPr>
      </w:pPr>
      <w:r w:rsidRPr="00D86314">
        <w:rPr>
          <w:noProof/>
        </w:rPr>
        <w:t>either CO2 emissions are reduced significantly if the data consumption remains unchanged</w:t>
      </w:r>
      <w:r w:rsidR="009A256A" w:rsidRPr="00D86314">
        <w:rPr>
          <w:noProof/>
        </w:rPr>
        <w:t xml:space="preserve">, </w:t>
      </w:r>
      <w:r w:rsidRPr="00D86314">
        <w:rPr>
          <w:noProof/>
        </w:rPr>
        <w:t>or</w:t>
      </w:r>
    </w:p>
    <w:p w14:paraId="6AD9FA4B" w14:textId="5AE965E5" w:rsidR="001452C5" w:rsidRPr="00D86314" w:rsidRDefault="001452C5" w:rsidP="00A00C17">
      <w:pPr>
        <w:pStyle w:val="ListParagraph"/>
        <w:numPr>
          <w:ilvl w:val="0"/>
          <w:numId w:val="57"/>
        </w:numPr>
        <w:spacing w:before="120" w:after="120"/>
        <w:contextualSpacing w:val="0"/>
        <w:rPr>
          <w:noProof/>
        </w:rPr>
      </w:pPr>
      <w:r w:rsidRPr="00D86314">
        <w:rPr>
          <w:noProof/>
        </w:rPr>
        <w:t>data consumption can grow only with a small impact on CO2 emissions.</w:t>
      </w:r>
    </w:p>
    <w:p w14:paraId="4764015D" w14:textId="75F94B52" w:rsidR="001452C5" w:rsidRPr="00D86314" w:rsidRDefault="001452C5" w:rsidP="001452C5">
      <w:pPr>
        <w:rPr>
          <w:noProof/>
        </w:rPr>
      </w:pPr>
      <w:r w:rsidRPr="00D86314">
        <w:rPr>
          <w:noProof/>
        </w:rPr>
        <w:t>The results of the modelling can be used to calculate the CO2 emissions per GB for the different options (see figure below). The results show that under options 2 and 4</w:t>
      </w:r>
      <w:r w:rsidR="009A256A" w:rsidRPr="00D86314">
        <w:rPr>
          <w:noProof/>
        </w:rPr>
        <w:t>,</w:t>
      </w:r>
      <w:r w:rsidRPr="00D86314">
        <w:rPr>
          <w:noProof/>
        </w:rPr>
        <w:t xml:space="preserve"> the decr</w:t>
      </w:r>
      <w:r w:rsidR="009A256A" w:rsidRPr="00D86314">
        <w:rPr>
          <w:noProof/>
        </w:rPr>
        <w:t>e</w:t>
      </w:r>
      <w:r w:rsidRPr="00D86314">
        <w:rPr>
          <w:noProof/>
        </w:rPr>
        <w:t xml:space="preserve">ase </w:t>
      </w:r>
      <w:r w:rsidR="00A1540E" w:rsidRPr="00D86314">
        <w:rPr>
          <w:noProof/>
        </w:rPr>
        <w:t>o</w:t>
      </w:r>
      <w:r w:rsidRPr="00D86314">
        <w:rPr>
          <w:noProof/>
        </w:rPr>
        <w:t>f CO2 emissions per GB is lower than under options 1 and 3.</w:t>
      </w:r>
    </w:p>
    <w:p w14:paraId="629518D6" w14:textId="09FAC368" w:rsidR="001452C5" w:rsidRPr="00D86314" w:rsidRDefault="001452C5" w:rsidP="0024266F">
      <w:pPr>
        <w:pStyle w:val="Caption"/>
        <w:keepNext/>
        <w:keepLines/>
        <w:rPr>
          <w:noProof/>
          <w:color w:val="auto"/>
          <w:sz w:val="22"/>
          <w:szCs w:val="22"/>
        </w:rPr>
      </w:pPr>
      <w:r w:rsidRPr="00D86314">
        <w:rPr>
          <w:noProof/>
          <w:color w:val="auto"/>
          <w:sz w:val="22"/>
          <w:szCs w:val="22"/>
        </w:rPr>
        <w:t xml:space="preserve">Figure </w:t>
      </w:r>
      <w:r w:rsidR="00420973" w:rsidRPr="00D86314">
        <w:rPr>
          <w:noProof/>
          <w:color w:val="auto"/>
          <w:sz w:val="22"/>
          <w:szCs w:val="22"/>
        </w:rPr>
        <w:t>A4 1</w:t>
      </w:r>
      <w:r w:rsidR="005B5146">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SEQ Figure \* ARABIC \s 1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96077">
        <w:rPr>
          <w:noProof/>
          <w:color w:val="auto"/>
          <w:sz w:val="22"/>
          <w:szCs w:val="22"/>
        </w:rPr>
        <w:t>7</w:t>
      </w:r>
      <w:r w:rsidRPr="00D86314">
        <w:rPr>
          <w:noProof/>
          <w:color w:val="auto"/>
          <w:sz w:val="22"/>
          <w:szCs w:val="22"/>
        </w:rPr>
        <w:t>:Emissions per GB (in t CO2e) by option (projections to 2035)</w:t>
      </w:r>
    </w:p>
    <w:p w14:paraId="0CE6B199" w14:textId="77777777" w:rsidR="001452C5" w:rsidRPr="00D86314" w:rsidRDefault="001452C5" w:rsidP="001452C5">
      <w:pPr>
        <w:rPr>
          <w:noProof/>
        </w:rPr>
      </w:pPr>
      <w:r w:rsidRPr="00E46BC9">
        <w:rPr>
          <w:noProof/>
          <w:lang w:eastAsia="en-GB"/>
        </w:rPr>
        <w:drawing>
          <wp:inline distT="0" distB="0" distL="0" distR="0" wp14:anchorId="0DF4B8FD" wp14:editId="1AE35126">
            <wp:extent cx="5504180" cy="2582969"/>
            <wp:effectExtent l="0" t="0" r="1270" b="8255"/>
            <wp:docPr id="1601628211" name="Grafik 5"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28211" name="Grafik 5" descr="A graph with different colored lines&#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25762" cy="2593097"/>
                    </a:xfrm>
                    <a:prstGeom prst="rect">
                      <a:avLst/>
                    </a:prstGeom>
                    <a:noFill/>
                  </pic:spPr>
                </pic:pic>
              </a:graphicData>
            </a:graphic>
          </wp:inline>
        </w:drawing>
      </w:r>
    </w:p>
    <w:p w14:paraId="0937E49F" w14:textId="77777777" w:rsidR="001452C5" w:rsidRPr="00D86314" w:rsidRDefault="001452C5" w:rsidP="001452C5">
      <w:pPr>
        <w:pStyle w:val="Quelle"/>
        <w:rPr>
          <w:rFonts w:ascii="Times New Roman" w:hAnsi="Times New Roman"/>
          <w:noProof/>
        </w:rPr>
      </w:pPr>
      <w:r w:rsidRPr="00D86314">
        <w:rPr>
          <w:rFonts w:ascii="Times New Roman" w:hAnsi="Times New Roman"/>
          <w:noProof/>
        </w:rPr>
        <w:t>Source: WIK-Consult</w:t>
      </w:r>
    </w:p>
    <w:p w14:paraId="404A576B" w14:textId="77777777" w:rsidR="001452C5" w:rsidRPr="00D86314" w:rsidRDefault="001452C5" w:rsidP="001452C5">
      <w:pPr>
        <w:rPr>
          <w:b/>
          <w:noProof/>
        </w:rPr>
      </w:pPr>
      <w:r w:rsidRPr="00D86314">
        <w:rPr>
          <w:b/>
          <w:bCs/>
          <w:noProof/>
        </w:rPr>
        <w:t>Electricity intensity</w:t>
      </w:r>
    </w:p>
    <w:p w14:paraId="7F086B6D" w14:textId="7F6E062B" w:rsidR="001452C5" w:rsidRPr="00D86314" w:rsidRDefault="007E3920" w:rsidP="001452C5">
      <w:pPr>
        <w:rPr>
          <w:noProof/>
        </w:rPr>
      </w:pPr>
      <w:r w:rsidRPr="00D86314">
        <w:rPr>
          <w:noProof/>
        </w:rPr>
        <w:t>T</w:t>
      </w:r>
      <w:r w:rsidR="001452C5" w:rsidRPr="00D86314">
        <w:rPr>
          <w:noProof/>
        </w:rPr>
        <w:t xml:space="preserve">otal electricity consumption of the access network </w:t>
      </w:r>
      <w:r w:rsidR="00950DA8" w:rsidRPr="00D86314">
        <w:rPr>
          <w:noProof/>
        </w:rPr>
        <w:t>is calculated</w:t>
      </w:r>
      <w:r w:rsidR="002D6B4F" w:rsidRPr="00D86314">
        <w:rPr>
          <w:noProof/>
        </w:rPr>
        <w:t xml:space="preserve"> </w:t>
      </w:r>
      <w:r w:rsidR="001452C5" w:rsidRPr="00D86314">
        <w:rPr>
          <w:noProof/>
        </w:rPr>
        <w:t xml:space="preserve">based on number of subscribers </w:t>
      </w:r>
      <w:r w:rsidR="00037D6C" w:rsidRPr="00D86314">
        <w:rPr>
          <w:noProof/>
        </w:rPr>
        <w:t>and</w:t>
      </w:r>
      <w:r w:rsidR="001452C5" w:rsidRPr="00D86314">
        <w:rPr>
          <w:noProof/>
        </w:rPr>
        <w:t xml:space="preserve"> the electricity intensity </w:t>
      </w:r>
      <w:r w:rsidR="00D35261" w:rsidRPr="00D86314">
        <w:rPr>
          <w:noProof/>
        </w:rPr>
        <w:t xml:space="preserve">of </w:t>
      </w:r>
      <w:r w:rsidR="001452C5" w:rsidRPr="00D86314">
        <w:rPr>
          <w:noProof/>
        </w:rPr>
        <w:t xml:space="preserve">data consumption. This </w:t>
      </w:r>
      <w:r w:rsidR="00A0463E" w:rsidRPr="00D86314">
        <w:rPr>
          <w:noProof/>
        </w:rPr>
        <w:t xml:space="preserve">approach takes </w:t>
      </w:r>
      <w:r w:rsidR="001E0908" w:rsidRPr="00D86314">
        <w:rPr>
          <w:noProof/>
        </w:rPr>
        <w:t xml:space="preserve">into </w:t>
      </w:r>
      <w:r w:rsidR="001452C5" w:rsidRPr="00D86314">
        <w:rPr>
          <w:noProof/>
        </w:rPr>
        <w:t xml:space="preserve">account the </w:t>
      </w:r>
      <w:r w:rsidR="001E0908" w:rsidRPr="00D86314">
        <w:rPr>
          <w:noProof/>
        </w:rPr>
        <w:t xml:space="preserve">expected </w:t>
      </w:r>
      <w:r w:rsidR="001452C5" w:rsidRPr="00D86314">
        <w:rPr>
          <w:noProof/>
        </w:rPr>
        <w:t xml:space="preserve">increase in data consumption </w:t>
      </w:r>
      <w:r w:rsidR="005E55F8" w:rsidRPr="00D86314">
        <w:rPr>
          <w:noProof/>
        </w:rPr>
        <w:t>under</w:t>
      </w:r>
      <w:r w:rsidR="001452C5" w:rsidRPr="00D86314">
        <w:rPr>
          <w:noProof/>
        </w:rPr>
        <w:t xml:space="preserve"> each option.</w:t>
      </w:r>
    </w:p>
    <w:p w14:paraId="010E2059" w14:textId="09CC06E2" w:rsidR="001452C5" w:rsidRPr="00D86314" w:rsidRDefault="001452C5" w:rsidP="001452C5">
      <w:pPr>
        <w:rPr>
          <w:noProof/>
        </w:rPr>
      </w:pPr>
      <w:r w:rsidRPr="00D86314">
        <w:rPr>
          <w:noProof/>
        </w:rPr>
        <w:t>Results show a significant reduction in electricity intensity for data traffic, from around 0.18</w:t>
      </w:r>
      <w:r w:rsidR="00F53F9A">
        <w:rPr>
          <w:noProof/>
        </w:rPr>
        <w:t> </w:t>
      </w:r>
      <w:r w:rsidRPr="00D86314">
        <w:rPr>
          <w:noProof/>
        </w:rPr>
        <w:t>kWh per GB to 0.037</w:t>
      </w:r>
      <w:r w:rsidR="00F53F9A">
        <w:rPr>
          <w:noProof/>
        </w:rPr>
        <w:t> </w:t>
      </w:r>
      <w:r w:rsidRPr="00D86314">
        <w:rPr>
          <w:noProof/>
        </w:rPr>
        <w:t xml:space="preserve">kWh/GB under option 2. Across all the options it shows the biggest reduction with around 79% from 2025 to 2035. With an electricity intensity that is 22% lower in Option 2 compared to the status quo scenario. </w:t>
      </w:r>
    </w:p>
    <w:p w14:paraId="15FBB19A" w14:textId="093BC0FA" w:rsidR="001452C5" w:rsidRPr="00D86314" w:rsidRDefault="001452C5" w:rsidP="0054751C">
      <w:pPr>
        <w:pStyle w:val="Caption"/>
        <w:keepNext/>
        <w:keepLines/>
        <w:rPr>
          <w:noProof/>
          <w:color w:val="auto"/>
          <w:sz w:val="22"/>
          <w:szCs w:val="22"/>
        </w:rPr>
      </w:pPr>
      <w:r w:rsidRPr="00D86314">
        <w:rPr>
          <w:noProof/>
          <w:color w:val="auto"/>
          <w:sz w:val="22"/>
          <w:szCs w:val="22"/>
        </w:rPr>
        <w:t xml:space="preserve">Figure </w:t>
      </w:r>
      <w:r w:rsidR="00420973" w:rsidRPr="00D86314">
        <w:rPr>
          <w:noProof/>
          <w:color w:val="auto"/>
          <w:sz w:val="22"/>
          <w:szCs w:val="22"/>
        </w:rPr>
        <w:t>A4 1</w:t>
      </w:r>
      <w:r w:rsidR="005B5146">
        <w:rPr>
          <w:noProof/>
          <w:color w:val="auto"/>
          <w:sz w:val="22"/>
          <w:szCs w:val="22"/>
        </w:rPr>
        <w:fldChar w:fldCharType="begin"/>
      </w:r>
      <w:r w:rsidR="005B5146">
        <w:rPr>
          <w:noProof/>
          <w:color w:val="auto"/>
          <w:sz w:val="22"/>
          <w:szCs w:val="22"/>
        </w:rPr>
        <w:instrText xml:space="preserve"> STYLEREF 1 \s </w:instrText>
      </w:r>
      <w:r w:rsidR="005B5146">
        <w:rPr>
          <w:noProof/>
          <w:color w:val="auto"/>
          <w:sz w:val="22"/>
          <w:szCs w:val="22"/>
        </w:rPr>
        <w:fldChar w:fldCharType="separate"/>
      </w:r>
      <w:r w:rsidR="005B5146">
        <w:rPr>
          <w:noProof/>
          <w:color w:val="auto"/>
          <w:sz w:val="22"/>
          <w:szCs w:val="22"/>
        </w:rPr>
        <w:t>1</w:t>
      </w:r>
      <w:r w:rsidR="005B5146">
        <w:rPr>
          <w:noProof/>
          <w:color w:val="auto"/>
          <w:sz w:val="22"/>
          <w:szCs w:val="22"/>
        </w:rPr>
        <w:fldChar w:fldCharType="end"/>
      </w:r>
      <w:r w:rsidR="005B5146">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SEQ Figure \* ARABIC \s 1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96077">
        <w:rPr>
          <w:noProof/>
          <w:color w:val="auto"/>
          <w:sz w:val="22"/>
          <w:szCs w:val="22"/>
        </w:rPr>
        <w:t>8</w:t>
      </w:r>
      <w:r w:rsidRPr="00D86314">
        <w:rPr>
          <w:noProof/>
          <w:color w:val="auto"/>
          <w:sz w:val="22"/>
          <w:szCs w:val="22"/>
        </w:rPr>
        <w:t>:Electricity intensity (in kWh/GB) by option (projections to 2035)</w:t>
      </w:r>
    </w:p>
    <w:p w14:paraId="73D92E6B" w14:textId="77777777" w:rsidR="001452C5" w:rsidRPr="00D86314" w:rsidRDefault="001452C5" w:rsidP="001452C5">
      <w:pPr>
        <w:rPr>
          <w:noProof/>
        </w:rPr>
      </w:pPr>
      <w:r w:rsidRPr="00E46BC9">
        <w:rPr>
          <w:noProof/>
          <w:lang w:eastAsia="en-GB"/>
        </w:rPr>
        <w:drawing>
          <wp:inline distT="0" distB="0" distL="0" distR="0" wp14:anchorId="67A115F5" wp14:editId="49AA0735">
            <wp:extent cx="5536565" cy="3253910"/>
            <wp:effectExtent l="0" t="0" r="6985" b="3810"/>
            <wp:docPr id="916877384" name="Grafik 6"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77384" name="Grafik 6" descr="A graph of different colored lines&#10;&#10;AI-generated content may be incorrec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542364" cy="3257318"/>
                    </a:xfrm>
                    <a:prstGeom prst="rect">
                      <a:avLst/>
                    </a:prstGeom>
                    <a:noFill/>
                  </pic:spPr>
                </pic:pic>
              </a:graphicData>
            </a:graphic>
          </wp:inline>
        </w:drawing>
      </w:r>
    </w:p>
    <w:p w14:paraId="6DD6C387" w14:textId="77777777" w:rsidR="001452C5" w:rsidRPr="00D86314" w:rsidRDefault="001452C5" w:rsidP="001452C5">
      <w:pPr>
        <w:pStyle w:val="Quelle"/>
        <w:rPr>
          <w:rFonts w:ascii="Times New Roman" w:hAnsi="Times New Roman"/>
          <w:noProof/>
        </w:rPr>
      </w:pPr>
      <w:r w:rsidRPr="00D86314">
        <w:rPr>
          <w:rFonts w:ascii="Times New Roman" w:hAnsi="Times New Roman"/>
          <w:noProof/>
        </w:rPr>
        <w:t>Source: WIK-Consult</w:t>
      </w:r>
    </w:p>
    <w:p w14:paraId="631815FD" w14:textId="77777777" w:rsidR="001452C5" w:rsidRPr="00D86314" w:rsidRDefault="001452C5" w:rsidP="001452C5">
      <w:pPr>
        <w:keepNext/>
        <w:rPr>
          <w:b/>
          <w:bCs/>
          <w:noProof/>
        </w:rPr>
      </w:pPr>
      <w:bookmarkStart w:id="121" w:name="_Ref214229369"/>
      <w:r w:rsidRPr="00D86314">
        <w:rPr>
          <w:b/>
          <w:bCs/>
          <w:noProof/>
        </w:rPr>
        <w:t>Universal Service Obligation</w:t>
      </w:r>
    </w:p>
    <w:p w14:paraId="2E10862B" w14:textId="2479B6E1" w:rsidR="001452C5" w:rsidRPr="00D86314" w:rsidRDefault="00420973" w:rsidP="00703057">
      <w:pPr>
        <w:rPr>
          <w:noProof/>
          <w:sz w:val="22"/>
          <w:szCs w:val="22"/>
        </w:rPr>
      </w:pPr>
      <w:r w:rsidRPr="00D86314">
        <w:rPr>
          <w:noProof/>
          <w:sz w:val="22"/>
          <w:szCs w:val="22"/>
        </w:rPr>
        <w:t>Table A4 1</w:t>
      </w:r>
      <w:r w:rsidRPr="00D86314">
        <w:rPr>
          <w:noProof/>
          <w:sz w:val="22"/>
          <w:szCs w:val="22"/>
        </w:rPr>
        <w:noBreakHyphen/>
      </w:r>
      <w:r w:rsidR="0001754D" w:rsidRPr="00D86314">
        <w:rPr>
          <w:noProof/>
          <w:sz w:val="22"/>
          <w:szCs w:val="22"/>
        </w:rPr>
        <w:t>17</w:t>
      </w:r>
      <w:bookmarkEnd w:id="121"/>
      <w:r w:rsidR="001452C5" w:rsidRPr="00D86314">
        <w:rPr>
          <w:noProof/>
          <w:sz w:val="22"/>
          <w:szCs w:val="22"/>
        </w:rPr>
        <w:t>:Emissions summary for fixed broadband network 2025-2035 including USO</w:t>
      </w:r>
    </w:p>
    <w:tbl>
      <w:tblPr>
        <w:tblStyle w:val="TableGridLight"/>
        <w:tblW w:w="8505" w:type="dxa"/>
        <w:tblLayout w:type="fixed"/>
        <w:tblCellMar>
          <w:top w:w="28" w:type="dxa"/>
          <w:left w:w="85" w:type="dxa"/>
          <w:bottom w:w="28" w:type="dxa"/>
          <w:right w:w="85" w:type="dxa"/>
        </w:tblCellMar>
        <w:tblLook w:val="04A0" w:firstRow="1" w:lastRow="0" w:firstColumn="1" w:lastColumn="0" w:noHBand="0" w:noVBand="1"/>
      </w:tblPr>
      <w:tblGrid>
        <w:gridCol w:w="603"/>
        <w:gridCol w:w="1093"/>
        <w:gridCol w:w="1361"/>
        <w:gridCol w:w="1362"/>
        <w:gridCol w:w="1362"/>
        <w:gridCol w:w="1362"/>
        <w:gridCol w:w="1362"/>
      </w:tblGrid>
      <w:tr w:rsidR="001452C5" w:rsidRPr="00D86314" w14:paraId="73F47B01" w14:textId="77777777">
        <w:tc>
          <w:tcPr>
            <w:tcW w:w="603" w:type="dxa"/>
            <w:shd w:val="clear" w:color="auto" w:fill="0C4DA2"/>
          </w:tcPr>
          <w:p w14:paraId="4AF7F1BE" w14:textId="77777777" w:rsidR="001452C5" w:rsidRPr="00D86314" w:rsidRDefault="001452C5">
            <w:pPr>
              <w:jc w:val="left"/>
              <w:rPr>
                <w:rFonts w:asciiTheme="minorHAnsi" w:hAnsiTheme="minorHAnsi" w:cstheme="minorHAnsi"/>
                <w:noProof/>
                <w:color w:val="FFFFFF" w:themeColor="background1"/>
                <w:sz w:val="18"/>
                <w:szCs w:val="18"/>
              </w:rPr>
            </w:pPr>
          </w:p>
        </w:tc>
        <w:tc>
          <w:tcPr>
            <w:tcW w:w="1093" w:type="dxa"/>
            <w:shd w:val="clear" w:color="auto" w:fill="0C4DA2"/>
            <w:vAlign w:val="center"/>
          </w:tcPr>
          <w:p w14:paraId="2501E2DD" w14:textId="77777777" w:rsidR="001452C5" w:rsidRPr="00D86314" w:rsidRDefault="001452C5">
            <w:pPr>
              <w:jc w:val="center"/>
              <w:rPr>
                <w:rFonts w:asciiTheme="minorHAnsi" w:hAnsiTheme="minorHAnsi" w:cstheme="minorHAnsi"/>
                <w:noProof/>
                <w:color w:val="FFFFFF" w:themeColor="background1"/>
                <w:sz w:val="18"/>
                <w:szCs w:val="18"/>
              </w:rPr>
            </w:pPr>
          </w:p>
        </w:tc>
        <w:tc>
          <w:tcPr>
            <w:tcW w:w="1361" w:type="dxa"/>
            <w:shd w:val="clear" w:color="auto" w:fill="0C4DA2"/>
            <w:vAlign w:val="center"/>
          </w:tcPr>
          <w:p w14:paraId="5468EDC8" w14:textId="77777777" w:rsidR="001452C5" w:rsidRPr="00D86314" w:rsidRDefault="001452C5">
            <w:pPr>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0</w:t>
            </w:r>
          </w:p>
        </w:tc>
        <w:tc>
          <w:tcPr>
            <w:tcW w:w="1362" w:type="dxa"/>
            <w:shd w:val="clear" w:color="auto" w:fill="0C4DA2"/>
            <w:vAlign w:val="center"/>
          </w:tcPr>
          <w:p w14:paraId="58770605" w14:textId="77777777" w:rsidR="001452C5" w:rsidRPr="00D86314" w:rsidRDefault="001452C5">
            <w:pPr>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1</w:t>
            </w:r>
          </w:p>
        </w:tc>
        <w:tc>
          <w:tcPr>
            <w:tcW w:w="1362" w:type="dxa"/>
            <w:shd w:val="clear" w:color="auto" w:fill="0C4DA2"/>
            <w:vAlign w:val="center"/>
          </w:tcPr>
          <w:p w14:paraId="692ECB06" w14:textId="77777777" w:rsidR="001452C5" w:rsidRPr="00D86314" w:rsidRDefault="001452C5">
            <w:pPr>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2</w:t>
            </w:r>
          </w:p>
        </w:tc>
        <w:tc>
          <w:tcPr>
            <w:tcW w:w="1362" w:type="dxa"/>
            <w:shd w:val="clear" w:color="auto" w:fill="0C4DA2"/>
            <w:vAlign w:val="center"/>
          </w:tcPr>
          <w:p w14:paraId="432FA3E2" w14:textId="77777777" w:rsidR="001452C5" w:rsidRPr="00D86314" w:rsidRDefault="001452C5">
            <w:pPr>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3</w:t>
            </w:r>
          </w:p>
        </w:tc>
        <w:tc>
          <w:tcPr>
            <w:tcW w:w="1362" w:type="dxa"/>
            <w:shd w:val="clear" w:color="auto" w:fill="0C4DA2"/>
            <w:vAlign w:val="center"/>
          </w:tcPr>
          <w:p w14:paraId="15AEF4DD" w14:textId="77777777" w:rsidR="001452C5" w:rsidRPr="00D86314" w:rsidRDefault="001452C5">
            <w:pPr>
              <w:jc w:val="center"/>
              <w:rPr>
                <w:rFonts w:asciiTheme="minorHAnsi" w:hAnsiTheme="minorHAnsi" w:cstheme="minorHAnsi"/>
                <w:noProof/>
                <w:color w:val="FFFFFF" w:themeColor="background1"/>
                <w:sz w:val="18"/>
                <w:szCs w:val="18"/>
              </w:rPr>
            </w:pPr>
            <w:r w:rsidRPr="00D86314">
              <w:rPr>
                <w:rFonts w:asciiTheme="minorHAnsi" w:hAnsiTheme="minorHAnsi" w:cstheme="minorHAnsi"/>
                <w:noProof/>
                <w:color w:val="FFFFFF" w:themeColor="background1"/>
                <w:sz w:val="18"/>
                <w:szCs w:val="18"/>
              </w:rPr>
              <w:t>Option 4</w:t>
            </w:r>
          </w:p>
        </w:tc>
      </w:tr>
      <w:tr w:rsidR="001452C5" w:rsidRPr="00D86314" w14:paraId="555731E8" w14:textId="77777777">
        <w:trPr>
          <w:trHeight w:val="205"/>
        </w:trPr>
        <w:tc>
          <w:tcPr>
            <w:tcW w:w="603" w:type="dxa"/>
            <w:vMerge w:val="restart"/>
            <w:textDirection w:val="btLr"/>
          </w:tcPr>
          <w:p w14:paraId="051FC276" w14:textId="77777777" w:rsidR="001452C5" w:rsidRPr="00D86314" w:rsidRDefault="001452C5">
            <w:pPr>
              <w:spacing w:after="0"/>
              <w:ind w:left="113" w:right="113"/>
              <w:jc w:val="left"/>
              <w:rPr>
                <w:rFonts w:asciiTheme="minorHAnsi" w:hAnsiTheme="minorHAnsi" w:cstheme="minorHAnsi"/>
                <w:noProof/>
                <w:sz w:val="18"/>
                <w:szCs w:val="18"/>
              </w:rPr>
            </w:pPr>
            <w:r w:rsidRPr="00D86314">
              <w:rPr>
                <w:rFonts w:asciiTheme="minorHAnsi" w:hAnsiTheme="minorHAnsi" w:cstheme="minorHAnsi"/>
                <w:noProof/>
                <w:sz w:val="18"/>
                <w:szCs w:val="18"/>
              </w:rPr>
              <w:t>Without USO</w:t>
            </w:r>
          </w:p>
        </w:tc>
        <w:tc>
          <w:tcPr>
            <w:tcW w:w="1093" w:type="dxa"/>
            <w:vAlign w:val="center"/>
          </w:tcPr>
          <w:p w14:paraId="2E73EE54" w14:textId="77777777" w:rsidR="001452C5" w:rsidRPr="00D86314" w:rsidRDefault="001452C5">
            <w:pPr>
              <w:spacing w:after="0"/>
              <w:jc w:val="center"/>
              <w:rPr>
                <w:rFonts w:asciiTheme="minorHAnsi" w:hAnsiTheme="minorHAnsi" w:cstheme="minorHAnsi"/>
                <w:noProof/>
                <w:sz w:val="18"/>
                <w:szCs w:val="18"/>
              </w:rPr>
            </w:pPr>
            <w:r w:rsidRPr="00D86314">
              <w:rPr>
                <w:rFonts w:asciiTheme="minorHAnsi" w:hAnsiTheme="minorHAnsi" w:cstheme="minorHAnsi"/>
                <w:noProof/>
                <w:sz w:val="18"/>
                <w:szCs w:val="18"/>
              </w:rPr>
              <w:t xml:space="preserve">Aggregate </w:t>
            </w:r>
            <w:r w:rsidRPr="00D86314">
              <w:rPr>
                <w:rFonts w:asciiTheme="minorHAnsi" w:hAnsiTheme="minorHAnsi" w:cstheme="minorHAnsi"/>
                <w:noProof/>
                <w:sz w:val="18"/>
                <w:szCs w:val="18"/>
              </w:rPr>
              <w:br/>
              <w:t>t CO</w:t>
            </w:r>
            <w:r w:rsidRPr="00D86314">
              <w:rPr>
                <w:rFonts w:asciiTheme="minorHAnsi" w:hAnsiTheme="minorHAnsi" w:cstheme="minorHAnsi"/>
                <w:noProof/>
                <w:sz w:val="18"/>
                <w:szCs w:val="18"/>
                <w:vertAlign w:val="subscript"/>
              </w:rPr>
              <w:t>2</w:t>
            </w:r>
            <w:r w:rsidRPr="00D86314">
              <w:rPr>
                <w:rFonts w:asciiTheme="minorHAnsi" w:hAnsiTheme="minorHAnsi" w:cstheme="minorHAnsi"/>
                <w:noProof/>
                <w:sz w:val="18"/>
                <w:szCs w:val="18"/>
              </w:rPr>
              <w:t>e</w:t>
            </w:r>
          </w:p>
        </w:tc>
        <w:tc>
          <w:tcPr>
            <w:tcW w:w="1361" w:type="dxa"/>
            <w:vAlign w:val="center"/>
          </w:tcPr>
          <w:p w14:paraId="308ACE9B"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Ca. 13.7 m</w:t>
            </w:r>
          </w:p>
        </w:tc>
        <w:tc>
          <w:tcPr>
            <w:tcW w:w="1362" w:type="dxa"/>
            <w:vAlign w:val="center"/>
          </w:tcPr>
          <w:p w14:paraId="5824CBBA"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Ca. 13.6 m</w:t>
            </w:r>
          </w:p>
        </w:tc>
        <w:tc>
          <w:tcPr>
            <w:tcW w:w="1362" w:type="dxa"/>
            <w:vAlign w:val="center"/>
          </w:tcPr>
          <w:p w14:paraId="16A879FC" w14:textId="77777777" w:rsidR="001452C5" w:rsidRPr="00D86314" w:rsidRDefault="001452C5">
            <w:pPr>
              <w:spacing w:after="0"/>
              <w:jc w:val="center"/>
              <w:rPr>
                <w:rFonts w:cs="Arial"/>
                <w:noProof/>
                <w:color w:val="000000"/>
                <w:sz w:val="16"/>
                <w:szCs w:val="16"/>
              </w:rPr>
            </w:pPr>
            <w:r w:rsidRPr="00D86314">
              <w:rPr>
                <w:rFonts w:cs="Arial"/>
                <w:noProof/>
                <w:color w:val="000000"/>
                <w:sz w:val="18"/>
                <w:szCs w:val="18"/>
              </w:rPr>
              <w:t>Ca 13.1 m</w:t>
            </w:r>
          </w:p>
        </w:tc>
        <w:tc>
          <w:tcPr>
            <w:tcW w:w="1362" w:type="dxa"/>
            <w:vAlign w:val="center"/>
          </w:tcPr>
          <w:p w14:paraId="585C8319"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13.7 m</w:t>
            </w:r>
          </w:p>
        </w:tc>
        <w:tc>
          <w:tcPr>
            <w:tcW w:w="1362" w:type="dxa"/>
            <w:vAlign w:val="center"/>
          </w:tcPr>
          <w:p w14:paraId="701E4C04"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12.6 m</w:t>
            </w:r>
          </w:p>
        </w:tc>
      </w:tr>
      <w:tr w:rsidR="001452C5" w:rsidRPr="00D86314" w14:paraId="2C05210F" w14:textId="77777777">
        <w:tc>
          <w:tcPr>
            <w:tcW w:w="603" w:type="dxa"/>
            <w:vMerge/>
          </w:tcPr>
          <w:p w14:paraId="0D22863F" w14:textId="77777777" w:rsidR="001452C5" w:rsidRPr="00D86314" w:rsidRDefault="001452C5">
            <w:pPr>
              <w:spacing w:after="0"/>
              <w:jc w:val="left"/>
              <w:rPr>
                <w:rFonts w:asciiTheme="minorHAnsi" w:hAnsiTheme="minorHAnsi" w:cstheme="minorHAnsi"/>
                <w:noProof/>
                <w:sz w:val="18"/>
                <w:szCs w:val="18"/>
              </w:rPr>
            </w:pPr>
          </w:p>
        </w:tc>
        <w:tc>
          <w:tcPr>
            <w:tcW w:w="1093" w:type="dxa"/>
            <w:vAlign w:val="center"/>
          </w:tcPr>
          <w:p w14:paraId="0084E71F" w14:textId="77777777" w:rsidR="001452C5" w:rsidRPr="00D86314" w:rsidRDefault="001452C5">
            <w:pPr>
              <w:spacing w:after="0"/>
              <w:jc w:val="center"/>
              <w:rPr>
                <w:rFonts w:asciiTheme="minorHAnsi" w:hAnsiTheme="minorHAnsi" w:cstheme="minorHAnsi"/>
                <w:noProof/>
                <w:sz w:val="18"/>
                <w:szCs w:val="18"/>
              </w:rPr>
            </w:pPr>
            <w:r w:rsidRPr="00D86314">
              <w:rPr>
                <w:rFonts w:asciiTheme="minorHAnsi" w:hAnsiTheme="minorHAnsi" w:cstheme="minorHAnsi"/>
                <w:noProof/>
                <w:sz w:val="18"/>
                <w:szCs w:val="18"/>
              </w:rPr>
              <w:t>Difference</w:t>
            </w:r>
          </w:p>
        </w:tc>
        <w:tc>
          <w:tcPr>
            <w:tcW w:w="1361" w:type="dxa"/>
            <w:vAlign w:val="center"/>
          </w:tcPr>
          <w:p w14:paraId="05A347A3" w14:textId="77777777" w:rsidR="001452C5" w:rsidRPr="00D86314" w:rsidRDefault="001452C5">
            <w:pPr>
              <w:spacing w:after="0"/>
              <w:jc w:val="center"/>
              <w:rPr>
                <w:rFonts w:asciiTheme="minorHAnsi" w:hAnsiTheme="minorHAnsi" w:cstheme="minorHAnsi"/>
                <w:noProof/>
                <w:sz w:val="16"/>
                <w:szCs w:val="16"/>
              </w:rPr>
            </w:pPr>
          </w:p>
        </w:tc>
        <w:tc>
          <w:tcPr>
            <w:tcW w:w="1362" w:type="dxa"/>
            <w:vAlign w:val="center"/>
          </w:tcPr>
          <w:p w14:paraId="63FFF49B"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Ca -0.15 m</w:t>
            </w:r>
          </w:p>
        </w:tc>
        <w:tc>
          <w:tcPr>
            <w:tcW w:w="1362" w:type="dxa"/>
            <w:vAlign w:val="center"/>
          </w:tcPr>
          <w:p w14:paraId="6D57D314" w14:textId="77777777" w:rsidR="001452C5" w:rsidRPr="00D86314" w:rsidRDefault="001452C5">
            <w:pPr>
              <w:spacing w:after="0"/>
              <w:jc w:val="center"/>
              <w:rPr>
                <w:rFonts w:cs="Arial"/>
                <w:noProof/>
                <w:color w:val="000000"/>
                <w:sz w:val="16"/>
                <w:szCs w:val="16"/>
              </w:rPr>
            </w:pPr>
            <w:r w:rsidRPr="00D86314">
              <w:rPr>
                <w:rFonts w:cs="Arial"/>
                <w:noProof/>
                <w:color w:val="000000"/>
                <w:sz w:val="18"/>
                <w:szCs w:val="18"/>
              </w:rPr>
              <w:t>Ca -0.6 m</w:t>
            </w:r>
          </w:p>
        </w:tc>
        <w:tc>
          <w:tcPr>
            <w:tcW w:w="1362" w:type="dxa"/>
            <w:vAlign w:val="center"/>
          </w:tcPr>
          <w:p w14:paraId="5D498F04"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Ca -0.04</w:t>
            </w:r>
          </w:p>
        </w:tc>
        <w:tc>
          <w:tcPr>
            <w:tcW w:w="1362" w:type="dxa"/>
            <w:vAlign w:val="center"/>
          </w:tcPr>
          <w:p w14:paraId="6A0063E4"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Ca -1.1 m</w:t>
            </w:r>
          </w:p>
        </w:tc>
      </w:tr>
      <w:tr w:rsidR="001452C5" w:rsidRPr="00D86314" w14:paraId="08A4E091" w14:textId="77777777">
        <w:tc>
          <w:tcPr>
            <w:tcW w:w="603" w:type="dxa"/>
            <w:vMerge/>
          </w:tcPr>
          <w:p w14:paraId="5BD20042" w14:textId="77777777" w:rsidR="001452C5" w:rsidRPr="00D86314" w:rsidRDefault="001452C5">
            <w:pPr>
              <w:spacing w:after="0"/>
              <w:jc w:val="left"/>
              <w:rPr>
                <w:rFonts w:asciiTheme="minorHAnsi" w:hAnsiTheme="minorHAnsi" w:cstheme="minorHAnsi"/>
                <w:noProof/>
                <w:sz w:val="18"/>
                <w:szCs w:val="18"/>
              </w:rPr>
            </w:pPr>
          </w:p>
        </w:tc>
        <w:tc>
          <w:tcPr>
            <w:tcW w:w="1093" w:type="dxa"/>
            <w:vAlign w:val="center"/>
          </w:tcPr>
          <w:p w14:paraId="2260CC94" w14:textId="77777777" w:rsidR="001452C5" w:rsidRPr="00D86314" w:rsidRDefault="001452C5">
            <w:pPr>
              <w:spacing w:after="0"/>
              <w:jc w:val="center"/>
              <w:rPr>
                <w:rFonts w:asciiTheme="minorHAnsi" w:hAnsiTheme="minorHAnsi" w:cstheme="minorHAnsi"/>
                <w:noProof/>
                <w:sz w:val="18"/>
                <w:szCs w:val="18"/>
              </w:rPr>
            </w:pPr>
            <w:r w:rsidRPr="00D86314">
              <w:rPr>
                <w:rFonts w:asciiTheme="minorHAnsi" w:hAnsiTheme="minorHAnsi" w:cstheme="minorHAnsi"/>
                <w:noProof/>
                <w:sz w:val="18"/>
                <w:szCs w:val="18"/>
              </w:rPr>
              <w:t>Relative difference</w:t>
            </w:r>
          </w:p>
        </w:tc>
        <w:tc>
          <w:tcPr>
            <w:tcW w:w="1361" w:type="dxa"/>
            <w:vAlign w:val="center"/>
          </w:tcPr>
          <w:p w14:paraId="7695131E" w14:textId="77777777" w:rsidR="001452C5" w:rsidRPr="00D86314" w:rsidRDefault="001452C5">
            <w:pPr>
              <w:spacing w:after="0"/>
              <w:jc w:val="center"/>
              <w:rPr>
                <w:rFonts w:asciiTheme="minorHAnsi" w:hAnsiTheme="minorHAnsi" w:cstheme="minorHAnsi"/>
                <w:noProof/>
                <w:sz w:val="16"/>
                <w:szCs w:val="16"/>
              </w:rPr>
            </w:pPr>
          </w:p>
        </w:tc>
        <w:tc>
          <w:tcPr>
            <w:tcW w:w="1362" w:type="dxa"/>
            <w:vAlign w:val="center"/>
          </w:tcPr>
          <w:p w14:paraId="500B5F6E"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-1.07%</w:t>
            </w:r>
          </w:p>
        </w:tc>
        <w:tc>
          <w:tcPr>
            <w:tcW w:w="1362" w:type="dxa"/>
            <w:vAlign w:val="center"/>
          </w:tcPr>
          <w:p w14:paraId="5F58F0C7" w14:textId="77777777" w:rsidR="001452C5" w:rsidRPr="00D86314" w:rsidRDefault="001452C5">
            <w:pPr>
              <w:spacing w:after="0"/>
              <w:jc w:val="center"/>
              <w:rPr>
                <w:rFonts w:cs="Arial"/>
                <w:noProof/>
                <w:color w:val="000000"/>
                <w:sz w:val="16"/>
                <w:szCs w:val="16"/>
              </w:rPr>
            </w:pPr>
            <w:r w:rsidRPr="00D86314">
              <w:rPr>
                <w:rFonts w:cs="Arial"/>
                <w:noProof/>
                <w:color w:val="000000"/>
                <w:sz w:val="18"/>
                <w:szCs w:val="18"/>
              </w:rPr>
              <w:t>-4.5%</w:t>
            </w:r>
          </w:p>
        </w:tc>
        <w:tc>
          <w:tcPr>
            <w:tcW w:w="1362" w:type="dxa"/>
            <w:vAlign w:val="center"/>
          </w:tcPr>
          <w:p w14:paraId="7219D8C2"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-0.33%</w:t>
            </w:r>
          </w:p>
        </w:tc>
        <w:tc>
          <w:tcPr>
            <w:tcW w:w="1362" w:type="dxa"/>
            <w:vAlign w:val="center"/>
          </w:tcPr>
          <w:p w14:paraId="649D7BD7" w14:textId="77777777" w:rsidR="001452C5" w:rsidRPr="00D86314" w:rsidRDefault="001452C5">
            <w:pPr>
              <w:spacing w:after="0"/>
              <w:jc w:val="center"/>
              <w:rPr>
                <w:rFonts w:asciiTheme="minorHAnsi" w:hAnsiTheme="minorHAnsi" w:cstheme="minorHAnsi"/>
                <w:noProof/>
                <w:sz w:val="16"/>
                <w:szCs w:val="16"/>
              </w:rPr>
            </w:pPr>
            <w:r w:rsidRPr="00D86314">
              <w:rPr>
                <w:rFonts w:cs="Arial"/>
                <w:noProof/>
                <w:color w:val="000000"/>
                <w:sz w:val="18"/>
                <w:szCs w:val="18"/>
              </w:rPr>
              <w:t>-8%</w:t>
            </w:r>
          </w:p>
        </w:tc>
      </w:tr>
      <w:tr w:rsidR="001452C5" w:rsidRPr="00D86314" w14:paraId="6BB91B4D" w14:textId="77777777">
        <w:tc>
          <w:tcPr>
            <w:tcW w:w="603" w:type="dxa"/>
            <w:vMerge w:val="restart"/>
            <w:textDirection w:val="btLr"/>
          </w:tcPr>
          <w:p w14:paraId="3847DF03" w14:textId="77777777" w:rsidR="001452C5" w:rsidRPr="00D86314" w:rsidRDefault="001452C5">
            <w:pPr>
              <w:spacing w:after="0"/>
              <w:ind w:left="113" w:right="113"/>
              <w:jc w:val="left"/>
              <w:rPr>
                <w:rFonts w:asciiTheme="minorHAnsi" w:hAnsiTheme="minorHAnsi" w:cstheme="minorHAnsi"/>
                <w:noProof/>
                <w:sz w:val="18"/>
                <w:szCs w:val="18"/>
              </w:rPr>
            </w:pPr>
            <w:r w:rsidRPr="00D86314">
              <w:rPr>
                <w:rFonts w:asciiTheme="minorHAnsi" w:hAnsiTheme="minorHAnsi" w:cstheme="minorHAnsi"/>
                <w:noProof/>
                <w:sz w:val="18"/>
                <w:szCs w:val="18"/>
              </w:rPr>
              <w:t>Including USO</w:t>
            </w:r>
          </w:p>
        </w:tc>
        <w:tc>
          <w:tcPr>
            <w:tcW w:w="1093" w:type="dxa"/>
            <w:vAlign w:val="center"/>
          </w:tcPr>
          <w:p w14:paraId="384342BE" w14:textId="77777777" w:rsidR="001452C5" w:rsidRPr="00D86314" w:rsidRDefault="001452C5">
            <w:pPr>
              <w:spacing w:after="0"/>
              <w:jc w:val="center"/>
              <w:rPr>
                <w:rFonts w:asciiTheme="minorHAnsi" w:hAnsiTheme="minorHAnsi" w:cstheme="minorHAnsi"/>
                <w:noProof/>
                <w:sz w:val="18"/>
                <w:szCs w:val="18"/>
              </w:rPr>
            </w:pPr>
            <w:r w:rsidRPr="00D86314">
              <w:rPr>
                <w:rFonts w:asciiTheme="minorHAnsi" w:hAnsiTheme="minorHAnsi" w:cstheme="minorHAnsi"/>
                <w:noProof/>
                <w:sz w:val="18"/>
                <w:szCs w:val="18"/>
              </w:rPr>
              <w:t xml:space="preserve">Aggregate </w:t>
            </w:r>
            <w:r w:rsidRPr="00D86314">
              <w:rPr>
                <w:rFonts w:asciiTheme="minorHAnsi" w:hAnsiTheme="minorHAnsi" w:cstheme="minorHAnsi"/>
                <w:noProof/>
                <w:sz w:val="18"/>
                <w:szCs w:val="18"/>
              </w:rPr>
              <w:br/>
              <w:t>t CO</w:t>
            </w:r>
            <w:r w:rsidRPr="00D86314">
              <w:rPr>
                <w:rFonts w:asciiTheme="minorHAnsi" w:hAnsiTheme="minorHAnsi" w:cstheme="minorHAnsi"/>
                <w:noProof/>
                <w:sz w:val="18"/>
                <w:szCs w:val="18"/>
                <w:vertAlign w:val="subscript"/>
              </w:rPr>
              <w:t>2</w:t>
            </w:r>
            <w:r w:rsidRPr="00D86314">
              <w:rPr>
                <w:rFonts w:asciiTheme="minorHAnsi" w:hAnsiTheme="minorHAnsi" w:cstheme="minorHAnsi"/>
                <w:noProof/>
                <w:sz w:val="18"/>
                <w:szCs w:val="18"/>
              </w:rPr>
              <w:t>e</w:t>
            </w:r>
          </w:p>
        </w:tc>
        <w:tc>
          <w:tcPr>
            <w:tcW w:w="1361" w:type="dxa"/>
            <w:vAlign w:val="center"/>
          </w:tcPr>
          <w:p w14:paraId="076445E6"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13.7 m</w:t>
            </w:r>
          </w:p>
        </w:tc>
        <w:tc>
          <w:tcPr>
            <w:tcW w:w="1362" w:type="dxa"/>
            <w:vAlign w:val="center"/>
          </w:tcPr>
          <w:p w14:paraId="2CDA37FC"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13.6 m</w:t>
            </w:r>
          </w:p>
        </w:tc>
        <w:tc>
          <w:tcPr>
            <w:tcW w:w="1362" w:type="dxa"/>
            <w:vAlign w:val="center"/>
          </w:tcPr>
          <w:p w14:paraId="4AA29790"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13 m</w:t>
            </w:r>
          </w:p>
        </w:tc>
        <w:tc>
          <w:tcPr>
            <w:tcW w:w="1362" w:type="dxa"/>
            <w:vAlign w:val="center"/>
          </w:tcPr>
          <w:p w14:paraId="5A9D410F"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 xml:space="preserve">Ca. 13.7 m </w:t>
            </w:r>
          </w:p>
        </w:tc>
        <w:tc>
          <w:tcPr>
            <w:tcW w:w="1362" w:type="dxa"/>
            <w:vAlign w:val="center"/>
          </w:tcPr>
          <w:p w14:paraId="5DD5BCCE"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12.5</w:t>
            </w:r>
          </w:p>
        </w:tc>
      </w:tr>
      <w:tr w:rsidR="001452C5" w:rsidRPr="00D86314" w14:paraId="03E62690" w14:textId="77777777">
        <w:tc>
          <w:tcPr>
            <w:tcW w:w="603" w:type="dxa"/>
            <w:vMerge/>
          </w:tcPr>
          <w:p w14:paraId="37594B77" w14:textId="77777777" w:rsidR="001452C5" w:rsidRPr="00D86314" w:rsidRDefault="001452C5">
            <w:pPr>
              <w:spacing w:after="0"/>
              <w:jc w:val="left"/>
              <w:rPr>
                <w:rFonts w:asciiTheme="minorHAnsi" w:hAnsiTheme="minorHAnsi" w:cstheme="minorHAnsi"/>
                <w:noProof/>
                <w:sz w:val="18"/>
                <w:szCs w:val="18"/>
              </w:rPr>
            </w:pPr>
          </w:p>
        </w:tc>
        <w:tc>
          <w:tcPr>
            <w:tcW w:w="1093" w:type="dxa"/>
            <w:vAlign w:val="center"/>
          </w:tcPr>
          <w:p w14:paraId="77B0DCAF" w14:textId="77777777" w:rsidR="001452C5" w:rsidRPr="00D86314" w:rsidRDefault="001452C5">
            <w:pPr>
              <w:spacing w:after="0"/>
              <w:jc w:val="center"/>
              <w:rPr>
                <w:rFonts w:asciiTheme="minorHAnsi" w:hAnsiTheme="minorHAnsi" w:cstheme="minorHAnsi"/>
                <w:noProof/>
                <w:sz w:val="18"/>
                <w:szCs w:val="18"/>
              </w:rPr>
            </w:pPr>
            <w:r w:rsidRPr="00D86314">
              <w:rPr>
                <w:rFonts w:asciiTheme="minorHAnsi" w:hAnsiTheme="minorHAnsi" w:cstheme="minorHAnsi"/>
                <w:noProof/>
                <w:sz w:val="18"/>
                <w:szCs w:val="18"/>
              </w:rPr>
              <w:t>Difference</w:t>
            </w:r>
          </w:p>
        </w:tc>
        <w:tc>
          <w:tcPr>
            <w:tcW w:w="1361" w:type="dxa"/>
            <w:vAlign w:val="center"/>
          </w:tcPr>
          <w:p w14:paraId="570F1837" w14:textId="77777777" w:rsidR="001452C5" w:rsidRPr="00D86314" w:rsidRDefault="001452C5">
            <w:pPr>
              <w:spacing w:after="0"/>
              <w:jc w:val="center"/>
              <w:rPr>
                <w:rFonts w:cs="Arial"/>
                <w:noProof/>
                <w:color w:val="000000"/>
                <w:sz w:val="16"/>
                <w:szCs w:val="16"/>
              </w:rPr>
            </w:pPr>
          </w:p>
        </w:tc>
        <w:tc>
          <w:tcPr>
            <w:tcW w:w="1362" w:type="dxa"/>
            <w:vAlign w:val="center"/>
          </w:tcPr>
          <w:p w14:paraId="7920CC85"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-0.15 m</w:t>
            </w:r>
          </w:p>
        </w:tc>
        <w:tc>
          <w:tcPr>
            <w:tcW w:w="1362" w:type="dxa"/>
            <w:vAlign w:val="center"/>
          </w:tcPr>
          <w:p w14:paraId="7A5302A6"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-0.7</w:t>
            </w:r>
          </w:p>
        </w:tc>
        <w:tc>
          <w:tcPr>
            <w:tcW w:w="1362" w:type="dxa"/>
            <w:vAlign w:val="center"/>
          </w:tcPr>
          <w:p w14:paraId="5D998FB7"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-0.04</w:t>
            </w:r>
          </w:p>
        </w:tc>
        <w:tc>
          <w:tcPr>
            <w:tcW w:w="1362" w:type="dxa"/>
            <w:vAlign w:val="center"/>
          </w:tcPr>
          <w:p w14:paraId="672B5198"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-1.2</w:t>
            </w:r>
          </w:p>
        </w:tc>
      </w:tr>
      <w:tr w:rsidR="001452C5" w:rsidRPr="00D86314" w14:paraId="5076CBD2" w14:textId="77777777">
        <w:tc>
          <w:tcPr>
            <w:tcW w:w="603" w:type="dxa"/>
            <w:vMerge/>
          </w:tcPr>
          <w:p w14:paraId="2F621CD5" w14:textId="77777777" w:rsidR="001452C5" w:rsidRPr="00D86314" w:rsidRDefault="001452C5">
            <w:pPr>
              <w:spacing w:after="0"/>
              <w:jc w:val="left"/>
              <w:rPr>
                <w:rFonts w:asciiTheme="minorHAnsi" w:hAnsiTheme="minorHAnsi" w:cstheme="minorHAnsi"/>
                <w:noProof/>
                <w:sz w:val="18"/>
                <w:szCs w:val="18"/>
              </w:rPr>
            </w:pPr>
          </w:p>
        </w:tc>
        <w:tc>
          <w:tcPr>
            <w:tcW w:w="1093" w:type="dxa"/>
            <w:vAlign w:val="center"/>
          </w:tcPr>
          <w:p w14:paraId="61F8EBE5" w14:textId="77777777" w:rsidR="001452C5" w:rsidRPr="00D86314" w:rsidRDefault="001452C5">
            <w:pPr>
              <w:spacing w:after="0"/>
              <w:jc w:val="center"/>
              <w:rPr>
                <w:rFonts w:asciiTheme="minorHAnsi" w:hAnsiTheme="minorHAnsi" w:cstheme="minorHAnsi"/>
                <w:noProof/>
                <w:sz w:val="18"/>
                <w:szCs w:val="18"/>
              </w:rPr>
            </w:pPr>
            <w:r w:rsidRPr="00D86314">
              <w:rPr>
                <w:rFonts w:asciiTheme="minorHAnsi" w:hAnsiTheme="minorHAnsi" w:cstheme="minorHAnsi"/>
                <w:noProof/>
                <w:sz w:val="18"/>
                <w:szCs w:val="18"/>
              </w:rPr>
              <w:t>Relative difference</w:t>
            </w:r>
          </w:p>
        </w:tc>
        <w:tc>
          <w:tcPr>
            <w:tcW w:w="1361" w:type="dxa"/>
            <w:vAlign w:val="center"/>
          </w:tcPr>
          <w:p w14:paraId="257EAC33" w14:textId="77777777" w:rsidR="001452C5" w:rsidRPr="00D86314" w:rsidRDefault="001452C5">
            <w:pPr>
              <w:spacing w:after="0"/>
              <w:jc w:val="center"/>
              <w:rPr>
                <w:rFonts w:cs="Arial"/>
                <w:noProof/>
                <w:color w:val="000000"/>
                <w:sz w:val="16"/>
                <w:szCs w:val="16"/>
              </w:rPr>
            </w:pPr>
          </w:p>
        </w:tc>
        <w:tc>
          <w:tcPr>
            <w:tcW w:w="1362" w:type="dxa"/>
            <w:vAlign w:val="center"/>
          </w:tcPr>
          <w:p w14:paraId="07A0EB9C"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-1%</w:t>
            </w:r>
          </w:p>
        </w:tc>
        <w:tc>
          <w:tcPr>
            <w:tcW w:w="1362" w:type="dxa"/>
            <w:vAlign w:val="center"/>
          </w:tcPr>
          <w:p w14:paraId="437B734C"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-5%</w:t>
            </w:r>
          </w:p>
        </w:tc>
        <w:tc>
          <w:tcPr>
            <w:tcW w:w="1362" w:type="dxa"/>
            <w:vAlign w:val="center"/>
          </w:tcPr>
          <w:p w14:paraId="72030A37"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-0.3%</w:t>
            </w:r>
          </w:p>
        </w:tc>
        <w:tc>
          <w:tcPr>
            <w:tcW w:w="1362" w:type="dxa"/>
            <w:vAlign w:val="center"/>
          </w:tcPr>
          <w:p w14:paraId="79ABD77D" w14:textId="77777777" w:rsidR="001452C5" w:rsidRPr="00D86314" w:rsidRDefault="001452C5">
            <w:pPr>
              <w:spacing w:after="0"/>
              <w:jc w:val="center"/>
              <w:rPr>
                <w:rFonts w:cs="Arial"/>
                <w:noProof/>
                <w:color w:val="000000"/>
                <w:sz w:val="16"/>
                <w:szCs w:val="16"/>
              </w:rPr>
            </w:pPr>
            <w:r w:rsidRPr="00D86314">
              <w:rPr>
                <w:rFonts w:cs="Arial"/>
                <w:noProof/>
                <w:color w:val="000000"/>
                <w:sz w:val="16"/>
                <w:szCs w:val="16"/>
              </w:rPr>
              <w:t>Ca. -9%</w:t>
            </w:r>
          </w:p>
        </w:tc>
      </w:tr>
    </w:tbl>
    <w:p w14:paraId="78762967" w14:textId="77777777" w:rsidR="001452C5" w:rsidRPr="00D86314" w:rsidRDefault="001452C5" w:rsidP="001452C5">
      <w:pPr>
        <w:pStyle w:val="Quelle"/>
        <w:rPr>
          <w:rFonts w:ascii="Times New Roman" w:hAnsi="Times New Roman"/>
          <w:noProof/>
        </w:rPr>
      </w:pPr>
      <w:r w:rsidRPr="00D86314">
        <w:rPr>
          <w:rFonts w:ascii="Times New Roman" w:hAnsi="Times New Roman"/>
          <w:noProof/>
        </w:rPr>
        <w:t>Source: WIK-Consult</w:t>
      </w:r>
    </w:p>
    <w:p w14:paraId="6F39F6B8" w14:textId="77777777" w:rsidR="00870CA9" w:rsidRPr="00D86314" w:rsidRDefault="00965BA8" w:rsidP="001452C5">
      <w:pPr>
        <w:keepNext/>
        <w:rPr>
          <w:b/>
          <w:bCs/>
          <w:noProof/>
        </w:rPr>
      </w:pPr>
      <w:bookmarkStart w:id="122" w:name="_Ref214229307"/>
      <w:r w:rsidRPr="00D86314">
        <w:rPr>
          <w:noProof/>
        </w:rPr>
        <w:t xml:space="preserve">The table </w:t>
      </w:r>
      <w:r w:rsidR="001452C5" w:rsidRPr="00D86314">
        <w:rPr>
          <w:noProof/>
        </w:rPr>
        <w:fldChar w:fldCharType="begin"/>
      </w:r>
      <w:r w:rsidR="001452C5" w:rsidRPr="00D86314">
        <w:rPr>
          <w:noProof/>
        </w:rPr>
        <w:instrText xml:space="preserve"> REF _Ref214229369 \h </w:instrText>
      </w:r>
      <w:r w:rsidR="00534028" w:rsidRPr="00D86314">
        <w:rPr>
          <w:noProof/>
        </w:rPr>
        <w:instrText xml:space="preserve"> \* MERGEFORMAT </w:instrText>
      </w:r>
      <w:r w:rsidR="001452C5" w:rsidRPr="00D86314">
        <w:rPr>
          <w:noProof/>
        </w:rPr>
      </w:r>
      <w:r w:rsidR="001452C5" w:rsidRPr="00D86314">
        <w:rPr>
          <w:noProof/>
        </w:rPr>
        <w:fldChar w:fldCharType="separate"/>
      </w:r>
      <w:r w:rsidR="00870CA9" w:rsidRPr="00D86314">
        <w:rPr>
          <w:b/>
          <w:bCs/>
          <w:noProof/>
        </w:rPr>
        <w:t>Universal Service Obligation</w:t>
      </w:r>
    </w:p>
    <w:p w14:paraId="681F46C2" w14:textId="6C69931A" w:rsidR="001452C5" w:rsidRPr="00D86314" w:rsidRDefault="00870CA9" w:rsidP="00C34A5D">
      <w:pPr>
        <w:rPr>
          <w:noProof/>
        </w:rPr>
      </w:pPr>
      <w:r w:rsidRPr="00D86314">
        <w:rPr>
          <w:noProof/>
          <w:sz w:val="22"/>
          <w:szCs w:val="22"/>
        </w:rPr>
        <w:t>Table A4 1</w:t>
      </w:r>
      <w:r w:rsidRPr="00D86314">
        <w:rPr>
          <w:noProof/>
          <w:sz w:val="22"/>
          <w:szCs w:val="22"/>
        </w:rPr>
        <w:noBreakHyphen/>
        <w:t>17</w:t>
      </w:r>
      <w:r w:rsidR="001452C5" w:rsidRPr="00D86314">
        <w:rPr>
          <w:noProof/>
        </w:rPr>
        <w:fldChar w:fldCharType="end"/>
      </w:r>
      <w:r w:rsidR="009C7A2E">
        <w:rPr>
          <w:noProof/>
        </w:rPr>
        <w:t xml:space="preserve"> </w:t>
      </w:r>
      <w:r w:rsidR="001452C5" w:rsidRPr="00D86314">
        <w:rPr>
          <w:noProof/>
        </w:rPr>
        <w:t xml:space="preserve">shows the estimated GHG emissions for the various options, including those for USO. Affordability measures targeting low-income households or individuals with specific social needs are expected to increase gigabit broadband adoption under Options </w:t>
      </w:r>
      <w:bookmarkEnd w:id="122"/>
      <w:r w:rsidR="001452C5" w:rsidRPr="00D86314">
        <w:rPr>
          <w:noProof/>
        </w:rPr>
        <w:t xml:space="preserve">2 and 4. </w:t>
      </w:r>
    </w:p>
    <w:p w14:paraId="12EA6183" w14:textId="14486A28" w:rsidR="001452C5" w:rsidRPr="00D86314" w:rsidRDefault="001452C5" w:rsidP="0026458F">
      <w:pPr>
        <w:pStyle w:val="Caption"/>
        <w:keepNext/>
        <w:keepLines/>
        <w:ind w:left="2160" w:hanging="2160"/>
        <w:rPr>
          <w:noProof/>
          <w:color w:val="auto"/>
          <w:sz w:val="22"/>
          <w:szCs w:val="22"/>
        </w:rPr>
      </w:pPr>
      <w:bookmarkStart w:id="123" w:name="_Ref219466459"/>
      <w:r w:rsidRPr="00D86314">
        <w:rPr>
          <w:noProof/>
          <w:color w:val="auto"/>
          <w:sz w:val="22"/>
          <w:szCs w:val="22"/>
        </w:rPr>
        <w:t xml:space="preserve">Figure </w:t>
      </w:r>
      <w:r w:rsidR="00C34A5D" w:rsidRPr="00D86314">
        <w:rPr>
          <w:noProof/>
          <w:color w:val="auto"/>
          <w:sz w:val="22"/>
          <w:szCs w:val="22"/>
        </w:rPr>
        <w:t>A4 1</w:t>
      </w:r>
      <w:r w:rsidR="005B5146">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SEQ Figure \* ARABIC \s 1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bookmarkEnd w:id="123"/>
      <w:r w:rsidR="00596077">
        <w:rPr>
          <w:noProof/>
          <w:color w:val="auto"/>
          <w:sz w:val="22"/>
          <w:szCs w:val="22"/>
        </w:rPr>
        <w:t>9</w:t>
      </w:r>
      <w:r w:rsidRPr="00D86314">
        <w:rPr>
          <w:noProof/>
          <w:color w:val="auto"/>
          <w:sz w:val="22"/>
          <w:szCs w:val="22"/>
        </w:rPr>
        <w:t>:Electricity intensity (in kWh/GB) by option including USO (projections up to 2035)</w:t>
      </w:r>
    </w:p>
    <w:p w14:paraId="44AB9AAF" w14:textId="77777777" w:rsidR="001452C5" w:rsidRPr="00D86314" w:rsidRDefault="001452C5" w:rsidP="001452C5">
      <w:pPr>
        <w:rPr>
          <w:noProof/>
        </w:rPr>
      </w:pPr>
      <w:r w:rsidRPr="00E46BC9">
        <w:rPr>
          <w:noProof/>
          <w:lang w:eastAsia="en-GB"/>
        </w:rPr>
        <w:drawing>
          <wp:inline distT="0" distB="0" distL="0" distR="0" wp14:anchorId="4CD6A809" wp14:editId="0E40091B">
            <wp:extent cx="5636049" cy="3576016"/>
            <wp:effectExtent l="0" t="0" r="3175" b="5715"/>
            <wp:docPr id="18906181" name="Grafik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181" name="Grafik 1" descr="A graph of different colored lines&#10;&#10;AI-generated content may be incorrec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54112" cy="3587477"/>
                    </a:xfrm>
                    <a:prstGeom prst="rect">
                      <a:avLst/>
                    </a:prstGeom>
                    <a:noFill/>
                  </pic:spPr>
                </pic:pic>
              </a:graphicData>
            </a:graphic>
          </wp:inline>
        </w:drawing>
      </w:r>
    </w:p>
    <w:p w14:paraId="0659F8FB" w14:textId="77777777" w:rsidR="001452C5" w:rsidRPr="00D86314" w:rsidRDefault="001452C5" w:rsidP="001452C5">
      <w:pPr>
        <w:pStyle w:val="Quelle"/>
        <w:rPr>
          <w:rFonts w:ascii="Times New Roman" w:hAnsi="Times New Roman"/>
          <w:noProof/>
        </w:rPr>
      </w:pPr>
      <w:r w:rsidRPr="00D86314">
        <w:rPr>
          <w:rFonts w:ascii="Times New Roman" w:hAnsi="Times New Roman"/>
          <w:noProof/>
        </w:rPr>
        <w:t>Source: WIK-Consult</w:t>
      </w:r>
    </w:p>
    <w:p w14:paraId="44B15AA6" w14:textId="333A2923" w:rsidR="001452C5" w:rsidRPr="00D86314" w:rsidRDefault="001452C5" w:rsidP="001452C5">
      <w:pPr>
        <w:rPr>
          <w:noProof/>
        </w:rPr>
      </w:pPr>
      <w:r w:rsidRPr="00D86314">
        <w:rPr>
          <w:noProof/>
        </w:rPr>
        <w:t>As shown in</w:t>
      </w:r>
      <w:r w:rsidR="001F1676">
        <w:rPr>
          <w:noProof/>
        </w:rPr>
        <w:t xml:space="preserve"> </w:t>
      </w:r>
      <w:r w:rsidR="001F1676" w:rsidRPr="001F1676">
        <w:rPr>
          <w:noProof/>
        </w:rPr>
        <w:fldChar w:fldCharType="begin"/>
      </w:r>
      <w:r w:rsidR="001F1676" w:rsidRPr="001F1676">
        <w:rPr>
          <w:noProof/>
        </w:rPr>
        <w:instrText xml:space="preserve"> REF _Ref219466459 \h </w:instrText>
      </w:r>
      <w:r w:rsidR="001F1676">
        <w:rPr>
          <w:noProof/>
        </w:rPr>
        <w:instrText xml:space="preserve"> \* MERGEFORMAT </w:instrText>
      </w:r>
      <w:r w:rsidR="001F1676" w:rsidRPr="001F1676">
        <w:rPr>
          <w:noProof/>
        </w:rPr>
      </w:r>
      <w:r w:rsidR="001F1676" w:rsidRPr="001F1676">
        <w:rPr>
          <w:noProof/>
        </w:rPr>
        <w:fldChar w:fldCharType="separate"/>
      </w:r>
      <w:r w:rsidR="001F1676" w:rsidRPr="00C20A01">
        <w:rPr>
          <w:noProof/>
        </w:rPr>
        <w:t>Figure A4 1</w:t>
      </w:r>
      <w:r w:rsidR="001F1676" w:rsidRPr="00C20A01">
        <w:rPr>
          <w:noProof/>
        </w:rPr>
        <w:noBreakHyphen/>
        <w:t>2</w:t>
      </w:r>
      <w:r w:rsidR="001F1676" w:rsidRPr="001F1676">
        <w:rPr>
          <w:noProof/>
        </w:rPr>
        <w:fldChar w:fldCharType="end"/>
      </w:r>
      <w:r w:rsidR="00596077">
        <w:rPr>
          <w:noProof/>
        </w:rPr>
        <w:t>9</w:t>
      </w:r>
      <w:r w:rsidRPr="00D86314">
        <w:rPr>
          <w:noProof/>
        </w:rPr>
        <w:t xml:space="preserve">, </w:t>
      </w:r>
      <w:r w:rsidR="00241E9B" w:rsidRPr="00D86314">
        <w:rPr>
          <w:noProof/>
        </w:rPr>
        <w:t>o</w:t>
      </w:r>
      <w:r w:rsidRPr="00D86314">
        <w:rPr>
          <w:noProof/>
        </w:rPr>
        <w:t>ption 2 leads to significant reductions in the electricity intensity of data traffic, from 0.177kWh per GB to 0.037 kWh per GB (this is 22% lower than the electricity intensity under the status quo in 2035). The impact of USO on electricity efficiency is limited.</w:t>
      </w:r>
    </w:p>
    <w:p w14:paraId="4E0BAD2B" w14:textId="2E7CCBFE" w:rsidR="00081AD7" w:rsidRPr="00D86314" w:rsidRDefault="00081AD7" w:rsidP="00703057">
      <w:pPr>
        <w:pStyle w:val="Heading4"/>
        <w:rPr>
          <w:noProof/>
        </w:rPr>
      </w:pPr>
      <w:r w:rsidRPr="00D86314">
        <w:rPr>
          <w:noProof/>
        </w:rPr>
        <w:t>Sensitivity analysis of data consumption</w:t>
      </w:r>
    </w:p>
    <w:p w14:paraId="30FF3CBD" w14:textId="49ED1249" w:rsidR="00081AD7" w:rsidRPr="00D86314" w:rsidRDefault="00081AD7" w:rsidP="00703057">
      <w:pPr>
        <w:rPr>
          <w:noProof/>
        </w:rPr>
      </w:pPr>
      <w:r w:rsidRPr="00D86314">
        <w:rPr>
          <w:noProof/>
        </w:rPr>
        <w:t>The impact of options on data consumption was also quantified for the scenario in which the growth in data consumption on fibre networks is not related to speed increase and in which data consumption grows at a slower pace after CSO in 2030. The difference in data consumption between the options under such an assumption would be related to differences in the technology mix. Overall</w:t>
      </w:r>
      <w:r w:rsidR="009E62A0" w:rsidRPr="00D86314">
        <w:rPr>
          <w:noProof/>
        </w:rPr>
        <w:t>,</w:t>
      </w:r>
      <w:r w:rsidRPr="00D86314">
        <w:rPr>
          <w:noProof/>
        </w:rPr>
        <w:t xml:space="preserve"> there would be a lower level of data consumption due to the smaller increase in average data consumption per subscriber per technology.</w:t>
      </w:r>
    </w:p>
    <w:p w14:paraId="4AC9EAA3" w14:textId="0F511924" w:rsidR="00081AD7" w:rsidRPr="00D86314" w:rsidRDefault="00081AD7" w:rsidP="00703057">
      <w:pPr>
        <w:rPr>
          <w:noProof/>
        </w:rPr>
      </w:pPr>
      <w:r w:rsidRPr="00D86314">
        <w:rPr>
          <w:noProof/>
        </w:rPr>
        <w:t>As the CO2 emissions are calculated based on the technology mix, a different scenario for the data consumption would not impact the accumulated CO2 emissions. However, the data consumption would be lower in all options and as shown in the table below.</w:t>
      </w:r>
    </w:p>
    <w:p w14:paraId="3F3B5019" w14:textId="5948E401" w:rsidR="00081AD7" w:rsidRPr="00D86314" w:rsidRDefault="00C34A5D" w:rsidP="00271373">
      <w:pPr>
        <w:keepNext/>
        <w:rPr>
          <w:noProof/>
          <w:sz w:val="22"/>
          <w:szCs w:val="22"/>
        </w:rPr>
      </w:pPr>
      <w:r w:rsidRPr="00D86314">
        <w:rPr>
          <w:noProof/>
          <w:sz w:val="22"/>
          <w:szCs w:val="22"/>
        </w:rPr>
        <w:t>Table A4 1</w:t>
      </w:r>
      <w:r w:rsidRPr="00D86314">
        <w:rPr>
          <w:noProof/>
          <w:sz w:val="22"/>
          <w:szCs w:val="22"/>
        </w:rPr>
        <w:noBreakHyphen/>
      </w:r>
      <w:r w:rsidR="00CE1FA9" w:rsidRPr="00D86314">
        <w:rPr>
          <w:noProof/>
          <w:sz w:val="22"/>
          <w:szCs w:val="22"/>
        </w:rPr>
        <w:t>18</w:t>
      </w:r>
      <w:r w:rsidR="00081AD7" w:rsidRPr="00D86314">
        <w:rPr>
          <w:noProof/>
          <w:sz w:val="22"/>
          <w:szCs w:val="22"/>
        </w:rPr>
        <w:t>:</w:t>
      </w:r>
      <w:r w:rsidR="00044538" w:rsidRPr="00D86314">
        <w:rPr>
          <w:noProof/>
          <w:sz w:val="22"/>
          <w:szCs w:val="22"/>
        </w:rPr>
        <w:t xml:space="preserve"> </w:t>
      </w:r>
      <w:r w:rsidR="00081AD7" w:rsidRPr="00D86314">
        <w:rPr>
          <w:noProof/>
          <w:sz w:val="22"/>
          <w:szCs w:val="22"/>
        </w:rPr>
        <w:t>quantified data consumption with lower growth and no link between access speeds and data consumption</w:t>
      </w:r>
    </w:p>
    <w:tbl>
      <w:tblPr>
        <w:tblStyle w:val="GridTable1Light-Accent1"/>
        <w:tblW w:w="8931" w:type="dxa"/>
        <w:tblLook w:val="04A0" w:firstRow="1" w:lastRow="0" w:firstColumn="1" w:lastColumn="0" w:noHBand="0" w:noVBand="1"/>
      </w:tblPr>
      <w:tblGrid>
        <w:gridCol w:w="2246"/>
        <w:gridCol w:w="1337"/>
        <w:gridCol w:w="1337"/>
        <w:gridCol w:w="1337"/>
        <w:gridCol w:w="1337"/>
        <w:gridCol w:w="1337"/>
      </w:tblGrid>
      <w:tr w:rsidR="00081AD7" w:rsidRPr="00D86314" w14:paraId="18607D39" w14:textId="77777777" w:rsidTr="007030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17CA399" w14:textId="77777777" w:rsidR="00081AD7" w:rsidRPr="00D86314" w:rsidRDefault="00081AD7">
            <w:pPr>
              <w:spacing w:after="160" w:line="259" w:lineRule="auto"/>
              <w:jc w:val="center"/>
              <w:rPr>
                <w:rFonts w:ascii="Calibri" w:hAnsi="Calibri"/>
                <w:noProof/>
                <w:kern w:val="2"/>
              </w:rPr>
            </w:pPr>
          </w:p>
        </w:tc>
        <w:tc>
          <w:tcPr>
            <w:tcW w:w="0" w:type="dxa"/>
          </w:tcPr>
          <w:p w14:paraId="059D2098" w14:textId="77777777" w:rsidR="00081AD7" w:rsidRPr="00D86314" w:rsidRDefault="00081AD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0</w:t>
            </w:r>
          </w:p>
        </w:tc>
        <w:tc>
          <w:tcPr>
            <w:tcW w:w="0" w:type="dxa"/>
          </w:tcPr>
          <w:p w14:paraId="77F80BEE" w14:textId="77777777" w:rsidR="00081AD7" w:rsidRPr="00D86314" w:rsidRDefault="00081AD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1</w:t>
            </w:r>
          </w:p>
        </w:tc>
        <w:tc>
          <w:tcPr>
            <w:tcW w:w="0" w:type="dxa"/>
          </w:tcPr>
          <w:p w14:paraId="01EEA9D1" w14:textId="77777777" w:rsidR="00081AD7" w:rsidRPr="00D86314" w:rsidRDefault="00081AD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2</w:t>
            </w:r>
          </w:p>
        </w:tc>
        <w:tc>
          <w:tcPr>
            <w:tcW w:w="0" w:type="dxa"/>
          </w:tcPr>
          <w:p w14:paraId="3BF5703F" w14:textId="77777777" w:rsidR="00081AD7" w:rsidRPr="00D86314" w:rsidRDefault="00081AD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3</w:t>
            </w:r>
          </w:p>
        </w:tc>
        <w:tc>
          <w:tcPr>
            <w:tcW w:w="0" w:type="dxa"/>
          </w:tcPr>
          <w:p w14:paraId="51DFF901" w14:textId="77777777" w:rsidR="00081AD7" w:rsidRPr="00D86314" w:rsidRDefault="00081AD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Option 4</w:t>
            </w:r>
          </w:p>
        </w:tc>
      </w:tr>
      <w:tr w:rsidR="00081AD7" w:rsidRPr="00D86314" w14:paraId="6B921D71" w14:textId="77777777" w:rsidTr="00703057">
        <w:tc>
          <w:tcPr>
            <w:cnfStyle w:val="001000000000" w:firstRow="0" w:lastRow="0" w:firstColumn="1" w:lastColumn="0" w:oddVBand="0" w:evenVBand="0" w:oddHBand="0" w:evenHBand="0" w:firstRowFirstColumn="0" w:firstRowLastColumn="0" w:lastRowFirstColumn="0" w:lastRowLastColumn="0"/>
            <w:tcW w:w="0" w:type="dxa"/>
          </w:tcPr>
          <w:p w14:paraId="48B0AFB9" w14:textId="77777777" w:rsidR="00081AD7" w:rsidRPr="00D86314" w:rsidRDefault="00081AD7">
            <w:pPr>
              <w:spacing w:after="160" w:line="259" w:lineRule="auto"/>
              <w:jc w:val="left"/>
              <w:rPr>
                <w:rFonts w:ascii="Calibri" w:hAnsi="Calibri" w:cs="Calibri"/>
                <w:noProof/>
                <w:color w:val="000000"/>
              </w:rPr>
            </w:pPr>
            <w:r w:rsidRPr="00D86314">
              <w:rPr>
                <w:rFonts w:ascii="Calibri" w:hAnsi="Calibri" w:cs="Calibri"/>
                <w:noProof/>
                <w:color w:val="000000"/>
              </w:rPr>
              <w:t>Data consumption not speed related and with slower growth</w:t>
            </w:r>
          </w:p>
        </w:tc>
        <w:tc>
          <w:tcPr>
            <w:tcW w:w="0" w:type="dxa"/>
          </w:tcPr>
          <w:p w14:paraId="3D523901"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rPr>
              <w:t>223</w:t>
            </w:r>
          </w:p>
        </w:tc>
        <w:tc>
          <w:tcPr>
            <w:tcW w:w="0" w:type="dxa"/>
          </w:tcPr>
          <w:p w14:paraId="1661AB51"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rPr>
              <w:t xml:space="preserve">240 </w:t>
            </w:r>
          </w:p>
        </w:tc>
        <w:tc>
          <w:tcPr>
            <w:tcW w:w="0" w:type="dxa"/>
          </w:tcPr>
          <w:p w14:paraId="3BF5EEA2"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rPr>
              <w:t xml:space="preserve">261 </w:t>
            </w:r>
          </w:p>
        </w:tc>
        <w:tc>
          <w:tcPr>
            <w:tcW w:w="0" w:type="dxa"/>
          </w:tcPr>
          <w:p w14:paraId="64D09D22"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cs="Calibri"/>
                <w:noProof/>
                <w:color w:val="000000"/>
              </w:rPr>
              <w:t xml:space="preserve">207 </w:t>
            </w:r>
          </w:p>
        </w:tc>
        <w:tc>
          <w:tcPr>
            <w:tcW w:w="0" w:type="dxa"/>
          </w:tcPr>
          <w:p w14:paraId="32290ADA"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258</w:t>
            </w:r>
          </w:p>
        </w:tc>
      </w:tr>
      <w:tr w:rsidR="00081AD7" w:rsidRPr="00D86314" w14:paraId="456F37E0" w14:textId="77777777" w:rsidTr="00703057">
        <w:tc>
          <w:tcPr>
            <w:cnfStyle w:val="001000000000" w:firstRow="0" w:lastRow="0" w:firstColumn="1" w:lastColumn="0" w:oddVBand="0" w:evenVBand="0" w:oddHBand="0" w:evenHBand="0" w:firstRowFirstColumn="0" w:firstRowLastColumn="0" w:lastRowFirstColumn="0" w:lastRowLastColumn="0"/>
            <w:tcW w:w="0" w:type="dxa"/>
          </w:tcPr>
          <w:p w14:paraId="5F80667E" w14:textId="77777777" w:rsidR="00081AD7" w:rsidRPr="00D86314" w:rsidRDefault="00081AD7">
            <w:pPr>
              <w:spacing w:after="160" w:line="259" w:lineRule="auto"/>
              <w:jc w:val="left"/>
              <w:rPr>
                <w:rFonts w:ascii="Calibri" w:hAnsi="Calibri" w:cs="Calibri"/>
                <w:noProof/>
                <w:color w:val="000000"/>
              </w:rPr>
            </w:pPr>
            <w:r w:rsidRPr="00D86314">
              <w:rPr>
                <w:rFonts w:ascii="Calibri" w:hAnsi="Calibri" w:cs="Calibri"/>
                <w:noProof/>
                <w:color w:val="000000"/>
              </w:rPr>
              <w:t>Delta to speed related data consumption with strong growth</w:t>
            </w:r>
          </w:p>
        </w:tc>
        <w:tc>
          <w:tcPr>
            <w:tcW w:w="0" w:type="dxa"/>
          </w:tcPr>
          <w:p w14:paraId="5BE8E615"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-54</w:t>
            </w:r>
          </w:p>
        </w:tc>
        <w:tc>
          <w:tcPr>
            <w:tcW w:w="0" w:type="dxa"/>
          </w:tcPr>
          <w:p w14:paraId="10CFAC91"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-70</w:t>
            </w:r>
          </w:p>
        </w:tc>
        <w:tc>
          <w:tcPr>
            <w:tcW w:w="0" w:type="dxa"/>
          </w:tcPr>
          <w:p w14:paraId="0A1BF099"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-96</w:t>
            </w:r>
          </w:p>
        </w:tc>
        <w:tc>
          <w:tcPr>
            <w:tcW w:w="0" w:type="dxa"/>
          </w:tcPr>
          <w:p w14:paraId="6CE9E0B7"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-49</w:t>
            </w:r>
          </w:p>
        </w:tc>
        <w:tc>
          <w:tcPr>
            <w:tcW w:w="0" w:type="dxa"/>
          </w:tcPr>
          <w:p w14:paraId="635EC317"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-74</w:t>
            </w:r>
          </w:p>
        </w:tc>
      </w:tr>
      <w:tr w:rsidR="00081AD7" w:rsidRPr="00D86314" w14:paraId="4E175753" w14:textId="77777777" w:rsidTr="00703057">
        <w:tc>
          <w:tcPr>
            <w:cnfStyle w:val="001000000000" w:firstRow="0" w:lastRow="0" w:firstColumn="1" w:lastColumn="0" w:oddVBand="0" w:evenVBand="0" w:oddHBand="0" w:evenHBand="0" w:firstRowFirstColumn="0" w:firstRowLastColumn="0" w:lastRowFirstColumn="0" w:lastRowLastColumn="0"/>
            <w:tcW w:w="0" w:type="dxa"/>
          </w:tcPr>
          <w:p w14:paraId="56BF6324" w14:textId="77777777" w:rsidR="00081AD7" w:rsidRPr="00D86314" w:rsidRDefault="00081AD7">
            <w:pPr>
              <w:spacing w:after="160" w:line="259" w:lineRule="auto"/>
              <w:jc w:val="left"/>
              <w:rPr>
                <w:rFonts w:ascii="Calibri" w:hAnsi="Calibri" w:cs="Calibri"/>
                <w:noProof/>
                <w:color w:val="000000"/>
              </w:rPr>
            </w:pPr>
            <w:r w:rsidRPr="00D86314">
              <w:rPr>
                <w:rFonts w:ascii="Calibri" w:hAnsi="Calibri" w:cs="Calibri"/>
                <w:noProof/>
                <w:color w:val="000000"/>
              </w:rPr>
              <w:t>In %</w:t>
            </w:r>
          </w:p>
        </w:tc>
        <w:tc>
          <w:tcPr>
            <w:tcW w:w="0" w:type="dxa"/>
          </w:tcPr>
          <w:p w14:paraId="074B42F5"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19%</w:t>
            </w:r>
          </w:p>
        </w:tc>
        <w:tc>
          <w:tcPr>
            <w:tcW w:w="0" w:type="dxa"/>
          </w:tcPr>
          <w:p w14:paraId="6D54738A"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22%</w:t>
            </w:r>
          </w:p>
        </w:tc>
        <w:tc>
          <w:tcPr>
            <w:tcW w:w="0" w:type="dxa"/>
          </w:tcPr>
          <w:p w14:paraId="5BE15A5C"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27%</w:t>
            </w:r>
          </w:p>
        </w:tc>
        <w:tc>
          <w:tcPr>
            <w:tcW w:w="0" w:type="dxa"/>
          </w:tcPr>
          <w:p w14:paraId="6F54648B"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rPr>
            </w:pPr>
            <w:r w:rsidRPr="00D86314">
              <w:rPr>
                <w:rFonts w:ascii="Calibri" w:hAnsi="Calibri" w:cs="Calibri"/>
                <w:noProof/>
                <w:color w:val="000000"/>
              </w:rPr>
              <w:t>19%</w:t>
            </w:r>
          </w:p>
        </w:tc>
        <w:tc>
          <w:tcPr>
            <w:tcW w:w="0" w:type="dxa"/>
          </w:tcPr>
          <w:p w14:paraId="13A222A2" w14:textId="77777777" w:rsidR="00081AD7" w:rsidRPr="00D86314" w:rsidRDefault="00081AD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noProof/>
                <w:kern w:val="2"/>
              </w:rPr>
            </w:pPr>
            <w:r w:rsidRPr="00D86314">
              <w:rPr>
                <w:rFonts w:ascii="Calibri" w:hAnsi="Calibri"/>
                <w:noProof/>
                <w:kern w:val="2"/>
              </w:rPr>
              <w:t>22%</w:t>
            </w:r>
          </w:p>
        </w:tc>
      </w:tr>
    </w:tbl>
    <w:p w14:paraId="707DE703" w14:textId="77777777" w:rsidR="00081AD7" w:rsidRPr="00D86314" w:rsidRDefault="00081AD7" w:rsidP="00081AD7">
      <w:pPr>
        <w:spacing w:before="120" w:after="360"/>
        <w:ind w:left="709" w:hanging="709"/>
        <w:jc w:val="left"/>
        <w:rPr>
          <w:rFonts w:eastAsia="Calibri"/>
          <w:noProof/>
          <w:kern w:val="2"/>
          <w:sz w:val="18"/>
          <w:szCs w:val="22"/>
          <w14:ligatures w14:val="standardContextual"/>
        </w:rPr>
      </w:pPr>
      <w:r w:rsidRPr="00D86314">
        <w:rPr>
          <w:rFonts w:eastAsia="Calibri"/>
          <w:noProof/>
          <w:kern w:val="2"/>
          <w:sz w:val="18"/>
          <w:szCs w:val="22"/>
          <w14:ligatures w14:val="standardContextual"/>
        </w:rPr>
        <w:t>Source: WIK.</w:t>
      </w:r>
    </w:p>
    <w:p w14:paraId="29145275" w14:textId="77777777" w:rsidR="00081AD7" w:rsidRPr="00D86314" w:rsidRDefault="00081AD7" w:rsidP="00081AD7">
      <w:pPr>
        <w:rPr>
          <w:b/>
          <w:noProof/>
        </w:rPr>
      </w:pPr>
      <w:r w:rsidRPr="00D86314">
        <w:rPr>
          <w:b/>
          <w:noProof/>
        </w:rPr>
        <w:t>Data consumption</w:t>
      </w:r>
    </w:p>
    <w:p w14:paraId="0BAC096E" w14:textId="77777777" w:rsidR="00081AD7" w:rsidRPr="00D86314" w:rsidRDefault="00081AD7" w:rsidP="00081AD7">
      <w:pPr>
        <w:rPr>
          <w:noProof/>
        </w:rPr>
      </w:pPr>
      <w:r w:rsidRPr="00D86314">
        <w:rPr>
          <w:noProof/>
        </w:rPr>
        <w:t>The calculation of the CO2 emissions per GB for the different options under the different scenario of data consumption is show in the figure below. The CO2e per GB would decrease less under options 2 and 4 if there is no link between speed growth and data consumption and if data consumption would not increase to the same extent. However, options 2 and 4 would still be linked with more environmental benefits in terms of lower CO2 emissions per GB than options 1 and 3 due to the higher share of FTTH in the technology mix.</w:t>
      </w:r>
    </w:p>
    <w:p w14:paraId="61F279E8" w14:textId="146FDA5F" w:rsidR="00081AD7" w:rsidRPr="00D86314" w:rsidRDefault="00C34A5D" w:rsidP="0054751C">
      <w:pPr>
        <w:pStyle w:val="Caption"/>
        <w:keepNext/>
        <w:keepLines/>
        <w:rPr>
          <w:noProof/>
          <w:color w:val="auto"/>
          <w:sz w:val="22"/>
          <w:szCs w:val="22"/>
        </w:rPr>
      </w:pPr>
      <w:r w:rsidRPr="00D86314">
        <w:rPr>
          <w:noProof/>
          <w:color w:val="auto"/>
          <w:sz w:val="22"/>
          <w:szCs w:val="22"/>
        </w:rPr>
        <w:t>Figure A4 1</w:t>
      </w:r>
      <w:r w:rsidR="005B5146">
        <w:rPr>
          <w:noProof/>
          <w:color w:val="auto"/>
          <w:sz w:val="22"/>
          <w:szCs w:val="22"/>
        </w:rPr>
        <w:noBreakHyphen/>
      </w:r>
      <w:r w:rsidR="00596077">
        <w:rPr>
          <w:noProof/>
          <w:color w:val="auto"/>
          <w:sz w:val="22"/>
          <w:szCs w:val="22"/>
        </w:rPr>
        <w:t>30</w:t>
      </w:r>
      <w:r w:rsidR="00081AD7" w:rsidRPr="00D86314">
        <w:rPr>
          <w:noProof/>
          <w:color w:val="auto"/>
          <w:sz w:val="22"/>
          <w:szCs w:val="22"/>
        </w:rPr>
        <w:t>:</w:t>
      </w:r>
      <w:r w:rsidR="0026458F" w:rsidRPr="00D86314">
        <w:rPr>
          <w:noProof/>
          <w:color w:val="auto"/>
          <w:sz w:val="22"/>
          <w:szCs w:val="22"/>
        </w:rPr>
        <w:t xml:space="preserve"> </w:t>
      </w:r>
      <w:r w:rsidR="00081AD7" w:rsidRPr="00D86314">
        <w:rPr>
          <w:noProof/>
          <w:color w:val="auto"/>
          <w:sz w:val="22"/>
          <w:szCs w:val="22"/>
        </w:rPr>
        <w:t>Emissions per GB (in t CO2e) by option (projections to 2035)</w:t>
      </w:r>
    </w:p>
    <w:p w14:paraId="2E3B94EC" w14:textId="77777777" w:rsidR="00081AD7" w:rsidRPr="00D86314" w:rsidRDefault="00081AD7" w:rsidP="00081AD7">
      <w:pPr>
        <w:rPr>
          <w:noProof/>
        </w:rPr>
      </w:pPr>
      <w:r w:rsidRPr="00E46BC9">
        <w:rPr>
          <w:noProof/>
          <w:lang w:eastAsia="en-GB"/>
        </w:rPr>
        <w:drawing>
          <wp:inline distT="0" distB="0" distL="0" distR="0" wp14:anchorId="0FF167DA" wp14:editId="06EB5C49">
            <wp:extent cx="5504180" cy="2582969"/>
            <wp:effectExtent l="0" t="0" r="1270" b="8255"/>
            <wp:docPr id="142922204" name="Grafik 5" descr="Ein Bild, das Text, Screensho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2204" name="Grafik 5" descr="Ein Bild, das Text, Screenshot, Reihe, Diagramm enthält.&#10;&#10;KI-generierte Inhalte können fehlerhaft sein."/>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25762" cy="2593097"/>
                    </a:xfrm>
                    <a:prstGeom prst="rect">
                      <a:avLst/>
                    </a:prstGeom>
                    <a:noFill/>
                  </pic:spPr>
                </pic:pic>
              </a:graphicData>
            </a:graphic>
          </wp:inline>
        </w:drawing>
      </w:r>
    </w:p>
    <w:p w14:paraId="3ECCDAD5" w14:textId="77777777" w:rsidR="00081AD7" w:rsidRPr="00D86314" w:rsidRDefault="00081AD7" w:rsidP="00081AD7">
      <w:pPr>
        <w:pStyle w:val="Quelle"/>
        <w:rPr>
          <w:rFonts w:ascii="Times New Roman" w:hAnsi="Times New Roman"/>
          <w:noProof/>
        </w:rPr>
      </w:pPr>
      <w:r w:rsidRPr="00D86314">
        <w:rPr>
          <w:rFonts w:ascii="Times New Roman" w:hAnsi="Times New Roman"/>
          <w:noProof/>
        </w:rPr>
        <w:t>Source: WIK-Consult</w:t>
      </w:r>
    </w:p>
    <w:p w14:paraId="53F3E097" w14:textId="77777777" w:rsidR="00081AD7" w:rsidRPr="00D86314" w:rsidRDefault="00081AD7" w:rsidP="00081AD7">
      <w:pPr>
        <w:rPr>
          <w:b/>
          <w:noProof/>
        </w:rPr>
      </w:pPr>
      <w:r w:rsidRPr="00D86314">
        <w:rPr>
          <w:b/>
          <w:bCs/>
          <w:noProof/>
        </w:rPr>
        <w:t>Electricity intensity</w:t>
      </w:r>
    </w:p>
    <w:p w14:paraId="4DFBD812" w14:textId="072114E7" w:rsidR="00081AD7" w:rsidRPr="00D86314" w:rsidRDefault="00081AD7" w:rsidP="00081AD7">
      <w:pPr>
        <w:rPr>
          <w:noProof/>
        </w:rPr>
      </w:pPr>
      <w:r w:rsidRPr="00D86314">
        <w:rPr>
          <w:noProof/>
        </w:rPr>
        <w:t>In this scenario for data consumption results show a reduction in electricity intensity for data traffic, from around 0.18</w:t>
      </w:r>
      <w:r w:rsidR="00F53F9A">
        <w:rPr>
          <w:noProof/>
        </w:rPr>
        <w:t> </w:t>
      </w:r>
      <w:r w:rsidRPr="00D86314">
        <w:rPr>
          <w:noProof/>
        </w:rPr>
        <w:t>kWh per GB to 0.05</w:t>
      </w:r>
      <w:r w:rsidR="00F53F9A">
        <w:rPr>
          <w:noProof/>
        </w:rPr>
        <w:t> </w:t>
      </w:r>
      <w:r w:rsidRPr="00D86314">
        <w:rPr>
          <w:noProof/>
        </w:rPr>
        <w:t>kWh/GB under option 2, this is less 0.02 kWh/GB than assuming speed related and stronger growth for data consumption. Option 2 shows a reduction of around 71% from 2025 to 2035. With an electricity intensity that is 14% lower in Option</w:t>
      </w:r>
      <w:r w:rsidR="00F32F44" w:rsidRPr="00D86314">
        <w:rPr>
          <w:noProof/>
        </w:rPr>
        <w:t xml:space="preserve"> </w:t>
      </w:r>
      <w:r w:rsidRPr="00D86314">
        <w:rPr>
          <w:noProof/>
        </w:rPr>
        <w:t xml:space="preserve">2 compared to the status quo scenario (in the other data consumption scenario it was 22% lower). </w:t>
      </w:r>
    </w:p>
    <w:p w14:paraId="519D14DD" w14:textId="76B47250" w:rsidR="00081AD7" w:rsidRPr="00D86314" w:rsidRDefault="00C34A5D" w:rsidP="0054751C">
      <w:pPr>
        <w:pStyle w:val="Caption"/>
        <w:keepNext/>
        <w:keepLines/>
        <w:rPr>
          <w:noProof/>
          <w:color w:val="auto"/>
          <w:sz w:val="22"/>
          <w:szCs w:val="22"/>
        </w:rPr>
      </w:pPr>
      <w:r w:rsidRPr="00D86314">
        <w:rPr>
          <w:noProof/>
          <w:color w:val="auto"/>
          <w:sz w:val="22"/>
          <w:szCs w:val="22"/>
        </w:rPr>
        <w:t>Figure A4 1</w:t>
      </w:r>
      <w:r w:rsidR="00541B44">
        <w:rPr>
          <w:noProof/>
          <w:color w:val="auto"/>
          <w:sz w:val="22"/>
          <w:szCs w:val="22"/>
        </w:rPr>
        <w:t>-</w:t>
      </w:r>
      <w:r w:rsidR="00044538" w:rsidRPr="00D86314">
        <w:rPr>
          <w:noProof/>
          <w:color w:val="auto"/>
          <w:sz w:val="22"/>
          <w:szCs w:val="22"/>
        </w:rPr>
        <w:t>31</w:t>
      </w:r>
      <w:r w:rsidR="00081AD7" w:rsidRPr="00D86314">
        <w:rPr>
          <w:noProof/>
          <w:color w:val="auto"/>
          <w:sz w:val="22"/>
          <w:szCs w:val="22"/>
        </w:rPr>
        <w:t>:Electricity intensity (in kWh/GB) by option (projections to 2035)</w:t>
      </w:r>
    </w:p>
    <w:p w14:paraId="12363276" w14:textId="77777777" w:rsidR="00081AD7" w:rsidRPr="00D86314" w:rsidRDefault="00081AD7" w:rsidP="00081AD7">
      <w:pPr>
        <w:rPr>
          <w:noProof/>
        </w:rPr>
      </w:pPr>
      <w:r w:rsidRPr="00E46BC9">
        <w:rPr>
          <w:noProof/>
          <w:lang w:eastAsia="en-GB"/>
        </w:rPr>
        <w:drawing>
          <wp:inline distT="0" distB="0" distL="0" distR="0" wp14:anchorId="4E97ACBB" wp14:editId="70A86303">
            <wp:extent cx="5232179" cy="3075019"/>
            <wp:effectExtent l="0" t="0" r="6985" b="0"/>
            <wp:docPr id="524725764" name="Grafik 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25764" name="Grafik 2" descr="A graph of different colored lines&#10;&#10;AI-generated content may be incorrec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36916" cy="3077803"/>
                    </a:xfrm>
                    <a:prstGeom prst="rect">
                      <a:avLst/>
                    </a:prstGeom>
                    <a:noFill/>
                  </pic:spPr>
                </pic:pic>
              </a:graphicData>
            </a:graphic>
          </wp:inline>
        </w:drawing>
      </w:r>
    </w:p>
    <w:p w14:paraId="443A99FB" w14:textId="77777777" w:rsidR="00081AD7" w:rsidRPr="00D86314" w:rsidRDefault="00081AD7" w:rsidP="00081AD7">
      <w:pPr>
        <w:pStyle w:val="Quelle"/>
        <w:rPr>
          <w:noProof/>
        </w:rPr>
      </w:pPr>
      <w:r w:rsidRPr="00D86314">
        <w:rPr>
          <w:noProof/>
        </w:rPr>
        <w:t>Source: WIK-Consult</w:t>
      </w:r>
    </w:p>
    <w:p w14:paraId="1732061B" w14:textId="10A98099" w:rsidR="00081AD7" w:rsidRPr="00D86314" w:rsidRDefault="00081AD7" w:rsidP="00703057">
      <w:pPr>
        <w:pStyle w:val="Heading3"/>
        <w:rPr>
          <w:noProof/>
        </w:rPr>
      </w:pPr>
      <w:bookmarkStart w:id="124" w:name="_Toc214231539"/>
      <w:bookmarkStart w:id="125" w:name="_Toc219718370"/>
      <w:r w:rsidRPr="00D86314">
        <w:rPr>
          <w:noProof/>
        </w:rPr>
        <w:t xml:space="preserve">Fixed </w:t>
      </w:r>
      <w:r w:rsidR="00417396" w:rsidRPr="00D86314">
        <w:rPr>
          <w:noProof/>
        </w:rPr>
        <w:t>network</w:t>
      </w:r>
      <w:r w:rsidRPr="00D86314">
        <w:rPr>
          <w:noProof/>
        </w:rPr>
        <w:t xml:space="preserve"> end-of life</w:t>
      </w:r>
      <w:bookmarkEnd w:id="124"/>
      <w:bookmarkEnd w:id="125"/>
    </w:p>
    <w:p w14:paraId="7520FE11" w14:textId="77777777" w:rsidR="00081AD7" w:rsidRPr="00D86314" w:rsidRDefault="00081AD7" w:rsidP="00081AD7">
      <w:pPr>
        <w:rPr>
          <w:noProof/>
        </w:rPr>
      </w:pPr>
      <w:r w:rsidRPr="00D86314">
        <w:rPr>
          <w:noProof/>
        </w:rPr>
        <w:t>Fibre optic lines generally have a longer lifespan than copper lines due to their greater durability and lower susceptibility to damage or theft. In contrast, copper lines are more frequently recycled due to their high material value and reusability, which mitigates the environmental impact of replacement. As most fibre optic lines have not yet reached the end of their service life, future disposal practices remain uncertain. The situation is quite different for copper networks, which represent valuable raw material reserves for their operating companies following the copper switch-off. Nevertheless, the end-of-life impact of both materials is relatively minor compared to that arising from production, installation and operation.</w:t>
      </w:r>
    </w:p>
    <w:p w14:paraId="0DBFBE3A" w14:textId="2F89145D" w:rsidR="00081AD7" w:rsidRPr="00D86314" w:rsidRDefault="00081AD7" w:rsidP="0054751C">
      <w:pPr>
        <w:spacing w:after="360"/>
        <w:rPr>
          <w:noProof/>
        </w:rPr>
      </w:pPr>
      <w:r w:rsidRPr="00D86314">
        <w:rPr>
          <w:noProof/>
        </w:rPr>
        <w:t>To give an idea of the scope of recycling potential: BT recycled more than 4</w:t>
      </w:r>
      <w:r w:rsidR="00F53F9A">
        <w:rPr>
          <w:noProof/>
        </w:rPr>
        <w:t> </w:t>
      </w:r>
      <w:r w:rsidRPr="00D86314">
        <w:rPr>
          <w:noProof/>
        </w:rPr>
        <w:t>300 tonnes of copper in 2023.</w:t>
      </w:r>
      <w:r w:rsidRPr="00D86314">
        <w:rPr>
          <w:rStyle w:val="FootnoteReference"/>
          <w:noProof/>
        </w:rPr>
        <w:footnoteReference w:id="79"/>
      </w:r>
      <w:r w:rsidRPr="00D86314">
        <w:rPr>
          <w:noProof/>
        </w:rPr>
        <w:t xml:space="preserve"> The company estimates to be able to recover around 200,000 tonnes of copper from their old legacy network through the 2030s. There are estimates that the fully extracted copper networks of BT in UK could be worth up to </w:t>
      </w:r>
      <w:r w:rsidR="00C258DE" w:rsidRPr="00D86314">
        <w:rPr>
          <w:noProof/>
        </w:rPr>
        <w:t>GBP </w:t>
      </w:r>
      <w:r w:rsidRPr="00D86314">
        <w:rPr>
          <w:noProof/>
        </w:rPr>
        <w:t>1.5</w:t>
      </w:r>
      <w:r w:rsidR="00C258DE" w:rsidRPr="00D86314">
        <w:rPr>
          <w:noProof/>
        </w:rPr>
        <w:t xml:space="preserve"> </w:t>
      </w:r>
      <w:r w:rsidRPr="00D86314">
        <w:rPr>
          <w:noProof/>
        </w:rPr>
        <w:t>bn, depending on the fluctuating market prices and costs of extraction.</w:t>
      </w:r>
      <w:r w:rsidRPr="00D86314">
        <w:rPr>
          <w:rStyle w:val="FootnoteReference"/>
          <w:noProof/>
        </w:rPr>
        <w:footnoteReference w:id="80"/>
      </w:r>
      <w:r w:rsidRPr="00D86314">
        <w:rPr>
          <w:noProof/>
        </w:rPr>
        <w:t xml:space="preserve"> TXO, a UK-based engineering firm specialising in the circular economy, estimates that 800</w:t>
      </w:r>
      <w:r w:rsidR="00F53F9A">
        <w:rPr>
          <w:noProof/>
        </w:rPr>
        <w:t> </w:t>
      </w:r>
      <w:r w:rsidRPr="00D86314">
        <w:rPr>
          <w:noProof/>
        </w:rPr>
        <w:t>000 tonnes of copper could be reclaimed from telecommunications networks worldwide over the eight to ten years. Using recycled copper brings causes more than 90% less environmental impact than mining copper.</w:t>
      </w:r>
      <w:r w:rsidRPr="00D86314">
        <w:rPr>
          <w:rStyle w:val="FootnoteReference"/>
          <w:noProof/>
        </w:rPr>
        <w:footnoteReference w:id="81"/>
      </w:r>
      <w:r w:rsidRPr="00D86314">
        <w:rPr>
          <w:noProof/>
        </w:rPr>
        <w:t xml:space="preserve"> Given the high demand for copper for the expansion of electricity grids and the electrification of many sectors, copper prices are expected to remain high or even rise.</w:t>
      </w:r>
    </w:p>
    <w:p w14:paraId="40E4B753" w14:textId="700F9B8D" w:rsidR="00DD6E5D" w:rsidRPr="00D86314" w:rsidRDefault="00E663C3" w:rsidP="0054751C">
      <w:pPr>
        <w:pStyle w:val="Heading2"/>
        <w:spacing w:before="240"/>
        <w:ind w:left="578" w:hanging="578"/>
        <w:rPr>
          <w:bCs/>
          <w:noProof/>
        </w:rPr>
      </w:pPr>
      <w:bookmarkStart w:id="126" w:name="_Toc219718371"/>
      <w:r w:rsidRPr="00D86314">
        <w:rPr>
          <w:noProof/>
        </w:rPr>
        <w:t>M</w:t>
      </w:r>
      <w:r w:rsidR="003C75F6" w:rsidRPr="00D86314">
        <w:rPr>
          <w:noProof/>
        </w:rPr>
        <w:t>ethodolo</w:t>
      </w:r>
      <w:r w:rsidR="002A5E23" w:rsidRPr="00D86314">
        <w:rPr>
          <w:noProof/>
        </w:rPr>
        <w:t>gy for</w:t>
      </w:r>
      <w:r w:rsidRPr="00D86314">
        <w:rPr>
          <w:noProof/>
        </w:rPr>
        <w:t xml:space="preserve"> </w:t>
      </w:r>
      <w:r w:rsidR="0B88F90C" w:rsidRPr="00D86314">
        <w:rPr>
          <w:rFonts w:hint="eastAsia"/>
          <w:noProof/>
        </w:rPr>
        <w:t>e</w:t>
      </w:r>
      <w:r w:rsidR="002A5E23" w:rsidRPr="00D86314">
        <w:rPr>
          <w:noProof/>
        </w:rPr>
        <w:t>stimation</w:t>
      </w:r>
      <w:r w:rsidRPr="00D86314">
        <w:rPr>
          <w:noProof/>
        </w:rPr>
        <w:t xml:space="preserve"> </w:t>
      </w:r>
      <w:r w:rsidR="002A5E23" w:rsidRPr="00D86314">
        <w:rPr>
          <w:noProof/>
        </w:rPr>
        <w:t>of</w:t>
      </w:r>
      <w:r w:rsidRPr="00D86314">
        <w:rPr>
          <w:noProof/>
        </w:rPr>
        <w:t xml:space="preserve"> </w:t>
      </w:r>
      <w:r w:rsidR="5085789E" w:rsidRPr="00D86314">
        <w:rPr>
          <w:rFonts w:hint="eastAsia"/>
          <w:noProof/>
        </w:rPr>
        <w:t>f</w:t>
      </w:r>
      <w:r w:rsidR="002A5E23" w:rsidRPr="00D86314">
        <w:rPr>
          <w:noProof/>
        </w:rPr>
        <w:t>ragmentation costs</w:t>
      </w:r>
      <w:bookmarkEnd w:id="126"/>
    </w:p>
    <w:p w14:paraId="6B6E070B" w14:textId="124FB7BF" w:rsidR="00914462" w:rsidRPr="00D86314" w:rsidRDefault="00914462" w:rsidP="00914462">
      <w:pPr>
        <w:spacing w:after="120"/>
        <w:rPr>
          <w:noProof/>
        </w:rPr>
      </w:pPr>
      <w:r w:rsidRPr="00D86314">
        <w:rPr>
          <w:noProof/>
        </w:rPr>
        <w:t xml:space="preserve">The estimate builds on a model for </w:t>
      </w:r>
      <w:r w:rsidR="00F81936" w:rsidRPr="00D86314">
        <w:rPr>
          <w:noProof/>
        </w:rPr>
        <w:t xml:space="preserve">an </w:t>
      </w:r>
      <w:r w:rsidRPr="00D86314">
        <w:rPr>
          <w:noProof/>
        </w:rPr>
        <w:t>operator with a meaningful physical presence and regulatory footprint in all Member States</w:t>
      </w:r>
      <w:r w:rsidR="00F81936" w:rsidRPr="00D86314">
        <w:rPr>
          <w:noProof/>
        </w:rPr>
        <w:t>, which</w:t>
      </w:r>
      <w:r w:rsidR="00DC4D6F" w:rsidRPr="00D86314">
        <w:rPr>
          <w:noProof/>
        </w:rPr>
        <w:t xml:space="preserve"> </w:t>
      </w:r>
      <w:r w:rsidR="005C1860" w:rsidRPr="00D86314">
        <w:rPr>
          <w:noProof/>
        </w:rPr>
        <w:t>owns a telecom network</w:t>
      </w:r>
      <w:r w:rsidR="005D0DAF" w:rsidRPr="00D86314">
        <w:rPr>
          <w:noProof/>
        </w:rPr>
        <w:t>,</w:t>
      </w:r>
      <w:r w:rsidR="007311E9" w:rsidRPr="00D86314">
        <w:rPr>
          <w:noProof/>
        </w:rPr>
        <w:t xml:space="preserve"> </w:t>
      </w:r>
      <w:r w:rsidR="005C1860" w:rsidRPr="00D86314">
        <w:rPr>
          <w:noProof/>
        </w:rPr>
        <w:t>hosts its own numbers and delivers voice and data services.</w:t>
      </w:r>
    </w:p>
    <w:p w14:paraId="25476A72" w14:textId="7EC10DCD" w:rsidR="203BDFCB" w:rsidRPr="00D86314" w:rsidRDefault="00914462" w:rsidP="203BDFCB">
      <w:pPr>
        <w:spacing w:after="120"/>
        <w:rPr>
          <w:noProof/>
        </w:rPr>
      </w:pPr>
      <w:r w:rsidRPr="00D86314">
        <w:rPr>
          <w:noProof/>
        </w:rPr>
        <w:t>The costs are broken down into four key categories</w:t>
      </w:r>
      <w:r w:rsidR="006A2060" w:rsidRPr="00D86314">
        <w:rPr>
          <w:noProof/>
        </w:rPr>
        <w:t xml:space="preserve">: </w:t>
      </w:r>
      <w:r w:rsidR="00D2256B" w:rsidRPr="00D86314">
        <w:rPr>
          <w:noProof/>
        </w:rPr>
        <w:t xml:space="preserve">personnel, regulatory fees and contributions, compliance and legal and consultancy costs for proceedings. </w:t>
      </w:r>
    </w:p>
    <w:p w14:paraId="0DD494BB" w14:textId="168C8B6B" w:rsidR="36087962" w:rsidRPr="00D86314" w:rsidRDefault="36087962" w:rsidP="00567E5D">
      <w:pPr>
        <w:spacing w:after="120"/>
        <w:rPr>
          <w:b/>
          <w:noProof/>
        </w:rPr>
      </w:pPr>
      <w:r w:rsidRPr="00D86314">
        <w:rPr>
          <w:b/>
          <w:noProof/>
        </w:rPr>
        <w:t xml:space="preserve">Estimated </w:t>
      </w:r>
      <w:r w:rsidR="00C12C85" w:rsidRPr="00D86314">
        <w:rPr>
          <w:b/>
          <w:noProof/>
        </w:rPr>
        <w:t>a</w:t>
      </w:r>
      <w:r w:rsidRPr="00D86314">
        <w:rPr>
          <w:b/>
          <w:noProof/>
        </w:rPr>
        <w:t xml:space="preserve">nnual </w:t>
      </w:r>
      <w:r w:rsidR="00C12C85" w:rsidRPr="00D86314">
        <w:rPr>
          <w:b/>
          <w:noProof/>
        </w:rPr>
        <w:t>r</w:t>
      </w:r>
      <w:r w:rsidRPr="00D86314">
        <w:rPr>
          <w:b/>
          <w:noProof/>
        </w:rPr>
        <w:t xml:space="preserve">egulatory </w:t>
      </w:r>
      <w:r w:rsidR="00C12C85" w:rsidRPr="00D86314">
        <w:rPr>
          <w:b/>
          <w:noProof/>
        </w:rPr>
        <w:t>c</w:t>
      </w:r>
      <w:r w:rsidRPr="00D86314">
        <w:rPr>
          <w:b/>
          <w:noProof/>
        </w:rPr>
        <w:t xml:space="preserve">ompliance </w:t>
      </w:r>
      <w:r w:rsidR="00C12C85" w:rsidRPr="00D86314">
        <w:rPr>
          <w:b/>
          <w:noProof/>
        </w:rPr>
        <w:t>c</w:t>
      </w:r>
      <w:r w:rsidRPr="00D86314">
        <w:rPr>
          <w:b/>
          <w:noProof/>
        </w:rPr>
        <w:t>osts for a</w:t>
      </w:r>
      <w:r w:rsidR="00C95DB9" w:rsidRPr="00D86314">
        <w:rPr>
          <w:b/>
          <w:noProof/>
        </w:rPr>
        <w:t>n</w:t>
      </w:r>
      <w:r w:rsidRPr="00D86314">
        <w:rPr>
          <w:b/>
          <w:noProof/>
        </w:rPr>
        <w:t xml:space="preserve"> EU </w:t>
      </w:r>
      <w:r w:rsidR="00C95DB9" w:rsidRPr="00D86314">
        <w:rPr>
          <w:b/>
          <w:noProof/>
        </w:rPr>
        <w:t>t</w:t>
      </w:r>
      <w:r w:rsidRPr="00D86314">
        <w:rPr>
          <w:b/>
          <w:noProof/>
        </w:rPr>
        <w:t xml:space="preserve">elecom </w:t>
      </w:r>
      <w:r w:rsidR="00C95DB9" w:rsidRPr="00D86314">
        <w:rPr>
          <w:b/>
          <w:noProof/>
        </w:rPr>
        <w:t>o</w:t>
      </w:r>
      <w:r w:rsidRPr="00D86314">
        <w:rPr>
          <w:b/>
          <w:noProof/>
        </w:rPr>
        <w:t>perator</w:t>
      </w:r>
    </w:p>
    <w:tbl>
      <w:tblPr>
        <w:tblStyle w:val="TableGrid"/>
        <w:tblW w:w="0" w:type="auto"/>
        <w:tblLayout w:type="fixed"/>
        <w:tblLook w:val="04A0" w:firstRow="1" w:lastRow="0" w:firstColumn="1" w:lastColumn="0" w:noHBand="0" w:noVBand="1"/>
      </w:tblPr>
      <w:tblGrid>
        <w:gridCol w:w="1720"/>
        <w:gridCol w:w="2783"/>
        <w:gridCol w:w="1417"/>
        <w:gridCol w:w="1546"/>
        <w:gridCol w:w="1390"/>
      </w:tblGrid>
      <w:tr w:rsidR="203BDFCB" w:rsidRPr="00D86314" w14:paraId="1B8CD375" w14:textId="77777777" w:rsidTr="17B36FC0">
        <w:trPr>
          <w:trHeight w:val="300"/>
        </w:trPr>
        <w:tc>
          <w:tcPr>
            <w:tcW w:w="1720" w:type="dxa"/>
            <w:tcBorders>
              <w:top w:val="single" w:sz="8" w:space="0" w:color="auto"/>
              <w:left w:val="single" w:sz="8" w:space="0" w:color="auto"/>
              <w:bottom w:val="single" w:sz="8" w:space="0" w:color="auto"/>
              <w:right w:val="single" w:sz="8" w:space="0" w:color="auto"/>
            </w:tcBorders>
            <w:tcMar>
              <w:left w:w="108" w:type="dxa"/>
              <w:right w:w="108" w:type="dxa"/>
            </w:tcMar>
          </w:tcPr>
          <w:p w14:paraId="777B094A" w14:textId="42FA0752" w:rsidR="203BDFCB" w:rsidRPr="00D86314" w:rsidRDefault="203BDFCB" w:rsidP="00703057">
            <w:pPr>
              <w:spacing w:after="0"/>
              <w:rPr>
                <w:noProof/>
              </w:rPr>
            </w:pPr>
            <w:r w:rsidRPr="00D86314">
              <w:rPr>
                <w:noProof/>
              </w:rPr>
              <w:t>Category</w:t>
            </w:r>
          </w:p>
        </w:tc>
        <w:tc>
          <w:tcPr>
            <w:tcW w:w="2783" w:type="dxa"/>
            <w:tcBorders>
              <w:top w:val="single" w:sz="8" w:space="0" w:color="auto"/>
              <w:left w:val="single" w:sz="8" w:space="0" w:color="auto"/>
              <w:bottom w:val="single" w:sz="8" w:space="0" w:color="auto"/>
              <w:right w:val="single" w:sz="8" w:space="0" w:color="auto"/>
            </w:tcBorders>
            <w:tcMar>
              <w:left w:w="108" w:type="dxa"/>
              <w:right w:w="108" w:type="dxa"/>
            </w:tcMar>
          </w:tcPr>
          <w:p w14:paraId="564FCDD9" w14:textId="77A6FB16" w:rsidR="203BDFCB" w:rsidRPr="00D86314" w:rsidRDefault="203BDFCB" w:rsidP="00703057">
            <w:pPr>
              <w:spacing w:after="0"/>
              <w:rPr>
                <w:noProof/>
              </w:rPr>
            </w:pPr>
            <w:r w:rsidRPr="00D86314">
              <w:rPr>
                <w:noProof/>
              </w:rPr>
              <w:t>Description / Key Assumptions</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CC3A71A" w14:textId="53CB0C8F" w:rsidR="203BDFCB" w:rsidRPr="00D86314" w:rsidRDefault="203BDFCB" w:rsidP="00703057">
            <w:pPr>
              <w:spacing w:after="0"/>
              <w:rPr>
                <w:noProof/>
              </w:rPr>
            </w:pPr>
            <w:r w:rsidRPr="00D86314">
              <w:rPr>
                <w:noProof/>
              </w:rPr>
              <w:t>Per-Country Estimate</w:t>
            </w:r>
          </w:p>
        </w:tc>
        <w:tc>
          <w:tcPr>
            <w:tcW w:w="1546" w:type="dxa"/>
            <w:tcBorders>
              <w:top w:val="single" w:sz="8" w:space="0" w:color="auto"/>
              <w:left w:val="single" w:sz="8" w:space="0" w:color="auto"/>
              <w:bottom w:val="single" w:sz="8" w:space="0" w:color="auto"/>
              <w:right w:val="single" w:sz="8" w:space="0" w:color="auto"/>
            </w:tcBorders>
            <w:tcMar>
              <w:left w:w="108" w:type="dxa"/>
              <w:right w:w="108" w:type="dxa"/>
            </w:tcMar>
          </w:tcPr>
          <w:p w14:paraId="786F7EAA" w14:textId="5EE85550" w:rsidR="203BDFCB" w:rsidRPr="00D86314" w:rsidRDefault="203BDFCB" w:rsidP="00703057">
            <w:pPr>
              <w:spacing w:after="0"/>
              <w:rPr>
                <w:noProof/>
              </w:rPr>
            </w:pPr>
            <w:r w:rsidRPr="00D86314">
              <w:rPr>
                <w:noProof/>
              </w:rPr>
              <w:t>Total (27 MS)</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0F8271C8" w14:textId="3DDDF1E9" w:rsidR="203BDFCB" w:rsidRPr="00D86314" w:rsidRDefault="203BDFCB" w:rsidP="00703057">
            <w:pPr>
              <w:spacing w:after="0"/>
              <w:rPr>
                <w:noProof/>
              </w:rPr>
            </w:pPr>
            <w:r w:rsidRPr="00D86314">
              <w:rPr>
                <w:noProof/>
              </w:rPr>
              <w:t>Estimated Range (</w:t>
            </w:r>
            <w:r w:rsidR="00104A2A" w:rsidRPr="00D86314">
              <w:rPr>
                <w:noProof/>
              </w:rPr>
              <w:t xml:space="preserve">million </w:t>
            </w:r>
            <w:r w:rsidRPr="00D86314">
              <w:rPr>
                <w:noProof/>
              </w:rPr>
              <w:t>EUR)</w:t>
            </w:r>
          </w:p>
        </w:tc>
      </w:tr>
      <w:tr w:rsidR="203BDFCB" w:rsidRPr="00D86314" w14:paraId="2327EB1D" w14:textId="77777777" w:rsidTr="17B36FC0">
        <w:trPr>
          <w:trHeight w:val="300"/>
        </w:trPr>
        <w:tc>
          <w:tcPr>
            <w:tcW w:w="1720" w:type="dxa"/>
            <w:tcBorders>
              <w:top w:val="single" w:sz="8" w:space="0" w:color="auto"/>
              <w:left w:val="single" w:sz="8" w:space="0" w:color="auto"/>
              <w:bottom w:val="single" w:sz="8" w:space="0" w:color="auto"/>
              <w:right w:val="single" w:sz="8" w:space="0" w:color="auto"/>
            </w:tcBorders>
            <w:tcMar>
              <w:left w:w="108" w:type="dxa"/>
              <w:right w:w="108" w:type="dxa"/>
            </w:tcMar>
          </w:tcPr>
          <w:p w14:paraId="1F0B077F" w14:textId="05DB5FB1" w:rsidR="203BDFCB" w:rsidRPr="00D86314" w:rsidRDefault="203BDFCB" w:rsidP="00703057">
            <w:pPr>
              <w:spacing w:after="0"/>
              <w:rPr>
                <w:noProof/>
              </w:rPr>
            </w:pPr>
            <w:r w:rsidRPr="00D86314">
              <w:rPr>
                <w:noProof/>
              </w:rPr>
              <w:t>1. Personnel: Regulatory Affairs &amp; Legal Teams</w:t>
            </w:r>
          </w:p>
        </w:tc>
        <w:tc>
          <w:tcPr>
            <w:tcW w:w="2783" w:type="dxa"/>
            <w:tcBorders>
              <w:top w:val="single" w:sz="8" w:space="0" w:color="auto"/>
              <w:left w:val="single" w:sz="8" w:space="0" w:color="auto"/>
              <w:bottom w:val="single" w:sz="8" w:space="0" w:color="auto"/>
              <w:right w:val="single" w:sz="8" w:space="0" w:color="auto"/>
            </w:tcBorders>
            <w:tcMar>
              <w:left w:w="108" w:type="dxa"/>
              <w:right w:w="108" w:type="dxa"/>
            </w:tcMar>
          </w:tcPr>
          <w:p w14:paraId="06FF68D2" w14:textId="3CCB34EE" w:rsidR="203BDFCB" w:rsidRPr="00D86314" w:rsidRDefault="203BDFCB" w:rsidP="00703057">
            <w:pPr>
              <w:spacing w:after="0"/>
              <w:rPr>
                <w:noProof/>
              </w:rPr>
            </w:pPr>
            <w:r w:rsidRPr="00D86314">
              <w:rPr>
                <w:noProof/>
              </w:rPr>
              <w:t>- Largest and most critical cost component.</w:t>
            </w:r>
            <w:r w:rsidRPr="00D86314">
              <w:rPr>
                <w:noProof/>
              </w:rPr>
              <w:br/>
              <w:t xml:space="preserve"> - Requires dedicated regulatory and legal experts in each Member State.</w:t>
            </w:r>
            <w:r w:rsidRPr="00D86314">
              <w:rPr>
                <w:noProof/>
              </w:rPr>
              <w:br/>
              <w:t xml:space="preserve"> </w:t>
            </w:r>
            <w:r w:rsidRPr="00D86314">
              <w:rPr>
                <w:noProof/>
              </w:rPr>
              <w:br/>
              <w:t>Major Markets (10): Germany, France, Italy, Spain, Netherlands, Poland, Belgium, Sweden, Austria, Ireland.</w:t>
            </w:r>
            <w:r w:rsidRPr="00D86314">
              <w:rPr>
                <w:noProof/>
              </w:rPr>
              <w:br/>
              <w:t xml:space="preserve"> Other 17 Countries: Denmark, Finland, Portugal, Czech Republic, Hungary, Slovakia, Slovenia, Croatia, Greece, Romania, Bulgaria, Estonia, Latvia, Lithuania, Luxembourg, Cyprus, Malta.</w:t>
            </w:r>
            <w:r w:rsidRPr="00D86314">
              <w:rPr>
                <w:noProof/>
              </w:rPr>
              <w:br/>
              <w:t xml:space="preserve"> </w:t>
            </w:r>
            <w:r w:rsidRPr="00D86314">
              <w:rPr>
                <w:noProof/>
              </w:rPr>
              <w:br/>
              <w:t>- Major markets: full-time regulatory affairs manager (</w:t>
            </w:r>
            <w:r w:rsidR="00920220" w:rsidRPr="00D86314">
              <w:rPr>
                <w:noProof/>
              </w:rPr>
              <w:t>EUR </w:t>
            </w:r>
            <w:r w:rsidRPr="00D86314">
              <w:rPr>
                <w:noProof/>
              </w:rPr>
              <w:t>120</w:t>
            </w:r>
            <w:r w:rsidR="0072752E" w:rsidRPr="00D86314">
              <w:rPr>
                <w:noProof/>
              </w:rPr>
              <w:t> 000</w:t>
            </w:r>
            <w:r w:rsidRPr="00D86314">
              <w:rPr>
                <w:noProof/>
              </w:rPr>
              <w:t>) + legal support (</w:t>
            </w:r>
            <w:r w:rsidR="00920220" w:rsidRPr="00D86314">
              <w:rPr>
                <w:noProof/>
              </w:rPr>
              <w:t>EUR </w:t>
            </w:r>
            <w:r w:rsidRPr="00D86314">
              <w:rPr>
                <w:noProof/>
              </w:rPr>
              <w:t>80</w:t>
            </w:r>
            <w:r w:rsidR="007A4F92" w:rsidRPr="00D86314">
              <w:rPr>
                <w:noProof/>
              </w:rPr>
              <w:t> 000</w:t>
            </w:r>
            <w:r w:rsidRPr="00D86314">
              <w:rPr>
                <w:noProof/>
              </w:rPr>
              <w:t xml:space="preserve">) → </w:t>
            </w:r>
            <w:r w:rsidR="00920220" w:rsidRPr="00D86314">
              <w:rPr>
                <w:noProof/>
              </w:rPr>
              <w:t>EUR </w:t>
            </w:r>
            <w:r w:rsidRPr="00D86314">
              <w:rPr>
                <w:noProof/>
              </w:rPr>
              <w:t>200</w:t>
            </w:r>
            <w:r w:rsidR="007A4F92" w:rsidRPr="00D86314">
              <w:rPr>
                <w:noProof/>
              </w:rPr>
              <w:t> 000</w:t>
            </w:r>
            <w:r w:rsidRPr="00D86314">
              <w:rPr>
                <w:noProof/>
              </w:rPr>
              <w:t xml:space="preserve"> per country.</w:t>
            </w:r>
            <w:r w:rsidRPr="00D86314">
              <w:rPr>
                <w:noProof/>
              </w:rPr>
              <w:br/>
              <w:t xml:space="preserve"> - Other markets: part-time manager (0.5 FTE = </w:t>
            </w:r>
            <w:r w:rsidR="00920220" w:rsidRPr="00D86314">
              <w:rPr>
                <w:noProof/>
              </w:rPr>
              <w:t>EUR </w:t>
            </w:r>
            <w:r w:rsidRPr="00D86314">
              <w:rPr>
                <w:noProof/>
              </w:rPr>
              <w:t>50</w:t>
            </w:r>
            <w:r w:rsidR="007A4F92" w:rsidRPr="00D86314">
              <w:rPr>
                <w:noProof/>
              </w:rPr>
              <w:t> 000</w:t>
            </w:r>
            <w:r w:rsidRPr="00D86314">
              <w:rPr>
                <w:noProof/>
              </w:rPr>
              <w:t>) + legal support (</w:t>
            </w:r>
            <w:r w:rsidR="00920220" w:rsidRPr="00D86314">
              <w:rPr>
                <w:noProof/>
              </w:rPr>
              <w:t>EUR </w:t>
            </w:r>
            <w:r w:rsidRPr="00D86314">
              <w:rPr>
                <w:noProof/>
              </w:rPr>
              <w:t>50</w:t>
            </w:r>
            <w:r w:rsidR="007A4F92" w:rsidRPr="00D86314">
              <w:rPr>
                <w:noProof/>
              </w:rPr>
              <w:t> 000</w:t>
            </w:r>
            <w:r w:rsidRPr="00D86314">
              <w:rPr>
                <w:noProof/>
              </w:rPr>
              <w:t xml:space="preserve">) → </w:t>
            </w:r>
            <w:r w:rsidR="00920220" w:rsidRPr="00D86314">
              <w:rPr>
                <w:noProof/>
              </w:rPr>
              <w:t>EUR </w:t>
            </w:r>
            <w:r w:rsidRPr="00D86314">
              <w:rPr>
                <w:noProof/>
              </w:rPr>
              <w:t>100</w:t>
            </w:r>
            <w:r w:rsidR="007A4F92" w:rsidRPr="00D86314">
              <w:rPr>
                <w:noProof/>
              </w:rPr>
              <w:t> 000</w:t>
            </w:r>
            <w:r w:rsidRPr="00D86314">
              <w:rPr>
                <w:noProof/>
              </w:rPr>
              <w:t xml:space="preserve"> per country.</w:t>
            </w:r>
            <w:r w:rsidRPr="00D86314">
              <w:rPr>
                <w:noProof/>
              </w:rPr>
              <w:br/>
              <w:t xml:space="preserve"> - On-the-ground presence essential for managing NRA relations and ensuring compliance with national remedies.</w:t>
            </w:r>
            <w:r w:rsidRPr="00D86314">
              <w:rPr>
                <w:noProof/>
              </w:rPr>
              <w:br/>
              <w:t xml:space="preserve"> </w:t>
            </w:r>
            <w:r w:rsidRPr="00D86314">
              <w:rPr>
                <w:noProof/>
              </w:rPr>
              <w:br/>
              <w:t xml:space="preserve">Additional HR-related detail: According to internal estimates, the pure HR cost for a medium-sized operator could range between </w:t>
            </w:r>
            <w:r w:rsidR="00920220" w:rsidRPr="00D86314">
              <w:rPr>
                <w:noProof/>
              </w:rPr>
              <w:t>EUR </w:t>
            </w:r>
            <w:r w:rsidRPr="00D86314">
              <w:rPr>
                <w:noProof/>
              </w:rPr>
              <w:t xml:space="preserve">0.40–0.70 m annually to manage GA (General Authorisation) obligations — including applying for authorisations, notifying NRAs/Competent Authorities, and providing required updates across all 27 MS. When combined with total annual operational compliance and legal costs, this figure could reach </w:t>
            </w:r>
            <w:r w:rsidR="00920220" w:rsidRPr="00D86314">
              <w:rPr>
                <w:noProof/>
              </w:rPr>
              <w:t>EUR </w:t>
            </w:r>
            <w:r w:rsidRPr="00D86314">
              <w:rPr>
                <w:noProof/>
              </w:rPr>
              <w:t>0.50–1.20 m.</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B7744B1" w14:textId="23E42B7A" w:rsidR="203BDFCB" w:rsidRPr="00D86314" w:rsidRDefault="203BDFCB" w:rsidP="00703057">
            <w:pPr>
              <w:spacing w:after="0"/>
              <w:rPr>
                <w:noProof/>
              </w:rPr>
            </w:pPr>
            <w:r w:rsidRPr="00D86314">
              <w:rPr>
                <w:noProof/>
              </w:rPr>
              <w:t xml:space="preserve">Major markets: </w:t>
            </w:r>
            <w:r w:rsidR="00613447" w:rsidRPr="00D86314">
              <w:rPr>
                <w:noProof/>
              </w:rPr>
              <w:t>EUR </w:t>
            </w:r>
            <w:r w:rsidRPr="00D86314">
              <w:rPr>
                <w:noProof/>
              </w:rPr>
              <w:t>200</w:t>
            </w:r>
            <w:r w:rsidR="00393F30" w:rsidRPr="00D86314">
              <w:rPr>
                <w:noProof/>
              </w:rPr>
              <w:t> </w:t>
            </w:r>
            <w:r w:rsidRPr="00D86314">
              <w:rPr>
                <w:noProof/>
              </w:rPr>
              <w:t>000</w:t>
            </w:r>
            <w:r w:rsidRPr="00D86314">
              <w:rPr>
                <w:noProof/>
              </w:rPr>
              <w:br/>
              <w:t xml:space="preserve">Others: </w:t>
            </w:r>
            <w:r w:rsidR="00613447" w:rsidRPr="00D86314">
              <w:rPr>
                <w:noProof/>
              </w:rPr>
              <w:t>EUR </w:t>
            </w:r>
            <w:r w:rsidRPr="00D86314">
              <w:rPr>
                <w:noProof/>
              </w:rPr>
              <w:t>100</w:t>
            </w:r>
            <w:r w:rsidR="00393F30" w:rsidRPr="00D86314">
              <w:rPr>
                <w:noProof/>
              </w:rPr>
              <w:t> </w:t>
            </w:r>
            <w:r w:rsidRPr="00D86314">
              <w:rPr>
                <w:noProof/>
              </w:rPr>
              <w:t>000</w:t>
            </w:r>
          </w:p>
        </w:tc>
        <w:tc>
          <w:tcPr>
            <w:tcW w:w="1546" w:type="dxa"/>
            <w:tcBorders>
              <w:top w:val="single" w:sz="8" w:space="0" w:color="auto"/>
              <w:left w:val="single" w:sz="8" w:space="0" w:color="auto"/>
              <w:bottom w:val="single" w:sz="8" w:space="0" w:color="auto"/>
              <w:right w:val="single" w:sz="8" w:space="0" w:color="auto"/>
            </w:tcBorders>
            <w:tcMar>
              <w:left w:w="108" w:type="dxa"/>
              <w:right w:w="108" w:type="dxa"/>
            </w:tcMar>
          </w:tcPr>
          <w:p w14:paraId="785AB003" w14:textId="75178679" w:rsidR="203BDFCB" w:rsidRPr="00D86314" w:rsidRDefault="203BDFCB" w:rsidP="00703057">
            <w:pPr>
              <w:spacing w:after="0"/>
              <w:rPr>
                <w:noProof/>
              </w:rPr>
            </w:pPr>
            <w:r w:rsidRPr="00D86314">
              <w:rPr>
                <w:noProof/>
              </w:rPr>
              <w:t>(10×200</w:t>
            </w:r>
            <w:r w:rsidR="00276C9E" w:rsidRPr="00D86314">
              <w:rPr>
                <w:noProof/>
              </w:rPr>
              <w:t> 000</w:t>
            </w:r>
            <w:r w:rsidRPr="00D86314">
              <w:rPr>
                <w:noProof/>
              </w:rPr>
              <w:t>) + (17×100</w:t>
            </w:r>
            <w:r w:rsidR="007E5290" w:rsidRPr="00D86314">
              <w:rPr>
                <w:noProof/>
              </w:rPr>
              <w:t> 000</w:t>
            </w:r>
            <w:r w:rsidRPr="00D86314">
              <w:rPr>
                <w:noProof/>
              </w:rPr>
              <w:t xml:space="preserve">k) = </w:t>
            </w:r>
            <w:r w:rsidR="00920220" w:rsidRPr="00D86314">
              <w:rPr>
                <w:noProof/>
              </w:rPr>
              <w:t>EUR </w:t>
            </w:r>
            <w:r w:rsidRPr="00D86314">
              <w:rPr>
                <w:noProof/>
              </w:rPr>
              <w:t>3.7</w:t>
            </w:r>
            <w:r w:rsidR="00837443" w:rsidRPr="00D86314">
              <w:rPr>
                <w:noProof/>
              </w:rPr>
              <w:t xml:space="preserve"> m</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7BFC4C3A" w14:textId="69261228" w:rsidR="203BDFCB" w:rsidRPr="00D86314" w:rsidRDefault="00920220" w:rsidP="00703057">
            <w:pPr>
              <w:spacing w:after="0"/>
              <w:rPr>
                <w:noProof/>
              </w:rPr>
            </w:pPr>
            <w:r w:rsidRPr="00D86314">
              <w:rPr>
                <w:noProof/>
              </w:rPr>
              <w:t>EUR </w:t>
            </w:r>
            <w:r w:rsidR="203BDFCB" w:rsidRPr="00D86314">
              <w:rPr>
                <w:noProof/>
              </w:rPr>
              <w:t>3.5–4.0</w:t>
            </w:r>
            <w:r w:rsidR="00837443" w:rsidRPr="00D86314">
              <w:rPr>
                <w:noProof/>
              </w:rPr>
              <w:t xml:space="preserve"> m</w:t>
            </w:r>
          </w:p>
        </w:tc>
      </w:tr>
      <w:tr w:rsidR="203BDFCB" w:rsidRPr="00D86314" w14:paraId="0674DB7E" w14:textId="77777777" w:rsidTr="17B36FC0">
        <w:trPr>
          <w:trHeight w:val="300"/>
        </w:trPr>
        <w:tc>
          <w:tcPr>
            <w:tcW w:w="1720" w:type="dxa"/>
            <w:tcBorders>
              <w:top w:val="single" w:sz="8" w:space="0" w:color="auto"/>
              <w:left w:val="single" w:sz="8" w:space="0" w:color="auto"/>
              <w:bottom w:val="single" w:sz="8" w:space="0" w:color="auto"/>
              <w:right w:val="single" w:sz="8" w:space="0" w:color="auto"/>
            </w:tcBorders>
            <w:tcMar>
              <w:left w:w="108" w:type="dxa"/>
              <w:right w:w="108" w:type="dxa"/>
            </w:tcMar>
          </w:tcPr>
          <w:p w14:paraId="56E813D2" w14:textId="41F35AD0" w:rsidR="203BDFCB" w:rsidRPr="00D86314" w:rsidRDefault="05473B54" w:rsidP="00703057">
            <w:pPr>
              <w:spacing w:after="0"/>
              <w:rPr>
                <w:noProof/>
              </w:rPr>
            </w:pPr>
            <w:r w:rsidRPr="00D86314">
              <w:rPr>
                <w:noProof/>
              </w:rPr>
              <w:t>2. Regulatory Fees &amp; Contributions</w:t>
            </w:r>
          </w:p>
        </w:tc>
        <w:tc>
          <w:tcPr>
            <w:tcW w:w="2783" w:type="dxa"/>
            <w:tcBorders>
              <w:top w:val="single" w:sz="8" w:space="0" w:color="auto"/>
              <w:left w:val="single" w:sz="8" w:space="0" w:color="auto"/>
              <w:bottom w:val="single" w:sz="8" w:space="0" w:color="auto"/>
              <w:right w:val="single" w:sz="8" w:space="0" w:color="auto"/>
            </w:tcBorders>
            <w:tcMar>
              <w:left w:w="108" w:type="dxa"/>
              <w:right w:w="108" w:type="dxa"/>
            </w:tcMar>
          </w:tcPr>
          <w:p w14:paraId="29D40B05" w14:textId="1EF8E411" w:rsidR="203BDFCB" w:rsidRPr="00D86314" w:rsidRDefault="203BDFCB" w:rsidP="00703057">
            <w:pPr>
              <w:spacing w:after="0"/>
              <w:rPr>
                <w:noProof/>
              </w:rPr>
            </w:pPr>
            <w:r w:rsidRPr="00D86314">
              <w:rPr>
                <w:noProof/>
              </w:rPr>
              <w:t>- Mandatory payments to NRAs: administrative fees, numbering fees, and Universal Service contributions.</w:t>
            </w:r>
            <w:r w:rsidRPr="00D86314">
              <w:rPr>
                <w:noProof/>
              </w:rPr>
              <w:br/>
              <w:t xml:space="preserve"> - Based on turnover and operational scale in each country.</w:t>
            </w:r>
            <w:r w:rsidRPr="00D86314">
              <w:rPr>
                <w:noProof/>
              </w:rPr>
              <w:br/>
              <w:t xml:space="preserve"> - Similar obligations apply to cross-border operators.</w:t>
            </w:r>
            <w:r w:rsidRPr="00D86314">
              <w:rPr>
                <w:noProof/>
              </w:rPr>
              <w:br/>
              <w:t xml:space="preserve"> - Average assumed at </w:t>
            </w:r>
            <w:r w:rsidR="00920220" w:rsidRPr="00D86314">
              <w:rPr>
                <w:noProof/>
              </w:rPr>
              <w:t>EUR </w:t>
            </w:r>
            <w:r w:rsidRPr="00D86314">
              <w:rPr>
                <w:noProof/>
              </w:rPr>
              <w:t>150</w:t>
            </w:r>
            <w:r w:rsidR="008F4DB6" w:rsidRPr="00D86314">
              <w:rPr>
                <w:noProof/>
              </w:rPr>
              <w:t> 000</w:t>
            </w:r>
            <w:r w:rsidRPr="00D86314">
              <w:rPr>
                <w:noProof/>
              </w:rPr>
              <w:t xml:space="preserve"> per country (range </w:t>
            </w:r>
            <w:r w:rsidR="00920220" w:rsidRPr="00D86314">
              <w:rPr>
                <w:noProof/>
              </w:rPr>
              <w:t>EUR </w:t>
            </w:r>
            <w:r w:rsidRPr="00D86314">
              <w:rPr>
                <w:noProof/>
              </w:rPr>
              <w:t>50</w:t>
            </w:r>
            <w:r w:rsidR="00601319" w:rsidRPr="00D86314">
              <w:rPr>
                <w:noProof/>
              </w:rPr>
              <w:t> 000</w:t>
            </w:r>
            <w:r w:rsidRPr="00D86314">
              <w:rPr>
                <w:noProof/>
              </w:rPr>
              <w:t>–</w:t>
            </w:r>
            <w:r w:rsidR="00920220" w:rsidRPr="00D86314">
              <w:rPr>
                <w:noProof/>
              </w:rPr>
              <w:t>EUR </w:t>
            </w:r>
            <w:r w:rsidRPr="00D86314">
              <w:rPr>
                <w:noProof/>
              </w:rPr>
              <w:t>300</w:t>
            </w:r>
            <w:r w:rsidR="008E799D" w:rsidRPr="00D86314">
              <w:rPr>
                <w:noProof/>
              </w:rPr>
              <w:t> </w:t>
            </w:r>
            <w:r w:rsidR="00601319" w:rsidRPr="00D86314">
              <w:rPr>
                <w:noProof/>
              </w:rPr>
              <w:t>000</w:t>
            </w:r>
            <w:r w:rsidRPr="00D86314">
              <w:rPr>
                <w:noProof/>
              </w:rPr>
              <w:t xml:space="preserve"> depending on market size).</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0899CB1" w14:textId="47C801B2" w:rsidR="203BDFCB" w:rsidRPr="00D86314" w:rsidRDefault="00920220" w:rsidP="00703057">
            <w:pPr>
              <w:spacing w:after="0"/>
              <w:rPr>
                <w:noProof/>
              </w:rPr>
            </w:pPr>
            <w:r w:rsidRPr="00D86314">
              <w:rPr>
                <w:noProof/>
              </w:rPr>
              <w:t>EUR </w:t>
            </w:r>
            <w:r w:rsidR="203BDFCB" w:rsidRPr="00D86314">
              <w:rPr>
                <w:noProof/>
              </w:rPr>
              <w:t>150</w:t>
            </w:r>
            <w:r w:rsidR="00B05382" w:rsidRPr="00D86314">
              <w:rPr>
                <w:noProof/>
              </w:rPr>
              <w:t> </w:t>
            </w:r>
            <w:r w:rsidR="203BDFCB" w:rsidRPr="00D86314">
              <w:rPr>
                <w:noProof/>
              </w:rPr>
              <w:t>000</w:t>
            </w:r>
          </w:p>
        </w:tc>
        <w:tc>
          <w:tcPr>
            <w:tcW w:w="1546" w:type="dxa"/>
            <w:tcBorders>
              <w:top w:val="single" w:sz="8" w:space="0" w:color="auto"/>
              <w:left w:val="single" w:sz="8" w:space="0" w:color="auto"/>
              <w:bottom w:val="single" w:sz="8" w:space="0" w:color="auto"/>
              <w:right w:val="single" w:sz="8" w:space="0" w:color="auto"/>
            </w:tcBorders>
            <w:tcMar>
              <w:left w:w="108" w:type="dxa"/>
              <w:right w:w="108" w:type="dxa"/>
            </w:tcMar>
          </w:tcPr>
          <w:p w14:paraId="3AA74732" w14:textId="374F81A4" w:rsidR="203BDFCB" w:rsidRPr="00D86314" w:rsidRDefault="203BDFCB" w:rsidP="00703057">
            <w:pPr>
              <w:spacing w:after="0"/>
              <w:rPr>
                <w:noProof/>
              </w:rPr>
            </w:pPr>
            <w:r w:rsidRPr="00D86314">
              <w:rPr>
                <w:noProof/>
              </w:rPr>
              <w:t>27×150</w:t>
            </w:r>
            <w:r w:rsidR="004241FA" w:rsidRPr="00D86314">
              <w:rPr>
                <w:noProof/>
              </w:rPr>
              <w:t> </w:t>
            </w:r>
            <w:r w:rsidR="00B05382" w:rsidRPr="00D86314">
              <w:rPr>
                <w:noProof/>
              </w:rPr>
              <w:t>000</w:t>
            </w:r>
            <w:r w:rsidRPr="00D86314">
              <w:rPr>
                <w:noProof/>
              </w:rPr>
              <w:t xml:space="preserve"> = </w:t>
            </w:r>
            <w:r w:rsidR="00920220" w:rsidRPr="00D86314">
              <w:rPr>
                <w:noProof/>
              </w:rPr>
              <w:t>EUR </w:t>
            </w:r>
            <w:r w:rsidRPr="00D86314">
              <w:rPr>
                <w:noProof/>
              </w:rPr>
              <w:t>4.05</w:t>
            </w:r>
            <w:r w:rsidR="004241FA" w:rsidRPr="00D86314">
              <w:rPr>
                <w:noProof/>
              </w:rPr>
              <w:t xml:space="preserve"> m</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6A2F0778" w14:textId="0A5B0D88" w:rsidR="203BDFCB" w:rsidRPr="00D86314" w:rsidRDefault="00920220" w:rsidP="00703057">
            <w:pPr>
              <w:spacing w:after="0"/>
              <w:rPr>
                <w:noProof/>
              </w:rPr>
            </w:pPr>
            <w:r w:rsidRPr="00D86314">
              <w:rPr>
                <w:noProof/>
              </w:rPr>
              <w:t>EUR </w:t>
            </w:r>
            <w:r w:rsidR="203BDFCB" w:rsidRPr="00D86314">
              <w:rPr>
                <w:noProof/>
              </w:rPr>
              <w:t>3.5–4.5</w:t>
            </w:r>
            <w:r w:rsidR="004241FA" w:rsidRPr="00D86314">
              <w:rPr>
                <w:noProof/>
              </w:rPr>
              <w:t xml:space="preserve"> m</w:t>
            </w:r>
          </w:p>
        </w:tc>
      </w:tr>
      <w:tr w:rsidR="203BDFCB" w:rsidRPr="00D86314" w14:paraId="3E7CD836" w14:textId="77777777" w:rsidTr="17B36FC0">
        <w:trPr>
          <w:trHeight w:val="300"/>
        </w:trPr>
        <w:tc>
          <w:tcPr>
            <w:tcW w:w="1720" w:type="dxa"/>
            <w:tcBorders>
              <w:top w:val="single" w:sz="8" w:space="0" w:color="auto"/>
              <w:left w:val="single" w:sz="8" w:space="0" w:color="auto"/>
              <w:bottom w:val="single" w:sz="8" w:space="0" w:color="auto"/>
              <w:right w:val="single" w:sz="8" w:space="0" w:color="auto"/>
            </w:tcBorders>
            <w:tcMar>
              <w:left w:w="108" w:type="dxa"/>
              <w:right w:w="108" w:type="dxa"/>
            </w:tcMar>
          </w:tcPr>
          <w:p w14:paraId="24CEA93E" w14:textId="26BCF854" w:rsidR="203BDFCB" w:rsidRPr="00D86314" w:rsidRDefault="203BDFCB" w:rsidP="00703057">
            <w:pPr>
              <w:spacing w:after="0"/>
              <w:rPr>
                <w:noProof/>
              </w:rPr>
            </w:pPr>
            <w:r w:rsidRPr="00D86314">
              <w:rPr>
                <w:noProof/>
              </w:rPr>
              <w:t>3. Compliance Reporting &amp; Audits</w:t>
            </w:r>
          </w:p>
        </w:tc>
        <w:tc>
          <w:tcPr>
            <w:tcW w:w="2783" w:type="dxa"/>
            <w:tcBorders>
              <w:top w:val="single" w:sz="8" w:space="0" w:color="auto"/>
              <w:left w:val="single" w:sz="8" w:space="0" w:color="auto"/>
              <w:bottom w:val="single" w:sz="8" w:space="0" w:color="auto"/>
              <w:right w:val="single" w:sz="8" w:space="0" w:color="auto"/>
            </w:tcBorders>
            <w:tcMar>
              <w:left w:w="108" w:type="dxa"/>
              <w:right w:w="108" w:type="dxa"/>
            </w:tcMar>
          </w:tcPr>
          <w:p w14:paraId="7FA9558E" w14:textId="2F8ACB73" w:rsidR="203BDFCB" w:rsidRPr="00D86314" w:rsidRDefault="203BDFCB" w:rsidP="00703057">
            <w:pPr>
              <w:spacing w:after="0"/>
              <w:rPr>
                <w:noProof/>
              </w:rPr>
            </w:pPr>
            <w:r w:rsidRPr="00D86314">
              <w:rPr>
                <w:noProof/>
              </w:rPr>
              <w:t>- Regular NRA reporting on network quality, service availability, fault repair, wholesale access, etc.</w:t>
            </w:r>
            <w:r w:rsidRPr="00D86314">
              <w:rPr>
                <w:noProof/>
              </w:rPr>
              <w:br/>
              <w:t xml:space="preserve"> - NRAs frequently perform audits, requiring preparation by internal teams and external consultants.</w:t>
            </w:r>
            <w:r w:rsidRPr="00D86314">
              <w:rPr>
                <w:noProof/>
              </w:rPr>
              <w:br/>
              <w:t xml:space="preserve"> - Reporting requirements vary by country; no unified EU template.</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8D2F8AE" w14:textId="23A21C68" w:rsidR="203BDFCB" w:rsidRPr="00D86314" w:rsidRDefault="00920220" w:rsidP="00703057">
            <w:pPr>
              <w:spacing w:after="0"/>
              <w:rPr>
                <w:noProof/>
              </w:rPr>
            </w:pPr>
            <w:r w:rsidRPr="00D86314">
              <w:rPr>
                <w:noProof/>
              </w:rPr>
              <w:t>EUR</w:t>
            </w:r>
            <w:r w:rsidR="001D1F40" w:rsidRPr="00D86314">
              <w:rPr>
                <w:noProof/>
              </w:rPr>
              <w:t> </w:t>
            </w:r>
            <w:r w:rsidR="203BDFCB" w:rsidRPr="00D86314">
              <w:rPr>
                <w:noProof/>
              </w:rPr>
              <w:t>200</w:t>
            </w:r>
            <w:r w:rsidR="008E799D" w:rsidRPr="00D86314">
              <w:rPr>
                <w:noProof/>
              </w:rPr>
              <w:t> </w:t>
            </w:r>
            <w:r w:rsidR="203BDFCB" w:rsidRPr="00D86314">
              <w:rPr>
                <w:noProof/>
              </w:rPr>
              <w:t>000</w:t>
            </w:r>
          </w:p>
        </w:tc>
        <w:tc>
          <w:tcPr>
            <w:tcW w:w="1546" w:type="dxa"/>
            <w:tcBorders>
              <w:top w:val="single" w:sz="8" w:space="0" w:color="auto"/>
              <w:left w:val="single" w:sz="8" w:space="0" w:color="auto"/>
              <w:bottom w:val="single" w:sz="8" w:space="0" w:color="auto"/>
              <w:right w:val="single" w:sz="8" w:space="0" w:color="auto"/>
            </w:tcBorders>
            <w:tcMar>
              <w:left w:w="108" w:type="dxa"/>
              <w:right w:w="108" w:type="dxa"/>
            </w:tcMar>
          </w:tcPr>
          <w:p w14:paraId="0AC98FF1" w14:textId="02D61509" w:rsidR="203BDFCB" w:rsidRPr="00D86314" w:rsidRDefault="203BDFCB" w:rsidP="00703057">
            <w:pPr>
              <w:spacing w:after="0"/>
              <w:rPr>
                <w:noProof/>
              </w:rPr>
            </w:pPr>
            <w:r w:rsidRPr="00D86314">
              <w:rPr>
                <w:noProof/>
              </w:rPr>
              <w:t>27×200</w:t>
            </w:r>
            <w:r w:rsidR="00760ED4" w:rsidRPr="00D86314">
              <w:rPr>
                <w:noProof/>
              </w:rPr>
              <w:t> </w:t>
            </w:r>
            <w:r w:rsidR="008E799D" w:rsidRPr="00D86314">
              <w:rPr>
                <w:noProof/>
              </w:rPr>
              <w:t>000</w:t>
            </w:r>
            <w:r w:rsidRPr="00D86314">
              <w:rPr>
                <w:noProof/>
              </w:rPr>
              <w:t xml:space="preserve"> = </w:t>
            </w:r>
            <w:r w:rsidR="001D1F40" w:rsidRPr="00D86314">
              <w:rPr>
                <w:noProof/>
              </w:rPr>
              <w:t>EUR </w:t>
            </w:r>
            <w:r w:rsidRPr="00D86314">
              <w:rPr>
                <w:noProof/>
              </w:rPr>
              <w:t>5.4</w:t>
            </w:r>
            <w:r w:rsidR="008E799D" w:rsidRPr="00D86314">
              <w:rPr>
                <w:noProof/>
              </w:rPr>
              <w:t xml:space="preserve"> m</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3A9114A9" w14:textId="7F3612D1" w:rsidR="203BDFCB" w:rsidRPr="00D86314" w:rsidRDefault="001D1F40" w:rsidP="00703057">
            <w:pPr>
              <w:spacing w:after="0"/>
              <w:rPr>
                <w:noProof/>
              </w:rPr>
            </w:pPr>
            <w:r w:rsidRPr="00D86314">
              <w:rPr>
                <w:noProof/>
              </w:rPr>
              <w:t>EUR </w:t>
            </w:r>
            <w:r w:rsidR="203BDFCB" w:rsidRPr="00D86314">
              <w:rPr>
                <w:noProof/>
              </w:rPr>
              <w:t>4.5–6.0</w:t>
            </w:r>
            <w:r w:rsidR="008E799D" w:rsidRPr="00D86314">
              <w:rPr>
                <w:noProof/>
              </w:rPr>
              <w:t xml:space="preserve"> m</w:t>
            </w:r>
          </w:p>
        </w:tc>
      </w:tr>
      <w:tr w:rsidR="203BDFCB" w:rsidRPr="00D86314" w14:paraId="4EB871ED" w14:textId="77777777" w:rsidTr="17B36FC0">
        <w:trPr>
          <w:trHeight w:val="300"/>
        </w:trPr>
        <w:tc>
          <w:tcPr>
            <w:tcW w:w="1720" w:type="dxa"/>
            <w:tcBorders>
              <w:top w:val="single" w:sz="8" w:space="0" w:color="auto"/>
              <w:left w:val="single" w:sz="8" w:space="0" w:color="auto"/>
              <w:bottom w:val="single" w:sz="8" w:space="0" w:color="auto"/>
              <w:right w:val="single" w:sz="8" w:space="0" w:color="auto"/>
            </w:tcBorders>
            <w:tcMar>
              <w:left w:w="108" w:type="dxa"/>
              <w:right w:w="108" w:type="dxa"/>
            </w:tcMar>
          </w:tcPr>
          <w:p w14:paraId="296BC3A4" w14:textId="1187CFD9" w:rsidR="203BDFCB" w:rsidRPr="00D86314" w:rsidRDefault="203BDFCB" w:rsidP="00703057">
            <w:pPr>
              <w:spacing w:after="0"/>
              <w:rPr>
                <w:noProof/>
              </w:rPr>
            </w:pPr>
            <w:r w:rsidRPr="00D86314">
              <w:rPr>
                <w:noProof/>
              </w:rPr>
              <w:t>4. Legal &amp; Consultancy for Proceedings</w:t>
            </w:r>
          </w:p>
        </w:tc>
        <w:tc>
          <w:tcPr>
            <w:tcW w:w="2783" w:type="dxa"/>
            <w:tcBorders>
              <w:top w:val="single" w:sz="8" w:space="0" w:color="auto"/>
              <w:left w:val="single" w:sz="8" w:space="0" w:color="auto"/>
              <w:bottom w:val="single" w:sz="8" w:space="0" w:color="auto"/>
              <w:right w:val="single" w:sz="8" w:space="0" w:color="auto"/>
            </w:tcBorders>
            <w:tcMar>
              <w:left w:w="108" w:type="dxa"/>
              <w:right w:w="108" w:type="dxa"/>
            </w:tcMar>
          </w:tcPr>
          <w:p w14:paraId="3DC2A6C3" w14:textId="28CD385A" w:rsidR="203BDFCB" w:rsidRPr="00D86314" w:rsidRDefault="203BDFCB" w:rsidP="00703057">
            <w:pPr>
              <w:spacing w:after="0"/>
              <w:rPr>
                <w:noProof/>
              </w:rPr>
            </w:pPr>
            <w:r w:rsidRPr="00D86314">
              <w:rPr>
                <w:noProof/>
              </w:rPr>
              <w:t>- Covers participation in public consultations, and potential appeals.</w:t>
            </w:r>
            <w:r w:rsidRPr="00D86314">
              <w:rPr>
                <w:noProof/>
              </w:rPr>
              <w:br/>
              <w:t xml:space="preserve"> - Requires support from economic and legal consultants.</w:t>
            </w:r>
            <w:r w:rsidRPr="00D86314">
              <w:rPr>
                <w:noProof/>
              </w:rPr>
              <w:br/>
              <w:t xml:space="preserve"> - Cost varies with complexity and frequency of regulatory actions.</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2FC921C" w14:textId="2CFF15D1" w:rsidR="203BDFCB" w:rsidRPr="00D86314" w:rsidRDefault="203BDFCB" w:rsidP="00703057">
            <w:pPr>
              <w:spacing w:after="0"/>
              <w:rPr>
                <w:noProof/>
              </w:rPr>
            </w:pPr>
            <w:r w:rsidRPr="00D86314">
              <w:rPr>
                <w:noProof/>
              </w:rPr>
              <w:t>—</w:t>
            </w:r>
          </w:p>
        </w:tc>
        <w:tc>
          <w:tcPr>
            <w:tcW w:w="1546" w:type="dxa"/>
            <w:tcBorders>
              <w:top w:val="single" w:sz="8" w:space="0" w:color="auto"/>
              <w:left w:val="single" w:sz="8" w:space="0" w:color="auto"/>
              <w:bottom w:val="single" w:sz="8" w:space="0" w:color="auto"/>
              <w:right w:val="single" w:sz="8" w:space="0" w:color="auto"/>
            </w:tcBorders>
            <w:tcMar>
              <w:left w:w="108" w:type="dxa"/>
              <w:right w:w="108" w:type="dxa"/>
            </w:tcMar>
          </w:tcPr>
          <w:p w14:paraId="2F4F4202" w14:textId="7676BCA0" w:rsidR="203BDFCB" w:rsidRPr="00D86314" w:rsidRDefault="203BDFCB" w:rsidP="00703057">
            <w:pPr>
              <w:spacing w:after="0"/>
              <w:rPr>
                <w:noProof/>
              </w:rPr>
            </w:pPr>
            <w:r w:rsidRPr="00D86314">
              <w:rPr>
                <w:noProof/>
              </w:rPr>
              <w:t>—</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56FBA7F4" w14:textId="6E5A70DF" w:rsidR="203BDFCB" w:rsidRPr="00D86314" w:rsidRDefault="001D1F40" w:rsidP="00703057">
            <w:pPr>
              <w:spacing w:after="0"/>
              <w:rPr>
                <w:noProof/>
              </w:rPr>
            </w:pPr>
            <w:r w:rsidRPr="00D86314">
              <w:rPr>
                <w:noProof/>
              </w:rPr>
              <w:t>EUR </w:t>
            </w:r>
            <w:r w:rsidR="203BDFCB" w:rsidRPr="00D86314">
              <w:rPr>
                <w:noProof/>
              </w:rPr>
              <w:t>2.0–5.0</w:t>
            </w:r>
            <w:r w:rsidR="008F4DB6" w:rsidRPr="00D86314">
              <w:rPr>
                <w:noProof/>
              </w:rPr>
              <w:t xml:space="preserve"> m</w:t>
            </w:r>
          </w:p>
        </w:tc>
      </w:tr>
      <w:tr w:rsidR="203BDFCB" w:rsidRPr="00D86314" w14:paraId="49A6A173" w14:textId="77777777" w:rsidTr="17B36FC0">
        <w:trPr>
          <w:trHeight w:val="300"/>
        </w:trPr>
        <w:tc>
          <w:tcPr>
            <w:tcW w:w="1720" w:type="dxa"/>
            <w:tcBorders>
              <w:top w:val="single" w:sz="8" w:space="0" w:color="auto"/>
              <w:left w:val="single" w:sz="8" w:space="0" w:color="auto"/>
              <w:bottom w:val="single" w:sz="8" w:space="0" w:color="auto"/>
              <w:right w:val="single" w:sz="8" w:space="0" w:color="auto"/>
            </w:tcBorders>
            <w:tcMar>
              <w:left w:w="108" w:type="dxa"/>
              <w:right w:w="108" w:type="dxa"/>
            </w:tcMar>
          </w:tcPr>
          <w:p w14:paraId="7DE2E7BC" w14:textId="26BD5684" w:rsidR="203BDFCB" w:rsidRPr="00D86314" w:rsidRDefault="203BDFCB" w:rsidP="00703057">
            <w:pPr>
              <w:spacing w:after="0"/>
              <w:rPr>
                <w:noProof/>
              </w:rPr>
            </w:pPr>
            <w:r w:rsidRPr="00D86314">
              <w:rPr>
                <w:noProof/>
              </w:rPr>
              <w:t>→ Total Annual Cost Estimate</w:t>
            </w:r>
          </w:p>
        </w:tc>
        <w:tc>
          <w:tcPr>
            <w:tcW w:w="2783" w:type="dxa"/>
            <w:tcBorders>
              <w:top w:val="single" w:sz="8" w:space="0" w:color="auto"/>
              <w:left w:val="single" w:sz="8" w:space="0" w:color="auto"/>
              <w:bottom w:val="single" w:sz="8" w:space="0" w:color="auto"/>
              <w:right w:val="single" w:sz="8" w:space="0" w:color="auto"/>
            </w:tcBorders>
            <w:tcMar>
              <w:left w:w="108" w:type="dxa"/>
              <w:right w:w="108" w:type="dxa"/>
            </w:tcMar>
          </w:tcPr>
          <w:p w14:paraId="44DBE3D8" w14:textId="05BA6BEB" w:rsidR="203BDFCB" w:rsidRPr="00D86314" w:rsidRDefault="203BDFCB" w:rsidP="00703057">
            <w:pPr>
              <w:spacing w:after="0"/>
              <w:rPr>
                <w:noProof/>
              </w:rPr>
            </w:pPr>
            <w:r w:rsidRPr="00D86314">
              <w:rPr>
                <w:noProof/>
              </w:rPr>
              <w:t>Combined recurring and variable costs across all 27 EU Member States.</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F287BED" w14:textId="59445081" w:rsidR="203BDFCB" w:rsidRPr="00D86314" w:rsidRDefault="203BDFCB" w:rsidP="00703057">
            <w:pPr>
              <w:spacing w:after="0"/>
              <w:rPr>
                <w:noProof/>
              </w:rPr>
            </w:pPr>
            <w:r w:rsidRPr="00D86314">
              <w:rPr>
                <w:noProof/>
              </w:rPr>
              <w:t>—</w:t>
            </w:r>
          </w:p>
        </w:tc>
        <w:tc>
          <w:tcPr>
            <w:tcW w:w="1546" w:type="dxa"/>
            <w:tcBorders>
              <w:top w:val="single" w:sz="8" w:space="0" w:color="auto"/>
              <w:left w:val="single" w:sz="8" w:space="0" w:color="auto"/>
              <w:bottom w:val="single" w:sz="8" w:space="0" w:color="auto"/>
              <w:right w:val="single" w:sz="8" w:space="0" w:color="auto"/>
            </w:tcBorders>
            <w:tcMar>
              <w:left w:w="108" w:type="dxa"/>
              <w:right w:w="108" w:type="dxa"/>
            </w:tcMar>
          </w:tcPr>
          <w:p w14:paraId="0FD506FF" w14:textId="19A633D9" w:rsidR="203BDFCB" w:rsidRPr="00D86314" w:rsidRDefault="203BDFCB" w:rsidP="00703057">
            <w:pPr>
              <w:spacing w:after="0"/>
              <w:rPr>
                <w:noProof/>
              </w:rPr>
            </w:pPr>
            <w:r w:rsidRPr="00D86314">
              <w:rPr>
                <w:noProof/>
              </w:rPr>
              <w:t>—</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07740EC8" w14:textId="7DE4085C" w:rsidR="203BDFCB" w:rsidRPr="00D86314" w:rsidRDefault="001D1F40" w:rsidP="00703057">
            <w:pPr>
              <w:spacing w:after="0"/>
              <w:rPr>
                <w:noProof/>
              </w:rPr>
            </w:pPr>
            <w:r w:rsidRPr="00D86314">
              <w:rPr>
                <w:noProof/>
              </w:rPr>
              <w:t>EUR </w:t>
            </w:r>
            <w:r w:rsidR="203BDFCB" w:rsidRPr="00D86314">
              <w:rPr>
                <w:noProof/>
              </w:rPr>
              <w:t>15–25 m</w:t>
            </w:r>
          </w:p>
        </w:tc>
      </w:tr>
      <w:tr w:rsidR="203BDFCB" w:rsidRPr="00D86314" w14:paraId="7F7499F0" w14:textId="77777777" w:rsidTr="17B36FC0">
        <w:trPr>
          <w:trHeight w:val="300"/>
        </w:trPr>
        <w:tc>
          <w:tcPr>
            <w:tcW w:w="1720" w:type="dxa"/>
            <w:tcBorders>
              <w:top w:val="single" w:sz="8" w:space="0" w:color="auto"/>
              <w:left w:val="single" w:sz="8" w:space="0" w:color="auto"/>
              <w:bottom w:val="single" w:sz="8" w:space="0" w:color="auto"/>
              <w:right w:val="single" w:sz="8" w:space="0" w:color="auto"/>
            </w:tcBorders>
            <w:tcMar>
              <w:left w:w="108" w:type="dxa"/>
              <w:right w:w="108" w:type="dxa"/>
            </w:tcMar>
          </w:tcPr>
          <w:p w14:paraId="597529D4" w14:textId="001D91BF" w:rsidR="203BDFCB" w:rsidRPr="00D86314" w:rsidRDefault="203BDFCB" w:rsidP="00703057">
            <w:pPr>
              <w:spacing w:after="0"/>
              <w:rPr>
                <w:noProof/>
              </w:rPr>
            </w:pPr>
            <w:r w:rsidRPr="00D86314">
              <w:rPr>
                <w:noProof/>
              </w:rPr>
              <w:t>Potential Savings under Full EU Harmonisation</w:t>
            </w:r>
          </w:p>
        </w:tc>
        <w:tc>
          <w:tcPr>
            <w:tcW w:w="2783" w:type="dxa"/>
            <w:tcBorders>
              <w:top w:val="single" w:sz="8" w:space="0" w:color="auto"/>
              <w:left w:val="single" w:sz="8" w:space="0" w:color="auto"/>
              <w:bottom w:val="single" w:sz="8" w:space="0" w:color="auto"/>
              <w:right w:val="single" w:sz="8" w:space="0" w:color="auto"/>
            </w:tcBorders>
            <w:tcMar>
              <w:left w:w="108" w:type="dxa"/>
              <w:right w:w="108" w:type="dxa"/>
            </w:tcMar>
          </w:tcPr>
          <w:p w14:paraId="4161DC99" w14:textId="044BAE8C" w:rsidR="203BDFCB" w:rsidRPr="00D86314" w:rsidRDefault="203BDFCB" w:rsidP="00703057">
            <w:pPr>
              <w:spacing w:after="0"/>
              <w:rPr>
                <w:noProof/>
              </w:rPr>
            </w:pPr>
            <w:r w:rsidRPr="00D86314">
              <w:rPr>
                <w:noProof/>
              </w:rPr>
              <w:t>- A single EU-level authorisation, reporting,</w:t>
            </w:r>
            <w:r w:rsidR="41A5AD90" w:rsidRPr="00D86314">
              <w:rPr>
                <w:noProof/>
              </w:rPr>
              <w:t xml:space="preserve"> </w:t>
            </w:r>
            <w:r w:rsidRPr="00D86314">
              <w:rPr>
                <w:noProof/>
              </w:rPr>
              <w:t>and fee framework could significantly reduce administrative duplication.</w:t>
            </w:r>
            <w:r w:rsidRPr="00D86314">
              <w:rPr>
                <w:noProof/>
              </w:rPr>
              <w:br/>
              <w:t xml:space="preserve"> - Would eliminate multiple national submissions and overlapping NRA obligations.</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47F5118" w14:textId="5A5E85AD" w:rsidR="203BDFCB" w:rsidRPr="00D86314" w:rsidRDefault="203BDFCB" w:rsidP="00703057">
            <w:pPr>
              <w:spacing w:after="0"/>
              <w:rPr>
                <w:noProof/>
              </w:rPr>
            </w:pPr>
            <w:r w:rsidRPr="00D86314">
              <w:rPr>
                <w:noProof/>
              </w:rPr>
              <w:t>—</w:t>
            </w:r>
          </w:p>
        </w:tc>
        <w:tc>
          <w:tcPr>
            <w:tcW w:w="1546" w:type="dxa"/>
            <w:tcBorders>
              <w:top w:val="single" w:sz="8" w:space="0" w:color="auto"/>
              <w:left w:val="single" w:sz="8" w:space="0" w:color="auto"/>
              <w:bottom w:val="single" w:sz="8" w:space="0" w:color="auto"/>
              <w:right w:val="single" w:sz="8" w:space="0" w:color="auto"/>
            </w:tcBorders>
            <w:tcMar>
              <w:left w:w="108" w:type="dxa"/>
              <w:right w:w="108" w:type="dxa"/>
            </w:tcMar>
          </w:tcPr>
          <w:p w14:paraId="390F0E11" w14:textId="7FE319EB" w:rsidR="203BDFCB" w:rsidRPr="00D86314" w:rsidRDefault="203BDFCB" w:rsidP="00703057">
            <w:pPr>
              <w:spacing w:after="0"/>
              <w:rPr>
                <w:noProof/>
              </w:rPr>
            </w:pPr>
            <w:r w:rsidRPr="00D86314">
              <w:rPr>
                <w:noProof/>
              </w:rPr>
              <w:t>—</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7B355899" w14:textId="0F2ECDF7" w:rsidR="00FE363F" w:rsidRPr="00D86314" w:rsidRDefault="00FE363F">
            <w:pPr>
              <w:spacing w:after="0"/>
              <w:rPr>
                <w:noProof/>
              </w:rPr>
            </w:pPr>
          </w:p>
          <w:p w14:paraId="67A6AD4D" w14:textId="1514557B" w:rsidR="203BDFCB" w:rsidRPr="00D86314" w:rsidRDefault="5F85041F" w:rsidP="00703057">
            <w:pPr>
              <w:spacing w:after="0"/>
              <w:rPr>
                <w:noProof/>
              </w:rPr>
            </w:pPr>
            <w:r w:rsidRPr="00D86314">
              <w:rPr>
                <w:noProof/>
              </w:rPr>
              <w:t>S</w:t>
            </w:r>
            <w:r w:rsidR="63065B74" w:rsidRPr="00D86314">
              <w:rPr>
                <w:noProof/>
              </w:rPr>
              <w:t>avings</w:t>
            </w:r>
            <w:r w:rsidR="00FE363F" w:rsidRPr="00D86314">
              <w:rPr>
                <w:noProof/>
              </w:rPr>
              <w:t xml:space="preserve"> of EUR</w:t>
            </w:r>
            <w:r w:rsidR="001228A8" w:rsidRPr="00D86314">
              <w:rPr>
                <w:noProof/>
              </w:rPr>
              <w:t> </w:t>
            </w:r>
            <w:r w:rsidR="00FE363F" w:rsidRPr="00D86314">
              <w:rPr>
                <w:noProof/>
              </w:rPr>
              <w:t>6-11 m (about 40-44% reduction</w:t>
            </w:r>
            <w:r w:rsidR="14B9363D" w:rsidRPr="00D86314">
              <w:rPr>
                <w:noProof/>
              </w:rPr>
              <w:t xml:space="preserve"> from EUR</w:t>
            </w:r>
            <w:r w:rsidR="00AF3245" w:rsidRPr="00D86314">
              <w:rPr>
                <w:noProof/>
              </w:rPr>
              <w:t> </w:t>
            </w:r>
            <w:r w:rsidR="14B9363D" w:rsidRPr="00D86314">
              <w:rPr>
                <w:noProof/>
              </w:rPr>
              <w:t>15-25 m</w:t>
            </w:r>
            <w:r w:rsidR="00FE363F" w:rsidRPr="00D86314">
              <w:rPr>
                <w:noProof/>
              </w:rPr>
              <w:t>) per year</w:t>
            </w:r>
            <w:r w:rsidR="118FC710" w:rsidRPr="00D86314">
              <w:rPr>
                <w:noProof/>
              </w:rPr>
              <w:t xml:space="preserve"> </w:t>
            </w:r>
            <w:r w:rsidR="75D0A7CB" w:rsidRPr="00D86314">
              <w:rPr>
                <w:noProof/>
              </w:rPr>
              <w:t>without</w:t>
            </w:r>
            <w:r w:rsidR="4B22E14B" w:rsidRPr="00D86314">
              <w:rPr>
                <w:noProof/>
              </w:rPr>
              <w:t xml:space="preserve"> </w:t>
            </w:r>
            <w:r w:rsidR="590E4106" w:rsidRPr="00D86314">
              <w:rPr>
                <w:noProof/>
              </w:rPr>
              <w:t xml:space="preserve">changes in the </w:t>
            </w:r>
            <w:r w:rsidR="4B22E14B" w:rsidRPr="00D86314">
              <w:rPr>
                <w:noProof/>
              </w:rPr>
              <w:t>fee framework</w:t>
            </w:r>
            <w:r w:rsidR="63065B74" w:rsidRPr="00D86314">
              <w:rPr>
                <w:noProof/>
              </w:rPr>
              <w:t>.</w:t>
            </w:r>
          </w:p>
          <w:p w14:paraId="4A36C95C" w14:textId="51C2796E" w:rsidR="00FE363F" w:rsidRPr="00D86314" w:rsidRDefault="58097966" w:rsidP="3199F7CC">
            <w:pPr>
              <w:spacing w:after="0"/>
              <w:rPr>
                <w:noProof/>
              </w:rPr>
            </w:pPr>
            <w:r w:rsidRPr="00D86314">
              <w:rPr>
                <w:noProof/>
              </w:rPr>
              <w:t xml:space="preserve">Savings of </w:t>
            </w:r>
            <w:r w:rsidR="00B14ED1" w:rsidRPr="00D86314">
              <w:rPr>
                <w:noProof/>
              </w:rPr>
              <w:t>EUR </w:t>
            </w:r>
            <w:r w:rsidRPr="00D86314">
              <w:rPr>
                <w:noProof/>
              </w:rPr>
              <w:t>10–15 m/</w:t>
            </w:r>
            <w:r w:rsidR="20828554" w:rsidRPr="00D86314">
              <w:rPr>
                <w:noProof/>
              </w:rPr>
              <w:t>ye</w:t>
            </w:r>
            <w:r w:rsidR="0A88A8A9" w:rsidRPr="00D86314">
              <w:rPr>
                <w:noProof/>
              </w:rPr>
              <w:t>a</w:t>
            </w:r>
            <w:r w:rsidR="20828554" w:rsidRPr="00D86314">
              <w:rPr>
                <w:noProof/>
              </w:rPr>
              <w:t>r</w:t>
            </w:r>
            <w:r w:rsidRPr="00D86314">
              <w:rPr>
                <w:noProof/>
              </w:rPr>
              <w:t xml:space="preserve"> (≈60–80% reduction </w:t>
            </w:r>
            <w:r w:rsidR="6A39731A" w:rsidRPr="00D86314">
              <w:rPr>
                <w:noProof/>
              </w:rPr>
              <w:t xml:space="preserve">if </w:t>
            </w:r>
            <w:r w:rsidR="6C48588B" w:rsidRPr="00D86314">
              <w:rPr>
                <w:noProof/>
              </w:rPr>
              <w:t>with single fee framework</w:t>
            </w:r>
            <w:r w:rsidR="00FE363F" w:rsidRPr="00D86314">
              <w:rPr>
                <w:noProof/>
              </w:rPr>
              <w:t>.</w:t>
            </w:r>
          </w:p>
        </w:tc>
      </w:tr>
    </w:tbl>
    <w:p w14:paraId="4C9DE5FA" w14:textId="5EAC964F" w:rsidR="203BDFCB" w:rsidRPr="00D86314" w:rsidRDefault="203BDFCB" w:rsidP="203BDFCB">
      <w:pPr>
        <w:spacing w:after="120"/>
        <w:rPr>
          <w:noProof/>
        </w:rPr>
      </w:pPr>
    </w:p>
    <w:p w14:paraId="6378C114" w14:textId="0A82103D" w:rsidR="00B567A8" w:rsidRPr="00D86314" w:rsidRDefault="5352D2BF" w:rsidP="006A2060">
      <w:pPr>
        <w:spacing w:after="120"/>
        <w:rPr>
          <w:b/>
          <w:bCs/>
          <w:noProof/>
        </w:rPr>
      </w:pPr>
      <w:r w:rsidRPr="00D86314">
        <w:rPr>
          <w:b/>
          <w:bCs/>
          <w:noProof/>
        </w:rPr>
        <w:t xml:space="preserve">Summary of the </w:t>
      </w:r>
      <w:r w:rsidR="00E444B0" w:rsidRPr="00D86314">
        <w:rPr>
          <w:b/>
          <w:bCs/>
          <w:noProof/>
        </w:rPr>
        <w:t>estimates – between lo</w:t>
      </w:r>
      <w:r w:rsidR="0011192F" w:rsidRPr="00D86314">
        <w:rPr>
          <w:b/>
          <w:bCs/>
          <w:noProof/>
        </w:rPr>
        <w:t>w and high are the following:</w:t>
      </w:r>
    </w:p>
    <w:p w14:paraId="6455DBCF" w14:textId="13FC64E5" w:rsidR="00E444B0" w:rsidRPr="00D86314" w:rsidRDefault="00E444B0" w:rsidP="00703057">
      <w:pPr>
        <w:pStyle w:val="NormalWeb"/>
        <w:numPr>
          <w:ilvl w:val="0"/>
          <w:numId w:val="1"/>
        </w:numPr>
        <w:jc w:val="both"/>
        <w:rPr>
          <w:noProof/>
          <w:lang w:val="en-GB"/>
        </w:rPr>
      </w:pPr>
      <w:r w:rsidRPr="00D86314">
        <w:rPr>
          <w:noProof/>
          <w:lang w:val="en-GB"/>
        </w:rPr>
        <w:t xml:space="preserve">The largest recurring burden comes from </w:t>
      </w:r>
      <w:r w:rsidRPr="00D86314">
        <w:rPr>
          <w:rStyle w:val="Strong"/>
          <w:noProof/>
          <w:lang w:val="en-GB"/>
        </w:rPr>
        <w:t>reporting and audit obligations</w:t>
      </w:r>
      <w:r w:rsidRPr="00D86314">
        <w:rPr>
          <w:noProof/>
          <w:lang w:val="en-GB"/>
        </w:rPr>
        <w:t xml:space="preserve"> (</w:t>
      </w:r>
      <w:r w:rsidR="0011192F" w:rsidRPr="00D86314">
        <w:rPr>
          <w:noProof/>
          <w:lang w:val="en-GB"/>
        </w:rPr>
        <w:t>EUR</w:t>
      </w:r>
      <w:r w:rsidR="001B53C8" w:rsidRPr="00D86314">
        <w:rPr>
          <w:noProof/>
          <w:lang w:val="en-GB"/>
        </w:rPr>
        <w:t> </w:t>
      </w:r>
      <w:r w:rsidRPr="00D86314">
        <w:rPr>
          <w:noProof/>
          <w:lang w:val="en-GB"/>
        </w:rPr>
        <w:t>4.5–6.0</w:t>
      </w:r>
      <w:r w:rsidR="0011192F" w:rsidRPr="00D86314">
        <w:rPr>
          <w:noProof/>
          <w:lang w:val="en-GB"/>
        </w:rPr>
        <w:t xml:space="preserve"> </w:t>
      </w:r>
      <w:r w:rsidRPr="00D86314">
        <w:rPr>
          <w:noProof/>
          <w:lang w:val="en-GB"/>
        </w:rPr>
        <w:t>m</w:t>
      </w:r>
      <w:r w:rsidR="0011192F" w:rsidRPr="00D86314">
        <w:rPr>
          <w:noProof/>
          <w:lang w:val="en-GB"/>
        </w:rPr>
        <w:t>illion</w:t>
      </w:r>
      <w:r w:rsidRPr="00D86314">
        <w:rPr>
          <w:noProof/>
          <w:lang w:val="en-GB"/>
        </w:rPr>
        <w:t>), reflecting the effort required to produce country-specific documentation and undergo reviews.</w:t>
      </w:r>
    </w:p>
    <w:p w14:paraId="02327EE7" w14:textId="76D4843A" w:rsidR="00E444B0" w:rsidRPr="00D86314" w:rsidRDefault="00E444B0" w:rsidP="00703057">
      <w:pPr>
        <w:pStyle w:val="NormalWeb"/>
        <w:numPr>
          <w:ilvl w:val="0"/>
          <w:numId w:val="1"/>
        </w:numPr>
        <w:jc w:val="both"/>
        <w:rPr>
          <w:noProof/>
          <w:lang w:val="en-GB"/>
        </w:rPr>
      </w:pPr>
      <w:r w:rsidRPr="00D86314">
        <w:rPr>
          <w:rStyle w:val="Strong"/>
          <w:noProof/>
          <w:lang w:val="en-GB"/>
        </w:rPr>
        <w:t>Personnel costs</w:t>
      </w:r>
      <w:r w:rsidRPr="00D86314">
        <w:rPr>
          <w:noProof/>
          <w:lang w:val="en-GB"/>
        </w:rPr>
        <w:t xml:space="preserve"> for in-house and external regulatory/legal expertise are also significant (</w:t>
      </w:r>
      <w:r w:rsidR="0011192F" w:rsidRPr="00D86314">
        <w:rPr>
          <w:noProof/>
          <w:lang w:val="en-GB"/>
        </w:rPr>
        <w:t>EUR</w:t>
      </w:r>
      <w:r w:rsidR="00774578" w:rsidRPr="00D86314">
        <w:rPr>
          <w:noProof/>
          <w:lang w:val="en-GB"/>
        </w:rPr>
        <w:t> </w:t>
      </w:r>
      <w:r w:rsidRPr="00D86314">
        <w:rPr>
          <w:noProof/>
          <w:lang w:val="en-GB"/>
        </w:rPr>
        <w:t>3.5–4.0</w:t>
      </w:r>
      <w:r w:rsidR="0011192F" w:rsidRPr="00D86314">
        <w:rPr>
          <w:noProof/>
          <w:lang w:val="en-GB"/>
        </w:rPr>
        <w:t xml:space="preserve"> </w:t>
      </w:r>
      <w:r w:rsidRPr="00D86314">
        <w:rPr>
          <w:noProof/>
          <w:lang w:val="en-GB"/>
        </w:rPr>
        <w:t>m</w:t>
      </w:r>
      <w:r w:rsidR="0011192F" w:rsidRPr="00D86314">
        <w:rPr>
          <w:noProof/>
          <w:lang w:val="en-GB"/>
        </w:rPr>
        <w:t>illion</w:t>
      </w:r>
      <w:r w:rsidRPr="00D86314">
        <w:rPr>
          <w:noProof/>
          <w:lang w:val="en-GB"/>
        </w:rPr>
        <w:t>), highlighting the need for sustained specialist capacity to manage national requirements.</w:t>
      </w:r>
      <w:r w:rsidR="4A059A93" w:rsidRPr="00D86314">
        <w:rPr>
          <w:noProof/>
          <w:lang w:val="en-GB"/>
        </w:rPr>
        <w:t xml:space="preserve"> Out of this, </w:t>
      </w:r>
      <w:r w:rsidR="4A059A93" w:rsidRPr="00D86314">
        <w:rPr>
          <w:rFonts w:eastAsia="Segoe UI"/>
          <w:noProof/>
          <w:color w:val="333333"/>
          <w:lang w:val="en-GB"/>
        </w:rPr>
        <w:t xml:space="preserve">the pure HR cost </w:t>
      </w:r>
      <w:r w:rsidR="4A059A93" w:rsidRPr="00D86314">
        <w:rPr>
          <w:noProof/>
          <w:color w:val="333333"/>
          <w:lang w:val="en-GB"/>
        </w:rPr>
        <w:t xml:space="preserve">related to applying for General Authorisation (GA), notification and providing relevant updates, if required, separately across </w:t>
      </w:r>
      <w:r w:rsidR="0CB3948F" w:rsidRPr="00D86314">
        <w:rPr>
          <w:noProof/>
          <w:color w:val="333333"/>
          <w:lang w:val="en-GB"/>
        </w:rPr>
        <w:t xml:space="preserve">27 Member States, </w:t>
      </w:r>
      <w:r w:rsidR="4A059A93" w:rsidRPr="00D86314">
        <w:rPr>
          <w:rFonts w:eastAsia="Segoe UI"/>
          <w:noProof/>
          <w:color w:val="333333"/>
          <w:lang w:val="en-GB"/>
        </w:rPr>
        <w:t xml:space="preserve">could range between </w:t>
      </w:r>
      <w:r w:rsidR="00774578" w:rsidRPr="00D86314">
        <w:rPr>
          <w:rFonts w:eastAsia="Segoe UI"/>
          <w:noProof/>
          <w:color w:val="333333"/>
          <w:lang w:val="en-GB"/>
        </w:rPr>
        <w:t>EUR </w:t>
      </w:r>
      <w:r w:rsidR="4A059A93" w:rsidRPr="00D86314">
        <w:rPr>
          <w:rFonts w:eastAsia="Segoe UI"/>
          <w:noProof/>
          <w:color w:val="333333"/>
          <w:lang w:val="en-GB"/>
        </w:rPr>
        <w:t>0.40–0.70 million</w:t>
      </w:r>
      <w:r w:rsidR="756270D8" w:rsidRPr="00D86314">
        <w:rPr>
          <w:noProof/>
          <w:color w:val="333333"/>
          <w:lang w:val="en-GB"/>
        </w:rPr>
        <w:t>.</w:t>
      </w:r>
      <w:r w:rsidR="4A059A93" w:rsidRPr="00D86314">
        <w:rPr>
          <w:rFonts w:eastAsia="Segoe UI"/>
          <w:noProof/>
          <w:color w:val="333333"/>
          <w:lang w:val="en-GB"/>
        </w:rPr>
        <w:t xml:space="preserve"> Including the total annual operational costs for compliance and legal obligations, the figure could reach approximately </w:t>
      </w:r>
      <w:r w:rsidR="00774578" w:rsidRPr="00D86314">
        <w:rPr>
          <w:rFonts w:eastAsia="Segoe UI"/>
          <w:noProof/>
          <w:color w:val="333333"/>
          <w:lang w:val="en-GB"/>
        </w:rPr>
        <w:t>EUR </w:t>
      </w:r>
      <w:r w:rsidR="4A059A93" w:rsidRPr="00D86314">
        <w:rPr>
          <w:rFonts w:eastAsia="Segoe UI"/>
          <w:noProof/>
          <w:color w:val="333333"/>
          <w:lang w:val="en-GB"/>
        </w:rPr>
        <w:t>0.50–1.20 million.</w:t>
      </w:r>
    </w:p>
    <w:p w14:paraId="0C474646" w14:textId="5632B243" w:rsidR="00E444B0" w:rsidRPr="00D86314" w:rsidRDefault="00E444B0" w:rsidP="00703057">
      <w:pPr>
        <w:pStyle w:val="NormalWeb"/>
        <w:numPr>
          <w:ilvl w:val="0"/>
          <w:numId w:val="1"/>
        </w:numPr>
        <w:jc w:val="both"/>
        <w:rPr>
          <w:noProof/>
          <w:lang w:val="en-GB"/>
        </w:rPr>
      </w:pPr>
      <w:r w:rsidRPr="00D86314">
        <w:rPr>
          <w:rStyle w:val="Strong"/>
          <w:noProof/>
          <w:lang w:val="en-GB"/>
        </w:rPr>
        <w:t>Fees and contributions</w:t>
      </w:r>
      <w:r w:rsidRPr="00D86314">
        <w:rPr>
          <w:noProof/>
          <w:lang w:val="en-GB"/>
        </w:rPr>
        <w:t xml:space="preserve"> to national authorities (</w:t>
      </w:r>
      <w:r w:rsidR="0011192F" w:rsidRPr="00D86314">
        <w:rPr>
          <w:noProof/>
          <w:lang w:val="en-GB"/>
        </w:rPr>
        <w:t>EUR</w:t>
      </w:r>
      <w:r w:rsidR="00774578" w:rsidRPr="00D86314">
        <w:rPr>
          <w:noProof/>
          <w:lang w:val="en-GB"/>
        </w:rPr>
        <w:t> </w:t>
      </w:r>
      <w:r w:rsidRPr="00D86314">
        <w:rPr>
          <w:noProof/>
          <w:lang w:val="en-GB"/>
        </w:rPr>
        <w:t>3.5–4.5</w:t>
      </w:r>
      <w:r w:rsidR="0011192F" w:rsidRPr="00D86314">
        <w:rPr>
          <w:noProof/>
          <w:lang w:val="en-GB"/>
        </w:rPr>
        <w:t xml:space="preserve"> million</w:t>
      </w:r>
      <w:r w:rsidRPr="00D86314">
        <w:rPr>
          <w:noProof/>
          <w:lang w:val="en-GB"/>
        </w:rPr>
        <w:t>) represent fixed costs linked to operating rights, numbering, and universal service obligations.</w:t>
      </w:r>
    </w:p>
    <w:p w14:paraId="255FA3DA" w14:textId="433D57D2" w:rsidR="00E444B0" w:rsidRPr="00D86314" w:rsidRDefault="00E444B0" w:rsidP="00703057">
      <w:pPr>
        <w:pStyle w:val="NormalWeb"/>
        <w:numPr>
          <w:ilvl w:val="0"/>
          <w:numId w:val="1"/>
        </w:numPr>
        <w:jc w:val="both"/>
        <w:rPr>
          <w:noProof/>
          <w:lang w:val="en-GB"/>
        </w:rPr>
      </w:pPr>
      <w:r w:rsidRPr="00D86314">
        <w:rPr>
          <w:rStyle w:val="Strong"/>
          <w:noProof/>
          <w:lang w:val="en-GB"/>
        </w:rPr>
        <w:t>Major regulatory proceedings</w:t>
      </w:r>
      <w:r w:rsidRPr="00D86314">
        <w:rPr>
          <w:noProof/>
          <w:lang w:val="en-GB"/>
        </w:rPr>
        <w:t>, such as consultations and appeals, vary more widely (</w:t>
      </w:r>
      <w:r w:rsidR="0011192F" w:rsidRPr="00D86314">
        <w:rPr>
          <w:noProof/>
          <w:lang w:val="en-GB"/>
        </w:rPr>
        <w:t>EUR</w:t>
      </w:r>
      <w:r w:rsidR="00774578" w:rsidRPr="00D86314">
        <w:rPr>
          <w:noProof/>
          <w:lang w:val="en-GB"/>
        </w:rPr>
        <w:t> </w:t>
      </w:r>
      <w:r w:rsidRPr="00D86314">
        <w:rPr>
          <w:noProof/>
          <w:lang w:val="en-GB"/>
        </w:rPr>
        <w:t>2.0–5.0</w:t>
      </w:r>
      <w:r w:rsidR="0011192F" w:rsidRPr="00D86314">
        <w:rPr>
          <w:noProof/>
          <w:lang w:val="en-GB"/>
        </w:rPr>
        <w:t xml:space="preserve"> million</w:t>
      </w:r>
      <w:r w:rsidRPr="00D86314">
        <w:rPr>
          <w:noProof/>
          <w:lang w:val="en-GB"/>
        </w:rPr>
        <w:t>) depending on the number and complexity of cases in a given year.</w:t>
      </w:r>
    </w:p>
    <w:p w14:paraId="6E35B47C" w14:textId="46BCB44D" w:rsidR="00E532F3" w:rsidRPr="00D86314" w:rsidRDefault="00795FD0" w:rsidP="00703057">
      <w:pPr>
        <w:pStyle w:val="ListParagraph"/>
        <w:numPr>
          <w:ilvl w:val="0"/>
          <w:numId w:val="1"/>
        </w:numPr>
        <w:spacing w:after="120"/>
        <w:rPr>
          <w:rFonts w:eastAsia="Times New Roman"/>
          <w:noProof/>
        </w:rPr>
      </w:pPr>
      <w:r w:rsidRPr="00D86314">
        <w:rPr>
          <w:rFonts w:eastAsia="Times New Roman"/>
          <w:b/>
          <w:noProof/>
        </w:rPr>
        <w:t>Annual regulatory compliance costs</w:t>
      </w:r>
      <w:r w:rsidRPr="00D86314">
        <w:rPr>
          <w:rFonts w:eastAsia="Times New Roman"/>
          <w:noProof/>
        </w:rPr>
        <w:t xml:space="preserve"> are estimated </w:t>
      </w:r>
      <w:r w:rsidRPr="00D86314">
        <w:rPr>
          <w:rFonts w:eastAsia="Times New Roman"/>
          <w:b/>
          <w:noProof/>
        </w:rPr>
        <w:t>at EUR</w:t>
      </w:r>
      <w:r w:rsidR="00B42EB5" w:rsidRPr="00D86314">
        <w:rPr>
          <w:rFonts w:eastAsia="Times New Roman"/>
          <w:b/>
          <w:noProof/>
        </w:rPr>
        <w:t> </w:t>
      </w:r>
      <w:r w:rsidRPr="00D86314">
        <w:rPr>
          <w:rFonts w:eastAsia="Times New Roman"/>
          <w:b/>
          <w:noProof/>
        </w:rPr>
        <w:t>15–25 millio</w:t>
      </w:r>
      <w:r w:rsidRPr="00D86314">
        <w:rPr>
          <w:rFonts w:eastAsia="Times New Roman"/>
          <w:noProof/>
        </w:rPr>
        <w:t>n, representing overhead created by market fragmentation. In a fully harmonised single market, streamlined authorisation and reporting</w:t>
      </w:r>
      <w:r w:rsidR="1479FD2C" w:rsidRPr="00D86314">
        <w:rPr>
          <w:rFonts w:eastAsia="Times New Roman"/>
          <w:noProof/>
        </w:rPr>
        <w:t xml:space="preserve">, if there is a </w:t>
      </w:r>
      <w:r w:rsidR="00751670" w:rsidRPr="00D86314">
        <w:rPr>
          <w:rFonts w:eastAsia="Times New Roman"/>
          <w:noProof/>
        </w:rPr>
        <w:t>single fee</w:t>
      </w:r>
      <w:r w:rsidRPr="00D86314">
        <w:rPr>
          <w:rFonts w:eastAsia="Times New Roman"/>
          <w:noProof/>
        </w:rPr>
        <w:t xml:space="preserve"> </w:t>
      </w:r>
      <w:r w:rsidR="625C448A" w:rsidRPr="00D86314">
        <w:rPr>
          <w:rFonts w:eastAsia="Times New Roman"/>
          <w:noProof/>
        </w:rPr>
        <w:t xml:space="preserve">foreseen it </w:t>
      </w:r>
      <w:r w:rsidRPr="00D86314">
        <w:rPr>
          <w:rFonts w:eastAsia="Times New Roman"/>
          <w:noProof/>
        </w:rPr>
        <w:t xml:space="preserve">could reduce this burden by 60–80%, </w:t>
      </w:r>
      <w:r w:rsidR="000D62CC" w:rsidRPr="00D86314">
        <w:rPr>
          <w:rFonts w:eastAsia="Times New Roman"/>
          <w:noProof/>
        </w:rPr>
        <w:t xml:space="preserve">creating </w:t>
      </w:r>
      <w:r w:rsidRPr="00D86314">
        <w:rPr>
          <w:rFonts w:eastAsia="Times New Roman"/>
          <w:noProof/>
        </w:rPr>
        <w:t xml:space="preserve">savings of </w:t>
      </w:r>
      <w:r w:rsidR="00DE37F3" w:rsidRPr="00D86314">
        <w:rPr>
          <w:rFonts w:eastAsia="Times New Roman"/>
          <w:noProof/>
        </w:rPr>
        <w:t>EUR</w:t>
      </w:r>
      <w:r w:rsidR="00FA47F8" w:rsidRPr="00D86314">
        <w:rPr>
          <w:rFonts w:eastAsia="Times New Roman"/>
          <w:noProof/>
        </w:rPr>
        <w:t> </w:t>
      </w:r>
      <w:r w:rsidRPr="00D86314">
        <w:rPr>
          <w:rFonts w:eastAsia="Times New Roman"/>
          <w:noProof/>
        </w:rPr>
        <w:t>10–15 million per year.</w:t>
      </w:r>
      <w:r w:rsidR="00E532F3" w:rsidRPr="00D86314">
        <w:rPr>
          <w:rFonts w:eastAsia="Times New Roman"/>
          <w:noProof/>
        </w:rPr>
        <w:t xml:space="preserve"> </w:t>
      </w:r>
      <w:r w:rsidR="7A8D1423" w:rsidRPr="00D86314">
        <w:rPr>
          <w:rFonts w:eastAsia="Times New Roman"/>
          <w:noProof/>
        </w:rPr>
        <w:t>However, in the scenario where there is no single fee propose</w:t>
      </w:r>
      <w:r w:rsidR="285B374A" w:rsidRPr="00D86314">
        <w:rPr>
          <w:rFonts w:eastAsia="Times New Roman"/>
          <w:noProof/>
        </w:rPr>
        <w:t>d</w:t>
      </w:r>
      <w:r w:rsidR="7A8D1423" w:rsidRPr="00D86314">
        <w:rPr>
          <w:rFonts w:eastAsia="Times New Roman"/>
          <w:noProof/>
        </w:rPr>
        <w:t xml:space="preserve"> the burden reduction is lower 40-44%</w:t>
      </w:r>
      <w:r w:rsidR="49A99937" w:rsidRPr="00D86314">
        <w:rPr>
          <w:rFonts w:eastAsia="Times New Roman"/>
          <w:noProof/>
        </w:rPr>
        <w:t xml:space="preserve"> and cost savings would be approximately E</w:t>
      </w:r>
      <w:r w:rsidR="54808086" w:rsidRPr="00D86314">
        <w:rPr>
          <w:rFonts w:eastAsia="Times New Roman"/>
          <w:noProof/>
        </w:rPr>
        <w:t>U</w:t>
      </w:r>
      <w:r w:rsidR="49A99937" w:rsidRPr="00D86314">
        <w:rPr>
          <w:rFonts w:eastAsia="Times New Roman"/>
          <w:noProof/>
        </w:rPr>
        <w:t>R</w:t>
      </w:r>
      <w:r w:rsidR="00B42EB5" w:rsidRPr="00D86314">
        <w:rPr>
          <w:rFonts w:eastAsia="Times New Roman"/>
          <w:noProof/>
        </w:rPr>
        <w:t> </w:t>
      </w:r>
      <w:r w:rsidR="49A99937" w:rsidRPr="00D86314">
        <w:rPr>
          <w:rFonts w:eastAsia="Times New Roman"/>
          <w:noProof/>
        </w:rPr>
        <w:t>6-11 million per year.</w:t>
      </w:r>
    </w:p>
    <w:p w14:paraId="37D27503" w14:textId="0FDECEE3" w:rsidR="00E444B0" w:rsidRPr="00D86314" w:rsidRDefault="00E532F3" w:rsidP="00703057">
      <w:pPr>
        <w:pStyle w:val="ListParagraph"/>
        <w:numPr>
          <w:ilvl w:val="0"/>
          <w:numId w:val="1"/>
        </w:numPr>
        <w:spacing w:after="120"/>
        <w:rPr>
          <w:rFonts w:eastAsia="Times New Roman"/>
          <w:noProof/>
        </w:rPr>
      </w:pPr>
      <w:r w:rsidRPr="00D86314">
        <w:rPr>
          <w:rFonts w:eastAsia="Times New Roman"/>
          <w:noProof/>
        </w:rPr>
        <w:t xml:space="preserve">This scenario </w:t>
      </w:r>
      <w:r w:rsidR="00543A32" w:rsidRPr="00D86314">
        <w:rPr>
          <w:rFonts w:eastAsia="Times New Roman"/>
          <w:noProof/>
        </w:rPr>
        <w:t xml:space="preserve">represents </w:t>
      </w:r>
      <w:r w:rsidR="00543A32" w:rsidRPr="00D86314">
        <w:rPr>
          <w:rFonts w:eastAsia="Times New Roman"/>
          <w:b/>
          <w:noProof/>
        </w:rPr>
        <w:t xml:space="preserve">a best-case estimate of cost reduction </w:t>
      </w:r>
      <w:r w:rsidR="00543A32" w:rsidRPr="00D86314">
        <w:rPr>
          <w:rFonts w:eastAsia="Times New Roman"/>
          <w:noProof/>
        </w:rPr>
        <w:t>due solely to regulatory harmonisation and the elimination of fragmented, overlapping national requirements</w:t>
      </w:r>
      <w:r w:rsidR="00957C33" w:rsidRPr="00D86314">
        <w:rPr>
          <w:rFonts w:eastAsia="Times New Roman"/>
          <w:noProof/>
        </w:rPr>
        <w:t>, including the hypothetical assumption that n</w:t>
      </w:r>
      <w:r w:rsidR="002C0A3A" w:rsidRPr="00D86314">
        <w:rPr>
          <w:rFonts w:eastAsia="Times New Roman"/>
          <w:noProof/>
        </w:rPr>
        <w:t>ational fees are replaced by a single EU-level fee, eliminating multiple mandatory contributions</w:t>
      </w:r>
      <w:r w:rsidR="00AE5375" w:rsidRPr="00D86314">
        <w:rPr>
          <w:rFonts w:eastAsia="Times New Roman"/>
          <w:noProof/>
        </w:rPr>
        <w:t>.</w:t>
      </w:r>
      <w:r w:rsidR="58914330" w:rsidRPr="00D86314">
        <w:rPr>
          <w:rFonts w:eastAsia="Times New Roman"/>
          <w:noProof/>
        </w:rPr>
        <w:t xml:space="preserve"> It also provides estimation of costs reduction w</w:t>
      </w:r>
      <w:r w:rsidR="58914330" w:rsidRPr="00D86314">
        <w:rPr>
          <w:noProof/>
        </w:rPr>
        <w:t>ithout changes in the fee framework.</w:t>
      </w:r>
    </w:p>
    <w:p w14:paraId="43D8B985" w14:textId="16300D1E" w:rsidR="00C778BA" w:rsidRPr="00D86314" w:rsidRDefault="00C778BA" w:rsidP="00752CD8">
      <w:pPr>
        <w:pStyle w:val="Heading1"/>
        <w:spacing w:before="360"/>
        <w:ind w:left="431" w:hanging="431"/>
        <w:rPr>
          <w:noProof/>
          <w:lang w:val="en-GB"/>
        </w:rPr>
      </w:pPr>
      <w:bookmarkStart w:id="127" w:name="_Toc219718372"/>
      <w:r w:rsidRPr="00D86314">
        <w:rPr>
          <w:noProof/>
          <w:lang w:val="en-GB"/>
        </w:rPr>
        <w:t>Methodology for the modelling and quantitative Impact Assessment of the Spectrum options</w:t>
      </w:r>
      <w:bookmarkEnd w:id="127"/>
    </w:p>
    <w:p w14:paraId="2FD819D9" w14:textId="77777777" w:rsidR="00C778BA" w:rsidRPr="00D86314" w:rsidRDefault="00C778BA" w:rsidP="00C778BA">
      <w:pPr>
        <w:pStyle w:val="Heading2"/>
        <w:rPr>
          <w:noProof/>
        </w:rPr>
      </w:pPr>
      <w:bookmarkStart w:id="128" w:name="_Toc219718373"/>
      <w:r w:rsidRPr="00D86314">
        <w:rPr>
          <w:noProof/>
        </w:rPr>
        <w:t>Overview of the methodology</w:t>
      </w:r>
      <w:bookmarkEnd w:id="128"/>
    </w:p>
    <w:p w14:paraId="75244847" w14:textId="77777777" w:rsidR="00C778BA" w:rsidRPr="00D86314" w:rsidRDefault="00C778BA" w:rsidP="00C778BA">
      <w:pPr>
        <w:rPr>
          <w:noProof/>
        </w:rPr>
      </w:pPr>
      <w:r w:rsidRPr="00D86314">
        <w:rPr>
          <w:noProof/>
        </w:rPr>
        <w:t xml:space="preserve">The quantification of economic and environmental impacts associated with the different spectrum options for the Digital Networks Act is based on a 3-step process. This process is illustrated for mobile broadband in the following diagram. </w:t>
      </w:r>
    </w:p>
    <w:p w14:paraId="0BF5D1B1" w14:textId="7923CA3D" w:rsidR="00C778BA" w:rsidRPr="00D86314" w:rsidRDefault="00C778BA" w:rsidP="005F5206">
      <w:pPr>
        <w:pStyle w:val="Abbberschrift"/>
        <w:ind w:left="2127" w:hanging="2127"/>
        <w:rPr>
          <w:rFonts w:ascii="Times New Roman" w:hAnsi="Times New Roman"/>
          <w:i/>
          <w:noProof/>
        </w:rPr>
      </w:pPr>
      <w:bookmarkStart w:id="129" w:name="_Toc213962422"/>
      <w:r w:rsidRPr="00D86314">
        <w:rPr>
          <w:rFonts w:ascii="Times New Roman" w:hAnsi="Times New Roman"/>
          <w:i/>
          <w:noProof/>
        </w:rPr>
        <w:t xml:space="preserve">Figure </w:t>
      </w:r>
      <w:r w:rsidR="00B64FB4" w:rsidRPr="00D86314">
        <w:rPr>
          <w:rFonts w:ascii="Times New Roman" w:hAnsi="Times New Roman"/>
          <w:i/>
          <w:noProof/>
        </w:rPr>
        <w:t xml:space="preserve">A4 </w:t>
      </w:r>
      <w:r w:rsidR="005B5146">
        <w:rPr>
          <w:rFonts w:ascii="Times New Roman" w:hAnsi="Times New Roman"/>
          <w:i/>
          <w:noProof/>
        </w:rPr>
        <w:fldChar w:fldCharType="begin"/>
      </w:r>
      <w:r w:rsidR="005B5146">
        <w:rPr>
          <w:rFonts w:ascii="Times New Roman" w:hAnsi="Times New Roman"/>
          <w:i/>
          <w:noProof/>
        </w:rPr>
        <w:instrText xml:space="preserve"> STYLEREF 1 \s </w:instrText>
      </w:r>
      <w:r w:rsidR="005B5146">
        <w:rPr>
          <w:rFonts w:ascii="Times New Roman" w:hAnsi="Times New Roman"/>
          <w:i/>
          <w:noProof/>
        </w:rPr>
        <w:fldChar w:fldCharType="separate"/>
      </w:r>
      <w:r w:rsidR="005B5146">
        <w:rPr>
          <w:rFonts w:ascii="Times New Roman" w:hAnsi="Times New Roman"/>
          <w:i/>
          <w:noProof/>
        </w:rPr>
        <w:t>2</w:t>
      </w:r>
      <w:r w:rsidR="005B5146">
        <w:rPr>
          <w:rFonts w:ascii="Times New Roman" w:hAnsi="Times New Roman"/>
          <w:i/>
          <w:noProof/>
        </w:rPr>
        <w:fldChar w:fldCharType="end"/>
      </w:r>
      <w:r w:rsidR="005B5146">
        <w:rPr>
          <w:rFonts w:ascii="Times New Roman" w:hAnsi="Times New Roman"/>
          <w:i/>
          <w:noProof/>
        </w:rPr>
        <w:noBreakHyphen/>
      </w:r>
      <w:r w:rsidR="005B5146">
        <w:rPr>
          <w:rFonts w:ascii="Times New Roman" w:hAnsi="Times New Roman"/>
          <w:i/>
          <w:noProof/>
        </w:rPr>
        <w:fldChar w:fldCharType="begin"/>
      </w:r>
      <w:r w:rsidR="005B5146">
        <w:rPr>
          <w:rFonts w:ascii="Times New Roman" w:hAnsi="Times New Roman"/>
          <w:i/>
          <w:noProof/>
        </w:rPr>
        <w:instrText xml:space="preserve"> SEQ Figure \* ARABIC \s 1 </w:instrText>
      </w:r>
      <w:r w:rsidR="005B5146">
        <w:rPr>
          <w:rFonts w:ascii="Times New Roman" w:hAnsi="Times New Roman"/>
          <w:i/>
          <w:noProof/>
        </w:rPr>
        <w:fldChar w:fldCharType="separate"/>
      </w:r>
      <w:r w:rsidR="005B5146">
        <w:rPr>
          <w:rFonts w:ascii="Times New Roman" w:hAnsi="Times New Roman"/>
          <w:i/>
          <w:noProof/>
        </w:rPr>
        <w:t>1</w:t>
      </w:r>
      <w:r w:rsidR="005B5146">
        <w:rPr>
          <w:rFonts w:ascii="Times New Roman" w:hAnsi="Times New Roman"/>
          <w:i/>
          <w:noProof/>
        </w:rPr>
        <w:fldChar w:fldCharType="end"/>
      </w:r>
      <w:r w:rsidRPr="00D86314">
        <w:rPr>
          <w:rFonts w:ascii="Times New Roman" w:hAnsi="Times New Roman"/>
          <w:i/>
          <w:noProof/>
        </w:rPr>
        <w:t>:Three-step approach to assessing socio-economic and environmental impacts</w:t>
      </w:r>
      <w:bookmarkEnd w:id="129"/>
    </w:p>
    <w:p w14:paraId="707A3D8D" w14:textId="77777777" w:rsidR="00C778BA" w:rsidRPr="00D86314" w:rsidRDefault="00C778BA" w:rsidP="00C778BA">
      <w:pPr>
        <w:pStyle w:val="StandardAbbildung"/>
        <w:rPr>
          <w:noProof/>
          <w:lang w:val="en-GB"/>
        </w:rPr>
      </w:pPr>
      <w:r w:rsidRPr="00E46BC9">
        <w:rPr>
          <w:noProof/>
          <w:lang w:val="en-GB" w:eastAsia="en-GB"/>
        </w:rPr>
        <w:drawing>
          <wp:inline distT="0" distB="0" distL="0" distR="0" wp14:anchorId="345DDCE7" wp14:editId="0FF05C44">
            <wp:extent cx="5377065" cy="3073940"/>
            <wp:effectExtent l="0" t="0" r="0" b="0"/>
            <wp:docPr id="2041080381" name="Grafik 6" descr="Ein Bild, das Text, Screenshot, Schrif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80381" name="Grafik 6" descr="Ein Bild, das Text, Screenshot, Schrift, Design enthält.&#10;&#10;KI-generierte Inhalte können fehlerhaft sein."/>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90899" cy="3081848"/>
                    </a:xfrm>
                    <a:prstGeom prst="rect">
                      <a:avLst/>
                    </a:prstGeom>
                    <a:noFill/>
                  </pic:spPr>
                </pic:pic>
              </a:graphicData>
            </a:graphic>
          </wp:inline>
        </w:drawing>
      </w:r>
    </w:p>
    <w:p w14:paraId="1C984AA7" w14:textId="77777777" w:rsidR="00C778BA" w:rsidRPr="00D86314" w:rsidRDefault="00C778BA" w:rsidP="00C778BA">
      <w:pPr>
        <w:pStyle w:val="Quelle"/>
        <w:rPr>
          <w:noProof/>
        </w:rPr>
      </w:pPr>
      <w:r w:rsidRPr="00D86314">
        <w:rPr>
          <w:noProof/>
        </w:rPr>
        <w:t>Source:</w:t>
      </w:r>
      <w:r w:rsidRPr="00D86314">
        <w:rPr>
          <w:noProof/>
        </w:rPr>
        <w:tab/>
        <w:t>WIK-Consult.</w:t>
      </w:r>
    </w:p>
    <w:p w14:paraId="1974A909" w14:textId="327EB2DA" w:rsidR="00C778BA" w:rsidRPr="00D86314" w:rsidRDefault="00C778BA" w:rsidP="00C778BA">
      <w:pPr>
        <w:rPr>
          <w:noProof/>
        </w:rPr>
      </w:pPr>
      <w:r w:rsidRPr="00D86314">
        <w:rPr>
          <w:noProof/>
        </w:rPr>
        <w:t>In the first step, the effects of the different policy options on full 5G</w:t>
      </w:r>
      <w:r w:rsidRPr="00D86314">
        <w:rPr>
          <w:rStyle w:val="FootnoteReference"/>
          <w:noProof/>
        </w:rPr>
        <w:footnoteReference w:id="82"/>
      </w:r>
      <w:r w:rsidRPr="00D86314">
        <w:rPr>
          <w:noProof/>
        </w:rPr>
        <w:t xml:space="preserve"> coverage and take-up</w:t>
      </w:r>
      <w:r w:rsidR="000F4CAC" w:rsidRPr="00D86314">
        <w:rPr>
          <w:noProof/>
          <w:highlight w:val="yellow"/>
        </w:rPr>
        <w:t xml:space="preserve"> </w:t>
      </w:r>
      <w:r w:rsidR="000F4CAC" w:rsidRPr="00D86314">
        <w:rPr>
          <w:noProof/>
        </w:rPr>
        <w:t>were assessed</w:t>
      </w:r>
      <w:r w:rsidRPr="00D86314">
        <w:rPr>
          <w:noProof/>
        </w:rPr>
        <w:t xml:space="preserve">. </w:t>
      </w:r>
      <w:r w:rsidR="00DF7352" w:rsidRPr="00D86314">
        <w:rPr>
          <w:noProof/>
        </w:rPr>
        <w:t xml:space="preserve">It was </w:t>
      </w:r>
      <w:r w:rsidRPr="00D86314">
        <w:rPr>
          <w:noProof/>
        </w:rPr>
        <w:t>estimated what the projected increases in full 5G coverage and take-up would mean for consumers in terms of the average speeds (download speeds) they would enjoy and the per user (and total data) that would be consumed.</w:t>
      </w:r>
    </w:p>
    <w:p w14:paraId="2B8572DF" w14:textId="3819CAE0" w:rsidR="00C778BA" w:rsidRPr="00D86314" w:rsidRDefault="00C778BA" w:rsidP="00C778BA">
      <w:pPr>
        <w:rPr>
          <w:noProof/>
        </w:rPr>
      </w:pPr>
      <w:r w:rsidRPr="00D86314">
        <w:rPr>
          <w:noProof/>
        </w:rPr>
        <w:t xml:space="preserve">In a second step, the effects of increased take-up of full 5G and mobile broadband speeds on GDP </w:t>
      </w:r>
      <w:r w:rsidR="00DF7352" w:rsidRPr="00D86314">
        <w:rPr>
          <w:noProof/>
        </w:rPr>
        <w:t xml:space="preserve">were assessed </w:t>
      </w:r>
      <w:r w:rsidRPr="00D86314">
        <w:rPr>
          <w:noProof/>
        </w:rPr>
        <w:t xml:space="preserve">with reference to academic literature. </w:t>
      </w:r>
    </w:p>
    <w:p w14:paraId="39949C1F" w14:textId="140900F4" w:rsidR="00C778BA" w:rsidRPr="00D86314" w:rsidRDefault="00140930" w:rsidP="00C778BA">
      <w:pPr>
        <w:rPr>
          <w:noProof/>
        </w:rPr>
      </w:pPr>
      <w:r w:rsidRPr="00D86314">
        <w:rPr>
          <w:noProof/>
        </w:rPr>
        <w:t>Th</w:t>
      </w:r>
      <w:r w:rsidR="00C778BA" w:rsidRPr="00D86314">
        <w:rPr>
          <w:noProof/>
        </w:rPr>
        <w:t xml:space="preserve">en the effects of mobile broadband speeds on data consumption </w:t>
      </w:r>
      <w:r w:rsidR="00F24BB2" w:rsidRPr="00D86314">
        <w:rPr>
          <w:noProof/>
        </w:rPr>
        <w:t xml:space="preserve">were assessed </w:t>
      </w:r>
      <w:r w:rsidR="00C778BA" w:rsidRPr="00D86314">
        <w:rPr>
          <w:noProof/>
        </w:rPr>
        <w:t>and the implications for electricity consumption and CO2 emissions</w:t>
      </w:r>
      <w:r w:rsidR="00F24BB2" w:rsidRPr="00D86314">
        <w:rPr>
          <w:noProof/>
        </w:rPr>
        <w:t xml:space="preserve"> were analysed</w:t>
      </w:r>
      <w:r w:rsidR="00C778BA" w:rsidRPr="00D86314">
        <w:rPr>
          <w:noProof/>
        </w:rPr>
        <w:t>.</w:t>
      </w:r>
    </w:p>
    <w:p w14:paraId="15361334" w14:textId="0AEF8E98" w:rsidR="00C778BA" w:rsidRPr="00D86314" w:rsidRDefault="00C778BA" w:rsidP="00C778BA">
      <w:pPr>
        <w:rPr>
          <w:noProof/>
        </w:rPr>
      </w:pPr>
      <w:r w:rsidRPr="00D86314">
        <w:rPr>
          <w:noProof/>
        </w:rPr>
        <w:t xml:space="preserve">In this Annex, the underlying assumptions and methodology used </w:t>
      </w:r>
      <w:r w:rsidR="003A602C" w:rsidRPr="00D86314">
        <w:rPr>
          <w:noProof/>
        </w:rPr>
        <w:t xml:space="preserve">are elaborated </w:t>
      </w:r>
      <w:r w:rsidRPr="00D86314">
        <w:rPr>
          <w:noProof/>
        </w:rPr>
        <w:t xml:space="preserve">as well as the approach taken to estimate impacts on GDP and GHG emissions associated with policy options affecting mobile broadband. </w:t>
      </w:r>
    </w:p>
    <w:p w14:paraId="568B5F5F" w14:textId="77777777" w:rsidR="00C778BA" w:rsidRPr="00D86314" w:rsidRDefault="00C778BA" w:rsidP="00C778BA">
      <w:pPr>
        <w:rPr>
          <w:noProof/>
        </w:rPr>
        <w:sectPr w:rsidR="00C778BA" w:rsidRPr="00D86314" w:rsidSect="00C778BA">
          <w:headerReference w:type="even" r:id="rId61"/>
          <w:headerReference w:type="default" r:id="rId62"/>
          <w:footerReference w:type="default" r:id="rId63"/>
          <w:pgSz w:w="11907" w:h="16840" w:code="9"/>
          <w:pgMar w:top="1418" w:right="1559" w:bottom="851" w:left="1559" w:header="567" w:footer="720" w:gutter="0"/>
          <w:cols w:space="720"/>
        </w:sectPr>
      </w:pPr>
    </w:p>
    <w:p w14:paraId="3BD6A32B" w14:textId="77777777" w:rsidR="00C778BA" w:rsidRPr="00D86314" w:rsidRDefault="00C778BA" w:rsidP="00C778BA">
      <w:pPr>
        <w:pStyle w:val="Heading2"/>
        <w:rPr>
          <w:noProof/>
        </w:rPr>
      </w:pPr>
      <w:bookmarkStart w:id="130" w:name="_Toc219718374"/>
      <w:r w:rsidRPr="00D86314">
        <w:rPr>
          <w:noProof/>
        </w:rPr>
        <w:t>Options considered</w:t>
      </w:r>
      <w:bookmarkEnd w:id="130"/>
    </w:p>
    <w:p w14:paraId="343E726D" w14:textId="2E3BEA9C" w:rsidR="00C778BA" w:rsidRPr="00D86314" w:rsidRDefault="00C75AA3" w:rsidP="00271373">
      <w:pPr>
        <w:keepNext/>
        <w:rPr>
          <w:noProof/>
          <w:sz w:val="22"/>
          <w:szCs w:val="22"/>
        </w:rPr>
      </w:pPr>
      <w:r w:rsidRPr="00D86314">
        <w:rPr>
          <w:noProof/>
          <w:sz w:val="22"/>
          <w:szCs w:val="22"/>
        </w:rPr>
        <w:t>Table A4 2</w:t>
      </w:r>
      <w:r w:rsidRPr="00D86314">
        <w:rPr>
          <w:noProof/>
          <w:sz w:val="22"/>
          <w:szCs w:val="22"/>
        </w:rPr>
        <w:noBreakHyphen/>
      </w:r>
      <w:r w:rsidRPr="00D86314">
        <w:rPr>
          <w:noProof/>
          <w:sz w:val="22"/>
          <w:szCs w:val="22"/>
        </w:rPr>
        <w:fldChar w:fldCharType="begin"/>
      </w:r>
      <w:r w:rsidRPr="00D86314">
        <w:rPr>
          <w:noProof/>
          <w:sz w:val="22"/>
          <w:szCs w:val="22"/>
        </w:rPr>
        <w:instrText xml:space="preserve"> SEQ Table \* ARABIC \s 1 </w:instrText>
      </w:r>
      <w:r w:rsidRPr="00D86314">
        <w:rPr>
          <w:noProof/>
          <w:sz w:val="22"/>
          <w:szCs w:val="22"/>
        </w:rPr>
        <w:fldChar w:fldCharType="separate"/>
      </w:r>
      <w:r w:rsidR="00870CA9" w:rsidRPr="00C20A01">
        <w:rPr>
          <w:noProof/>
          <w:sz w:val="22"/>
          <w:szCs w:val="22"/>
        </w:rPr>
        <w:t>1</w:t>
      </w:r>
      <w:r w:rsidRPr="00D86314">
        <w:rPr>
          <w:noProof/>
          <w:sz w:val="22"/>
          <w:szCs w:val="22"/>
        </w:rPr>
        <w:fldChar w:fldCharType="end"/>
      </w:r>
      <w:r w:rsidRPr="00D86314">
        <w:rPr>
          <w:noProof/>
          <w:sz w:val="22"/>
          <w:szCs w:val="22"/>
        </w:rPr>
        <w:t xml:space="preserve"> </w:t>
      </w:r>
      <w:r w:rsidR="00C778BA" w:rsidRPr="00D86314">
        <w:rPr>
          <w:noProof/>
          <w:sz w:val="22"/>
          <w:szCs w:val="22"/>
        </w:rPr>
        <w:t>Policy options on spectrum</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4484"/>
        <w:gridCol w:w="4484"/>
        <w:gridCol w:w="4484"/>
      </w:tblGrid>
      <w:tr w:rsidR="00C778BA" w:rsidRPr="00D86314" w14:paraId="3FC73616" w14:textId="77777777" w:rsidTr="007736E8">
        <w:trPr>
          <w:tblHeader/>
        </w:trPr>
        <w:tc>
          <w:tcPr>
            <w:tcW w:w="452" w:type="pct"/>
            <w:shd w:val="clear" w:color="auto" w:fill="A6A6A6" w:themeFill="background1" w:themeFillShade="A6"/>
          </w:tcPr>
          <w:p w14:paraId="5AB89637" w14:textId="77777777" w:rsidR="00C778BA" w:rsidRPr="00D86314" w:rsidRDefault="00C778BA" w:rsidP="007736E8">
            <w:pPr>
              <w:rPr>
                <w:noProof/>
                <w:sz w:val="18"/>
                <w:szCs w:val="18"/>
              </w:rPr>
            </w:pPr>
          </w:p>
        </w:tc>
        <w:tc>
          <w:tcPr>
            <w:tcW w:w="1516" w:type="pct"/>
            <w:shd w:val="clear" w:color="auto" w:fill="A6A6A6" w:themeFill="background1" w:themeFillShade="A6"/>
          </w:tcPr>
          <w:p w14:paraId="766794EB" w14:textId="64A5DE7D" w:rsidR="00C778BA" w:rsidRPr="00D86314" w:rsidRDefault="00C778BA" w:rsidP="007736E8">
            <w:pPr>
              <w:rPr>
                <w:noProof/>
                <w:sz w:val="18"/>
                <w:szCs w:val="18"/>
              </w:rPr>
            </w:pPr>
            <w:r w:rsidRPr="00D86314">
              <w:rPr>
                <w:b/>
                <w:bCs/>
                <w:noProof/>
                <w:sz w:val="18"/>
                <w:szCs w:val="18"/>
              </w:rPr>
              <w:t>PO1</w:t>
            </w:r>
            <w:r w:rsidR="00B84FF1" w:rsidRPr="00D86314">
              <w:rPr>
                <w:b/>
                <w:bCs/>
                <w:noProof/>
                <w:sz w:val="18"/>
                <w:szCs w:val="18"/>
              </w:rPr>
              <w:t xml:space="preserve"> </w:t>
            </w:r>
            <w:r w:rsidRPr="00D86314">
              <w:rPr>
                <w:b/>
                <w:bCs/>
                <w:noProof/>
                <w:sz w:val="18"/>
                <w:szCs w:val="18"/>
              </w:rPr>
              <w:t>soft harmonisation</w:t>
            </w:r>
          </w:p>
        </w:tc>
        <w:tc>
          <w:tcPr>
            <w:tcW w:w="1516" w:type="pct"/>
            <w:shd w:val="clear" w:color="auto" w:fill="A6A6A6" w:themeFill="background1" w:themeFillShade="A6"/>
          </w:tcPr>
          <w:p w14:paraId="7EC8EC82" w14:textId="77777777" w:rsidR="00C778BA" w:rsidRPr="00D86314" w:rsidRDefault="00C778BA" w:rsidP="007736E8">
            <w:pPr>
              <w:rPr>
                <w:noProof/>
                <w:sz w:val="18"/>
                <w:szCs w:val="18"/>
              </w:rPr>
            </w:pPr>
            <w:r w:rsidRPr="00D86314">
              <w:rPr>
                <w:b/>
                <w:bCs/>
                <w:noProof/>
                <w:sz w:val="18"/>
                <w:szCs w:val="18"/>
              </w:rPr>
              <w:t>PO2 m</w:t>
            </w:r>
            <w:r w:rsidRPr="00D86314">
              <w:rPr>
                <w:rStyle w:val="normaltextrun"/>
                <w:b/>
                <w:bCs/>
                <w:noProof/>
                <w:sz w:val="18"/>
                <w:szCs w:val="18"/>
              </w:rPr>
              <w:t>ore single market to enhance investment, innovation</w:t>
            </w:r>
          </w:p>
        </w:tc>
        <w:tc>
          <w:tcPr>
            <w:tcW w:w="1516" w:type="pct"/>
            <w:shd w:val="clear" w:color="auto" w:fill="A6A6A6" w:themeFill="background1" w:themeFillShade="A6"/>
          </w:tcPr>
          <w:p w14:paraId="7D264237" w14:textId="77777777" w:rsidR="00C778BA" w:rsidRPr="00D86314" w:rsidRDefault="00C778BA" w:rsidP="007736E8">
            <w:pPr>
              <w:rPr>
                <w:noProof/>
                <w:sz w:val="18"/>
                <w:szCs w:val="18"/>
              </w:rPr>
            </w:pPr>
            <w:r w:rsidRPr="00D86314">
              <w:rPr>
                <w:b/>
                <w:bCs/>
                <w:noProof/>
                <w:sz w:val="18"/>
                <w:szCs w:val="18"/>
              </w:rPr>
              <w:t>PO3 s</w:t>
            </w:r>
            <w:r w:rsidRPr="00D86314">
              <w:rPr>
                <w:rStyle w:val="normaltextrun"/>
                <w:b/>
                <w:bCs/>
                <w:noProof/>
                <w:sz w:val="18"/>
                <w:szCs w:val="18"/>
              </w:rPr>
              <w:t>trong harmonisation and EU level rules</w:t>
            </w:r>
          </w:p>
        </w:tc>
      </w:tr>
      <w:tr w:rsidR="00C778BA" w:rsidRPr="00D86314" w14:paraId="70710281" w14:textId="77777777" w:rsidTr="007736E8">
        <w:tc>
          <w:tcPr>
            <w:tcW w:w="452" w:type="pct"/>
          </w:tcPr>
          <w:p w14:paraId="5872B871" w14:textId="77777777" w:rsidR="00C778BA" w:rsidRPr="00D86314" w:rsidRDefault="00C778BA" w:rsidP="007736E8">
            <w:pPr>
              <w:rPr>
                <w:noProof/>
                <w:sz w:val="18"/>
                <w:szCs w:val="18"/>
              </w:rPr>
            </w:pPr>
            <w:r w:rsidRPr="00D86314">
              <w:rPr>
                <w:noProof/>
                <w:sz w:val="18"/>
                <w:szCs w:val="18"/>
              </w:rPr>
              <w:t>Duration</w:t>
            </w:r>
          </w:p>
        </w:tc>
        <w:tc>
          <w:tcPr>
            <w:tcW w:w="1516" w:type="pct"/>
          </w:tcPr>
          <w:p w14:paraId="441AA7B5" w14:textId="77777777" w:rsidR="00C778BA" w:rsidRPr="00D86314" w:rsidRDefault="00C778BA" w:rsidP="007736E8">
            <w:pPr>
              <w:rPr>
                <w:noProof/>
                <w:sz w:val="18"/>
                <w:szCs w:val="18"/>
              </w:rPr>
            </w:pPr>
            <w:r w:rsidRPr="00D86314">
              <w:rPr>
                <w:b/>
                <w:noProof/>
                <w:sz w:val="18"/>
                <w:szCs w:val="18"/>
              </w:rPr>
              <w:t>Longer licence duration</w:t>
            </w:r>
            <w:r w:rsidRPr="00D86314">
              <w:rPr>
                <w:noProof/>
                <w:sz w:val="18"/>
                <w:szCs w:val="18"/>
              </w:rPr>
              <w:t xml:space="preserve"> (min 25 years)</w:t>
            </w:r>
          </w:p>
        </w:tc>
        <w:tc>
          <w:tcPr>
            <w:tcW w:w="1516" w:type="pct"/>
          </w:tcPr>
          <w:p w14:paraId="4DA0B0BB" w14:textId="0426E200" w:rsidR="00C778BA" w:rsidRPr="00D86314" w:rsidRDefault="24BA9E74" w:rsidP="007736E8">
            <w:pPr>
              <w:rPr>
                <w:noProof/>
                <w:sz w:val="18"/>
                <w:szCs w:val="18"/>
              </w:rPr>
            </w:pPr>
            <w:r w:rsidRPr="00D86314">
              <w:rPr>
                <w:b/>
                <w:bCs/>
                <w:noProof/>
                <w:sz w:val="18"/>
                <w:szCs w:val="18"/>
              </w:rPr>
              <w:t>Inde</w:t>
            </w:r>
            <w:r w:rsidR="00860597" w:rsidRPr="00D86314">
              <w:rPr>
                <w:b/>
                <w:bCs/>
                <w:noProof/>
                <w:sz w:val="18"/>
                <w:szCs w:val="18"/>
              </w:rPr>
              <w:t>f</w:t>
            </w:r>
            <w:r w:rsidRPr="00D86314">
              <w:rPr>
                <w:b/>
                <w:bCs/>
                <w:noProof/>
                <w:sz w:val="18"/>
                <w:szCs w:val="18"/>
              </w:rPr>
              <w:t>inite</w:t>
            </w:r>
            <w:r w:rsidR="00C778BA" w:rsidRPr="00D86314">
              <w:rPr>
                <w:b/>
                <w:bCs/>
                <w:noProof/>
                <w:sz w:val="18"/>
                <w:szCs w:val="18"/>
              </w:rPr>
              <w:t xml:space="preserve"> licence duration by default</w:t>
            </w:r>
            <w:r w:rsidR="00C778BA" w:rsidRPr="00D86314">
              <w:rPr>
                <w:noProof/>
                <w:sz w:val="18"/>
                <w:szCs w:val="18"/>
              </w:rPr>
              <w:t xml:space="preserve">, with </w:t>
            </w:r>
            <w:r w:rsidR="00860597" w:rsidRPr="00D86314">
              <w:rPr>
                <w:noProof/>
                <w:sz w:val="18"/>
                <w:szCs w:val="18"/>
              </w:rPr>
              <w:t xml:space="preserve">safeguards of revocation and exceptions </w:t>
            </w:r>
            <w:r w:rsidR="00C778BA" w:rsidRPr="00D86314">
              <w:rPr>
                <w:noProof/>
                <w:sz w:val="18"/>
                <w:szCs w:val="18"/>
              </w:rPr>
              <w:t>with strong renewal guarantees</w:t>
            </w:r>
          </w:p>
        </w:tc>
        <w:tc>
          <w:tcPr>
            <w:tcW w:w="1516" w:type="pct"/>
          </w:tcPr>
          <w:p w14:paraId="28A8D7F1" w14:textId="77777777" w:rsidR="00C778BA" w:rsidRPr="00D86314" w:rsidRDefault="00C778BA" w:rsidP="007736E8">
            <w:pPr>
              <w:rPr>
                <w:noProof/>
                <w:sz w:val="18"/>
                <w:szCs w:val="18"/>
              </w:rPr>
            </w:pPr>
            <w:r w:rsidRPr="00D86314">
              <w:rPr>
                <w:rStyle w:val="normaltextrun"/>
                <w:b/>
                <w:noProof/>
                <w:sz w:val="18"/>
                <w:szCs w:val="18"/>
              </w:rPr>
              <w:t>Indefinite licence duration</w:t>
            </w:r>
          </w:p>
        </w:tc>
      </w:tr>
      <w:tr w:rsidR="00C778BA" w:rsidRPr="00D86314" w14:paraId="673EA72A" w14:textId="77777777" w:rsidTr="007736E8">
        <w:tc>
          <w:tcPr>
            <w:tcW w:w="452" w:type="pct"/>
          </w:tcPr>
          <w:p w14:paraId="3A79F36B" w14:textId="77777777" w:rsidR="00C778BA" w:rsidRPr="00D86314" w:rsidRDefault="00C778BA" w:rsidP="007736E8">
            <w:pPr>
              <w:rPr>
                <w:noProof/>
                <w:sz w:val="18"/>
                <w:szCs w:val="18"/>
              </w:rPr>
            </w:pPr>
            <w:r w:rsidRPr="00D86314">
              <w:rPr>
                <w:noProof/>
                <w:sz w:val="18"/>
                <w:szCs w:val="18"/>
              </w:rPr>
              <w:t>Assignment conditions</w:t>
            </w:r>
          </w:p>
        </w:tc>
        <w:tc>
          <w:tcPr>
            <w:tcW w:w="1516" w:type="pct"/>
          </w:tcPr>
          <w:p w14:paraId="737C20B7" w14:textId="4A554A62" w:rsidR="00C778BA" w:rsidRPr="00D86314" w:rsidRDefault="00C778BA" w:rsidP="007736E8">
            <w:pPr>
              <w:rPr>
                <w:noProof/>
                <w:sz w:val="18"/>
                <w:szCs w:val="18"/>
              </w:rPr>
            </w:pPr>
            <w:r w:rsidRPr="00D86314">
              <w:rPr>
                <w:b/>
                <w:bCs/>
                <w:noProof/>
                <w:sz w:val="18"/>
                <w:szCs w:val="18"/>
              </w:rPr>
              <w:t>Toolbox</w:t>
            </w:r>
            <w:r w:rsidRPr="00D86314">
              <w:rPr>
                <w:noProof/>
                <w:sz w:val="18"/>
                <w:szCs w:val="18"/>
              </w:rPr>
              <w:t xml:space="preserve"> of </w:t>
            </w:r>
            <w:r w:rsidRPr="00D86314">
              <w:rPr>
                <w:b/>
                <w:bCs/>
                <w:noProof/>
                <w:sz w:val="18"/>
                <w:szCs w:val="18"/>
              </w:rPr>
              <w:t>best pro-investment/pro-efficient use authorisation practices</w:t>
            </w:r>
            <w:r w:rsidRPr="00D86314">
              <w:rPr>
                <w:noProof/>
                <w:sz w:val="18"/>
                <w:szCs w:val="18"/>
              </w:rPr>
              <w:t>, developed by EC with RSPG</w:t>
            </w:r>
          </w:p>
        </w:tc>
        <w:tc>
          <w:tcPr>
            <w:tcW w:w="1516" w:type="pct"/>
          </w:tcPr>
          <w:p w14:paraId="7C000C4E" w14:textId="77777777" w:rsidR="00C778BA" w:rsidRPr="00D86314" w:rsidRDefault="00C778BA" w:rsidP="007736E8">
            <w:pPr>
              <w:spacing w:after="0"/>
              <w:rPr>
                <w:b/>
                <w:bCs/>
                <w:noProof/>
                <w:sz w:val="18"/>
                <w:szCs w:val="18"/>
              </w:rPr>
            </w:pPr>
            <w:r w:rsidRPr="00D86314">
              <w:rPr>
                <w:b/>
                <w:bCs/>
                <w:noProof/>
                <w:sz w:val="18"/>
                <w:szCs w:val="18"/>
              </w:rPr>
              <w:t>Mandatory application</w:t>
            </w:r>
            <w:r w:rsidRPr="00D86314">
              <w:rPr>
                <w:noProof/>
                <w:sz w:val="18"/>
                <w:szCs w:val="18"/>
              </w:rPr>
              <w:t xml:space="preserve"> of pro-investment auction designs with common set of criteria to promote effective competitio</w:t>
            </w:r>
            <w:r w:rsidRPr="00D86314">
              <w:rPr>
                <w:b/>
                <w:bCs/>
                <w:noProof/>
                <w:sz w:val="18"/>
                <w:szCs w:val="18"/>
              </w:rPr>
              <w:t>n</w:t>
            </w:r>
          </w:p>
          <w:p w14:paraId="28E5080B" w14:textId="77777777" w:rsidR="00C778BA" w:rsidRPr="00D86314" w:rsidRDefault="00C778BA" w:rsidP="007736E8">
            <w:pPr>
              <w:spacing w:after="0"/>
              <w:rPr>
                <w:noProof/>
                <w:sz w:val="18"/>
                <w:szCs w:val="18"/>
              </w:rPr>
            </w:pPr>
            <w:r w:rsidRPr="00D86314">
              <w:rPr>
                <w:noProof/>
                <w:sz w:val="18"/>
                <w:szCs w:val="18"/>
              </w:rPr>
              <w:t>For</w:t>
            </w:r>
            <w:r w:rsidRPr="00D86314">
              <w:rPr>
                <w:b/>
                <w:bCs/>
                <w:noProof/>
                <w:sz w:val="18"/>
                <w:szCs w:val="18"/>
              </w:rPr>
              <w:t xml:space="preserve"> public networks</w:t>
            </w:r>
            <w:r w:rsidRPr="00D86314">
              <w:rPr>
                <w:noProof/>
                <w:sz w:val="18"/>
                <w:szCs w:val="18"/>
              </w:rPr>
              <w:t>,</w:t>
            </w:r>
            <w:r w:rsidRPr="00D86314">
              <w:rPr>
                <w:b/>
                <w:bCs/>
                <w:noProof/>
                <w:sz w:val="18"/>
                <w:szCs w:val="18"/>
              </w:rPr>
              <w:t xml:space="preserve"> </w:t>
            </w:r>
            <w:r w:rsidRPr="00D86314">
              <w:rPr>
                <w:noProof/>
                <w:sz w:val="18"/>
                <w:szCs w:val="18"/>
              </w:rPr>
              <w:t xml:space="preserve">possibility for EC to recommend pro-investment </w:t>
            </w:r>
            <w:r w:rsidRPr="00D86314">
              <w:rPr>
                <w:b/>
                <w:bCs/>
                <w:noProof/>
                <w:sz w:val="18"/>
                <w:szCs w:val="18"/>
              </w:rPr>
              <w:t>authorisation processes aspects and conditions</w:t>
            </w:r>
            <w:r w:rsidRPr="00D86314">
              <w:rPr>
                <w:noProof/>
                <w:sz w:val="18"/>
                <w:szCs w:val="18"/>
              </w:rPr>
              <w:t>; all deviation thereof should be justified; possibility of EC decision, if deviations persist, or to promote pan-European provision of services or to incentivise scale.</w:t>
            </w:r>
          </w:p>
          <w:p w14:paraId="757263A3" w14:textId="77777777" w:rsidR="00C778BA" w:rsidRPr="00D86314" w:rsidRDefault="00C778BA" w:rsidP="007736E8">
            <w:pPr>
              <w:spacing w:after="0"/>
              <w:rPr>
                <w:bCs/>
                <w:noProof/>
                <w:sz w:val="18"/>
                <w:szCs w:val="18"/>
              </w:rPr>
            </w:pPr>
            <w:r w:rsidRPr="00D86314">
              <w:rPr>
                <w:bCs/>
                <w:noProof/>
                <w:sz w:val="18"/>
                <w:szCs w:val="18"/>
              </w:rPr>
              <w:t xml:space="preserve">For </w:t>
            </w:r>
            <w:r w:rsidRPr="00D86314">
              <w:rPr>
                <w:b/>
                <w:noProof/>
                <w:sz w:val="18"/>
                <w:szCs w:val="18"/>
              </w:rPr>
              <w:t>non-public networks</w:t>
            </w:r>
            <w:r w:rsidRPr="00D86314">
              <w:rPr>
                <w:bCs/>
                <w:noProof/>
                <w:sz w:val="18"/>
                <w:szCs w:val="18"/>
              </w:rPr>
              <w:t>, on request, possibility of harmonising authorisation conditions in certain Member States through RSPG</w:t>
            </w:r>
          </w:p>
        </w:tc>
        <w:tc>
          <w:tcPr>
            <w:tcW w:w="1516" w:type="pct"/>
          </w:tcPr>
          <w:p w14:paraId="406555A8" w14:textId="77777777" w:rsidR="00C778BA" w:rsidRPr="00D86314" w:rsidRDefault="00C778BA" w:rsidP="007736E8">
            <w:pPr>
              <w:spacing w:after="0"/>
              <w:rPr>
                <w:rStyle w:val="normaltextrun"/>
                <w:noProof/>
                <w:sz w:val="18"/>
                <w:szCs w:val="18"/>
              </w:rPr>
            </w:pPr>
            <w:r w:rsidRPr="00D86314">
              <w:rPr>
                <w:rStyle w:val="normaltextrun"/>
                <w:b/>
                <w:bCs/>
                <w:noProof/>
                <w:sz w:val="18"/>
                <w:szCs w:val="18"/>
              </w:rPr>
              <w:t xml:space="preserve">Full harmonisation of authorisation processes aspects and conditions </w:t>
            </w:r>
            <w:r w:rsidRPr="00D86314">
              <w:rPr>
                <w:rStyle w:val="normaltextrun"/>
                <w:noProof/>
                <w:sz w:val="18"/>
                <w:szCs w:val="18"/>
              </w:rPr>
              <w:t>(e.g. auction design, reserve prices, award fees, annual fees, coverage obligations, QoS)</w:t>
            </w:r>
          </w:p>
          <w:p w14:paraId="0A93E82C" w14:textId="77777777" w:rsidR="00C778BA" w:rsidRPr="00D86314" w:rsidRDefault="00C778BA" w:rsidP="007736E8">
            <w:pPr>
              <w:spacing w:after="0"/>
              <w:rPr>
                <w:noProof/>
                <w:sz w:val="18"/>
                <w:szCs w:val="18"/>
              </w:rPr>
            </w:pPr>
            <w:r w:rsidRPr="00D86314">
              <w:rPr>
                <w:b/>
                <w:bCs/>
                <w:noProof/>
                <w:sz w:val="18"/>
                <w:szCs w:val="18"/>
              </w:rPr>
              <w:t>Mandatory deadlines for assignments</w:t>
            </w:r>
            <w:r w:rsidRPr="00D86314">
              <w:rPr>
                <w:noProof/>
                <w:sz w:val="18"/>
                <w:szCs w:val="18"/>
              </w:rPr>
              <w:t xml:space="preserve"> set for every band, with </w:t>
            </w:r>
            <w:r w:rsidRPr="00D86314">
              <w:rPr>
                <w:b/>
                <w:bCs/>
                <w:noProof/>
                <w:sz w:val="18"/>
                <w:szCs w:val="18"/>
              </w:rPr>
              <w:t>auction on standard pre-established condition</w:t>
            </w:r>
            <w:r w:rsidRPr="00D86314">
              <w:rPr>
                <w:noProof/>
                <w:sz w:val="18"/>
                <w:szCs w:val="18"/>
              </w:rPr>
              <w:t xml:space="preserve"> if a deadline is </w:t>
            </w:r>
            <w:r w:rsidRPr="00D86314">
              <w:rPr>
                <w:b/>
                <w:bCs/>
                <w:noProof/>
                <w:sz w:val="18"/>
                <w:szCs w:val="18"/>
              </w:rPr>
              <w:t>passed</w:t>
            </w:r>
          </w:p>
        </w:tc>
      </w:tr>
      <w:tr w:rsidR="00C778BA" w:rsidRPr="00D86314" w14:paraId="2F5EB764" w14:textId="77777777" w:rsidTr="007736E8">
        <w:tc>
          <w:tcPr>
            <w:tcW w:w="452" w:type="pct"/>
          </w:tcPr>
          <w:p w14:paraId="699FE586" w14:textId="77777777" w:rsidR="00C778BA" w:rsidRPr="00D86314" w:rsidRDefault="00C778BA" w:rsidP="007736E8">
            <w:pPr>
              <w:rPr>
                <w:noProof/>
                <w:sz w:val="18"/>
                <w:szCs w:val="18"/>
              </w:rPr>
            </w:pPr>
            <w:r w:rsidRPr="00D86314">
              <w:rPr>
                <w:noProof/>
                <w:sz w:val="18"/>
                <w:szCs w:val="18"/>
              </w:rPr>
              <w:t>Authorisation regime</w:t>
            </w:r>
          </w:p>
        </w:tc>
        <w:tc>
          <w:tcPr>
            <w:tcW w:w="1516" w:type="pct"/>
          </w:tcPr>
          <w:p w14:paraId="36353BC5" w14:textId="2D5D33C7" w:rsidR="00C778BA" w:rsidRPr="00D86314" w:rsidRDefault="00C778BA" w:rsidP="007736E8">
            <w:pPr>
              <w:ind w:left="-46"/>
              <w:rPr>
                <w:noProof/>
                <w:sz w:val="18"/>
                <w:szCs w:val="18"/>
              </w:rPr>
            </w:pPr>
            <w:r w:rsidRPr="00D86314">
              <w:rPr>
                <w:noProof/>
                <w:sz w:val="18"/>
                <w:szCs w:val="18"/>
              </w:rPr>
              <w:t>Possibility for EC to</w:t>
            </w:r>
            <w:r w:rsidRPr="00D86314">
              <w:rPr>
                <w:b/>
                <w:bCs/>
                <w:noProof/>
                <w:sz w:val="18"/>
                <w:szCs w:val="18"/>
              </w:rPr>
              <w:t xml:space="preserve"> recommend authorisation regime </w:t>
            </w:r>
            <w:r w:rsidRPr="00D86314">
              <w:rPr>
                <w:noProof/>
                <w:sz w:val="18"/>
                <w:szCs w:val="18"/>
              </w:rPr>
              <w:t xml:space="preserve">for EU harmonised bands, and promotion of </w:t>
            </w:r>
            <w:r w:rsidRPr="00D86314">
              <w:rPr>
                <w:b/>
                <w:bCs/>
                <w:noProof/>
                <w:sz w:val="18"/>
                <w:szCs w:val="18"/>
              </w:rPr>
              <w:t>flexible licencing</w:t>
            </w:r>
          </w:p>
        </w:tc>
        <w:tc>
          <w:tcPr>
            <w:tcW w:w="1516" w:type="pct"/>
          </w:tcPr>
          <w:p w14:paraId="3342B23C" w14:textId="6B98318E" w:rsidR="00C778BA" w:rsidRPr="00D86314" w:rsidRDefault="00C778BA" w:rsidP="007736E8">
            <w:pPr>
              <w:rPr>
                <w:noProof/>
                <w:sz w:val="18"/>
                <w:szCs w:val="18"/>
              </w:rPr>
            </w:pPr>
            <w:r w:rsidRPr="00D86314">
              <w:rPr>
                <w:rStyle w:val="normaltextrun"/>
                <w:bCs/>
                <w:noProof/>
                <w:sz w:val="18"/>
                <w:szCs w:val="18"/>
              </w:rPr>
              <w:t xml:space="preserve">Possibility for EC to </w:t>
            </w:r>
            <w:r w:rsidR="54B5F2E5" w:rsidRPr="00D86314">
              <w:rPr>
                <w:rStyle w:val="normaltextrun"/>
                <w:noProof/>
                <w:sz w:val="18"/>
                <w:szCs w:val="18"/>
              </w:rPr>
              <w:t>harmonise certain authorisation and award conditions</w:t>
            </w:r>
          </w:p>
        </w:tc>
        <w:tc>
          <w:tcPr>
            <w:tcW w:w="1516" w:type="pct"/>
          </w:tcPr>
          <w:p w14:paraId="20BC6E15" w14:textId="77777777" w:rsidR="00C778BA" w:rsidRPr="00D86314" w:rsidRDefault="00C778BA" w:rsidP="007736E8">
            <w:pPr>
              <w:spacing w:after="0"/>
              <w:rPr>
                <w:noProof/>
                <w:sz w:val="18"/>
                <w:szCs w:val="18"/>
              </w:rPr>
            </w:pPr>
            <w:r w:rsidRPr="00D86314">
              <w:rPr>
                <w:b/>
                <w:bCs/>
                <w:noProof/>
                <w:sz w:val="18"/>
                <w:szCs w:val="18"/>
              </w:rPr>
              <w:t>EU level award</w:t>
            </w:r>
            <w:r w:rsidRPr="00D86314">
              <w:rPr>
                <w:noProof/>
                <w:sz w:val="18"/>
                <w:szCs w:val="18"/>
              </w:rPr>
              <w:t xml:space="preserve"> of </w:t>
            </w:r>
            <w:r w:rsidRPr="00D86314">
              <w:rPr>
                <w:b/>
                <w:bCs/>
                <w:noProof/>
                <w:sz w:val="18"/>
                <w:szCs w:val="18"/>
              </w:rPr>
              <w:t>harmonised spectrum</w:t>
            </w:r>
            <w:r w:rsidRPr="00D86314">
              <w:rPr>
                <w:noProof/>
                <w:sz w:val="18"/>
                <w:szCs w:val="18"/>
              </w:rPr>
              <w:t xml:space="preserve"> for certain services</w:t>
            </w:r>
          </w:p>
          <w:p w14:paraId="77D7DDA3" w14:textId="77777777" w:rsidR="00C778BA" w:rsidRPr="00D86314" w:rsidRDefault="00C778BA" w:rsidP="007736E8">
            <w:pPr>
              <w:spacing w:after="0"/>
              <w:rPr>
                <w:b/>
                <w:bCs/>
                <w:noProof/>
                <w:sz w:val="18"/>
                <w:szCs w:val="18"/>
              </w:rPr>
            </w:pPr>
            <w:r w:rsidRPr="00D86314">
              <w:rPr>
                <w:b/>
                <w:bCs/>
                <w:noProof/>
                <w:sz w:val="18"/>
                <w:szCs w:val="18"/>
              </w:rPr>
              <w:t>Mandatory authorisation regime</w:t>
            </w:r>
            <w:r w:rsidRPr="00D86314">
              <w:rPr>
                <w:noProof/>
                <w:sz w:val="18"/>
                <w:szCs w:val="18"/>
              </w:rPr>
              <w:t xml:space="preserve"> for nationally assigned spectrum, with a possibility to request </w:t>
            </w:r>
            <w:r w:rsidRPr="00D86314">
              <w:rPr>
                <w:b/>
                <w:bCs/>
                <w:noProof/>
                <w:sz w:val="18"/>
                <w:szCs w:val="18"/>
              </w:rPr>
              <w:t>joint selection procedure</w:t>
            </w:r>
          </w:p>
        </w:tc>
      </w:tr>
      <w:tr w:rsidR="00C778BA" w:rsidRPr="00D86314" w14:paraId="1AECCFD9" w14:textId="77777777" w:rsidTr="007736E8">
        <w:tc>
          <w:tcPr>
            <w:tcW w:w="452" w:type="pct"/>
          </w:tcPr>
          <w:p w14:paraId="5FAE56DC" w14:textId="77777777" w:rsidR="00C778BA" w:rsidRPr="00D86314" w:rsidRDefault="00C778BA" w:rsidP="007736E8">
            <w:pPr>
              <w:rPr>
                <w:noProof/>
                <w:sz w:val="18"/>
                <w:szCs w:val="18"/>
              </w:rPr>
            </w:pPr>
            <w:r w:rsidRPr="00D86314">
              <w:rPr>
                <w:noProof/>
                <w:sz w:val="18"/>
                <w:szCs w:val="18"/>
              </w:rPr>
              <w:t>Ex ante control</w:t>
            </w:r>
          </w:p>
        </w:tc>
        <w:tc>
          <w:tcPr>
            <w:tcW w:w="1516" w:type="pct"/>
          </w:tcPr>
          <w:p w14:paraId="3E472677" w14:textId="0B75A845" w:rsidR="00C778BA" w:rsidRPr="00D86314" w:rsidRDefault="00C778BA" w:rsidP="007736E8">
            <w:pPr>
              <w:rPr>
                <w:noProof/>
                <w:sz w:val="18"/>
                <w:szCs w:val="18"/>
              </w:rPr>
            </w:pPr>
            <w:r w:rsidRPr="00D86314">
              <w:rPr>
                <w:b/>
                <w:bCs/>
                <w:noProof/>
                <w:sz w:val="18"/>
                <w:szCs w:val="18"/>
              </w:rPr>
              <w:t xml:space="preserve">Ex ante </w:t>
            </w:r>
            <w:r w:rsidR="00165B89" w:rsidRPr="00D86314">
              <w:rPr>
                <w:b/>
                <w:bCs/>
                <w:noProof/>
                <w:sz w:val="18"/>
                <w:szCs w:val="18"/>
              </w:rPr>
              <w:t>spectrum Single Market procedure</w:t>
            </w:r>
            <w:r w:rsidRPr="00D86314">
              <w:rPr>
                <w:noProof/>
                <w:sz w:val="18"/>
                <w:szCs w:val="18"/>
              </w:rPr>
              <w:t xml:space="preserve"> by EC and RSPG/BEREC of spectrum assignment measures resulting in </w:t>
            </w:r>
            <w:r w:rsidRPr="00D86314">
              <w:rPr>
                <w:b/>
                <w:bCs/>
                <w:noProof/>
                <w:sz w:val="18"/>
                <w:szCs w:val="18"/>
              </w:rPr>
              <w:t>non-binding EC opinion</w:t>
            </w:r>
            <w:r w:rsidRPr="00D86314">
              <w:rPr>
                <w:noProof/>
                <w:sz w:val="18"/>
                <w:szCs w:val="18"/>
              </w:rPr>
              <w:t xml:space="preserve"> on measures</w:t>
            </w:r>
          </w:p>
        </w:tc>
        <w:tc>
          <w:tcPr>
            <w:tcW w:w="1516" w:type="pct"/>
          </w:tcPr>
          <w:p w14:paraId="4A9B7653" w14:textId="3406AD39" w:rsidR="00C778BA" w:rsidRPr="00D86314" w:rsidRDefault="00C778BA" w:rsidP="007736E8">
            <w:pPr>
              <w:rPr>
                <w:noProof/>
                <w:sz w:val="18"/>
                <w:szCs w:val="18"/>
              </w:rPr>
            </w:pPr>
            <w:r w:rsidRPr="00D86314">
              <w:rPr>
                <w:b/>
                <w:bCs/>
                <w:noProof/>
                <w:sz w:val="18"/>
                <w:szCs w:val="18"/>
              </w:rPr>
              <w:t xml:space="preserve">Mandatory ex ante </w:t>
            </w:r>
            <w:r w:rsidR="00165B89" w:rsidRPr="00D86314">
              <w:rPr>
                <w:b/>
                <w:bCs/>
                <w:noProof/>
                <w:sz w:val="18"/>
                <w:szCs w:val="18"/>
              </w:rPr>
              <w:t>spectrum Single Market procedure</w:t>
            </w:r>
            <w:r w:rsidRPr="00D86314">
              <w:rPr>
                <w:noProof/>
                <w:sz w:val="18"/>
                <w:szCs w:val="18"/>
              </w:rPr>
              <w:t xml:space="preserve"> by EC and RSPG/BEREC of spectrum assignment measures resulting in </w:t>
            </w:r>
            <w:r w:rsidRPr="00D86314">
              <w:rPr>
                <w:b/>
                <w:bCs/>
                <w:noProof/>
                <w:sz w:val="18"/>
                <w:szCs w:val="18"/>
              </w:rPr>
              <w:t>EC opinion</w:t>
            </w:r>
            <w:r w:rsidRPr="00D86314">
              <w:rPr>
                <w:noProof/>
                <w:sz w:val="18"/>
                <w:szCs w:val="18"/>
              </w:rPr>
              <w:t xml:space="preserve"> on measures with possibility of </w:t>
            </w:r>
            <w:r w:rsidRPr="00D86314">
              <w:rPr>
                <w:b/>
                <w:bCs/>
                <w:noProof/>
                <w:sz w:val="18"/>
                <w:szCs w:val="18"/>
              </w:rPr>
              <w:t>EC veto on market shaping measures</w:t>
            </w:r>
            <w:r w:rsidR="00907F3D" w:rsidRPr="00D86314">
              <w:rPr>
                <w:b/>
                <w:bCs/>
                <w:noProof/>
                <w:sz w:val="18"/>
                <w:szCs w:val="18"/>
              </w:rPr>
              <w:t xml:space="preserve"> and/or limited licence duration</w:t>
            </w:r>
            <w:r w:rsidRPr="00D86314">
              <w:rPr>
                <w:noProof/>
                <w:sz w:val="18"/>
                <w:szCs w:val="18"/>
              </w:rPr>
              <w:t>, if they are not justified</w:t>
            </w:r>
          </w:p>
        </w:tc>
        <w:tc>
          <w:tcPr>
            <w:tcW w:w="1516" w:type="pct"/>
          </w:tcPr>
          <w:p w14:paraId="491738DA" w14:textId="12B99466" w:rsidR="00C778BA" w:rsidRPr="00D86314" w:rsidRDefault="00C778BA" w:rsidP="007736E8">
            <w:pPr>
              <w:rPr>
                <w:noProof/>
                <w:sz w:val="18"/>
                <w:szCs w:val="18"/>
              </w:rPr>
            </w:pPr>
            <w:r w:rsidRPr="00D86314">
              <w:rPr>
                <w:b/>
                <w:bCs/>
                <w:noProof/>
                <w:sz w:val="18"/>
                <w:szCs w:val="18"/>
              </w:rPr>
              <w:t xml:space="preserve">Mandatory ex ante </w:t>
            </w:r>
            <w:r w:rsidR="00C5151F" w:rsidRPr="00D86314">
              <w:rPr>
                <w:b/>
                <w:bCs/>
                <w:noProof/>
                <w:sz w:val="18"/>
                <w:szCs w:val="18"/>
              </w:rPr>
              <w:t>Spectrum Single Market procedure</w:t>
            </w:r>
            <w:r w:rsidRPr="00D86314">
              <w:rPr>
                <w:noProof/>
                <w:sz w:val="18"/>
                <w:szCs w:val="18"/>
              </w:rPr>
              <w:t xml:space="preserve"> by EC and RSPG/BEREC of national spectrum assignment measures resulting in EC opinion with possibility of </w:t>
            </w:r>
            <w:r w:rsidRPr="00D86314">
              <w:rPr>
                <w:b/>
                <w:bCs/>
                <w:noProof/>
                <w:sz w:val="18"/>
                <w:szCs w:val="18"/>
              </w:rPr>
              <w:t xml:space="preserve">EC veto on market shaping measures, </w:t>
            </w:r>
            <w:r w:rsidRPr="00D86314">
              <w:rPr>
                <w:noProof/>
                <w:sz w:val="18"/>
                <w:szCs w:val="18"/>
              </w:rPr>
              <w:t xml:space="preserve">if they are not addressing </w:t>
            </w:r>
            <w:r w:rsidRPr="00D86314">
              <w:rPr>
                <w:b/>
                <w:bCs/>
                <w:noProof/>
                <w:sz w:val="18"/>
                <w:szCs w:val="18"/>
              </w:rPr>
              <w:t>only</w:t>
            </w:r>
            <w:r w:rsidRPr="00D86314">
              <w:rPr>
                <w:noProof/>
                <w:sz w:val="18"/>
                <w:szCs w:val="18"/>
              </w:rPr>
              <w:t xml:space="preserve"> the case of </w:t>
            </w:r>
            <w:r w:rsidRPr="00D86314">
              <w:rPr>
                <w:b/>
                <w:bCs/>
                <w:noProof/>
                <w:sz w:val="18"/>
                <w:szCs w:val="18"/>
              </w:rPr>
              <w:t>dominance</w:t>
            </w:r>
          </w:p>
        </w:tc>
      </w:tr>
      <w:tr w:rsidR="00C778BA" w:rsidRPr="00D86314" w14:paraId="7BC732CD" w14:textId="77777777" w:rsidTr="007736E8">
        <w:tc>
          <w:tcPr>
            <w:tcW w:w="452" w:type="pct"/>
          </w:tcPr>
          <w:p w14:paraId="09EE8AB5" w14:textId="77777777" w:rsidR="00C778BA" w:rsidRPr="00D86314" w:rsidRDefault="00C778BA" w:rsidP="007736E8">
            <w:pPr>
              <w:rPr>
                <w:noProof/>
                <w:sz w:val="18"/>
                <w:szCs w:val="18"/>
              </w:rPr>
            </w:pPr>
            <w:r w:rsidRPr="00D86314">
              <w:rPr>
                <w:noProof/>
                <w:sz w:val="18"/>
                <w:szCs w:val="18"/>
              </w:rPr>
              <w:t>Roadmaps</w:t>
            </w:r>
          </w:p>
        </w:tc>
        <w:tc>
          <w:tcPr>
            <w:tcW w:w="1516" w:type="pct"/>
          </w:tcPr>
          <w:p w14:paraId="1F4BF130" w14:textId="77777777" w:rsidR="00C778BA" w:rsidRPr="00D86314" w:rsidRDefault="00C778BA" w:rsidP="007736E8">
            <w:pPr>
              <w:rPr>
                <w:noProof/>
                <w:sz w:val="18"/>
                <w:szCs w:val="18"/>
              </w:rPr>
            </w:pPr>
            <w:r w:rsidRPr="00D86314">
              <w:rPr>
                <w:b/>
                <w:bCs/>
                <w:noProof/>
                <w:sz w:val="18"/>
                <w:szCs w:val="18"/>
              </w:rPr>
              <w:t>Spectrum roadmap</w:t>
            </w:r>
            <w:r w:rsidRPr="00D86314">
              <w:rPr>
                <w:noProof/>
                <w:sz w:val="18"/>
                <w:szCs w:val="18"/>
              </w:rPr>
              <w:t xml:space="preserve"> for 6G developed by EC with RSPG and regularly updated</w:t>
            </w:r>
          </w:p>
        </w:tc>
        <w:tc>
          <w:tcPr>
            <w:tcW w:w="1516" w:type="pct"/>
          </w:tcPr>
          <w:p w14:paraId="3F707117" w14:textId="5840CA0A" w:rsidR="00C778BA" w:rsidRPr="00D86314" w:rsidRDefault="00C778BA" w:rsidP="007736E8">
            <w:pPr>
              <w:rPr>
                <w:noProof/>
                <w:sz w:val="18"/>
                <w:szCs w:val="18"/>
              </w:rPr>
            </w:pPr>
            <w:r w:rsidRPr="00D86314">
              <w:rPr>
                <w:b/>
                <w:bCs/>
                <w:noProof/>
                <w:sz w:val="18"/>
                <w:szCs w:val="18"/>
              </w:rPr>
              <w:t>National roadmaps</w:t>
            </w:r>
            <w:r w:rsidRPr="00D86314">
              <w:rPr>
                <w:noProof/>
                <w:sz w:val="18"/>
                <w:szCs w:val="18"/>
              </w:rPr>
              <w:t xml:space="preserve"> based of </w:t>
            </w:r>
            <w:r w:rsidR="00F95A8A" w:rsidRPr="00D86314">
              <w:rPr>
                <w:noProof/>
                <w:sz w:val="18"/>
                <w:szCs w:val="18"/>
              </w:rPr>
              <w:t xml:space="preserve">the </w:t>
            </w:r>
            <w:r w:rsidR="00F95A8A" w:rsidRPr="00D86314">
              <w:rPr>
                <w:b/>
                <w:bCs/>
                <w:noProof/>
                <w:sz w:val="18"/>
                <w:szCs w:val="18"/>
              </w:rPr>
              <w:t>EU strategy and</w:t>
            </w:r>
            <w:r w:rsidRPr="00D86314">
              <w:rPr>
                <w:noProof/>
                <w:sz w:val="18"/>
                <w:szCs w:val="18"/>
              </w:rPr>
              <w:t xml:space="preserve"> </w:t>
            </w:r>
            <w:r w:rsidRPr="00D86314">
              <w:rPr>
                <w:b/>
                <w:bCs/>
                <w:noProof/>
                <w:sz w:val="18"/>
                <w:szCs w:val="18"/>
              </w:rPr>
              <w:t>spectrum roadmap</w:t>
            </w:r>
            <w:r w:rsidR="00D50B51" w:rsidRPr="00D86314">
              <w:rPr>
                <w:b/>
                <w:bCs/>
                <w:noProof/>
                <w:sz w:val="18"/>
                <w:szCs w:val="18"/>
              </w:rPr>
              <w:t>s</w:t>
            </w:r>
            <w:r w:rsidRPr="00D86314">
              <w:rPr>
                <w:noProof/>
                <w:sz w:val="18"/>
                <w:szCs w:val="18"/>
              </w:rPr>
              <w:t xml:space="preserve"> and </w:t>
            </w:r>
            <w:r w:rsidRPr="00D86314">
              <w:rPr>
                <w:b/>
                <w:bCs/>
                <w:noProof/>
                <w:sz w:val="18"/>
                <w:szCs w:val="18"/>
              </w:rPr>
              <w:t>consequences for not respecting the timelines</w:t>
            </w:r>
          </w:p>
        </w:tc>
        <w:tc>
          <w:tcPr>
            <w:tcW w:w="1516" w:type="pct"/>
          </w:tcPr>
          <w:p w14:paraId="57AF511A" w14:textId="77777777" w:rsidR="00C778BA" w:rsidRPr="00D86314" w:rsidRDefault="00C778BA" w:rsidP="007736E8">
            <w:pPr>
              <w:rPr>
                <w:noProof/>
                <w:sz w:val="18"/>
                <w:szCs w:val="18"/>
              </w:rPr>
            </w:pPr>
          </w:p>
        </w:tc>
      </w:tr>
      <w:tr w:rsidR="00C778BA" w:rsidRPr="00D86314" w14:paraId="79F0B4A6" w14:textId="77777777" w:rsidTr="007736E8">
        <w:tc>
          <w:tcPr>
            <w:tcW w:w="452" w:type="pct"/>
          </w:tcPr>
          <w:p w14:paraId="23F4D2F1" w14:textId="77777777" w:rsidR="00C778BA" w:rsidRPr="00D86314" w:rsidRDefault="00C778BA" w:rsidP="007736E8">
            <w:pPr>
              <w:rPr>
                <w:noProof/>
                <w:sz w:val="18"/>
                <w:szCs w:val="18"/>
              </w:rPr>
            </w:pPr>
            <w:r w:rsidRPr="00D86314">
              <w:rPr>
                <w:noProof/>
                <w:sz w:val="18"/>
                <w:szCs w:val="18"/>
              </w:rPr>
              <w:t>International governance</w:t>
            </w:r>
          </w:p>
        </w:tc>
        <w:tc>
          <w:tcPr>
            <w:tcW w:w="1516" w:type="pct"/>
          </w:tcPr>
          <w:p w14:paraId="024D33C2" w14:textId="77777777" w:rsidR="00C778BA" w:rsidRPr="00D86314" w:rsidRDefault="00C778BA" w:rsidP="007736E8">
            <w:pPr>
              <w:rPr>
                <w:noProof/>
                <w:sz w:val="18"/>
                <w:szCs w:val="18"/>
              </w:rPr>
            </w:pPr>
            <w:r w:rsidRPr="00D86314">
              <w:rPr>
                <w:noProof/>
                <w:sz w:val="18"/>
                <w:szCs w:val="18"/>
              </w:rPr>
              <w:t>Recommended coordination of positions at</w:t>
            </w:r>
            <w:r w:rsidRPr="00D86314">
              <w:rPr>
                <w:b/>
                <w:bCs/>
                <w:noProof/>
                <w:sz w:val="18"/>
                <w:szCs w:val="18"/>
              </w:rPr>
              <w:t xml:space="preserve"> CEPT</w:t>
            </w:r>
            <w:r w:rsidRPr="00D86314">
              <w:rPr>
                <w:noProof/>
                <w:sz w:val="18"/>
                <w:szCs w:val="18"/>
              </w:rPr>
              <w:t xml:space="preserve"> on issues related to security / technology sovereignty</w:t>
            </w:r>
          </w:p>
        </w:tc>
        <w:tc>
          <w:tcPr>
            <w:tcW w:w="1516" w:type="pct"/>
          </w:tcPr>
          <w:p w14:paraId="66C74289" w14:textId="77777777" w:rsidR="00C778BA" w:rsidRPr="00D86314" w:rsidRDefault="00C778BA" w:rsidP="007736E8">
            <w:pPr>
              <w:rPr>
                <w:noProof/>
                <w:sz w:val="18"/>
                <w:szCs w:val="18"/>
              </w:rPr>
            </w:pPr>
            <w:r w:rsidRPr="00D86314">
              <w:rPr>
                <w:noProof/>
                <w:sz w:val="18"/>
                <w:szCs w:val="18"/>
              </w:rPr>
              <w:t>Mandatory coordination of position at</w:t>
            </w:r>
            <w:r w:rsidRPr="00D86314">
              <w:rPr>
                <w:b/>
                <w:bCs/>
                <w:noProof/>
                <w:sz w:val="18"/>
                <w:szCs w:val="18"/>
              </w:rPr>
              <w:t xml:space="preserve"> CEPT</w:t>
            </w:r>
            <w:r w:rsidRPr="00D86314">
              <w:rPr>
                <w:noProof/>
                <w:sz w:val="18"/>
                <w:szCs w:val="18"/>
              </w:rPr>
              <w:t xml:space="preserve"> on issues related to security / technology sovereignty</w:t>
            </w:r>
          </w:p>
        </w:tc>
        <w:tc>
          <w:tcPr>
            <w:tcW w:w="1516" w:type="pct"/>
          </w:tcPr>
          <w:p w14:paraId="0550704C" w14:textId="77777777" w:rsidR="00C778BA" w:rsidRPr="00D86314" w:rsidRDefault="00C778BA" w:rsidP="007736E8">
            <w:pPr>
              <w:rPr>
                <w:noProof/>
                <w:sz w:val="18"/>
                <w:szCs w:val="18"/>
              </w:rPr>
            </w:pPr>
            <w:r w:rsidRPr="00D86314">
              <w:rPr>
                <w:rStyle w:val="normaltextrun"/>
                <w:noProof/>
                <w:sz w:val="18"/>
                <w:szCs w:val="18"/>
              </w:rPr>
              <w:t xml:space="preserve">In exceptional cases, harmonisation work by ad hoc/ high-level only MSs group instead of </w:t>
            </w:r>
            <w:r w:rsidRPr="00D86314">
              <w:rPr>
                <w:rStyle w:val="normaltextrun"/>
                <w:b/>
                <w:bCs/>
                <w:noProof/>
                <w:sz w:val="18"/>
                <w:szCs w:val="18"/>
              </w:rPr>
              <w:t>CEPT</w:t>
            </w:r>
          </w:p>
        </w:tc>
      </w:tr>
      <w:tr w:rsidR="00C778BA" w:rsidRPr="00D86314" w14:paraId="68282163" w14:textId="77777777" w:rsidTr="007736E8">
        <w:tc>
          <w:tcPr>
            <w:tcW w:w="452" w:type="pct"/>
          </w:tcPr>
          <w:p w14:paraId="224F487B" w14:textId="77777777" w:rsidR="00C778BA" w:rsidRPr="00D86314" w:rsidRDefault="00C778BA" w:rsidP="007736E8">
            <w:pPr>
              <w:rPr>
                <w:noProof/>
                <w:sz w:val="18"/>
                <w:szCs w:val="18"/>
              </w:rPr>
            </w:pPr>
            <w:r w:rsidRPr="00D86314">
              <w:rPr>
                <w:noProof/>
                <w:sz w:val="18"/>
                <w:szCs w:val="18"/>
              </w:rPr>
              <w:t>Petition rule-making</w:t>
            </w:r>
          </w:p>
        </w:tc>
        <w:tc>
          <w:tcPr>
            <w:tcW w:w="1516" w:type="pct"/>
          </w:tcPr>
          <w:p w14:paraId="569C5A0B" w14:textId="77777777" w:rsidR="00C778BA" w:rsidRPr="00D86314" w:rsidRDefault="00C778BA" w:rsidP="007736E8">
            <w:pPr>
              <w:rPr>
                <w:noProof/>
                <w:sz w:val="18"/>
                <w:szCs w:val="18"/>
              </w:rPr>
            </w:pPr>
            <w:r w:rsidRPr="00D86314">
              <w:rPr>
                <w:b/>
                <w:bCs/>
                <w:noProof/>
                <w:sz w:val="18"/>
                <w:szCs w:val="18"/>
              </w:rPr>
              <w:t>Petition of rule-making mechanism</w:t>
            </w:r>
            <w:r w:rsidRPr="00D86314">
              <w:rPr>
                <w:noProof/>
                <w:sz w:val="18"/>
                <w:szCs w:val="18"/>
              </w:rPr>
              <w:t xml:space="preserve"> with EC obligation to respond to request and justify eventual refusal</w:t>
            </w:r>
          </w:p>
        </w:tc>
        <w:tc>
          <w:tcPr>
            <w:tcW w:w="1516" w:type="pct"/>
          </w:tcPr>
          <w:p w14:paraId="47373D26" w14:textId="77777777" w:rsidR="00C778BA" w:rsidRPr="00D86314" w:rsidRDefault="00C778BA" w:rsidP="007736E8">
            <w:pPr>
              <w:rPr>
                <w:noProof/>
                <w:sz w:val="18"/>
                <w:szCs w:val="18"/>
              </w:rPr>
            </w:pPr>
            <w:r w:rsidRPr="00D86314">
              <w:rPr>
                <w:b/>
                <w:bCs/>
                <w:noProof/>
                <w:sz w:val="18"/>
                <w:szCs w:val="18"/>
              </w:rPr>
              <w:t>Petition for rule making mechanism</w:t>
            </w:r>
            <w:r w:rsidRPr="00D86314">
              <w:rPr>
                <w:noProof/>
                <w:sz w:val="18"/>
                <w:szCs w:val="18"/>
              </w:rPr>
              <w:t xml:space="preserve"> to request spectrum harmonisation with procedures and obligations for competent authorities</w:t>
            </w:r>
          </w:p>
        </w:tc>
        <w:tc>
          <w:tcPr>
            <w:tcW w:w="1516" w:type="pct"/>
          </w:tcPr>
          <w:p w14:paraId="2D31BCE3" w14:textId="77777777" w:rsidR="00C778BA" w:rsidRPr="00D86314" w:rsidRDefault="00C778BA" w:rsidP="007736E8">
            <w:pPr>
              <w:rPr>
                <w:noProof/>
                <w:sz w:val="18"/>
                <w:szCs w:val="18"/>
              </w:rPr>
            </w:pPr>
            <w:r w:rsidRPr="00D86314">
              <w:rPr>
                <w:b/>
                <w:bCs/>
                <w:noProof/>
                <w:sz w:val="18"/>
                <w:szCs w:val="18"/>
              </w:rPr>
              <w:t>Petition for rule making mechanism</w:t>
            </w:r>
            <w:r w:rsidRPr="00D86314">
              <w:rPr>
                <w:noProof/>
                <w:sz w:val="18"/>
                <w:szCs w:val="18"/>
              </w:rPr>
              <w:t xml:space="preserve"> with an extended scope to also cover </w:t>
            </w:r>
            <w:r w:rsidRPr="00D86314">
              <w:rPr>
                <w:rStyle w:val="normaltextrun"/>
                <w:noProof/>
                <w:sz w:val="18"/>
                <w:szCs w:val="18"/>
              </w:rPr>
              <w:t>authorisation aspects and innovative approaches to improve spectrum efficiency</w:t>
            </w:r>
          </w:p>
        </w:tc>
      </w:tr>
      <w:tr w:rsidR="00C778BA" w:rsidRPr="00D86314" w14:paraId="1534C76E" w14:textId="77777777" w:rsidTr="007736E8">
        <w:tc>
          <w:tcPr>
            <w:tcW w:w="452" w:type="pct"/>
          </w:tcPr>
          <w:p w14:paraId="6695B365" w14:textId="77777777" w:rsidR="00C778BA" w:rsidRPr="00D86314" w:rsidRDefault="00C778BA" w:rsidP="007736E8">
            <w:pPr>
              <w:rPr>
                <w:noProof/>
                <w:sz w:val="18"/>
                <w:szCs w:val="18"/>
              </w:rPr>
            </w:pPr>
            <w:r w:rsidRPr="00D86314">
              <w:rPr>
                <w:noProof/>
                <w:sz w:val="18"/>
                <w:szCs w:val="18"/>
              </w:rPr>
              <w:t>Spectrum sharing</w:t>
            </w:r>
          </w:p>
        </w:tc>
        <w:tc>
          <w:tcPr>
            <w:tcW w:w="1516" w:type="pct"/>
          </w:tcPr>
          <w:p w14:paraId="18102121" w14:textId="77777777" w:rsidR="00C778BA" w:rsidRPr="00D86314" w:rsidRDefault="00C778BA" w:rsidP="007736E8">
            <w:pPr>
              <w:spacing w:after="0"/>
              <w:rPr>
                <w:noProof/>
                <w:sz w:val="18"/>
                <w:szCs w:val="18"/>
              </w:rPr>
            </w:pPr>
            <w:r w:rsidRPr="00D86314">
              <w:rPr>
                <w:noProof/>
                <w:sz w:val="18"/>
                <w:szCs w:val="18"/>
              </w:rPr>
              <w:t xml:space="preserve">Removing legal / regulatory obstacle for </w:t>
            </w:r>
            <w:r w:rsidRPr="00D86314">
              <w:rPr>
                <w:b/>
                <w:bCs/>
                <w:noProof/>
                <w:sz w:val="18"/>
                <w:szCs w:val="18"/>
              </w:rPr>
              <w:t xml:space="preserve">spectrum sharing / pooling, </w:t>
            </w:r>
            <w:r w:rsidRPr="00D86314">
              <w:rPr>
                <w:noProof/>
                <w:sz w:val="18"/>
                <w:szCs w:val="18"/>
              </w:rPr>
              <w:t>especially in rural/ underserved areas</w:t>
            </w:r>
          </w:p>
          <w:p w14:paraId="3DD3B6FF" w14:textId="77777777" w:rsidR="00C778BA" w:rsidRPr="00D86314" w:rsidRDefault="00C778BA" w:rsidP="007736E8">
            <w:pPr>
              <w:spacing w:after="0"/>
              <w:rPr>
                <w:noProof/>
                <w:sz w:val="18"/>
                <w:szCs w:val="18"/>
              </w:rPr>
            </w:pPr>
            <w:r w:rsidRPr="00D86314">
              <w:rPr>
                <w:noProof/>
                <w:sz w:val="18"/>
                <w:szCs w:val="18"/>
              </w:rPr>
              <w:t>Promoting flexible spectrum licensing</w:t>
            </w:r>
          </w:p>
        </w:tc>
        <w:tc>
          <w:tcPr>
            <w:tcW w:w="1516" w:type="pct"/>
          </w:tcPr>
          <w:p w14:paraId="7E201D77" w14:textId="77777777" w:rsidR="00C778BA" w:rsidRPr="00D86314" w:rsidRDefault="00C778BA" w:rsidP="007736E8">
            <w:pPr>
              <w:spacing w:after="0"/>
              <w:rPr>
                <w:rStyle w:val="normaltextrun"/>
                <w:noProof/>
                <w:sz w:val="18"/>
                <w:szCs w:val="18"/>
              </w:rPr>
            </w:pPr>
            <w:r w:rsidRPr="00D86314">
              <w:rPr>
                <w:noProof/>
                <w:sz w:val="18"/>
                <w:szCs w:val="18"/>
              </w:rPr>
              <w:t>Stronger and more coordinated</w:t>
            </w:r>
            <w:r w:rsidRPr="00D86314">
              <w:rPr>
                <w:b/>
                <w:bCs/>
                <w:noProof/>
                <w:sz w:val="18"/>
                <w:szCs w:val="18"/>
              </w:rPr>
              <w:t xml:space="preserve"> EU approach </w:t>
            </w:r>
            <w:r w:rsidRPr="00D86314">
              <w:rPr>
                <w:noProof/>
                <w:sz w:val="18"/>
                <w:szCs w:val="18"/>
              </w:rPr>
              <w:t>through</w:t>
            </w:r>
            <w:r w:rsidRPr="00D86314">
              <w:rPr>
                <w:b/>
                <w:bCs/>
                <w:noProof/>
                <w:sz w:val="18"/>
                <w:szCs w:val="18"/>
              </w:rPr>
              <w:t xml:space="preserve"> mandatory spectrum sharing (</w:t>
            </w:r>
            <w:r w:rsidRPr="00D86314">
              <w:rPr>
                <w:noProof/>
                <w:sz w:val="18"/>
                <w:szCs w:val="18"/>
              </w:rPr>
              <w:t>subject to</w:t>
            </w:r>
            <w:r w:rsidRPr="00D86314">
              <w:rPr>
                <w:b/>
                <w:bCs/>
                <w:noProof/>
                <w:sz w:val="18"/>
                <w:szCs w:val="18"/>
              </w:rPr>
              <w:t xml:space="preserve"> </w:t>
            </w:r>
            <w:r w:rsidRPr="00D86314">
              <w:rPr>
                <w:noProof/>
                <w:sz w:val="18"/>
                <w:szCs w:val="18"/>
              </w:rPr>
              <w:t>technically feasible and not distort competition)</w:t>
            </w:r>
            <w:r w:rsidRPr="00D86314" w:rsidDel="0002375C">
              <w:rPr>
                <w:b/>
                <w:bCs/>
                <w:noProof/>
                <w:sz w:val="18"/>
                <w:szCs w:val="18"/>
              </w:rPr>
              <w:t xml:space="preserve"> </w:t>
            </w:r>
            <w:r w:rsidRPr="00D86314">
              <w:rPr>
                <w:noProof/>
                <w:sz w:val="18"/>
                <w:szCs w:val="18"/>
              </w:rPr>
              <w:t xml:space="preserve">, including “use it or share/lose it” conditions and dynamic </w:t>
            </w:r>
            <w:r w:rsidRPr="00D86314">
              <w:rPr>
                <w:rStyle w:val="normaltextrun"/>
                <w:noProof/>
                <w:sz w:val="18"/>
                <w:szCs w:val="18"/>
              </w:rPr>
              <w:t>geolocation databases</w:t>
            </w:r>
          </w:p>
          <w:p w14:paraId="31174D5A" w14:textId="77777777" w:rsidR="00C778BA" w:rsidRPr="00D86314" w:rsidRDefault="00C778BA" w:rsidP="007736E8">
            <w:pPr>
              <w:spacing w:after="0"/>
              <w:rPr>
                <w:noProof/>
                <w:sz w:val="18"/>
                <w:szCs w:val="18"/>
              </w:rPr>
            </w:pPr>
            <w:r w:rsidRPr="00D86314">
              <w:rPr>
                <w:noProof/>
                <w:sz w:val="18"/>
                <w:szCs w:val="18"/>
              </w:rPr>
              <w:t>Addre</w:t>
            </w:r>
            <w:r w:rsidRPr="00D86314">
              <w:rPr>
                <w:rFonts w:asciiTheme="minorHAnsi" w:hAnsiTheme="minorHAnsi"/>
                <w:noProof/>
                <w:sz w:val="18"/>
              </w:rPr>
              <w:t>ssing ba</w:t>
            </w:r>
            <w:r w:rsidRPr="00D86314">
              <w:rPr>
                <w:noProof/>
                <w:sz w:val="18"/>
                <w:szCs w:val="18"/>
              </w:rPr>
              <w:t>rriers to assigning spectrum to wholesale network operators</w:t>
            </w:r>
          </w:p>
        </w:tc>
        <w:tc>
          <w:tcPr>
            <w:tcW w:w="1516" w:type="pct"/>
          </w:tcPr>
          <w:p w14:paraId="65FF378E" w14:textId="77777777" w:rsidR="00C778BA" w:rsidRPr="00D86314" w:rsidRDefault="00C778BA" w:rsidP="007736E8">
            <w:pPr>
              <w:spacing w:after="0"/>
              <w:rPr>
                <w:noProof/>
                <w:sz w:val="18"/>
                <w:szCs w:val="18"/>
              </w:rPr>
            </w:pPr>
            <w:r w:rsidRPr="00D86314">
              <w:rPr>
                <w:noProof/>
                <w:sz w:val="18"/>
                <w:szCs w:val="18"/>
              </w:rPr>
              <w:t xml:space="preserve">Mandatory EU framework for spectrum sharing across all EU-harmonised bands </w:t>
            </w:r>
          </w:p>
          <w:p w14:paraId="0B0335D4" w14:textId="77777777" w:rsidR="00C778BA" w:rsidRPr="00D86314" w:rsidRDefault="00C778BA" w:rsidP="007736E8">
            <w:pPr>
              <w:spacing w:after="0"/>
              <w:rPr>
                <w:noProof/>
                <w:sz w:val="18"/>
                <w:szCs w:val="18"/>
              </w:rPr>
            </w:pPr>
            <w:r w:rsidRPr="00D86314">
              <w:rPr>
                <w:noProof/>
                <w:sz w:val="18"/>
                <w:szCs w:val="18"/>
              </w:rPr>
              <w:t>Generalising the use of dynamic geolocation database systems to all bands</w:t>
            </w:r>
          </w:p>
        </w:tc>
      </w:tr>
      <w:tr w:rsidR="00C778BA" w:rsidRPr="00D86314" w14:paraId="3302B310" w14:textId="77777777" w:rsidTr="007736E8">
        <w:tc>
          <w:tcPr>
            <w:tcW w:w="452" w:type="pct"/>
          </w:tcPr>
          <w:p w14:paraId="24D39065" w14:textId="77777777" w:rsidR="00C778BA" w:rsidRPr="00D86314" w:rsidRDefault="00C778BA" w:rsidP="007736E8">
            <w:pPr>
              <w:rPr>
                <w:noProof/>
                <w:sz w:val="18"/>
                <w:szCs w:val="18"/>
              </w:rPr>
            </w:pPr>
            <w:r w:rsidRPr="00D86314">
              <w:rPr>
                <w:noProof/>
                <w:sz w:val="18"/>
                <w:szCs w:val="18"/>
              </w:rPr>
              <w:t>Cross-border harmful interference</w:t>
            </w:r>
          </w:p>
        </w:tc>
        <w:tc>
          <w:tcPr>
            <w:tcW w:w="1516" w:type="pct"/>
          </w:tcPr>
          <w:p w14:paraId="63572677" w14:textId="3DBA19D7" w:rsidR="00C778BA" w:rsidRPr="00D86314" w:rsidRDefault="00C778BA" w:rsidP="007736E8">
            <w:pPr>
              <w:spacing w:after="0"/>
              <w:ind w:right="57"/>
              <w:rPr>
                <w:noProof/>
                <w:sz w:val="18"/>
                <w:szCs w:val="18"/>
              </w:rPr>
            </w:pPr>
            <w:r w:rsidRPr="00D86314">
              <w:rPr>
                <w:b/>
                <w:bCs/>
                <w:noProof/>
                <w:sz w:val="18"/>
                <w:szCs w:val="18"/>
              </w:rPr>
              <w:t>Deadlines</w:t>
            </w:r>
            <w:r w:rsidRPr="00D86314">
              <w:rPr>
                <w:noProof/>
                <w:sz w:val="18"/>
                <w:szCs w:val="18"/>
              </w:rPr>
              <w:t xml:space="preserve"> introduced in current mechanism for solving </w:t>
            </w:r>
            <w:r w:rsidR="584D8CEC" w:rsidRPr="00D86314">
              <w:rPr>
                <w:noProof/>
                <w:sz w:val="18"/>
                <w:szCs w:val="18"/>
              </w:rPr>
              <w:t>coordination</w:t>
            </w:r>
            <w:r w:rsidRPr="00D86314">
              <w:rPr>
                <w:noProof/>
                <w:sz w:val="18"/>
                <w:szCs w:val="18"/>
              </w:rPr>
              <w:t xml:space="preserve"> issues </w:t>
            </w:r>
            <w:r w:rsidRPr="00D86314">
              <w:rPr>
                <w:b/>
                <w:bCs/>
                <w:noProof/>
                <w:sz w:val="18"/>
                <w:szCs w:val="18"/>
              </w:rPr>
              <w:t>between Member States</w:t>
            </w:r>
          </w:p>
          <w:p w14:paraId="216B90C7" w14:textId="77777777" w:rsidR="00C778BA" w:rsidRPr="00D86314" w:rsidRDefault="00C778BA" w:rsidP="007736E8">
            <w:pPr>
              <w:rPr>
                <w:noProof/>
                <w:sz w:val="18"/>
                <w:szCs w:val="18"/>
              </w:rPr>
            </w:pPr>
            <w:r w:rsidRPr="00D86314">
              <w:rPr>
                <w:b/>
                <w:bCs/>
                <w:noProof/>
                <w:sz w:val="18"/>
                <w:szCs w:val="18"/>
              </w:rPr>
              <w:t>Enhancing solidarity</w:t>
            </w:r>
            <w:r w:rsidRPr="00D86314">
              <w:rPr>
                <w:noProof/>
                <w:sz w:val="18"/>
                <w:szCs w:val="18"/>
              </w:rPr>
              <w:t xml:space="preserve"> in case of issues with </w:t>
            </w:r>
            <w:r w:rsidRPr="00D86314">
              <w:rPr>
                <w:b/>
                <w:bCs/>
                <w:noProof/>
                <w:sz w:val="18"/>
                <w:szCs w:val="18"/>
              </w:rPr>
              <w:t>third countries</w:t>
            </w:r>
          </w:p>
        </w:tc>
        <w:tc>
          <w:tcPr>
            <w:tcW w:w="1516" w:type="pct"/>
          </w:tcPr>
          <w:p w14:paraId="369DEB33" w14:textId="215C9BD6" w:rsidR="00C778BA" w:rsidRPr="00D86314" w:rsidRDefault="00C778BA" w:rsidP="007736E8">
            <w:pPr>
              <w:spacing w:after="0"/>
              <w:ind w:right="57"/>
              <w:rPr>
                <w:noProof/>
                <w:sz w:val="18"/>
                <w:szCs w:val="18"/>
              </w:rPr>
            </w:pPr>
            <w:r w:rsidRPr="00D86314">
              <w:rPr>
                <w:noProof/>
                <w:sz w:val="18"/>
                <w:szCs w:val="18"/>
              </w:rPr>
              <w:t xml:space="preserve">Mechanism for solving </w:t>
            </w:r>
            <w:r w:rsidR="3CFBBE5E" w:rsidRPr="00D86314">
              <w:rPr>
                <w:noProof/>
                <w:sz w:val="18"/>
                <w:szCs w:val="18"/>
              </w:rPr>
              <w:t xml:space="preserve">coordination </w:t>
            </w:r>
            <w:r w:rsidRPr="00D86314">
              <w:rPr>
                <w:b/>
                <w:bCs/>
                <w:noProof/>
                <w:sz w:val="18"/>
                <w:szCs w:val="18"/>
              </w:rPr>
              <w:t xml:space="preserve">issues between Member States </w:t>
            </w:r>
            <w:r w:rsidR="00501F83" w:rsidRPr="00D86314">
              <w:rPr>
                <w:b/>
                <w:bCs/>
                <w:noProof/>
                <w:sz w:val="18"/>
                <w:szCs w:val="18"/>
              </w:rPr>
              <w:t xml:space="preserve">with </w:t>
            </w:r>
            <w:r w:rsidR="00AA6D39" w:rsidRPr="00D86314">
              <w:rPr>
                <w:b/>
                <w:bCs/>
                <w:noProof/>
                <w:sz w:val="18"/>
                <w:szCs w:val="18"/>
              </w:rPr>
              <w:t xml:space="preserve">deadlines and </w:t>
            </w:r>
            <w:r w:rsidRPr="00D86314">
              <w:rPr>
                <w:noProof/>
                <w:sz w:val="18"/>
                <w:szCs w:val="18"/>
              </w:rPr>
              <w:t xml:space="preserve">extended to </w:t>
            </w:r>
            <w:r w:rsidRPr="00D86314">
              <w:rPr>
                <w:b/>
                <w:bCs/>
                <w:noProof/>
                <w:sz w:val="18"/>
                <w:szCs w:val="18"/>
              </w:rPr>
              <w:t>non harmonised spectrum</w:t>
            </w:r>
          </w:p>
          <w:p w14:paraId="6354D340" w14:textId="77777777" w:rsidR="00C778BA" w:rsidRPr="00D86314" w:rsidRDefault="00C778BA" w:rsidP="007736E8">
            <w:pPr>
              <w:spacing w:after="0"/>
              <w:ind w:right="57"/>
              <w:rPr>
                <w:noProof/>
                <w:sz w:val="18"/>
                <w:szCs w:val="18"/>
              </w:rPr>
            </w:pPr>
            <w:r w:rsidRPr="00D86314">
              <w:rPr>
                <w:b/>
                <w:bCs/>
                <w:noProof/>
                <w:sz w:val="18"/>
                <w:szCs w:val="18"/>
              </w:rPr>
              <w:t>Enhancing solidarity</w:t>
            </w:r>
            <w:r w:rsidRPr="00D86314">
              <w:rPr>
                <w:noProof/>
                <w:sz w:val="18"/>
                <w:szCs w:val="18"/>
              </w:rPr>
              <w:t xml:space="preserve"> in case of issues with </w:t>
            </w:r>
            <w:r w:rsidRPr="00D86314">
              <w:rPr>
                <w:b/>
                <w:bCs/>
                <w:noProof/>
                <w:sz w:val="18"/>
                <w:szCs w:val="18"/>
              </w:rPr>
              <w:t>third countries</w:t>
            </w:r>
            <w:r w:rsidRPr="00D86314">
              <w:rPr>
                <w:noProof/>
                <w:sz w:val="18"/>
                <w:szCs w:val="18"/>
              </w:rPr>
              <w:t xml:space="preserve"> </w:t>
            </w:r>
          </w:p>
        </w:tc>
        <w:tc>
          <w:tcPr>
            <w:tcW w:w="1516" w:type="pct"/>
          </w:tcPr>
          <w:p w14:paraId="48392247" w14:textId="30ADCFDC" w:rsidR="00C778BA" w:rsidRPr="00D86314" w:rsidRDefault="00C778BA" w:rsidP="007736E8">
            <w:pPr>
              <w:spacing w:after="0"/>
              <w:ind w:right="57"/>
              <w:rPr>
                <w:b/>
                <w:bCs/>
                <w:noProof/>
                <w:sz w:val="18"/>
                <w:szCs w:val="18"/>
              </w:rPr>
            </w:pPr>
            <w:r w:rsidRPr="00D86314">
              <w:rPr>
                <w:noProof/>
                <w:sz w:val="18"/>
                <w:szCs w:val="18"/>
              </w:rPr>
              <w:t>Mechanism for solving</w:t>
            </w:r>
            <w:r w:rsidRPr="00D86314">
              <w:rPr>
                <w:b/>
                <w:bCs/>
                <w:noProof/>
                <w:sz w:val="18"/>
                <w:szCs w:val="18"/>
              </w:rPr>
              <w:t xml:space="preserve"> </w:t>
            </w:r>
            <w:r w:rsidR="37DB3DCB" w:rsidRPr="00D86314">
              <w:rPr>
                <w:b/>
                <w:bCs/>
                <w:noProof/>
                <w:sz w:val="18"/>
                <w:szCs w:val="18"/>
              </w:rPr>
              <w:t xml:space="preserve">coordination </w:t>
            </w:r>
            <w:r w:rsidRPr="00D86314">
              <w:rPr>
                <w:b/>
                <w:bCs/>
                <w:noProof/>
                <w:sz w:val="18"/>
                <w:szCs w:val="18"/>
              </w:rPr>
              <w:t>issues between Member States coupled</w:t>
            </w:r>
            <w:r w:rsidRPr="00D86314">
              <w:rPr>
                <w:noProof/>
                <w:sz w:val="18"/>
                <w:szCs w:val="18"/>
              </w:rPr>
              <w:t xml:space="preserve"> </w:t>
            </w:r>
            <w:r w:rsidRPr="00D86314">
              <w:rPr>
                <w:rStyle w:val="normaltextrun"/>
                <w:noProof/>
                <w:sz w:val="18"/>
                <w:szCs w:val="18"/>
              </w:rPr>
              <w:t xml:space="preserve">with </w:t>
            </w:r>
            <w:r w:rsidRPr="00D86314">
              <w:rPr>
                <w:rStyle w:val="normaltextrun"/>
                <w:b/>
                <w:bCs/>
                <w:noProof/>
                <w:sz w:val="18"/>
                <w:szCs w:val="18"/>
              </w:rPr>
              <w:t>private enforcement</w:t>
            </w:r>
          </w:p>
          <w:p w14:paraId="52E4EA70" w14:textId="77777777" w:rsidR="00C778BA" w:rsidRPr="00D86314" w:rsidRDefault="00C778BA" w:rsidP="007736E8">
            <w:pPr>
              <w:rPr>
                <w:noProof/>
                <w:sz w:val="18"/>
                <w:szCs w:val="18"/>
              </w:rPr>
            </w:pPr>
            <w:r w:rsidRPr="00D86314">
              <w:rPr>
                <w:b/>
                <w:bCs/>
                <w:noProof/>
                <w:sz w:val="18"/>
                <w:szCs w:val="18"/>
              </w:rPr>
              <w:t>Mechanism</w:t>
            </w:r>
            <w:r w:rsidRPr="00D86314">
              <w:rPr>
                <w:noProof/>
                <w:sz w:val="18"/>
                <w:szCs w:val="18"/>
              </w:rPr>
              <w:t xml:space="preserve"> for </w:t>
            </w:r>
            <w:r w:rsidRPr="00D86314">
              <w:rPr>
                <w:b/>
                <w:bCs/>
                <w:noProof/>
                <w:sz w:val="18"/>
                <w:szCs w:val="18"/>
              </w:rPr>
              <w:t>coordinating Member States response</w:t>
            </w:r>
            <w:r w:rsidRPr="00D86314">
              <w:rPr>
                <w:noProof/>
                <w:sz w:val="18"/>
                <w:szCs w:val="18"/>
              </w:rPr>
              <w:t xml:space="preserve"> under RSPG to </w:t>
            </w:r>
            <w:r w:rsidRPr="00D86314">
              <w:rPr>
                <w:b/>
                <w:bCs/>
                <w:noProof/>
                <w:sz w:val="18"/>
                <w:szCs w:val="18"/>
              </w:rPr>
              <w:t>issues with third countries</w:t>
            </w:r>
          </w:p>
        </w:tc>
      </w:tr>
    </w:tbl>
    <w:p w14:paraId="099C47A1" w14:textId="77777777" w:rsidR="00C778BA" w:rsidRPr="00D86314" w:rsidRDefault="00C778BA" w:rsidP="00C778BA">
      <w:pPr>
        <w:spacing w:after="120"/>
        <w:rPr>
          <w:noProof/>
        </w:rPr>
      </w:pPr>
    </w:p>
    <w:p w14:paraId="4B74A4A8" w14:textId="77777777" w:rsidR="00C778BA" w:rsidRPr="00D86314" w:rsidRDefault="00C778BA" w:rsidP="00C778BA">
      <w:pPr>
        <w:spacing w:after="120"/>
        <w:rPr>
          <w:noProof/>
        </w:rPr>
      </w:pPr>
    </w:p>
    <w:p w14:paraId="54DDB193" w14:textId="77777777" w:rsidR="00C778BA" w:rsidRPr="00D86314" w:rsidRDefault="00C778BA" w:rsidP="00C778BA">
      <w:pPr>
        <w:spacing w:after="120"/>
        <w:rPr>
          <w:noProof/>
        </w:rPr>
      </w:pPr>
    </w:p>
    <w:p w14:paraId="57F2277F" w14:textId="77777777" w:rsidR="00C778BA" w:rsidRPr="00D86314" w:rsidRDefault="00C778BA" w:rsidP="00C778BA">
      <w:pPr>
        <w:spacing w:after="120"/>
        <w:rPr>
          <w:noProof/>
        </w:rPr>
        <w:sectPr w:rsidR="00C778BA" w:rsidRPr="00D86314" w:rsidSect="00C778BA">
          <w:headerReference w:type="default" r:id="rId64"/>
          <w:footerReference w:type="default" r:id="rId65"/>
          <w:headerReference w:type="first" r:id="rId66"/>
          <w:footerReference w:type="first" r:id="rId67"/>
          <w:pgSz w:w="16838" w:h="11906" w:orient="landscape"/>
          <w:pgMar w:top="1587" w:right="1020" w:bottom="707" w:left="1020" w:header="601" w:footer="1077" w:gutter="0"/>
          <w:cols w:space="720"/>
          <w:titlePg/>
          <w:docGrid w:linePitch="326"/>
        </w:sectPr>
      </w:pPr>
    </w:p>
    <w:p w14:paraId="7FE21DD5" w14:textId="77777777" w:rsidR="00C778BA" w:rsidRPr="00D86314" w:rsidRDefault="00C778BA" w:rsidP="00C778BA">
      <w:pPr>
        <w:pStyle w:val="Heading2"/>
        <w:rPr>
          <w:noProof/>
        </w:rPr>
      </w:pPr>
      <w:bookmarkStart w:id="131" w:name="_Toc219718375"/>
      <w:r w:rsidRPr="00D86314">
        <w:rPr>
          <w:noProof/>
        </w:rPr>
        <w:t>Assumptions concerning the effect of spectrum related policy measures on mid-banc coverage, download speeds and data consumption</w:t>
      </w:r>
      <w:bookmarkEnd w:id="131"/>
    </w:p>
    <w:p w14:paraId="1E4E60A4" w14:textId="77777777" w:rsidR="00C778BA" w:rsidRPr="00D86314" w:rsidRDefault="00C778BA" w:rsidP="007F37F3">
      <w:pPr>
        <w:pStyle w:val="Heading3"/>
        <w:spacing w:before="120"/>
        <w:rPr>
          <w:noProof/>
        </w:rPr>
      </w:pPr>
      <w:bookmarkStart w:id="132" w:name="_Toc219718376"/>
      <w:r w:rsidRPr="00D86314">
        <w:rPr>
          <w:noProof/>
        </w:rPr>
        <w:t>Intervention logic linking mobile policies with outputs</w:t>
      </w:r>
      <w:bookmarkEnd w:id="132"/>
    </w:p>
    <w:p w14:paraId="3FDE29FA" w14:textId="498B8584" w:rsidR="00C778BA" w:rsidRPr="00D86314" w:rsidRDefault="00C778BA" w:rsidP="00CB0BEB">
      <w:pPr>
        <w:rPr>
          <w:noProof/>
        </w:rPr>
      </w:pPr>
      <w:r w:rsidRPr="00D86314">
        <w:rPr>
          <w:noProof/>
        </w:rPr>
        <w:t xml:space="preserve">The following </w:t>
      </w:r>
      <w:r w:rsidR="00123276" w:rsidRPr="00123276">
        <w:rPr>
          <w:noProof/>
        </w:rPr>
        <w:fldChar w:fldCharType="begin"/>
      </w:r>
      <w:r w:rsidR="00123276" w:rsidRPr="00123276">
        <w:rPr>
          <w:noProof/>
        </w:rPr>
        <w:instrText xml:space="preserve"> REF _Ref219384418 \h </w:instrText>
      </w:r>
      <w:r w:rsidR="00123276" w:rsidRPr="00C20A01">
        <w:rPr>
          <w:noProof/>
        </w:rPr>
        <w:instrText xml:space="preserve"> \* MERGEFORMAT </w:instrText>
      </w:r>
      <w:r w:rsidR="00123276" w:rsidRPr="00123276">
        <w:rPr>
          <w:noProof/>
        </w:rPr>
      </w:r>
      <w:r w:rsidR="00123276" w:rsidRPr="00123276">
        <w:rPr>
          <w:noProof/>
        </w:rPr>
        <w:fldChar w:fldCharType="separate"/>
      </w:r>
      <w:r w:rsidR="00123276" w:rsidRPr="00C20A01">
        <w:rPr>
          <w:noProof/>
        </w:rPr>
        <w:t>Figure A4 2</w:t>
      </w:r>
      <w:r w:rsidR="00123276" w:rsidRPr="00C20A01">
        <w:rPr>
          <w:noProof/>
        </w:rPr>
        <w:noBreakHyphen/>
        <w:t>2</w:t>
      </w:r>
      <w:r w:rsidR="00123276" w:rsidRPr="00123276">
        <w:rPr>
          <w:noProof/>
        </w:rPr>
        <w:fldChar w:fldCharType="end"/>
      </w:r>
      <w:r w:rsidR="00123276">
        <w:rPr>
          <w:noProof/>
        </w:rPr>
        <w:t xml:space="preserve"> </w:t>
      </w:r>
      <w:r w:rsidRPr="00D86314">
        <w:rPr>
          <w:noProof/>
        </w:rPr>
        <w:t>shows the intervention logic linking mobile policy options, outcomes and impacts.</w:t>
      </w:r>
    </w:p>
    <w:p w14:paraId="48FD30B7" w14:textId="62EFB4C8" w:rsidR="00C778BA" w:rsidRPr="00D86314" w:rsidRDefault="00C778BA" w:rsidP="00CB0BEB">
      <w:pPr>
        <w:rPr>
          <w:noProof/>
        </w:rPr>
      </w:pPr>
      <w:r w:rsidRPr="00D86314">
        <w:rPr>
          <w:noProof/>
        </w:rPr>
        <w:t>In this context, it is relevant to note that there are two key drivers underlying the different inputs</w:t>
      </w:r>
      <w:r w:rsidR="00746E68" w:rsidRPr="00D86314">
        <w:rPr>
          <w:noProof/>
        </w:rPr>
        <w:t>:</w:t>
      </w:r>
    </w:p>
    <w:p w14:paraId="3442AE9A" w14:textId="77777777" w:rsidR="00C778BA" w:rsidRPr="00D86314" w:rsidRDefault="00C778BA" w:rsidP="00CB0BEB">
      <w:pPr>
        <w:pStyle w:val="ListParagraph"/>
        <w:numPr>
          <w:ilvl w:val="0"/>
          <w:numId w:val="65"/>
        </w:numPr>
        <w:spacing w:after="160"/>
        <w:rPr>
          <w:noProof/>
        </w:rPr>
      </w:pPr>
      <w:r w:rsidRPr="00D86314">
        <w:rPr>
          <w:noProof/>
        </w:rPr>
        <w:t xml:space="preserve">Spectrum policy determines how much and which types of radio spectrum are made available to mobile operators, as well as the conditions attached to its use. </w:t>
      </w:r>
    </w:p>
    <w:p w14:paraId="7D3126C7" w14:textId="49F2D7F5" w:rsidR="00C778BA" w:rsidRPr="00D86314" w:rsidRDefault="00C778BA" w:rsidP="00CB0BEB">
      <w:pPr>
        <w:pStyle w:val="ListParagraph"/>
        <w:numPr>
          <w:ilvl w:val="0"/>
          <w:numId w:val="65"/>
        </w:numPr>
        <w:spacing w:after="160"/>
        <w:rPr>
          <w:noProof/>
        </w:rPr>
      </w:pPr>
      <w:r w:rsidRPr="00D86314">
        <w:rPr>
          <w:noProof/>
        </w:rPr>
        <w:t xml:space="preserve">The proposed spectrum options ensuring </w:t>
      </w:r>
      <w:r w:rsidRPr="00D86314">
        <w:rPr>
          <w:rFonts w:eastAsia="Arial"/>
          <w:iCs/>
          <w:noProof/>
        </w:rPr>
        <w:t xml:space="preserve">longer licence duration, harmonisation of spectrum authorisation conditions and consistent use of market shaping measures would lead to a pro-investment </w:t>
      </w:r>
      <w:r w:rsidRPr="00D86314">
        <w:rPr>
          <w:noProof/>
        </w:rPr>
        <w:t xml:space="preserve">auction design and conditions and will </w:t>
      </w:r>
      <w:r w:rsidRPr="00D86314">
        <w:rPr>
          <w:rFonts w:eastAsia="Arial"/>
          <w:iCs/>
          <w:noProof/>
        </w:rPr>
        <w:t xml:space="preserve">directly affect </w:t>
      </w:r>
      <w:r w:rsidRPr="00D86314">
        <w:rPr>
          <w:noProof/>
        </w:rPr>
        <w:t>the allocation of mid-band frequencies (that is particularly critical for achieving wide 5G and in the future 6G coverage and high capacity. By defining license durations, auction designs, market shaping measures, and usage rights, regulators influence the cost of spectrum and investment and other investment outcomes, like the speed and the scale of 5G rollout</w:t>
      </w:r>
      <w:r w:rsidR="008620AD" w:rsidRPr="00D86314">
        <w:rPr>
          <w:noProof/>
        </w:rPr>
        <w:t xml:space="preserve"> and the possibility to benefit from economies of scale</w:t>
      </w:r>
      <w:r w:rsidRPr="00D86314">
        <w:rPr>
          <w:noProof/>
        </w:rPr>
        <w:t>. The longer licence durations, easier renewals and more predictable regulatory approaches also enhance financial attractiveness of mobile projects with better access to capital. Such certainty encourages sustained, long-term commitments in network infrastructure, in particular against a background of increasing spectrum needs. Moreover, the granting of rights of use with indefinite duration does not prevent regulators from foreseeing periodic checks and updates of coverage or quality of service obligations. Moreover, indefinite duration will be coupled with “</w:t>
      </w:r>
      <w:r w:rsidRPr="00D86314">
        <w:rPr>
          <w:i/>
          <w:iCs/>
          <w:noProof/>
        </w:rPr>
        <w:t>use it or share it or lose it</w:t>
      </w:r>
      <w:r w:rsidRPr="00D86314">
        <w:rPr>
          <w:i/>
          <w:noProof/>
        </w:rPr>
        <w:t xml:space="preserve">” </w:t>
      </w:r>
      <w:r w:rsidRPr="00D86314">
        <w:rPr>
          <w:noProof/>
        </w:rPr>
        <w:t>obligations which would exclude spectrum hoarding</w:t>
      </w:r>
      <w:r w:rsidRPr="00D86314">
        <w:rPr>
          <w:i/>
          <w:noProof/>
        </w:rPr>
        <w:t>.</w:t>
      </w:r>
      <w:r w:rsidR="003A46A9" w:rsidRPr="00D86314">
        <w:rPr>
          <w:i/>
          <w:noProof/>
        </w:rPr>
        <w:t xml:space="preserve"> </w:t>
      </w:r>
      <w:r w:rsidRPr="00D86314">
        <w:rPr>
          <w:noProof/>
        </w:rPr>
        <w:t>A supportive, harmoni</w:t>
      </w:r>
      <w:r w:rsidR="00984529" w:rsidRPr="00D86314">
        <w:rPr>
          <w:noProof/>
        </w:rPr>
        <w:t>s</w:t>
      </w:r>
      <w:r w:rsidRPr="00D86314">
        <w:rPr>
          <w:noProof/>
        </w:rPr>
        <w:t xml:space="preserve">ed spectrum policy therefore promotes faster and more cost-effective deployment of mid-band infrastructure and enables a greater proportion of users, including industrial ones, to benefit from higher bandwidths, and quality. </w:t>
      </w:r>
    </w:p>
    <w:p w14:paraId="61A9A284" w14:textId="77777777" w:rsidR="00C778BA" w:rsidRPr="00D86314" w:rsidRDefault="00C778BA" w:rsidP="00CB0BEB">
      <w:pPr>
        <w:pStyle w:val="ListParagraph"/>
        <w:numPr>
          <w:ilvl w:val="0"/>
          <w:numId w:val="65"/>
        </w:numPr>
        <w:spacing w:after="160"/>
        <w:rPr>
          <w:noProof/>
        </w:rPr>
      </w:pPr>
      <w:r w:rsidRPr="00D86314">
        <w:rPr>
          <w:noProof/>
        </w:rPr>
        <w:t>Predictability is further enhanced by ex-ante auction scrutiny that increases consistently applied pro-investment auction design.</w:t>
      </w:r>
    </w:p>
    <w:p w14:paraId="43CC9677" w14:textId="08343EC4" w:rsidR="00C778BA" w:rsidRPr="00D86314" w:rsidRDefault="00C778BA" w:rsidP="00CB0BEB">
      <w:pPr>
        <w:pStyle w:val="ListParagraph"/>
        <w:numPr>
          <w:ilvl w:val="0"/>
          <w:numId w:val="65"/>
        </w:numPr>
        <w:spacing w:after="160"/>
        <w:rPr>
          <w:rFonts w:eastAsia="Times New Roman"/>
          <w:noProof/>
        </w:rPr>
      </w:pPr>
      <w:r w:rsidRPr="00D86314">
        <w:rPr>
          <w:noProof/>
        </w:rPr>
        <w:t xml:space="preserve">The proposed </w:t>
      </w:r>
      <w:r w:rsidR="00632317" w:rsidRPr="00D86314">
        <w:rPr>
          <w:noProof/>
        </w:rPr>
        <w:t>E</w:t>
      </w:r>
      <w:r w:rsidR="00BD1233" w:rsidRPr="00D86314">
        <w:rPr>
          <w:noProof/>
        </w:rPr>
        <w:t>U spectrum strategy and</w:t>
      </w:r>
      <w:r w:rsidRPr="00D86314">
        <w:rPr>
          <w:noProof/>
        </w:rPr>
        <w:t xml:space="preserve"> </w:t>
      </w:r>
      <w:r w:rsidRPr="00D86314">
        <w:rPr>
          <w:rFonts w:eastAsia="Arial"/>
          <w:iCs/>
          <w:noProof/>
        </w:rPr>
        <w:t xml:space="preserve">roadmaps to ensure </w:t>
      </w:r>
      <w:r w:rsidRPr="00D86314">
        <w:rPr>
          <w:rFonts w:eastAsia="Arial"/>
          <w:noProof/>
        </w:rPr>
        <w:t xml:space="preserve">transparent and timely </w:t>
      </w:r>
      <w:r w:rsidRPr="00D86314">
        <w:rPr>
          <w:rFonts w:eastAsia="Arial"/>
          <w:iCs/>
          <w:noProof/>
        </w:rPr>
        <w:t>availability of spectrum, including for the coordinated launch of 6G will have a positive effect on predictability and future swift deployment</w:t>
      </w:r>
      <w:r w:rsidR="00FF0DF3" w:rsidRPr="00D86314">
        <w:rPr>
          <w:rFonts w:eastAsia="Arial"/>
          <w:iCs/>
          <w:noProof/>
        </w:rPr>
        <w:t>.</w:t>
      </w:r>
    </w:p>
    <w:p w14:paraId="1AB53E61" w14:textId="3CA0B343" w:rsidR="00C778BA" w:rsidRPr="00D86314" w:rsidRDefault="00C778BA" w:rsidP="00CB0BEB">
      <w:pPr>
        <w:pStyle w:val="ListParagraph"/>
        <w:numPr>
          <w:ilvl w:val="0"/>
          <w:numId w:val="65"/>
        </w:numPr>
        <w:spacing w:after="160"/>
        <w:rPr>
          <w:rFonts w:eastAsia="Times New Roman"/>
          <w:noProof/>
        </w:rPr>
      </w:pPr>
      <w:r w:rsidRPr="00D86314">
        <w:rPr>
          <w:noProof/>
        </w:rPr>
        <w:t xml:space="preserve">The proposed measures on </w:t>
      </w:r>
      <w:r w:rsidRPr="00D86314">
        <w:rPr>
          <w:rFonts w:eastAsia="Arial"/>
          <w:iCs/>
          <w:noProof/>
        </w:rPr>
        <w:t>enhanced spectrum sharing might further promote the deployment of high</w:t>
      </w:r>
      <w:r w:rsidR="009E62A0" w:rsidRPr="00D86314">
        <w:rPr>
          <w:rFonts w:eastAsia="Arial"/>
          <w:iCs/>
          <w:noProof/>
        </w:rPr>
        <w:t>-</w:t>
      </w:r>
      <w:r w:rsidRPr="00D86314">
        <w:rPr>
          <w:rFonts w:eastAsia="Arial"/>
          <w:iCs/>
          <w:noProof/>
        </w:rPr>
        <w:t>quality private networks that can provide specialised services with guaranteed quality of service.</w:t>
      </w:r>
    </w:p>
    <w:p w14:paraId="3626DF56" w14:textId="77777777" w:rsidR="00C778BA" w:rsidRPr="00D86314" w:rsidRDefault="00C778BA" w:rsidP="00CB0BEB">
      <w:pPr>
        <w:pStyle w:val="ListParagraph"/>
        <w:numPr>
          <w:ilvl w:val="0"/>
          <w:numId w:val="65"/>
        </w:numPr>
        <w:spacing w:after="160"/>
        <w:rPr>
          <w:noProof/>
        </w:rPr>
      </w:pPr>
      <w:r w:rsidRPr="00D86314">
        <w:rPr>
          <w:noProof/>
        </w:rPr>
        <w:t>Coverage obligations, often attached to spectrum licenses, further guide the spatial distribution of 5G networks. These obligations compel operators to extend service to underserved or rural areas, ensuring that 5G deployment does not remain concentrated in urban centres. The resulting improvement in 5G mid-band coverage drives broader adoption and a more balanced technology mix, as users across regions gain access to advanced services. At the same time, such obligations, in particular where they are combined with high reserve prices, can affect the pace and cost of deployment, potentially influencing investment priorities and collaboration among operators.</w:t>
      </w:r>
    </w:p>
    <w:p w14:paraId="0C52C6C1" w14:textId="6F9BF054" w:rsidR="00C778BA" w:rsidRPr="00D86314" w:rsidRDefault="00C778BA" w:rsidP="00C778BA">
      <w:pPr>
        <w:pStyle w:val="Abbberschrift"/>
        <w:rPr>
          <w:rFonts w:ascii="Times New Roman" w:hAnsi="Times New Roman"/>
          <w:i/>
          <w:noProof/>
        </w:rPr>
      </w:pPr>
      <w:bookmarkStart w:id="133" w:name="_Ref219384418"/>
      <w:bookmarkStart w:id="134" w:name="_Toc213962423"/>
      <w:r w:rsidRPr="00D86314">
        <w:rPr>
          <w:rFonts w:ascii="Times New Roman" w:hAnsi="Times New Roman"/>
          <w:i/>
          <w:noProof/>
        </w:rPr>
        <w:t xml:space="preserve">Figure </w:t>
      </w:r>
      <w:r w:rsidR="00B64FB4" w:rsidRPr="00D86314">
        <w:rPr>
          <w:rFonts w:ascii="Times New Roman" w:hAnsi="Times New Roman"/>
          <w:i/>
          <w:noProof/>
        </w:rPr>
        <w:t xml:space="preserve">A4 </w:t>
      </w:r>
      <w:r w:rsidR="005B5146">
        <w:rPr>
          <w:rFonts w:ascii="Times New Roman" w:hAnsi="Times New Roman"/>
          <w:i/>
          <w:noProof/>
        </w:rPr>
        <w:fldChar w:fldCharType="begin"/>
      </w:r>
      <w:r w:rsidR="005B5146">
        <w:rPr>
          <w:rFonts w:ascii="Times New Roman" w:hAnsi="Times New Roman"/>
          <w:i/>
          <w:noProof/>
        </w:rPr>
        <w:instrText xml:space="preserve"> STYLEREF 1 \s </w:instrText>
      </w:r>
      <w:r w:rsidR="005B5146">
        <w:rPr>
          <w:rFonts w:ascii="Times New Roman" w:hAnsi="Times New Roman"/>
          <w:i/>
          <w:noProof/>
        </w:rPr>
        <w:fldChar w:fldCharType="separate"/>
      </w:r>
      <w:r w:rsidR="005B5146">
        <w:rPr>
          <w:rFonts w:ascii="Times New Roman" w:hAnsi="Times New Roman"/>
          <w:i/>
          <w:noProof/>
        </w:rPr>
        <w:t>2</w:t>
      </w:r>
      <w:r w:rsidR="005B5146">
        <w:rPr>
          <w:rFonts w:ascii="Times New Roman" w:hAnsi="Times New Roman"/>
          <w:i/>
          <w:noProof/>
        </w:rPr>
        <w:fldChar w:fldCharType="end"/>
      </w:r>
      <w:r w:rsidR="005B5146">
        <w:rPr>
          <w:rFonts w:ascii="Times New Roman" w:hAnsi="Times New Roman"/>
          <w:i/>
          <w:noProof/>
        </w:rPr>
        <w:noBreakHyphen/>
      </w:r>
      <w:r w:rsidR="005B5146">
        <w:rPr>
          <w:rFonts w:ascii="Times New Roman" w:hAnsi="Times New Roman"/>
          <w:i/>
          <w:noProof/>
        </w:rPr>
        <w:fldChar w:fldCharType="begin"/>
      </w:r>
      <w:r w:rsidR="005B5146">
        <w:rPr>
          <w:rFonts w:ascii="Times New Roman" w:hAnsi="Times New Roman"/>
          <w:i/>
          <w:noProof/>
        </w:rPr>
        <w:instrText xml:space="preserve"> SEQ Figure \* ARABIC \s 1 </w:instrText>
      </w:r>
      <w:r w:rsidR="005B5146">
        <w:rPr>
          <w:rFonts w:ascii="Times New Roman" w:hAnsi="Times New Roman"/>
          <w:i/>
          <w:noProof/>
        </w:rPr>
        <w:fldChar w:fldCharType="separate"/>
      </w:r>
      <w:r w:rsidR="005B5146">
        <w:rPr>
          <w:rFonts w:ascii="Times New Roman" w:hAnsi="Times New Roman"/>
          <w:i/>
          <w:noProof/>
        </w:rPr>
        <w:t>2</w:t>
      </w:r>
      <w:r w:rsidR="005B5146">
        <w:rPr>
          <w:rFonts w:ascii="Times New Roman" w:hAnsi="Times New Roman"/>
          <w:i/>
          <w:noProof/>
        </w:rPr>
        <w:fldChar w:fldCharType="end"/>
      </w:r>
      <w:bookmarkEnd w:id="133"/>
      <w:r w:rsidRPr="00D86314">
        <w:rPr>
          <w:rFonts w:ascii="Times New Roman" w:hAnsi="Times New Roman"/>
          <w:i/>
          <w:noProof/>
        </w:rPr>
        <w:t>:Intervention logic linking mobile policy initiatives with economic and environmental impacts</w:t>
      </w:r>
      <w:bookmarkEnd w:id="134"/>
      <w:r w:rsidRPr="00D86314">
        <w:rPr>
          <w:rFonts w:ascii="Times New Roman" w:hAnsi="Times New Roman"/>
          <w:i/>
          <w:noProof/>
        </w:rPr>
        <w:t xml:space="preserve"> </w:t>
      </w:r>
    </w:p>
    <w:p w14:paraId="5E9F8BCA" w14:textId="77777777" w:rsidR="00C778BA" w:rsidRPr="00D86314" w:rsidRDefault="00C778BA" w:rsidP="00C778BA">
      <w:pPr>
        <w:rPr>
          <w:noProof/>
        </w:rPr>
      </w:pPr>
    </w:p>
    <w:p w14:paraId="29C2AEA2" w14:textId="77777777" w:rsidR="00C778BA" w:rsidRPr="00D86314" w:rsidRDefault="00C778BA" w:rsidP="00C778BA">
      <w:pPr>
        <w:rPr>
          <w:noProof/>
        </w:rPr>
      </w:pPr>
      <w:r w:rsidRPr="00E46BC9">
        <w:rPr>
          <w:noProof/>
          <w:lang w:eastAsia="en-GB"/>
        </w:rPr>
        <w:drawing>
          <wp:inline distT="0" distB="0" distL="0" distR="0" wp14:anchorId="13106816" wp14:editId="7775BD20">
            <wp:extent cx="5581015" cy="4448810"/>
            <wp:effectExtent l="0" t="0" r="635" b="8890"/>
            <wp:docPr id="25659735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81015" cy="4448810"/>
                    </a:xfrm>
                    <a:prstGeom prst="rect">
                      <a:avLst/>
                    </a:prstGeom>
                    <a:noFill/>
                    <a:ln>
                      <a:noFill/>
                    </a:ln>
                  </pic:spPr>
                </pic:pic>
              </a:graphicData>
            </a:graphic>
          </wp:inline>
        </w:drawing>
      </w:r>
    </w:p>
    <w:p w14:paraId="2CB2460F" w14:textId="77777777" w:rsidR="00C778BA" w:rsidRPr="00D86314" w:rsidRDefault="00C778BA" w:rsidP="00C778BA">
      <w:pPr>
        <w:pStyle w:val="Quelle"/>
        <w:ind w:left="0" w:firstLine="0"/>
        <w:rPr>
          <w:noProof/>
        </w:rPr>
      </w:pPr>
      <w:r w:rsidRPr="00D86314">
        <w:rPr>
          <w:noProof/>
        </w:rPr>
        <w:t>Source:</w:t>
      </w:r>
      <w:r w:rsidRPr="00D86314">
        <w:rPr>
          <w:noProof/>
        </w:rPr>
        <w:tab/>
        <w:t>WIK-Consult.</w:t>
      </w:r>
    </w:p>
    <w:p w14:paraId="4E3672AF" w14:textId="2777699C" w:rsidR="00C778BA" w:rsidRPr="00D86314" w:rsidRDefault="00C778BA" w:rsidP="00C778BA">
      <w:pPr>
        <w:rPr>
          <w:noProof/>
        </w:rPr>
      </w:pPr>
      <w:r w:rsidRPr="00D86314">
        <w:rPr>
          <w:noProof/>
        </w:rPr>
        <w:t xml:space="preserve">Drawing on the intervention logic, an overview of the assumed directional effects of the different options on outcomes concerning mobile 5G (mid-band) coverage, average download speeds and other factors is shown in the following table. The different elements of each option are separated to show the directional effects for each aspect (showed using + and -). These are then used to adjust the inputs for the quantification of the overall impacts of the option bundles on 5G mid-band coverage and average download speeds. The rationale for these assessments is </w:t>
      </w:r>
      <w:r w:rsidR="00B66A53" w:rsidRPr="00D86314">
        <w:rPr>
          <w:noProof/>
        </w:rPr>
        <w:t>explained</w:t>
      </w:r>
      <w:r w:rsidRPr="00D86314">
        <w:rPr>
          <w:noProof/>
        </w:rPr>
        <w:t xml:space="preserve"> in the following sections.</w:t>
      </w:r>
    </w:p>
    <w:p w14:paraId="19DA771F" w14:textId="77777777" w:rsidR="00C778BA" w:rsidRPr="00D86314" w:rsidRDefault="00C778BA" w:rsidP="00C778BA">
      <w:pPr>
        <w:rPr>
          <w:noProof/>
        </w:rPr>
      </w:pPr>
    </w:p>
    <w:p w14:paraId="6D18A80A" w14:textId="77777777" w:rsidR="00C778BA" w:rsidRPr="00D86314" w:rsidRDefault="00C778BA" w:rsidP="00C778BA">
      <w:pPr>
        <w:rPr>
          <w:noProof/>
        </w:rPr>
        <w:sectPr w:rsidR="00C778BA" w:rsidRPr="00D86314" w:rsidSect="00C778BA">
          <w:headerReference w:type="default" r:id="rId69"/>
          <w:footerReference w:type="default" r:id="rId70"/>
          <w:pgSz w:w="11907" w:h="16840" w:code="9"/>
          <w:pgMar w:top="1418" w:right="1559" w:bottom="851" w:left="1559" w:header="567" w:footer="720" w:gutter="0"/>
          <w:cols w:space="720"/>
        </w:sectPr>
      </w:pPr>
    </w:p>
    <w:p w14:paraId="65F38848" w14:textId="508AA248" w:rsidR="00C778BA" w:rsidRPr="00D86314" w:rsidRDefault="00C778BA" w:rsidP="00271373">
      <w:pPr>
        <w:pStyle w:val="Caption"/>
        <w:keepNext/>
        <w:rPr>
          <w:i w:val="0"/>
          <w:iCs w:val="0"/>
          <w:noProof/>
          <w:color w:val="auto"/>
          <w:sz w:val="22"/>
          <w:szCs w:val="22"/>
        </w:rPr>
      </w:pPr>
      <w:bookmarkStart w:id="135" w:name="_Ref213955996"/>
      <w:bookmarkStart w:id="136" w:name="_Toc213947062"/>
      <w:r w:rsidRPr="00D86314">
        <w:rPr>
          <w:i w:val="0"/>
          <w:iCs w:val="0"/>
          <w:noProof/>
          <w:color w:val="auto"/>
          <w:sz w:val="22"/>
          <w:szCs w:val="22"/>
        </w:rPr>
        <w:t xml:space="preserve">Table </w:t>
      </w:r>
      <w:r w:rsidR="00B64FB4" w:rsidRPr="00D86314">
        <w:rPr>
          <w:i w:val="0"/>
          <w:iCs w:val="0"/>
          <w:noProof/>
          <w:color w:val="auto"/>
          <w:sz w:val="22"/>
          <w:szCs w:val="22"/>
        </w:rPr>
        <w:t>A4 2</w:t>
      </w:r>
      <w:r w:rsidRPr="00D86314">
        <w:rPr>
          <w:i w:val="0"/>
          <w:iCs w:val="0"/>
          <w:noProof/>
          <w:color w:val="auto"/>
          <w:sz w:val="22"/>
          <w:szCs w:val="22"/>
        </w:rPr>
        <w:noBreakHyphen/>
      </w:r>
      <w:r w:rsidRPr="00D86314">
        <w:rPr>
          <w:i w:val="0"/>
          <w:iCs w:val="0"/>
          <w:noProof/>
          <w:color w:val="auto"/>
          <w:sz w:val="22"/>
          <w:szCs w:val="22"/>
        </w:rPr>
        <w:fldChar w:fldCharType="begin"/>
      </w:r>
      <w:r w:rsidRPr="00D86314">
        <w:rPr>
          <w:i w:val="0"/>
          <w:iCs w:val="0"/>
          <w:noProof/>
          <w:color w:val="auto"/>
          <w:sz w:val="22"/>
          <w:szCs w:val="22"/>
        </w:rPr>
        <w:instrText xml:space="preserve"> SEQ Table \* ARABIC \s 1 </w:instrText>
      </w:r>
      <w:r w:rsidRPr="00D86314">
        <w:rPr>
          <w:i w:val="0"/>
          <w:iCs w:val="0"/>
          <w:noProof/>
          <w:color w:val="auto"/>
          <w:sz w:val="22"/>
          <w:szCs w:val="22"/>
        </w:rPr>
        <w:fldChar w:fldCharType="separate"/>
      </w:r>
      <w:r w:rsidR="00870CA9" w:rsidRPr="00C20A01">
        <w:rPr>
          <w:i w:val="0"/>
          <w:iCs w:val="0"/>
          <w:noProof/>
          <w:color w:val="auto"/>
          <w:sz w:val="22"/>
          <w:szCs w:val="22"/>
        </w:rPr>
        <w:t>2</w:t>
      </w:r>
      <w:r w:rsidRPr="00D86314">
        <w:rPr>
          <w:i w:val="0"/>
          <w:iCs w:val="0"/>
          <w:noProof/>
          <w:color w:val="auto"/>
          <w:sz w:val="22"/>
          <w:szCs w:val="22"/>
        </w:rPr>
        <w:fldChar w:fldCharType="end"/>
      </w:r>
      <w:bookmarkEnd w:id="135"/>
      <w:r w:rsidRPr="00D86314">
        <w:rPr>
          <w:i w:val="0"/>
          <w:iCs w:val="0"/>
          <w:noProof/>
          <w:color w:val="auto"/>
          <w:sz w:val="22"/>
          <w:szCs w:val="22"/>
        </w:rPr>
        <w:t>:Directional effects of options on outputs (December 2035)</w:t>
      </w:r>
      <w:bookmarkEnd w:id="136"/>
    </w:p>
    <w:tbl>
      <w:tblPr>
        <w:tblStyle w:val="Tabellenraster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02"/>
        <w:gridCol w:w="1102"/>
        <w:gridCol w:w="1103"/>
        <w:gridCol w:w="1102"/>
        <w:gridCol w:w="1103"/>
        <w:gridCol w:w="1102"/>
        <w:gridCol w:w="1103"/>
        <w:gridCol w:w="1102"/>
        <w:gridCol w:w="1103"/>
      </w:tblGrid>
      <w:tr w:rsidR="00C778BA" w:rsidRPr="00D86314" w14:paraId="707FB255" w14:textId="77777777" w:rsidTr="007736E8">
        <w:trPr>
          <w:cantSplit/>
          <w:trHeight w:val="1266"/>
          <w:jc w:val="center"/>
        </w:trPr>
        <w:tc>
          <w:tcPr>
            <w:tcW w:w="2122" w:type="dxa"/>
            <w:textDirection w:val="btLr"/>
          </w:tcPr>
          <w:p w14:paraId="4AC02DB6" w14:textId="77777777" w:rsidR="00C778BA" w:rsidRPr="00D86314" w:rsidRDefault="00C778BA" w:rsidP="007736E8">
            <w:pPr>
              <w:spacing w:after="0"/>
              <w:ind w:left="113" w:right="113"/>
              <w:jc w:val="center"/>
              <w:rPr>
                <w:rFonts w:ascii="Aptos" w:hAnsi="Aptos"/>
                <w:noProof/>
                <w:sz w:val="18"/>
                <w:szCs w:val="18"/>
                <w:lang w:val="en-GB"/>
              </w:rPr>
            </w:pPr>
            <w:bookmarkStart w:id="137" w:name="_Hlk206676472"/>
            <w:r w:rsidRPr="00A36024">
              <w:rPr>
                <w:rFonts w:ascii="Aptos" w:hAnsi="Aptos"/>
                <w:noProof/>
                <w:sz w:val="18"/>
                <w:szCs w:val="18"/>
              </w:rPr>
              <w:t>Objectives</w:t>
            </w:r>
          </w:p>
        </w:tc>
        <w:tc>
          <w:tcPr>
            <w:tcW w:w="1102" w:type="dxa"/>
            <w:textDirection w:val="btLr"/>
          </w:tcPr>
          <w:p w14:paraId="49A68D1D" w14:textId="77777777" w:rsidR="00C778BA" w:rsidRPr="00D86314" w:rsidRDefault="00C778BA" w:rsidP="007736E8">
            <w:pPr>
              <w:spacing w:after="0"/>
              <w:ind w:left="113" w:right="113"/>
              <w:jc w:val="center"/>
              <w:rPr>
                <w:rFonts w:ascii="Aptos" w:hAnsi="Aptos"/>
                <w:noProof/>
                <w:sz w:val="18"/>
                <w:szCs w:val="18"/>
                <w:lang w:val="en-GB"/>
              </w:rPr>
            </w:pPr>
            <w:r w:rsidRPr="00A36024">
              <w:rPr>
                <w:rFonts w:ascii="Aptos" w:hAnsi="Aptos"/>
                <w:noProof/>
                <w:sz w:val="18"/>
                <w:szCs w:val="18"/>
              </w:rPr>
              <w:t>Options</w:t>
            </w:r>
          </w:p>
        </w:tc>
        <w:tc>
          <w:tcPr>
            <w:tcW w:w="1102" w:type="dxa"/>
            <w:textDirection w:val="btLr"/>
          </w:tcPr>
          <w:p w14:paraId="15805DE4" w14:textId="77777777" w:rsidR="00C778BA" w:rsidRPr="00D86314" w:rsidRDefault="00C778BA" w:rsidP="007736E8">
            <w:pPr>
              <w:spacing w:after="0"/>
              <w:ind w:left="113" w:right="113"/>
              <w:jc w:val="center"/>
              <w:rPr>
                <w:rFonts w:ascii="Aptos" w:hAnsi="Aptos"/>
                <w:noProof/>
                <w:sz w:val="18"/>
                <w:szCs w:val="18"/>
                <w:lang w:val="en-GB"/>
              </w:rPr>
            </w:pPr>
            <w:r w:rsidRPr="00C20A01">
              <w:rPr>
                <w:rFonts w:ascii="Aptos" w:hAnsi="Aptos"/>
                <w:noProof/>
                <w:sz w:val="18"/>
                <w:szCs w:val="18"/>
                <w:lang w:val="en-GB"/>
              </w:rPr>
              <w:t>Coverage of 5G in mid-band spectrum</w:t>
            </w:r>
          </w:p>
        </w:tc>
        <w:tc>
          <w:tcPr>
            <w:tcW w:w="1103" w:type="dxa"/>
            <w:textDirection w:val="btLr"/>
          </w:tcPr>
          <w:p w14:paraId="789EAAD3" w14:textId="77777777" w:rsidR="00C778BA" w:rsidRPr="00D86314" w:rsidRDefault="00C778BA" w:rsidP="007736E8">
            <w:pPr>
              <w:spacing w:after="0"/>
              <w:ind w:right="113"/>
              <w:jc w:val="center"/>
              <w:rPr>
                <w:rFonts w:ascii="Aptos" w:hAnsi="Aptos"/>
                <w:noProof/>
                <w:sz w:val="18"/>
                <w:szCs w:val="18"/>
                <w:lang w:val="en-GB"/>
              </w:rPr>
            </w:pPr>
            <w:r w:rsidRPr="00C20A01">
              <w:rPr>
                <w:rFonts w:ascii="Aptos" w:hAnsi="Aptos"/>
                <w:noProof/>
                <w:sz w:val="18"/>
                <w:szCs w:val="18"/>
                <w:lang w:val="en-GB"/>
              </w:rPr>
              <w:t>Business use of 5G incl. in verticals</w:t>
            </w:r>
          </w:p>
        </w:tc>
        <w:tc>
          <w:tcPr>
            <w:tcW w:w="1102" w:type="dxa"/>
            <w:textDirection w:val="btLr"/>
          </w:tcPr>
          <w:p w14:paraId="7A0C46ED" w14:textId="77777777" w:rsidR="00C778BA" w:rsidRPr="00D86314" w:rsidRDefault="00C778BA" w:rsidP="007736E8">
            <w:pPr>
              <w:spacing w:after="0"/>
              <w:ind w:left="113" w:right="113"/>
              <w:jc w:val="center"/>
              <w:rPr>
                <w:rFonts w:ascii="Aptos" w:hAnsi="Aptos"/>
                <w:noProof/>
                <w:sz w:val="18"/>
                <w:szCs w:val="18"/>
                <w:lang w:val="en-GB"/>
              </w:rPr>
            </w:pPr>
            <w:r w:rsidRPr="00C20A01">
              <w:rPr>
                <w:rFonts w:ascii="Aptos" w:hAnsi="Aptos"/>
                <w:noProof/>
                <w:sz w:val="18"/>
                <w:szCs w:val="18"/>
                <w:lang w:val="en-GB"/>
              </w:rPr>
              <w:t>Average 5G mobile download speeds (Mbps)</w:t>
            </w:r>
          </w:p>
        </w:tc>
        <w:tc>
          <w:tcPr>
            <w:tcW w:w="1103" w:type="dxa"/>
            <w:textDirection w:val="btLr"/>
          </w:tcPr>
          <w:p w14:paraId="4409F00D" w14:textId="77777777" w:rsidR="00C778BA" w:rsidRPr="00D86314" w:rsidRDefault="00C778BA" w:rsidP="007736E8">
            <w:pPr>
              <w:spacing w:after="0"/>
              <w:ind w:left="113" w:right="113"/>
              <w:jc w:val="center"/>
              <w:rPr>
                <w:rFonts w:ascii="Aptos" w:hAnsi="Aptos"/>
                <w:noProof/>
                <w:sz w:val="18"/>
                <w:szCs w:val="18"/>
                <w:lang w:val="en-GB"/>
              </w:rPr>
            </w:pPr>
            <w:r w:rsidRPr="00C20A01">
              <w:rPr>
                <w:rFonts w:ascii="Aptos" w:hAnsi="Aptos"/>
                <w:noProof/>
                <w:sz w:val="18"/>
                <w:szCs w:val="18"/>
                <w:lang w:val="en-GB"/>
              </w:rPr>
              <w:t>Average mobile download speeds (all technologies)</w:t>
            </w:r>
          </w:p>
        </w:tc>
        <w:tc>
          <w:tcPr>
            <w:tcW w:w="1102" w:type="dxa"/>
            <w:textDirection w:val="btLr"/>
          </w:tcPr>
          <w:p w14:paraId="4C4B0999" w14:textId="77777777" w:rsidR="00C778BA" w:rsidRPr="00D86314" w:rsidRDefault="00C778BA" w:rsidP="007736E8">
            <w:pPr>
              <w:spacing w:after="0"/>
              <w:ind w:left="113" w:right="113"/>
              <w:jc w:val="center"/>
              <w:rPr>
                <w:rFonts w:ascii="Aptos" w:hAnsi="Aptos"/>
                <w:noProof/>
                <w:sz w:val="18"/>
                <w:szCs w:val="18"/>
                <w:lang w:val="en-GB"/>
              </w:rPr>
            </w:pPr>
            <w:r w:rsidRPr="00A36024">
              <w:rPr>
                <w:rFonts w:ascii="Aptos" w:hAnsi="Aptos"/>
                <w:noProof/>
                <w:sz w:val="18"/>
                <w:szCs w:val="18"/>
              </w:rPr>
              <w:t>Geographic coverage</w:t>
            </w:r>
          </w:p>
        </w:tc>
        <w:tc>
          <w:tcPr>
            <w:tcW w:w="1103" w:type="dxa"/>
            <w:textDirection w:val="btLr"/>
          </w:tcPr>
          <w:p w14:paraId="75BC1B7B" w14:textId="77777777" w:rsidR="00C778BA" w:rsidRPr="00D86314" w:rsidRDefault="00C778BA" w:rsidP="007736E8">
            <w:pPr>
              <w:spacing w:after="0"/>
              <w:ind w:left="113" w:right="113"/>
              <w:jc w:val="center"/>
              <w:rPr>
                <w:rFonts w:ascii="Aptos" w:hAnsi="Aptos"/>
                <w:noProof/>
                <w:sz w:val="18"/>
                <w:szCs w:val="18"/>
                <w:lang w:val="en-GB"/>
              </w:rPr>
            </w:pPr>
            <w:r w:rsidRPr="00A36024">
              <w:rPr>
                <w:rFonts w:ascii="Aptos" w:hAnsi="Aptos"/>
                <w:noProof/>
                <w:sz w:val="18"/>
                <w:szCs w:val="18"/>
              </w:rPr>
              <w:t>Service innovation</w:t>
            </w:r>
          </w:p>
        </w:tc>
        <w:tc>
          <w:tcPr>
            <w:tcW w:w="1102" w:type="dxa"/>
            <w:textDirection w:val="btLr"/>
          </w:tcPr>
          <w:p w14:paraId="4C7722E9" w14:textId="77777777" w:rsidR="00C778BA" w:rsidRPr="00D86314" w:rsidRDefault="00C778BA" w:rsidP="007736E8">
            <w:pPr>
              <w:spacing w:after="0"/>
              <w:ind w:left="113" w:right="113"/>
              <w:jc w:val="center"/>
              <w:rPr>
                <w:rFonts w:ascii="Aptos" w:hAnsi="Aptos"/>
                <w:noProof/>
                <w:sz w:val="16"/>
                <w:szCs w:val="16"/>
                <w:lang w:val="en-GB"/>
              </w:rPr>
            </w:pPr>
            <w:r w:rsidRPr="00C20A01">
              <w:rPr>
                <w:rFonts w:ascii="Aptos" w:hAnsi="Aptos"/>
                <w:noProof/>
                <w:sz w:val="16"/>
                <w:szCs w:val="16"/>
                <w:lang w:val="en-GB"/>
              </w:rPr>
              <w:t>Consistency in spectrum awards and licence conditions</w:t>
            </w:r>
          </w:p>
        </w:tc>
        <w:tc>
          <w:tcPr>
            <w:tcW w:w="1103" w:type="dxa"/>
            <w:textDirection w:val="btLr"/>
          </w:tcPr>
          <w:p w14:paraId="11832DC6" w14:textId="77777777" w:rsidR="00C778BA" w:rsidRPr="00D86314" w:rsidRDefault="00C778BA" w:rsidP="007736E8">
            <w:pPr>
              <w:spacing w:after="0"/>
              <w:ind w:left="113" w:right="113"/>
              <w:jc w:val="center"/>
              <w:rPr>
                <w:rFonts w:ascii="Aptos" w:hAnsi="Aptos"/>
                <w:noProof/>
                <w:sz w:val="18"/>
                <w:szCs w:val="18"/>
                <w:lang w:val="en-GB"/>
              </w:rPr>
            </w:pPr>
            <w:r w:rsidRPr="00A36024">
              <w:rPr>
                <w:rFonts w:ascii="Aptos" w:hAnsi="Aptos"/>
                <w:noProof/>
                <w:sz w:val="18"/>
                <w:szCs w:val="18"/>
              </w:rPr>
              <w:t>Security and resilience</w:t>
            </w:r>
          </w:p>
        </w:tc>
      </w:tr>
      <w:tr w:rsidR="00C778BA" w:rsidRPr="00D86314" w14:paraId="438769F5" w14:textId="77777777" w:rsidTr="007736E8">
        <w:trPr>
          <w:trHeight w:val="113"/>
          <w:jc w:val="center"/>
        </w:trPr>
        <w:tc>
          <w:tcPr>
            <w:tcW w:w="2122" w:type="dxa"/>
            <w:vMerge w:val="restart"/>
          </w:tcPr>
          <w:p w14:paraId="6DE969ED" w14:textId="77777777" w:rsidR="00C778BA" w:rsidRPr="00D86314" w:rsidRDefault="00C778BA" w:rsidP="007736E8">
            <w:pPr>
              <w:spacing w:after="0"/>
              <w:rPr>
                <w:rFonts w:ascii="Aptos" w:hAnsi="Aptos"/>
                <w:noProof/>
                <w:sz w:val="16"/>
                <w:szCs w:val="16"/>
                <w:lang w:val="en-GB"/>
              </w:rPr>
            </w:pPr>
            <w:r w:rsidRPr="00C20A01">
              <w:rPr>
                <w:rFonts w:ascii="Aptos" w:hAnsi="Aptos"/>
                <w:noProof/>
                <w:sz w:val="16"/>
                <w:szCs w:val="16"/>
                <w:lang w:val="en-GB"/>
              </w:rPr>
              <w:t>Boost deployment of high capacity mobile</w:t>
            </w:r>
          </w:p>
        </w:tc>
        <w:tc>
          <w:tcPr>
            <w:tcW w:w="1102" w:type="dxa"/>
          </w:tcPr>
          <w:p w14:paraId="2E919D7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0</w:t>
            </w:r>
          </w:p>
        </w:tc>
        <w:tc>
          <w:tcPr>
            <w:tcW w:w="1102" w:type="dxa"/>
          </w:tcPr>
          <w:p w14:paraId="23529528"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90%</w:t>
            </w:r>
          </w:p>
        </w:tc>
        <w:tc>
          <w:tcPr>
            <w:tcW w:w="1103" w:type="dxa"/>
          </w:tcPr>
          <w:p w14:paraId="3230D87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0</w:t>
            </w:r>
          </w:p>
        </w:tc>
        <w:tc>
          <w:tcPr>
            <w:tcW w:w="1102" w:type="dxa"/>
          </w:tcPr>
          <w:p w14:paraId="16ED9BF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250</w:t>
            </w:r>
          </w:p>
        </w:tc>
        <w:tc>
          <w:tcPr>
            <w:tcW w:w="1103" w:type="dxa"/>
          </w:tcPr>
          <w:p w14:paraId="3484E577"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6963C970"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3433CB45"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4209DA07"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0EFE0EB8"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3AA97105" w14:textId="77777777" w:rsidTr="007736E8">
        <w:trPr>
          <w:trHeight w:val="113"/>
          <w:jc w:val="center"/>
        </w:trPr>
        <w:tc>
          <w:tcPr>
            <w:tcW w:w="2122" w:type="dxa"/>
            <w:vMerge/>
          </w:tcPr>
          <w:p w14:paraId="3CF8AFED" w14:textId="77777777" w:rsidR="00C778BA" w:rsidRPr="00D86314" w:rsidRDefault="00C778BA" w:rsidP="007736E8">
            <w:pPr>
              <w:spacing w:after="0"/>
              <w:rPr>
                <w:rFonts w:ascii="Aptos" w:hAnsi="Aptos"/>
                <w:noProof/>
                <w:sz w:val="16"/>
                <w:szCs w:val="16"/>
                <w:lang w:val="en-GB"/>
              </w:rPr>
            </w:pPr>
          </w:p>
        </w:tc>
        <w:tc>
          <w:tcPr>
            <w:tcW w:w="1102" w:type="dxa"/>
          </w:tcPr>
          <w:p w14:paraId="2B81DB5C"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1</w:t>
            </w:r>
          </w:p>
        </w:tc>
        <w:tc>
          <w:tcPr>
            <w:tcW w:w="1102" w:type="dxa"/>
          </w:tcPr>
          <w:p w14:paraId="2FC91E1B"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2% increase on baseline</w:t>
            </w:r>
          </w:p>
        </w:tc>
        <w:tc>
          <w:tcPr>
            <w:tcW w:w="1103" w:type="dxa"/>
          </w:tcPr>
          <w:p w14:paraId="5194C8C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53E835E4"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2% increase on baseline (255 Mbps)</w:t>
            </w:r>
          </w:p>
        </w:tc>
        <w:tc>
          <w:tcPr>
            <w:tcW w:w="1103" w:type="dxa"/>
          </w:tcPr>
          <w:p w14:paraId="0E68485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51ACFE23"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749E6332"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7B50773C"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58FB459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4E8B6F05" w14:textId="77777777" w:rsidTr="007736E8">
        <w:trPr>
          <w:trHeight w:val="113"/>
          <w:jc w:val="center"/>
        </w:trPr>
        <w:tc>
          <w:tcPr>
            <w:tcW w:w="2122" w:type="dxa"/>
            <w:vMerge/>
          </w:tcPr>
          <w:p w14:paraId="1161AB61" w14:textId="77777777" w:rsidR="00C778BA" w:rsidRPr="00D86314" w:rsidRDefault="00C778BA" w:rsidP="007736E8">
            <w:pPr>
              <w:spacing w:after="0"/>
              <w:rPr>
                <w:rFonts w:ascii="Aptos" w:hAnsi="Aptos"/>
                <w:noProof/>
                <w:sz w:val="16"/>
                <w:szCs w:val="16"/>
                <w:lang w:val="en-GB"/>
              </w:rPr>
            </w:pPr>
          </w:p>
        </w:tc>
        <w:tc>
          <w:tcPr>
            <w:tcW w:w="1102" w:type="dxa"/>
          </w:tcPr>
          <w:p w14:paraId="6AF8648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2</w:t>
            </w:r>
          </w:p>
        </w:tc>
        <w:tc>
          <w:tcPr>
            <w:tcW w:w="1102" w:type="dxa"/>
          </w:tcPr>
          <w:p w14:paraId="56367DE4"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6% increase on baseline</w:t>
            </w:r>
          </w:p>
        </w:tc>
        <w:tc>
          <w:tcPr>
            <w:tcW w:w="1103" w:type="dxa"/>
          </w:tcPr>
          <w:p w14:paraId="038879A9"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25AFF61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6% increase on baseline (265 Mbps)</w:t>
            </w:r>
          </w:p>
        </w:tc>
        <w:tc>
          <w:tcPr>
            <w:tcW w:w="1103" w:type="dxa"/>
          </w:tcPr>
          <w:p w14:paraId="6A8115A4"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75281861"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1E3C3F58"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0856E16C"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0812A688"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0B83C9C6" w14:textId="77777777" w:rsidTr="007736E8">
        <w:trPr>
          <w:trHeight w:val="113"/>
          <w:jc w:val="center"/>
        </w:trPr>
        <w:tc>
          <w:tcPr>
            <w:tcW w:w="2122" w:type="dxa"/>
            <w:vMerge/>
          </w:tcPr>
          <w:p w14:paraId="562EF4D2" w14:textId="77777777" w:rsidR="00C778BA" w:rsidRPr="00D86314" w:rsidRDefault="00C778BA" w:rsidP="007736E8">
            <w:pPr>
              <w:spacing w:after="0"/>
              <w:rPr>
                <w:rFonts w:ascii="Aptos" w:hAnsi="Aptos"/>
                <w:noProof/>
                <w:sz w:val="16"/>
                <w:szCs w:val="16"/>
                <w:lang w:val="en-GB"/>
              </w:rPr>
            </w:pPr>
          </w:p>
        </w:tc>
        <w:tc>
          <w:tcPr>
            <w:tcW w:w="1102" w:type="dxa"/>
          </w:tcPr>
          <w:p w14:paraId="62730C9B"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3</w:t>
            </w:r>
          </w:p>
        </w:tc>
        <w:tc>
          <w:tcPr>
            <w:tcW w:w="1102" w:type="dxa"/>
          </w:tcPr>
          <w:p w14:paraId="72B77ADC"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6% increase on baseline</w:t>
            </w:r>
          </w:p>
        </w:tc>
        <w:tc>
          <w:tcPr>
            <w:tcW w:w="1103" w:type="dxa"/>
          </w:tcPr>
          <w:p w14:paraId="03F140F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5956CF2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6% increase on baseline (265 Mbps)</w:t>
            </w:r>
          </w:p>
        </w:tc>
        <w:tc>
          <w:tcPr>
            <w:tcW w:w="1103" w:type="dxa"/>
          </w:tcPr>
          <w:p w14:paraId="7255C935"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6014DF60"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1BCA601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3DD4E949"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2C065F53"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6594B428" w14:textId="77777777" w:rsidTr="007736E8">
        <w:trPr>
          <w:trHeight w:val="113"/>
          <w:jc w:val="center"/>
        </w:trPr>
        <w:tc>
          <w:tcPr>
            <w:tcW w:w="2122" w:type="dxa"/>
            <w:vMerge w:val="restart"/>
          </w:tcPr>
          <w:p w14:paraId="59E06381" w14:textId="77777777" w:rsidR="00C778BA" w:rsidRPr="00D86314" w:rsidRDefault="00C778BA" w:rsidP="007736E8">
            <w:pPr>
              <w:spacing w:after="0"/>
              <w:rPr>
                <w:rFonts w:ascii="Aptos" w:hAnsi="Aptos"/>
                <w:noProof/>
                <w:sz w:val="16"/>
                <w:szCs w:val="16"/>
                <w:lang w:val="en-GB"/>
              </w:rPr>
            </w:pPr>
            <w:r w:rsidRPr="00C20A01">
              <w:rPr>
                <w:rFonts w:ascii="Aptos" w:hAnsi="Aptos"/>
                <w:noProof/>
                <w:sz w:val="16"/>
                <w:szCs w:val="16"/>
                <w:lang w:val="en-GB"/>
              </w:rPr>
              <w:t>Provide wider access to spectrum to boost innovation and support efficient use</w:t>
            </w:r>
          </w:p>
        </w:tc>
        <w:tc>
          <w:tcPr>
            <w:tcW w:w="1102" w:type="dxa"/>
          </w:tcPr>
          <w:p w14:paraId="10563D02"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0</w:t>
            </w:r>
          </w:p>
        </w:tc>
        <w:tc>
          <w:tcPr>
            <w:tcW w:w="1102" w:type="dxa"/>
          </w:tcPr>
          <w:p w14:paraId="576F33D7"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6024AF32"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0</w:t>
            </w:r>
          </w:p>
        </w:tc>
        <w:tc>
          <w:tcPr>
            <w:tcW w:w="1102" w:type="dxa"/>
          </w:tcPr>
          <w:p w14:paraId="7A62072C"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1DBA2669"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096054B4"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0</w:t>
            </w:r>
          </w:p>
        </w:tc>
        <w:tc>
          <w:tcPr>
            <w:tcW w:w="1103" w:type="dxa"/>
          </w:tcPr>
          <w:p w14:paraId="4F9E269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0</w:t>
            </w:r>
          </w:p>
        </w:tc>
        <w:tc>
          <w:tcPr>
            <w:tcW w:w="1102" w:type="dxa"/>
          </w:tcPr>
          <w:p w14:paraId="013BB80B"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6B102628"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4BDC2631" w14:textId="77777777" w:rsidTr="007736E8">
        <w:trPr>
          <w:trHeight w:val="113"/>
          <w:jc w:val="center"/>
        </w:trPr>
        <w:tc>
          <w:tcPr>
            <w:tcW w:w="2122" w:type="dxa"/>
            <w:vMerge/>
          </w:tcPr>
          <w:p w14:paraId="14D05001" w14:textId="77777777" w:rsidR="00C778BA" w:rsidRPr="00D86314" w:rsidRDefault="00C778BA" w:rsidP="007736E8">
            <w:pPr>
              <w:spacing w:after="0"/>
              <w:rPr>
                <w:rFonts w:ascii="Aptos" w:hAnsi="Aptos"/>
                <w:noProof/>
                <w:sz w:val="16"/>
                <w:szCs w:val="16"/>
                <w:lang w:val="en-GB"/>
              </w:rPr>
            </w:pPr>
          </w:p>
        </w:tc>
        <w:tc>
          <w:tcPr>
            <w:tcW w:w="1102" w:type="dxa"/>
          </w:tcPr>
          <w:p w14:paraId="1699F84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1</w:t>
            </w:r>
          </w:p>
        </w:tc>
        <w:tc>
          <w:tcPr>
            <w:tcW w:w="1102" w:type="dxa"/>
          </w:tcPr>
          <w:p w14:paraId="2BD775D2"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03CFB69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529C3BEF"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4EB41671"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6DCDC5F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0A316C0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250B135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34F23B5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6D4F3E6D" w14:textId="77777777" w:rsidTr="007736E8">
        <w:trPr>
          <w:trHeight w:val="113"/>
          <w:jc w:val="center"/>
        </w:trPr>
        <w:tc>
          <w:tcPr>
            <w:tcW w:w="2122" w:type="dxa"/>
            <w:vMerge/>
          </w:tcPr>
          <w:p w14:paraId="57B2039C" w14:textId="77777777" w:rsidR="00C778BA" w:rsidRPr="00D86314" w:rsidRDefault="00C778BA" w:rsidP="007736E8">
            <w:pPr>
              <w:spacing w:after="0"/>
              <w:rPr>
                <w:rFonts w:ascii="Aptos" w:hAnsi="Aptos"/>
                <w:noProof/>
                <w:sz w:val="16"/>
                <w:szCs w:val="16"/>
                <w:lang w:val="en-GB"/>
              </w:rPr>
            </w:pPr>
          </w:p>
        </w:tc>
        <w:tc>
          <w:tcPr>
            <w:tcW w:w="1102" w:type="dxa"/>
          </w:tcPr>
          <w:p w14:paraId="63416165"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2</w:t>
            </w:r>
          </w:p>
        </w:tc>
        <w:tc>
          <w:tcPr>
            <w:tcW w:w="1102" w:type="dxa"/>
          </w:tcPr>
          <w:p w14:paraId="5E4244D8"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2F57F48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5C4D9625"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2785E9E0"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576A0772"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19AC8EC9"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0BEE7DD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575EDCF3"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26E9800E" w14:textId="77777777" w:rsidTr="007736E8">
        <w:trPr>
          <w:trHeight w:val="113"/>
          <w:jc w:val="center"/>
        </w:trPr>
        <w:tc>
          <w:tcPr>
            <w:tcW w:w="2122" w:type="dxa"/>
            <w:vMerge/>
          </w:tcPr>
          <w:p w14:paraId="141AC7DF" w14:textId="77777777" w:rsidR="00C778BA" w:rsidRPr="00D86314" w:rsidRDefault="00C778BA" w:rsidP="007736E8">
            <w:pPr>
              <w:spacing w:after="0"/>
              <w:rPr>
                <w:rFonts w:ascii="Aptos" w:hAnsi="Aptos"/>
                <w:noProof/>
                <w:sz w:val="16"/>
                <w:szCs w:val="16"/>
                <w:lang w:val="en-GB"/>
              </w:rPr>
            </w:pPr>
          </w:p>
        </w:tc>
        <w:tc>
          <w:tcPr>
            <w:tcW w:w="1102" w:type="dxa"/>
          </w:tcPr>
          <w:p w14:paraId="62727B9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3</w:t>
            </w:r>
          </w:p>
        </w:tc>
        <w:tc>
          <w:tcPr>
            <w:tcW w:w="1102" w:type="dxa"/>
          </w:tcPr>
          <w:p w14:paraId="5CFD52C9"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7D5DC28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10FDC41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72595031"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676668D3"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5ED05EC3"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7AD03F32"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221551A2"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4FB87B14" w14:textId="77777777" w:rsidTr="007736E8">
        <w:trPr>
          <w:trHeight w:val="113"/>
          <w:jc w:val="center"/>
        </w:trPr>
        <w:tc>
          <w:tcPr>
            <w:tcW w:w="2122" w:type="dxa"/>
            <w:vMerge w:val="restart"/>
          </w:tcPr>
          <w:p w14:paraId="66E26882" w14:textId="77777777" w:rsidR="00C778BA" w:rsidRPr="00D86314" w:rsidRDefault="00C778BA" w:rsidP="007736E8">
            <w:pPr>
              <w:spacing w:after="0"/>
              <w:rPr>
                <w:rFonts w:ascii="Aptos" w:hAnsi="Aptos"/>
                <w:noProof/>
                <w:sz w:val="16"/>
                <w:szCs w:val="16"/>
                <w:lang w:val="en-GB"/>
              </w:rPr>
            </w:pPr>
            <w:r w:rsidRPr="00C20A01">
              <w:rPr>
                <w:rFonts w:ascii="Aptos" w:hAnsi="Aptos"/>
                <w:noProof/>
                <w:sz w:val="16"/>
                <w:szCs w:val="16"/>
                <w:lang w:val="en-GB"/>
              </w:rPr>
              <w:t xml:space="preserve">Provide for greater consistency in spectrum assignment procedures and conditions to boost service deployment </w:t>
            </w:r>
          </w:p>
        </w:tc>
        <w:tc>
          <w:tcPr>
            <w:tcW w:w="1102" w:type="dxa"/>
          </w:tcPr>
          <w:p w14:paraId="16D031C0"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0</w:t>
            </w:r>
          </w:p>
        </w:tc>
        <w:tc>
          <w:tcPr>
            <w:tcW w:w="1102" w:type="dxa"/>
          </w:tcPr>
          <w:p w14:paraId="4C114327"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4D4A160B"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2E3C8CE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63F6126B"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722D7BEB"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0</w:t>
            </w:r>
          </w:p>
        </w:tc>
        <w:tc>
          <w:tcPr>
            <w:tcW w:w="1103" w:type="dxa"/>
          </w:tcPr>
          <w:p w14:paraId="55F7D989"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0</w:t>
            </w:r>
          </w:p>
        </w:tc>
        <w:tc>
          <w:tcPr>
            <w:tcW w:w="1102" w:type="dxa"/>
          </w:tcPr>
          <w:p w14:paraId="20613DA7"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0</w:t>
            </w:r>
          </w:p>
        </w:tc>
        <w:tc>
          <w:tcPr>
            <w:tcW w:w="1103" w:type="dxa"/>
          </w:tcPr>
          <w:p w14:paraId="4D870430"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3FE629A5" w14:textId="77777777" w:rsidTr="007736E8">
        <w:trPr>
          <w:trHeight w:val="113"/>
          <w:jc w:val="center"/>
        </w:trPr>
        <w:tc>
          <w:tcPr>
            <w:tcW w:w="2122" w:type="dxa"/>
            <w:vMerge/>
          </w:tcPr>
          <w:p w14:paraId="73569FB4" w14:textId="77777777" w:rsidR="00C778BA" w:rsidRPr="00D86314" w:rsidRDefault="00C778BA" w:rsidP="007736E8">
            <w:pPr>
              <w:spacing w:after="0"/>
              <w:rPr>
                <w:rFonts w:ascii="Aptos" w:hAnsi="Aptos"/>
                <w:noProof/>
                <w:sz w:val="16"/>
                <w:szCs w:val="16"/>
                <w:lang w:val="en-GB"/>
              </w:rPr>
            </w:pPr>
          </w:p>
        </w:tc>
        <w:tc>
          <w:tcPr>
            <w:tcW w:w="1102" w:type="dxa"/>
          </w:tcPr>
          <w:p w14:paraId="5D39BCB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1</w:t>
            </w:r>
          </w:p>
        </w:tc>
        <w:tc>
          <w:tcPr>
            <w:tcW w:w="1102" w:type="dxa"/>
          </w:tcPr>
          <w:p w14:paraId="0B0AA4B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325D8BDF"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49CBB4D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26E66DBC"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710C8AE7"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0939B64F"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0613A7E1"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3B1C188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1E15BA98" w14:textId="77777777" w:rsidTr="007736E8">
        <w:trPr>
          <w:trHeight w:val="113"/>
          <w:jc w:val="center"/>
        </w:trPr>
        <w:tc>
          <w:tcPr>
            <w:tcW w:w="2122" w:type="dxa"/>
            <w:vMerge/>
          </w:tcPr>
          <w:p w14:paraId="7BD86BAA" w14:textId="77777777" w:rsidR="00C778BA" w:rsidRPr="00D86314" w:rsidRDefault="00C778BA" w:rsidP="007736E8">
            <w:pPr>
              <w:spacing w:after="0"/>
              <w:rPr>
                <w:rFonts w:ascii="Aptos" w:hAnsi="Aptos"/>
                <w:noProof/>
                <w:sz w:val="16"/>
                <w:szCs w:val="16"/>
                <w:lang w:val="en-GB"/>
              </w:rPr>
            </w:pPr>
          </w:p>
        </w:tc>
        <w:tc>
          <w:tcPr>
            <w:tcW w:w="1102" w:type="dxa"/>
          </w:tcPr>
          <w:p w14:paraId="38A758F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2</w:t>
            </w:r>
          </w:p>
        </w:tc>
        <w:tc>
          <w:tcPr>
            <w:tcW w:w="1102" w:type="dxa"/>
          </w:tcPr>
          <w:p w14:paraId="070CA71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0B73E3E5"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77FA924B"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62CB39BC"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2972D01E"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34A6DB2D"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003323BF"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44EEF40F"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tr w:rsidR="00C778BA" w:rsidRPr="00D86314" w14:paraId="1146362D" w14:textId="77777777" w:rsidTr="007736E8">
        <w:trPr>
          <w:trHeight w:val="396"/>
          <w:jc w:val="center"/>
        </w:trPr>
        <w:tc>
          <w:tcPr>
            <w:tcW w:w="2122" w:type="dxa"/>
            <w:vMerge/>
          </w:tcPr>
          <w:p w14:paraId="42A42499" w14:textId="77777777" w:rsidR="00C778BA" w:rsidRPr="00D86314" w:rsidRDefault="00C778BA" w:rsidP="007736E8">
            <w:pPr>
              <w:spacing w:after="0"/>
              <w:rPr>
                <w:rFonts w:ascii="Aptos" w:hAnsi="Aptos"/>
                <w:noProof/>
                <w:sz w:val="16"/>
                <w:szCs w:val="16"/>
                <w:lang w:val="en-GB"/>
              </w:rPr>
            </w:pPr>
          </w:p>
        </w:tc>
        <w:tc>
          <w:tcPr>
            <w:tcW w:w="1102" w:type="dxa"/>
          </w:tcPr>
          <w:p w14:paraId="2E1CD115"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Option 3</w:t>
            </w:r>
          </w:p>
        </w:tc>
        <w:tc>
          <w:tcPr>
            <w:tcW w:w="1102" w:type="dxa"/>
          </w:tcPr>
          <w:p w14:paraId="228DE1C1"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381A7BC3"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6B0AA8B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3" w:type="dxa"/>
          </w:tcPr>
          <w:p w14:paraId="12F7CCF4"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c>
          <w:tcPr>
            <w:tcW w:w="1102" w:type="dxa"/>
          </w:tcPr>
          <w:p w14:paraId="477E56FA"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54DB8059"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2" w:type="dxa"/>
          </w:tcPr>
          <w:p w14:paraId="03D7B3C6"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w:t>
            </w:r>
          </w:p>
        </w:tc>
        <w:tc>
          <w:tcPr>
            <w:tcW w:w="1103" w:type="dxa"/>
          </w:tcPr>
          <w:p w14:paraId="05185374" w14:textId="77777777" w:rsidR="00C778BA" w:rsidRPr="00D86314" w:rsidRDefault="00C778BA" w:rsidP="007736E8">
            <w:pPr>
              <w:spacing w:after="0"/>
              <w:rPr>
                <w:rFonts w:ascii="Aptos" w:hAnsi="Aptos"/>
                <w:noProof/>
                <w:sz w:val="16"/>
                <w:szCs w:val="16"/>
                <w:lang w:val="en-GB"/>
              </w:rPr>
            </w:pPr>
            <w:r w:rsidRPr="00A36024">
              <w:rPr>
                <w:rFonts w:ascii="Aptos" w:hAnsi="Aptos"/>
                <w:noProof/>
                <w:sz w:val="16"/>
                <w:szCs w:val="16"/>
              </w:rPr>
              <w:t> n/a</w:t>
            </w:r>
          </w:p>
        </w:tc>
      </w:tr>
      <w:bookmarkEnd w:id="137"/>
    </w:tbl>
    <w:p w14:paraId="4D991631" w14:textId="77777777" w:rsidR="00C778BA" w:rsidRPr="00D86314" w:rsidRDefault="00C778BA" w:rsidP="00C778BA">
      <w:pPr>
        <w:spacing w:after="120"/>
        <w:rPr>
          <w:noProof/>
        </w:rPr>
      </w:pPr>
    </w:p>
    <w:p w14:paraId="04F53856" w14:textId="77777777" w:rsidR="00C778BA" w:rsidRPr="00D86314" w:rsidRDefault="00C778BA" w:rsidP="00C778BA">
      <w:pPr>
        <w:spacing w:after="120"/>
        <w:rPr>
          <w:noProof/>
        </w:rPr>
      </w:pPr>
    </w:p>
    <w:p w14:paraId="4E7EE93F" w14:textId="77777777" w:rsidR="00C778BA" w:rsidRPr="00D86314" w:rsidRDefault="00C778BA" w:rsidP="00C778BA">
      <w:pPr>
        <w:spacing w:after="120"/>
        <w:rPr>
          <w:noProof/>
        </w:rPr>
      </w:pPr>
    </w:p>
    <w:p w14:paraId="75C703F4" w14:textId="77777777" w:rsidR="00C778BA" w:rsidRPr="00D86314" w:rsidRDefault="00C778BA" w:rsidP="00C778BA">
      <w:pPr>
        <w:spacing w:after="120"/>
        <w:rPr>
          <w:noProof/>
        </w:rPr>
        <w:sectPr w:rsidR="00C778BA" w:rsidRPr="00D86314" w:rsidSect="00C778BA">
          <w:headerReference w:type="default" r:id="rId71"/>
          <w:footerReference w:type="default" r:id="rId72"/>
          <w:headerReference w:type="first" r:id="rId73"/>
          <w:footerReference w:type="first" r:id="rId74"/>
          <w:pgSz w:w="16838" w:h="11906" w:orient="landscape"/>
          <w:pgMar w:top="1587" w:right="1020" w:bottom="707" w:left="1020" w:header="601" w:footer="1077" w:gutter="0"/>
          <w:cols w:space="720"/>
          <w:titlePg/>
          <w:docGrid w:linePitch="326"/>
        </w:sectPr>
      </w:pPr>
    </w:p>
    <w:p w14:paraId="6EEFA152" w14:textId="77777777" w:rsidR="00C778BA" w:rsidRPr="00D86314" w:rsidRDefault="00C778BA" w:rsidP="00C778BA">
      <w:pPr>
        <w:pStyle w:val="Heading3"/>
        <w:rPr>
          <w:noProof/>
        </w:rPr>
      </w:pPr>
      <w:bookmarkStart w:id="138" w:name="_Toc219718377"/>
      <w:r w:rsidRPr="00D86314">
        <w:rPr>
          <w:noProof/>
        </w:rPr>
        <w:t>Translation of directional effects into quantitative input assumptions</w:t>
      </w:r>
      <w:bookmarkEnd w:id="138"/>
    </w:p>
    <w:p w14:paraId="5723D10E" w14:textId="2E8E0DDC" w:rsidR="00C778BA" w:rsidRPr="00D86314" w:rsidRDefault="00C778BA" w:rsidP="00C778BA">
      <w:pPr>
        <w:rPr>
          <w:noProof/>
        </w:rPr>
      </w:pPr>
      <w:r w:rsidRPr="00D86314">
        <w:rPr>
          <w:noProof/>
        </w:rPr>
        <w:t>The directional effects of the different options on coverage of 5G in midband spectrum, business use of 5G, average 5G mobile download speeds, geographic coverage etc. have been translated into quantitative estimates regarding the impact of the different options on 5G broadband coverage and mobile broadband speeds. These quantitative estimates are shown in the following table, along with additional aspects for which directional (qualitative) effects are shown.</w:t>
      </w:r>
    </w:p>
    <w:p w14:paraId="1417E120" w14:textId="77777777" w:rsidR="00C778BA" w:rsidRPr="00D86314" w:rsidRDefault="00C778BA" w:rsidP="00C778BA">
      <w:pPr>
        <w:pStyle w:val="Heading4"/>
        <w:rPr>
          <w:noProof/>
        </w:rPr>
      </w:pPr>
      <w:r w:rsidRPr="00D86314">
        <w:rPr>
          <w:noProof/>
        </w:rPr>
        <w:t>Assumptions regarding mid-band coverage</w:t>
      </w:r>
    </w:p>
    <w:p w14:paraId="732456B3" w14:textId="4424A0C6" w:rsidR="00C778BA" w:rsidRPr="00D86314" w:rsidRDefault="00C778BA" w:rsidP="00C778BA">
      <w:pPr>
        <w:rPr>
          <w:noProof/>
          <w:color w:val="000000" w:themeColor="text1"/>
        </w:rPr>
      </w:pPr>
      <w:r w:rsidRPr="00D86314">
        <w:rPr>
          <w:noProof/>
          <w:color w:val="000000" w:themeColor="text1"/>
        </w:rPr>
        <w:t xml:space="preserve">The Commission has urged </w:t>
      </w:r>
      <w:r w:rsidR="00713DD5" w:rsidRPr="00D86314">
        <w:rPr>
          <w:noProof/>
          <w:color w:val="000000" w:themeColor="text1"/>
        </w:rPr>
        <w:t>M</w:t>
      </w:r>
      <w:r w:rsidRPr="00D86314">
        <w:rPr>
          <w:noProof/>
          <w:color w:val="000000" w:themeColor="text1"/>
        </w:rPr>
        <w:t xml:space="preserve">ember </w:t>
      </w:r>
      <w:r w:rsidR="00713DD5" w:rsidRPr="00D86314">
        <w:rPr>
          <w:noProof/>
          <w:color w:val="000000" w:themeColor="text1"/>
        </w:rPr>
        <w:t>S</w:t>
      </w:r>
      <w:r w:rsidRPr="00D86314">
        <w:rPr>
          <w:noProof/>
          <w:color w:val="000000" w:themeColor="text1"/>
        </w:rPr>
        <w:t>tates to fully assign mid</w:t>
      </w:r>
      <w:r w:rsidR="00713DD5" w:rsidRPr="00D86314">
        <w:rPr>
          <w:noProof/>
          <w:color w:val="000000" w:themeColor="text1"/>
        </w:rPr>
        <w:t>-</w:t>
      </w:r>
      <w:r w:rsidRPr="00D86314">
        <w:rPr>
          <w:noProof/>
          <w:color w:val="000000" w:themeColor="text1"/>
        </w:rPr>
        <w:t>band spectrum (</w:t>
      </w:r>
      <w:r w:rsidR="002C120A" w:rsidRPr="00D86314">
        <w:rPr>
          <w:noProof/>
          <w:color w:val="000000" w:themeColor="text1"/>
        </w:rPr>
        <w:t xml:space="preserve">in particular </w:t>
      </w:r>
      <w:r w:rsidRPr="00D86314">
        <w:rPr>
          <w:noProof/>
          <w:color w:val="000000" w:themeColor="text1"/>
        </w:rPr>
        <w:t xml:space="preserve">3.4–3.8 GHz) and implement coordinated rollouts to boost capacity and performance. The 3.6 GHz band has now been assigned across all </w:t>
      </w:r>
      <w:r w:rsidR="00760BC0" w:rsidRPr="00D86314">
        <w:rPr>
          <w:noProof/>
          <w:color w:val="000000" w:themeColor="text1"/>
        </w:rPr>
        <w:t>M</w:t>
      </w:r>
      <w:r w:rsidRPr="00D86314">
        <w:rPr>
          <w:noProof/>
          <w:color w:val="000000" w:themeColor="text1"/>
        </w:rPr>
        <w:t xml:space="preserve">ember </w:t>
      </w:r>
      <w:r w:rsidR="00760BC0" w:rsidRPr="00D86314">
        <w:rPr>
          <w:noProof/>
          <w:color w:val="000000" w:themeColor="text1"/>
        </w:rPr>
        <w:t>S</w:t>
      </w:r>
      <w:r w:rsidRPr="00D86314">
        <w:rPr>
          <w:noProof/>
          <w:color w:val="000000" w:themeColor="text1"/>
        </w:rPr>
        <w:t>tates</w:t>
      </w:r>
      <w:r w:rsidRPr="00D86314">
        <w:rPr>
          <w:rStyle w:val="FootnoteReference"/>
          <w:noProof/>
          <w:color w:val="000000" w:themeColor="text1"/>
        </w:rPr>
        <w:footnoteReference w:id="83"/>
      </w:r>
      <w:r w:rsidRPr="00D86314">
        <w:rPr>
          <w:noProof/>
          <w:color w:val="000000" w:themeColor="text1"/>
        </w:rPr>
        <w:t>. Ericsson notes that although Europe is now in line with the global average of 50 percent in 5G mid-band coverage, further deployments are needed to achieve coverage levels comparable to those in North America and India.</w:t>
      </w:r>
      <w:r w:rsidRPr="00D86314">
        <w:rPr>
          <w:rStyle w:val="FootnoteReference"/>
          <w:noProof/>
          <w:color w:val="000000" w:themeColor="text1"/>
        </w:rPr>
        <w:footnoteReference w:id="84"/>
      </w:r>
    </w:p>
    <w:p w14:paraId="541EF535" w14:textId="37E089D8" w:rsidR="00C778BA" w:rsidRPr="00D86314" w:rsidRDefault="00B64FB4" w:rsidP="0093341E">
      <w:pPr>
        <w:pStyle w:val="Caption"/>
        <w:keepNext/>
        <w:keepLines/>
        <w:rPr>
          <w:noProof/>
          <w:color w:val="auto"/>
          <w:sz w:val="22"/>
          <w:szCs w:val="22"/>
        </w:rPr>
      </w:pPr>
      <w:r w:rsidRPr="00D86314">
        <w:rPr>
          <w:noProof/>
          <w:color w:val="auto"/>
          <w:sz w:val="22"/>
          <w:szCs w:val="22"/>
        </w:rPr>
        <w:t xml:space="preserve">Figure A4 </w:t>
      </w:r>
      <w:r w:rsidR="005B5146">
        <w:rPr>
          <w:noProof/>
          <w:color w:val="auto"/>
          <w:sz w:val="22"/>
          <w:szCs w:val="22"/>
        </w:rPr>
        <w:fldChar w:fldCharType="begin"/>
      </w:r>
      <w:r w:rsidR="005B5146">
        <w:rPr>
          <w:noProof/>
          <w:color w:val="auto"/>
          <w:sz w:val="22"/>
          <w:szCs w:val="22"/>
        </w:rPr>
        <w:instrText xml:space="preserve"> STYLEREF 1 \s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B5146">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SEQ Figure \* ARABIC \s 1 </w:instrText>
      </w:r>
      <w:r w:rsidR="005B5146">
        <w:rPr>
          <w:noProof/>
          <w:color w:val="auto"/>
          <w:sz w:val="22"/>
          <w:szCs w:val="22"/>
        </w:rPr>
        <w:fldChar w:fldCharType="separate"/>
      </w:r>
      <w:r w:rsidR="005B5146">
        <w:rPr>
          <w:noProof/>
          <w:color w:val="auto"/>
          <w:sz w:val="22"/>
          <w:szCs w:val="22"/>
        </w:rPr>
        <w:t>3</w:t>
      </w:r>
      <w:r w:rsidR="005B5146">
        <w:rPr>
          <w:noProof/>
          <w:color w:val="auto"/>
          <w:sz w:val="22"/>
          <w:szCs w:val="22"/>
        </w:rPr>
        <w:fldChar w:fldCharType="end"/>
      </w:r>
      <w:r w:rsidR="00C778BA" w:rsidRPr="00D86314">
        <w:rPr>
          <w:noProof/>
          <w:color w:val="auto"/>
          <w:sz w:val="22"/>
          <w:szCs w:val="22"/>
        </w:rPr>
        <w:t>:Mid-band coverage (in % of population) split by region, end 2024</w:t>
      </w:r>
    </w:p>
    <w:p w14:paraId="42B1C68C" w14:textId="77777777" w:rsidR="00C778BA" w:rsidRPr="00D86314" w:rsidRDefault="00C778BA" w:rsidP="00C778BA">
      <w:pPr>
        <w:rPr>
          <w:noProof/>
        </w:rPr>
      </w:pPr>
      <w:r w:rsidRPr="00E46BC9">
        <w:rPr>
          <w:noProof/>
          <w:lang w:eastAsia="en-GB"/>
        </w:rPr>
        <w:drawing>
          <wp:inline distT="0" distB="0" distL="0" distR="0" wp14:anchorId="7AE56A1C" wp14:editId="4E24AD2E">
            <wp:extent cx="4054191" cy="3894157"/>
            <wp:effectExtent l="0" t="0" r="3810" b="0"/>
            <wp:docPr id="1605733830" name="Grafik 1" descr="Ein Bild, das Text, Screenshot, Software,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33830" name="Grafik 1" descr="Ein Bild, das Text, Screenshot, Software, Zahl enthält.&#10;&#10;KI-generierte Inhalte können fehlerhaft sein."/>
                    <pic:cNvPicPr/>
                  </pic:nvPicPr>
                  <pic:blipFill>
                    <a:blip r:embed="rId75"/>
                    <a:stretch>
                      <a:fillRect/>
                    </a:stretch>
                  </pic:blipFill>
                  <pic:spPr>
                    <a:xfrm>
                      <a:off x="0" y="0"/>
                      <a:ext cx="4054191" cy="3894157"/>
                    </a:xfrm>
                    <a:prstGeom prst="rect">
                      <a:avLst/>
                    </a:prstGeom>
                  </pic:spPr>
                </pic:pic>
              </a:graphicData>
            </a:graphic>
          </wp:inline>
        </w:drawing>
      </w:r>
    </w:p>
    <w:p w14:paraId="391ACFF6" w14:textId="3EB977B7" w:rsidR="00C778BA" w:rsidRPr="00D86314" w:rsidRDefault="00C778BA" w:rsidP="005F5206">
      <w:pPr>
        <w:pStyle w:val="Quelle"/>
        <w:jc w:val="left"/>
        <w:rPr>
          <w:rFonts w:ascii="Times New Roman" w:hAnsi="Times New Roman"/>
          <w:noProof/>
        </w:rPr>
      </w:pPr>
      <w:r w:rsidRPr="00D86314">
        <w:rPr>
          <w:rFonts w:ascii="Times New Roman" w:hAnsi="Times New Roman"/>
          <w:noProof/>
        </w:rPr>
        <w:t xml:space="preserve">Source: </w:t>
      </w:r>
      <w:r w:rsidR="00C77E4D" w:rsidRPr="00D86314">
        <w:rPr>
          <w:rFonts w:ascii="Times New Roman" w:hAnsi="Times New Roman"/>
          <w:noProof/>
        </w:rPr>
        <w:tab/>
      </w:r>
      <w:r w:rsidR="00C77E4D" w:rsidRPr="00D86314">
        <w:rPr>
          <w:rFonts w:ascii="Times New Roman" w:hAnsi="Times New Roman"/>
          <w:noProof/>
        </w:rPr>
        <w:tab/>
      </w:r>
      <w:r w:rsidRPr="00D86314">
        <w:rPr>
          <w:rFonts w:ascii="Times New Roman" w:hAnsi="Times New Roman"/>
          <w:noProof/>
        </w:rPr>
        <w:t xml:space="preserve">Ericsson (2025) - </w:t>
      </w:r>
      <w:hyperlink r:id="rId76" w:history="1">
        <w:r w:rsidRPr="00D86314">
          <w:rPr>
            <w:rStyle w:val="Hyperlink"/>
            <w:rFonts w:ascii="Times New Roman" w:hAnsi="Times New Roman"/>
            <w:noProof/>
          </w:rPr>
          <w:t>https://www.ericsson.com/49e9b6/assets/local/reports-papers/mobility-report/documents/2025/ericsson-mobility-report-june-2025.pdf</w:t>
        </w:r>
      </w:hyperlink>
      <w:r w:rsidRPr="00D86314">
        <w:rPr>
          <w:rFonts w:ascii="Times New Roman" w:hAnsi="Times New Roman"/>
          <w:noProof/>
        </w:rPr>
        <w:t xml:space="preserve"> </w:t>
      </w:r>
    </w:p>
    <w:p w14:paraId="54A8E7CF" w14:textId="1B92E49F" w:rsidR="00C778BA" w:rsidRPr="00D86314" w:rsidRDefault="00C778BA" w:rsidP="00C778BA">
      <w:pPr>
        <w:rPr>
          <w:noProof/>
          <w:color w:val="000000" w:themeColor="text1"/>
        </w:rPr>
      </w:pPr>
      <w:r w:rsidRPr="00D86314">
        <w:rPr>
          <w:noProof/>
          <w:color w:val="000000" w:themeColor="text1"/>
        </w:rPr>
        <w:t>Mid</w:t>
      </w:r>
      <w:r w:rsidR="002C120A" w:rsidRPr="00D86314">
        <w:rPr>
          <w:noProof/>
          <w:color w:val="000000" w:themeColor="text1"/>
        </w:rPr>
        <w:t>-</w:t>
      </w:r>
      <w:r w:rsidRPr="00D86314">
        <w:rPr>
          <w:noProof/>
          <w:color w:val="000000" w:themeColor="text1"/>
        </w:rPr>
        <w:t>band</w:t>
      </w:r>
      <w:r w:rsidR="002C120A" w:rsidRPr="00D86314">
        <w:rPr>
          <w:noProof/>
          <w:color w:val="000000" w:themeColor="text1"/>
        </w:rPr>
        <w:t xml:space="preserve"> spectrum</w:t>
      </w:r>
      <w:r w:rsidRPr="00D86314">
        <w:rPr>
          <w:noProof/>
          <w:color w:val="000000" w:themeColor="text1"/>
        </w:rPr>
        <w:t xml:space="preserve"> is critical for applications like industrial automation, real-time gaming, and connected vehicles due to its balance of coverage and throughput.</w:t>
      </w:r>
      <w:r w:rsidRPr="00D86314">
        <w:rPr>
          <w:rStyle w:val="FootnoteReference"/>
          <w:noProof/>
          <w:color w:val="000000" w:themeColor="text1"/>
        </w:rPr>
        <w:footnoteReference w:id="85"/>
      </w:r>
    </w:p>
    <w:p w14:paraId="6ED1C910" w14:textId="755546A8" w:rsidR="00C778BA" w:rsidRPr="00D86314" w:rsidRDefault="00C778BA" w:rsidP="00C778BA">
      <w:pPr>
        <w:rPr>
          <w:rFonts w:eastAsia="Arial" w:cs="Arial"/>
          <w:noProof/>
        </w:rPr>
      </w:pPr>
      <w:r w:rsidRPr="00D86314">
        <w:rPr>
          <w:rFonts w:eastAsia="Arial" w:cs="Arial"/>
          <w:noProof/>
        </w:rPr>
        <w:t>5G mid-band spectrum can be defined in different ways. In the Ericsson mobility report, a leading industry data source, it is defined as 1</w:t>
      </w:r>
      <w:r w:rsidR="00BA1C4E">
        <w:rPr>
          <w:rFonts w:eastAsia="Arial" w:cs="Arial"/>
          <w:noProof/>
        </w:rPr>
        <w:t>-</w:t>
      </w:r>
      <w:r w:rsidRPr="00D86314">
        <w:rPr>
          <w:rFonts w:eastAsia="Arial" w:cs="Arial"/>
          <w:noProof/>
        </w:rPr>
        <w:t>7 GHz</w:t>
      </w:r>
      <w:r w:rsidRPr="00D86314">
        <w:rPr>
          <w:rStyle w:val="FootnoteReference"/>
          <w:rFonts w:eastAsia="Arial" w:cs="Arial"/>
          <w:noProof/>
        </w:rPr>
        <w:footnoteReference w:id="86"/>
      </w:r>
      <w:r w:rsidRPr="00D86314">
        <w:rPr>
          <w:rFonts w:eastAsia="Arial" w:cs="Arial"/>
          <w:noProof/>
        </w:rPr>
        <w:t xml:space="preserve">. However, the only data available for midband 5G from official EU sources – the DESI report </w:t>
      </w:r>
      <w:r w:rsidR="002B1A07" w:rsidRPr="00D86314">
        <w:rPr>
          <w:rFonts w:eastAsia="Arial" w:cs="Arial"/>
          <w:noProof/>
        </w:rPr>
        <w:t>–</w:t>
      </w:r>
      <w:r w:rsidRPr="00D86314">
        <w:rPr>
          <w:rFonts w:eastAsia="Arial" w:cs="Arial"/>
          <w:noProof/>
        </w:rPr>
        <w:t xml:space="preserve"> measures the coverage of 3.4</w:t>
      </w:r>
      <w:r w:rsidR="00BA1C4E">
        <w:rPr>
          <w:rFonts w:eastAsia="Arial" w:cs="Arial"/>
          <w:noProof/>
        </w:rPr>
        <w:t>-</w:t>
      </w:r>
      <w:r w:rsidRPr="00D86314">
        <w:rPr>
          <w:rFonts w:eastAsia="Arial" w:cs="Arial"/>
          <w:noProof/>
        </w:rPr>
        <w:t>3.8 GHz.</w:t>
      </w:r>
    </w:p>
    <w:p w14:paraId="011B54FD" w14:textId="042A5612" w:rsidR="00C778BA" w:rsidRPr="00D86314" w:rsidRDefault="008F7FB4" w:rsidP="00C778BA">
      <w:pPr>
        <w:rPr>
          <w:rFonts w:eastAsia="Arial" w:cs="Arial"/>
          <w:noProof/>
        </w:rPr>
      </w:pPr>
      <w:r w:rsidRPr="00D86314">
        <w:rPr>
          <w:rFonts w:eastAsia="Arial" w:cs="Arial"/>
          <w:noProof/>
        </w:rPr>
        <w:t xml:space="preserve">The </w:t>
      </w:r>
      <w:r w:rsidR="00C778BA" w:rsidRPr="00D86314">
        <w:rPr>
          <w:rFonts w:eastAsia="Arial" w:cs="Arial"/>
          <w:noProof/>
        </w:rPr>
        <w:t xml:space="preserve">DESI data </w:t>
      </w:r>
      <w:r w:rsidRPr="00D86314">
        <w:rPr>
          <w:rFonts w:eastAsia="Arial" w:cs="Arial"/>
          <w:noProof/>
        </w:rPr>
        <w:t xml:space="preserve">were prioritised </w:t>
      </w:r>
      <w:r w:rsidR="00C778BA" w:rsidRPr="00D86314">
        <w:rPr>
          <w:rFonts w:eastAsia="Arial" w:cs="Arial"/>
          <w:noProof/>
        </w:rPr>
        <w:t>because of its official status and transparent methodology.</w:t>
      </w:r>
    </w:p>
    <w:p w14:paraId="1098303A" w14:textId="65AFBE80" w:rsidR="00C778BA" w:rsidRPr="00D86314" w:rsidRDefault="00C778BA" w:rsidP="00C778BA">
      <w:pPr>
        <w:rPr>
          <w:rFonts w:eastAsia="Arial" w:cs="Arial"/>
          <w:noProof/>
        </w:rPr>
      </w:pPr>
      <w:r w:rsidRPr="00D86314">
        <w:rPr>
          <w:rFonts w:eastAsia="Arial" w:cs="Arial"/>
          <w:noProof/>
        </w:rPr>
        <w:t>DESI data is supplied by National Regulatory Authorities (NRAs) and reflects at least at least one operator providing 3.6 GHz service on at least one site within a 1 km² grid. These grid results are aggregated to regional or national figures. Coverage is calculated by counting households in each 1 km² cell where service is reported, based on the European Population 1 km² Grid or other recognised data sources of spatial population data.</w:t>
      </w:r>
      <w:r w:rsidRPr="00D86314">
        <w:rPr>
          <w:rStyle w:val="FootnoteReference"/>
          <w:rFonts w:eastAsia="Arial" w:cs="Arial"/>
          <w:noProof/>
        </w:rPr>
        <w:footnoteReference w:id="87"/>
      </w:r>
      <w:r w:rsidRPr="00D86314">
        <w:rPr>
          <w:rFonts w:eastAsia="Arial" w:cs="Arial"/>
          <w:noProof/>
        </w:rPr>
        <w:t xml:space="preserve"> </w:t>
      </w:r>
    </w:p>
    <w:p w14:paraId="397ECB08" w14:textId="0C4DE5D4" w:rsidR="00C778BA" w:rsidRPr="00D86314" w:rsidRDefault="00C778BA" w:rsidP="00C778BA">
      <w:pPr>
        <w:rPr>
          <w:rFonts w:eastAsia="Arial" w:cs="Arial"/>
          <w:noProof/>
        </w:rPr>
      </w:pPr>
      <w:r w:rsidRPr="00D86314">
        <w:rPr>
          <w:rFonts w:eastAsia="Arial" w:cs="Arial"/>
          <w:noProof/>
        </w:rPr>
        <w:t>Ericsson’s 2025 Mobility Reports gives mid-band 5G coverage in Europe as 50%, considerably below India and China on 95% and North America on 90%.</w:t>
      </w:r>
      <w:r w:rsidRPr="00D86314">
        <w:rPr>
          <w:rStyle w:val="FootnoteReference"/>
          <w:rFonts w:eastAsia="Arial" w:cs="Arial"/>
          <w:noProof/>
        </w:rPr>
        <w:footnoteReference w:id="88"/>
      </w:r>
      <w:r w:rsidRPr="00D86314">
        <w:rPr>
          <w:rFonts w:eastAsia="Arial" w:cs="Arial"/>
          <w:noProof/>
        </w:rPr>
        <w:t xml:space="preserve"> Ericsson’s Europe figure is also below the DESI mid-band estimate of 68% EU coverage. It is hard to understand why the European figure is so low and this is another reason to base projections on the DESI data.</w:t>
      </w:r>
    </w:p>
    <w:p w14:paraId="503FCC75" w14:textId="2A6C13E9" w:rsidR="00C778BA" w:rsidRPr="00D86314" w:rsidRDefault="00C778BA" w:rsidP="00C778BA">
      <w:pPr>
        <w:rPr>
          <w:rFonts w:eastAsia="Arial" w:cs="Arial"/>
          <w:noProof/>
        </w:rPr>
      </w:pPr>
      <w:r w:rsidRPr="00D86314">
        <w:rPr>
          <w:rFonts w:eastAsia="Arial" w:cs="Arial"/>
          <w:noProof/>
        </w:rPr>
        <w:t>However, relying solely on 3.4</w:t>
      </w:r>
      <w:r w:rsidR="008B3A96">
        <w:rPr>
          <w:rFonts w:eastAsia="Arial" w:cs="Arial"/>
          <w:noProof/>
        </w:rPr>
        <w:t>-</w:t>
      </w:r>
      <w:r w:rsidRPr="00D86314">
        <w:rPr>
          <w:rFonts w:eastAsia="Arial" w:cs="Arial"/>
          <w:noProof/>
        </w:rPr>
        <w:t>3.8 GHz does not capture the effects of the policy options on renewing existing mobile bands such as 1800 MHz, 2.1 GHz and 2.6 GHz or the expected award of the upper 6 GHz band. Policy proposals relating to licensing or awards would have little direct effect on 3.6 GHz as it has already been assigned in all Member States, although investment-related measures could be beneficial.</w:t>
      </w:r>
    </w:p>
    <w:p w14:paraId="3A937EDE" w14:textId="58DB0110" w:rsidR="00C778BA" w:rsidRPr="00D86314" w:rsidRDefault="00C778BA" w:rsidP="00C778BA">
      <w:pPr>
        <w:rPr>
          <w:rFonts w:eastAsia="Arial" w:cs="Arial"/>
          <w:noProof/>
        </w:rPr>
      </w:pPr>
      <w:r w:rsidRPr="00D86314">
        <w:rPr>
          <w:rFonts w:eastAsia="Arial" w:cs="Arial"/>
          <w:noProof/>
        </w:rPr>
        <w:t xml:space="preserve">5G mid-band </w:t>
      </w:r>
      <w:r w:rsidR="008F7FB4" w:rsidRPr="00D86314">
        <w:rPr>
          <w:rFonts w:eastAsia="Arial" w:cs="Arial"/>
          <w:noProof/>
        </w:rPr>
        <w:t xml:space="preserve">was therefore defined </w:t>
      </w:r>
      <w:r w:rsidRPr="00D86314">
        <w:rPr>
          <w:rFonts w:eastAsia="Arial" w:cs="Arial"/>
          <w:noProof/>
        </w:rPr>
        <w:t>as 1</w:t>
      </w:r>
      <w:r w:rsidR="008B3A96">
        <w:rPr>
          <w:rFonts w:eastAsia="Arial" w:cs="Arial"/>
          <w:noProof/>
        </w:rPr>
        <w:t>-</w:t>
      </w:r>
      <w:r w:rsidRPr="00D86314">
        <w:rPr>
          <w:rFonts w:eastAsia="Arial" w:cs="Arial"/>
          <w:noProof/>
        </w:rPr>
        <w:t>7 GHz</w:t>
      </w:r>
      <w:r w:rsidR="00B66BDA" w:rsidRPr="00D86314">
        <w:rPr>
          <w:rFonts w:eastAsia="Arial" w:cs="Arial"/>
          <w:noProof/>
        </w:rPr>
        <w:t>,</w:t>
      </w:r>
      <w:r w:rsidRPr="00D86314">
        <w:rPr>
          <w:rFonts w:eastAsia="Arial" w:cs="Arial"/>
          <w:noProof/>
        </w:rPr>
        <w:t xml:space="preserve"> </w:t>
      </w:r>
      <w:r w:rsidR="00B66BDA" w:rsidRPr="00D86314">
        <w:rPr>
          <w:rFonts w:eastAsia="Arial" w:cs="Arial"/>
          <w:noProof/>
        </w:rPr>
        <w:t>while</w:t>
      </w:r>
      <w:r w:rsidRPr="00D86314">
        <w:rPr>
          <w:rFonts w:eastAsia="Arial" w:cs="Arial"/>
          <w:noProof/>
        </w:rPr>
        <w:t xml:space="preserve"> the DESI figures</w:t>
      </w:r>
      <w:r w:rsidR="00B66BDA" w:rsidRPr="00D86314">
        <w:rPr>
          <w:rFonts w:eastAsia="Arial" w:cs="Arial"/>
          <w:noProof/>
        </w:rPr>
        <w:t xml:space="preserve"> were used </w:t>
      </w:r>
      <w:r w:rsidRPr="00D86314">
        <w:rPr>
          <w:rFonts w:eastAsia="Arial" w:cs="Arial"/>
          <w:noProof/>
        </w:rPr>
        <w:t xml:space="preserve">as a basis for estimating likely coverage in this wider range. </w:t>
      </w:r>
      <w:r w:rsidR="006B3652" w:rsidRPr="00D86314">
        <w:rPr>
          <w:rFonts w:eastAsia="Arial" w:cs="Arial"/>
          <w:noProof/>
        </w:rPr>
        <w:t>T</w:t>
      </w:r>
      <w:r w:rsidRPr="00D86314">
        <w:rPr>
          <w:rFonts w:eastAsia="Arial" w:cs="Arial"/>
          <w:noProof/>
        </w:rPr>
        <w:t>he same methodological assumptions as DESI</w:t>
      </w:r>
      <w:r w:rsidR="006B3652" w:rsidRPr="00D86314">
        <w:rPr>
          <w:rFonts w:eastAsia="Arial" w:cs="Arial"/>
          <w:noProof/>
        </w:rPr>
        <w:t xml:space="preserve"> were applied</w:t>
      </w:r>
      <w:r w:rsidRPr="00D86314">
        <w:rPr>
          <w:rFonts w:eastAsia="Arial" w:cs="Arial"/>
          <w:noProof/>
        </w:rPr>
        <w:t xml:space="preserve">, </w:t>
      </w:r>
      <w:r w:rsidR="006B3652" w:rsidRPr="00D86314">
        <w:rPr>
          <w:rFonts w:eastAsia="Arial" w:cs="Arial"/>
          <w:noProof/>
        </w:rPr>
        <w:t xml:space="preserve">with </w:t>
      </w:r>
      <w:r w:rsidRPr="00D86314">
        <w:rPr>
          <w:rFonts w:eastAsia="Arial" w:cs="Arial"/>
          <w:noProof/>
        </w:rPr>
        <w:t>coverage estimated on</w:t>
      </w:r>
      <w:r w:rsidR="00E1070F" w:rsidRPr="00D86314">
        <w:rPr>
          <w:rFonts w:eastAsia="Arial" w:cs="Arial"/>
          <w:noProof/>
        </w:rPr>
        <w:t xml:space="preserve"> the basis of</w:t>
      </w:r>
      <w:r w:rsidRPr="00D86314">
        <w:rPr>
          <w:rFonts w:eastAsia="Arial" w:cs="Arial"/>
          <w:noProof/>
        </w:rPr>
        <w:t xml:space="preserve"> 1 km</w:t>
      </w:r>
      <w:r w:rsidRPr="00D86314">
        <w:rPr>
          <w:rFonts w:eastAsia="Arial" w:cs="Arial"/>
          <w:noProof/>
          <w:vertAlign w:val="superscript"/>
        </w:rPr>
        <w:t>2</w:t>
      </w:r>
      <w:r w:rsidRPr="00D86314">
        <w:rPr>
          <w:rFonts w:eastAsia="Arial" w:cs="Arial"/>
          <w:noProof/>
        </w:rPr>
        <w:t xml:space="preserve"> blocks with a base station including at least one mid-band transceiver.</w:t>
      </w:r>
    </w:p>
    <w:p w14:paraId="4776E6BC" w14:textId="666CBC52" w:rsidR="00C778BA" w:rsidRPr="00D86314" w:rsidRDefault="00E1070F" w:rsidP="00C778BA">
      <w:pPr>
        <w:rPr>
          <w:rFonts w:eastAsia="Arial" w:cs="Arial"/>
          <w:noProof/>
        </w:rPr>
      </w:pPr>
      <w:r w:rsidRPr="00D86314">
        <w:rPr>
          <w:rFonts w:eastAsia="Arial" w:cs="Arial"/>
          <w:noProof/>
        </w:rPr>
        <w:t>The</w:t>
      </w:r>
      <w:r w:rsidR="00C778BA" w:rsidRPr="00D86314">
        <w:rPr>
          <w:rFonts w:eastAsia="Arial" w:cs="Arial"/>
          <w:noProof/>
        </w:rPr>
        <w:t xml:space="preserve"> estimate </w:t>
      </w:r>
      <w:r w:rsidRPr="00D86314">
        <w:rPr>
          <w:rFonts w:eastAsia="Arial" w:cs="Arial"/>
          <w:noProof/>
        </w:rPr>
        <w:t xml:space="preserve">began </w:t>
      </w:r>
      <w:r w:rsidR="00C778BA" w:rsidRPr="00D86314">
        <w:rPr>
          <w:rFonts w:eastAsia="Arial" w:cs="Arial"/>
          <w:noProof/>
        </w:rPr>
        <w:t>by considering the likely maximum coverage of 3.4</w:t>
      </w:r>
      <w:r w:rsidR="008B3A96">
        <w:rPr>
          <w:rFonts w:eastAsia="Arial" w:cs="Arial"/>
          <w:noProof/>
        </w:rPr>
        <w:t>-</w:t>
      </w:r>
      <w:r w:rsidR="00C778BA" w:rsidRPr="00D86314">
        <w:rPr>
          <w:rFonts w:eastAsia="Arial" w:cs="Arial"/>
          <w:noProof/>
        </w:rPr>
        <w:t xml:space="preserve">3.8 GHz by 2035. An important consideration is the propagation characteristics of the band. Its maximum coverage radius – 2 km – is about a third of what can be achieved in the lower bands. For example, 2.1 GHz can reach about 6 km. (See diagram below) </w:t>
      </w:r>
    </w:p>
    <w:p w14:paraId="377E9D34" w14:textId="049AD2B1" w:rsidR="00C778BA" w:rsidRPr="00D86314" w:rsidRDefault="00F5515E" w:rsidP="004F5C85">
      <w:pPr>
        <w:keepNext/>
        <w:keepLines/>
        <w:rPr>
          <w:noProof/>
          <w:sz w:val="22"/>
          <w:szCs w:val="22"/>
        </w:rPr>
      </w:pPr>
      <w:bookmarkStart w:id="139" w:name="_Ref218169655"/>
      <w:r w:rsidRPr="00D86314">
        <w:rPr>
          <w:i/>
          <w:noProof/>
          <w:sz w:val="22"/>
          <w:szCs w:val="22"/>
        </w:rPr>
        <w:t xml:space="preserve">Figure A4 </w:t>
      </w:r>
      <w:r w:rsidR="001F10E6" w:rsidRPr="00D86314">
        <w:rPr>
          <w:i/>
          <w:noProof/>
          <w:sz w:val="22"/>
          <w:szCs w:val="22"/>
        </w:rPr>
        <w:fldChar w:fldCharType="begin"/>
      </w:r>
      <w:r w:rsidR="001F10E6" w:rsidRPr="00D86314">
        <w:rPr>
          <w:i/>
          <w:noProof/>
          <w:sz w:val="22"/>
          <w:szCs w:val="22"/>
        </w:rPr>
        <w:instrText xml:space="preserve"> STYLEREF 1 \s </w:instrText>
      </w:r>
      <w:r w:rsidR="001F10E6" w:rsidRPr="00D86314">
        <w:rPr>
          <w:i/>
          <w:noProof/>
          <w:sz w:val="22"/>
          <w:szCs w:val="22"/>
        </w:rPr>
        <w:fldChar w:fldCharType="separate"/>
      </w:r>
      <w:r w:rsidR="00870CA9" w:rsidRPr="00C20A01">
        <w:rPr>
          <w:i/>
          <w:noProof/>
          <w:sz w:val="22"/>
          <w:szCs w:val="22"/>
        </w:rPr>
        <w:t>2</w:t>
      </w:r>
      <w:r w:rsidR="001F10E6" w:rsidRPr="00D86314">
        <w:rPr>
          <w:i/>
          <w:noProof/>
          <w:sz w:val="22"/>
          <w:szCs w:val="22"/>
        </w:rPr>
        <w:fldChar w:fldCharType="end"/>
      </w:r>
      <w:bookmarkEnd w:id="139"/>
      <w:r w:rsidR="001F10E6" w:rsidRPr="00D86314">
        <w:rPr>
          <w:i/>
          <w:noProof/>
          <w:sz w:val="22"/>
          <w:szCs w:val="22"/>
        </w:rPr>
        <w:noBreakHyphen/>
      </w:r>
      <w:r w:rsidR="005953EB" w:rsidRPr="00D86314">
        <w:rPr>
          <w:i/>
          <w:iCs/>
          <w:noProof/>
          <w:sz w:val="22"/>
          <w:szCs w:val="22"/>
        </w:rPr>
        <w:t>4</w:t>
      </w:r>
      <w:r w:rsidR="00C078A2" w:rsidRPr="00D86314">
        <w:rPr>
          <w:i/>
          <w:noProof/>
          <w:sz w:val="22"/>
          <w:szCs w:val="22"/>
        </w:rPr>
        <w:t>:</w:t>
      </w:r>
      <w:r w:rsidRPr="00D86314">
        <w:rPr>
          <w:i/>
          <w:noProof/>
          <w:sz w:val="22"/>
          <w:szCs w:val="22"/>
        </w:rPr>
        <w:t>Propagation characteristics of common mobile bands (Source: BBC R&amp;D</w:t>
      </w:r>
      <w:r w:rsidR="007B4DF8" w:rsidRPr="00D86314">
        <w:rPr>
          <w:rStyle w:val="FootnoteReference"/>
          <w:i/>
          <w:noProof/>
          <w:sz w:val="22"/>
          <w:szCs w:val="22"/>
        </w:rPr>
        <w:footnoteReference w:id="89"/>
      </w:r>
      <w:r w:rsidR="00C778BA" w:rsidRPr="00E46BC9">
        <w:rPr>
          <w:rFonts w:cs="Arial"/>
          <w:noProof/>
          <w:sz w:val="22"/>
          <w:szCs w:val="22"/>
          <w:lang w:eastAsia="en-GB"/>
        </w:rPr>
        <w:drawing>
          <wp:anchor distT="0" distB="0" distL="114300" distR="114300" simplePos="0" relativeHeight="251658240" behindDoc="0" locked="0" layoutInCell="1" allowOverlap="1" wp14:anchorId="6698180C" wp14:editId="73DF7D97">
            <wp:simplePos x="0" y="0"/>
            <wp:positionH relativeFrom="column">
              <wp:posOffset>0</wp:posOffset>
            </wp:positionH>
            <wp:positionV relativeFrom="paragraph">
              <wp:posOffset>281940</wp:posOffset>
            </wp:positionV>
            <wp:extent cx="3830782" cy="2875421"/>
            <wp:effectExtent l="0" t="0" r="1270" b="0"/>
            <wp:wrapTopAndBottom/>
            <wp:docPr id="1659256193" name="Picture 1" descr="A diagram of a cell rad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56193" name="Picture 1" descr="A diagram of a cell radio&#10;&#10;AI-generated content may be incorrect."/>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830782" cy="2875421"/>
                    </a:xfrm>
                    <a:prstGeom prst="rect">
                      <a:avLst/>
                    </a:prstGeom>
                  </pic:spPr>
                </pic:pic>
              </a:graphicData>
            </a:graphic>
            <wp14:sizeRelH relativeFrom="page">
              <wp14:pctWidth>0</wp14:pctWidth>
            </wp14:sizeRelH>
            <wp14:sizeRelV relativeFrom="page">
              <wp14:pctHeight>0</wp14:pctHeight>
            </wp14:sizeRelV>
          </wp:anchor>
        </w:drawing>
      </w:r>
      <w:r w:rsidR="008F663E" w:rsidRPr="00C20A01">
        <w:rPr>
          <w:noProof/>
          <w:sz w:val="22"/>
          <w:szCs w:val="22"/>
        </w:rPr>
        <w:t>)</w:t>
      </w:r>
    </w:p>
    <w:p w14:paraId="0F61A4BE" w14:textId="42917517" w:rsidR="00C778BA" w:rsidRPr="00D86314" w:rsidRDefault="00C778BA" w:rsidP="008F663E">
      <w:pPr>
        <w:spacing w:before="360"/>
        <w:rPr>
          <w:rFonts w:eastAsia="Arial" w:cs="Arial"/>
          <w:noProof/>
        </w:rPr>
      </w:pPr>
      <w:r w:rsidRPr="00D86314">
        <w:rPr>
          <w:rFonts w:eastAsia="Arial" w:cs="Arial"/>
          <w:noProof/>
        </w:rPr>
        <w:t>The economics of covering rural areas using 3.4</w:t>
      </w:r>
      <w:r w:rsidR="00550955">
        <w:rPr>
          <w:rFonts w:eastAsia="Arial" w:cs="Arial"/>
          <w:noProof/>
        </w:rPr>
        <w:t>-</w:t>
      </w:r>
      <w:r w:rsidRPr="00D86314">
        <w:rPr>
          <w:rFonts w:eastAsia="Arial" w:cs="Arial"/>
          <w:noProof/>
        </w:rPr>
        <w:t>3.8 GHz are therefore challenging. Sub-1 GHz coverage bands such as 700 MHz would be the more cost-effective choice as they require fewer base stations.</w:t>
      </w:r>
    </w:p>
    <w:p w14:paraId="2FF9C020" w14:textId="4EEEDC8D" w:rsidR="00C778BA" w:rsidRPr="00D86314" w:rsidRDefault="00C778BA" w:rsidP="00C778BA">
      <w:pPr>
        <w:rPr>
          <w:rFonts w:eastAsia="Arial" w:cs="Arial"/>
          <w:noProof/>
        </w:rPr>
      </w:pPr>
      <w:r w:rsidRPr="00D86314">
        <w:rPr>
          <w:rFonts w:eastAsia="Arial" w:cs="Arial"/>
          <w:noProof/>
        </w:rPr>
        <w:t>The difficulties of covering rural areas can be seen in the DESI data: in 2025 just 26% of rural EU households had access to 3.4</w:t>
      </w:r>
      <w:r w:rsidR="00550955">
        <w:rPr>
          <w:rFonts w:eastAsia="Arial" w:cs="Arial"/>
          <w:noProof/>
        </w:rPr>
        <w:t>-</w:t>
      </w:r>
      <w:r w:rsidRPr="00D86314">
        <w:rPr>
          <w:rFonts w:eastAsia="Arial" w:cs="Arial"/>
          <w:noProof/>
        </w:rPr>
        <w:t xml:space="preserve">3.8 GHz compared to 68% of </w:t>
      </w:r>
      <w:r w:rsidRPr="00D86314">
        <w:rPr>
          <w:rFonts w:eastAsia="Arial" w:cs="Arial"/>
          <w:i/>
          <w:iCs/>
          <w:noProof/>
        </w:rPr>
        <w:t>all</w:t>
      </w:r>
      <w:r w:rsidRPr="00D86314">
        <w:rPr>
          <w:rFonts w:eastAsia="Arial" w:cs="Arial"/>
          <w:noProof/>
        </w:rPr>
        <w:t xml:space="preserve"> EU households.</w:t>
      </w:r>
      <w:r w:rsidRPr="00D86314">
        <w:rPr>
          <w:rStyle w:val="FootnoteReference"/>
          <w:rFonts w:eastAsia="Arial" w:cs="Arial"/>
          <w:noProof/>
        </w:rPr>
        <w:footnoteReference w:id="90"/>
      </w:r>
      <w:r w:rsidRPr="00D86314">
        <w:rPr>
          <w:rFonts w:eastAsia="Arial" w:cs="Arial"/>
          <w:noProof/>
        </w:rPr>
        <w:t xml:space="preserve"> Recent figures estimate that 72% of the total population of the EU population live in cities, towns and suburbs</w:t>
      </w:r>
      <w:r w:rsidRPr="00D86314">
        <w:rPr>
          <w:rStyle w:val="FootnoteReference"/>
          <w:rFonts w:eastAsia="Arial" w:cs="Arial"/>
          <w:noProof/>
        </w:rPr>
        <w:footnoteReference w:id="91"/>
      </w:r>
      <w:r w:rsidRPr="00D86314">
        <w:rPr>
          <w:rFonts w:eastAsia="Arial" w:cs="Arial"/>
          <w:noProof/>
        </w:rPr>
        <w:t xml:space="preserve"> so this is a useful crosscheck for our analysis.</w:t>
      </w:r>
    </w:p>
    <w:p w14:paraId="1B4C60D2" w14:textId="766110D6" w:rsidR="00C778BA" w:rsidRPr="00D86314" w:rsidRDefault="00C778BA" w:rsidP="00C778BA">
      <w:pPr>
        <w:rPr>
          <w:rFonts w:eastAsia="Arial" w:cs="Arial"/>
          <w:noProof/>
        </w:rPr>
      </w:pPr>
      <w:r w:rsidRPr="00D86314">
        <w:rPr>
          <w:rFonts w:eastAsia="Arial" w:cs="Arial"/>
          <w:noProof/>
        </w:rPr>
        <w:t>On the other hand, the DESI data shows that seven Member States already have coverage of over 80% of households (See graph below)</w:t>
      </w:r>
      <w:r w:rsidR="00ED18D0" w:rsidRPr="00D86314">
        <w:rPr>
          <w:rFonts w:eastAsia="Arial" w:cs="Arial"/>
          <w:noProof/>
        </w:rPr>
        <w:t>.</w:t>
      </w:r>
      <w:r w:rsidRPr="00D86314">
        <w:rPr>
          <w:rFonts w:eastAsia="Arial" w:cs="Arial"/>
          <w:noProof/>
        </w:rPr>
        <w:t xml:space="preserve"> The Netherlands scores the highest with coverage of 99% of households but is the second most densely populated</w:t>
      </w:r>
      <w:r w:rsidRPr="00D86314">
        <w:rPr>
          <w:rStyle w:val="FootnoteReference"/>
          <w:rFonts w:eastAsia="Arial" w:cs="Arial"/>
          <w:noProof/>
        </w:rPr>
        <w:footnoteReference w:id="92"/>
      </w:r>
      <w:r w:rsidRPr="00D86314">
        <w:rPr>
          <w:rFonts w:eastAsia="Arial" w:cs="Arial"/>
          <w:noProof/>
        </w:rPr>
        <w:t xml:space="preserve"> country in the EU with a 93% urban population</w:t>
      </w:r>
      <w:r w:rsidRPr="00D86314">
        <w:rPr>
          <w:rStyle w:val="FootnoteReference"/>
          <w:rFonts w:eastAsia="Arial" w:cs="Arial"/>
          <w:noProof/>
        </w:rPr>
        <w:footnoteReference w:id="93"/>
      </w:r>
      <w:r w:rsidRPr="00D86314">
        <w:rPr>
          <w:rFonts w:eastAsia="Arial" w:cs="Arial"/>
          <w:noProof/>
        </w:rPr>
        <w:t>. Italy, which has the second highest 3.4</w:t>
      </w:r>
      <w:r w:rsidR="00550955">
        <w:rPr>
          <w:rFonts w:eastAsia="Arial" w:cs="Arial"/>
          <w:noProof/>
        </w:rPr>
        <w:t>-</w:t>
      </w:r>
      <w:r w:rsidRPr="00D86314">
        <w:rPr>
          <w:rFonts w:eastAsia="Arial" w:cs="Arial"/>
          <w:noProof/>
        </w:rPr>
        <w:t>3.8 GHz coverage, is the sixth most densely populated</w:t>
      </w:r>
      <w:r w:rsidRPr="00D86314">
        <w:rPr>
          <w:rStyle w:val="FootnoteReference"/>
          <w:rFonts w:eastAsia="Arial" w:cs="Arial"/>
          <w:noProof/>
        </w:rPr>
        <w:footnoteReference w:id="94"/>
      </w:r>
      <w:r w:rsidRPr="00D86314">
        <w:rPr>
          <w:rFonts w:eastAsia="Arial" w:cs="Arial"/>
          <w:noProof/>
        </w:rPr>
        <w:t xml:space="preserve"> EU country with 72% living in urban areas</w:t>
      </w:r>
      <w:r w:rsidRPr="00D86314">
        <w:rPr>
          <w:rStyle w:val="FootnoteReference"/>
          <w:rFonts w:eastAsia="Arial" w:cs="Arial"/>
          <w:noProof/>
        </w:rPr>
        <w:footnoteReference w:id="95"/>
      </w:r>
      <w:r w:rsidRPr="00D86314">
        <w:rPr>
          <w:rFonts w:eastAsia="Arial" w:cs="Arial"/>
          <w:noProof/>
        </w:rPr>
        <w:t>.</w:t>
      </w:r>
      <w:r w:rsidR="009F52EE" w:rsidRPr="00D86314">
        <w:rPr>
          <w:rFonts w:eastAsia="Arial" w:cs="Arial"/>
          <w:noProof/>
        </w:rPr>
        <w:t xml:space="preserve"> </w:t>
      </w:r>
    </w:p>
    <w:p w14:paraId="5C2B1FEB" w14:textId="77777777" w:rsidR="00C778BA" w:rsidRPr="00D86314" w:rsidRDefault="00C778BA" w:rsidP="00C778BA">
      <w:pPr>
        <w:rPr>
          <w:noProof/>
        </w:rPr>
      </w:pPr>
    </w:p>
    <w:p w14:paraId="7D746D15" w14:textId="57A910FA" w:rsidR="00C778BA" w:rsidRPr="00D86314" w:rsidRDefault="006D4457" w:rsidP="004F5C85">
      <w:pPr>
        <w:keepNext/>
        <w:keepLines/>
        <w:rPr>
          <w:rFonts w:eastAsia="Arial" w:cs="Arial"/>
          <w:i/>
          <w:noProof/>
          <w:sz w:val="22"/>
          <w:szCs w:val="22"/>
        </w:rPr>
      </w:pPr>
      <w:bookmarkStart w:id="140" w:name="_Ref218169752"/>
      <w:r w:rsidRPr="00D86314">
        <w:rPr>
          <w:i/>
          <w:noProof/>
          <w:sz w:val="22"/>
          <w:szCs w:val="22"/>
        </w:rPr>
        <w:t xml:space="preserve">Figure A4 </w:t>
      </w:r>
      <w:r w:rsidR="005B5146">
        <w:rPr>
          <w:i/>
          <w:noProof/>
          <w:sz w:val="22"/>
          <w:szCs w:val="22"/>
        </w:rPr>
        <w:fldChar w:fldCharType="begin"/>
      </w:r>
      <w:r w:rsidR="005B5146">
        <w:rPr>
          <w:i/>
          <w:noProof/>
          <w:sz w:val="22"/>
          <w:szCs w:val="22"/>
        </w:rPr>
        <w:instrText xml:space="preserve"> STYLEREF 1 \s </w:instrText>
      </w:r>
      <w:r w:rsidR="005B5146">
        <w:rPr>
          <w:i/>
          <w:noProof/>
          <w:sz w:val="22"/>
          <w:szCs w:val="22"/>
        </w:rPr>
        <w:fldChar w:fldCharType="separate"/>
      </w:r>
      <w:r w:rsidR="005B5146">
        <w:rPr>
          <w:i/>
          <w:noProof/>
          <w:sz w:val="22"/>
          <w:szCs w:val="22"/>
        </w:rPr>
        <w:t>2</w:t>
      </w:r>
      <w:r w:rsidR="005B5146">
        <w:rPr>
          <w:i/>
          <w:noProof/>
          <w:sz w:val="22"/>
          <w:szCs w:val="22"/>
        </w:rPr>
        <w:fldChar w:fldCharType="end"/>
      </w:r>
      <w:r w:rsidR="005B5146">
        <w:rPr>
          <w:i/>
          <w:noProof/>
          <w:sz w:val="22"/>
          <w:szCs w:val="22"/>
        </w:rPr>
        <w:noBreakHyphen/>
      </w:r>
      <w:r w:rsidR="00D74B9A">
        <w:rPr>
          <w:i/>
          <w:noProof/>
          <w:sz w:val="22"/>
          <w:szCs w:val="22"/>
        </w:rPr>
        <w:t>5</w:t>
      </w:r>
      <w:bookmarkEnd w:id="140"/>
      <w:r w:rsidR="009F52EE" w:rsidRPr="00D86314">
        <w:rPr>
          <w:i/>
          <w:noProof/>
          <w:sz w:val="22"/>
          <w:szCs w:val="22"/>
        </w:rPr>
        <w:t>:</w:t>
      </w:r>
      <w:r w:rsidRPr="00D86314">
        <w:rPr>
          <w:i/>
          <w:noProof/>
          <w:sz w:val="22"/>
          <w:szCs w:val="22"/>
        </w:rPr>
        <w:t>DESI figures on 5G coverage in 3.4-3.8 GHz band</w:t>
      </w:r>
    </w:p>
    <w:p w14:paraId="7689C25A" w14:textId="77777777" w:rsidR="00C778BA" w:rsidRPr="00D86314" w:rsidRDefault="00C778BA" w:rsidP="00C778BA">
      <w:pPr>
        <w:keepNext/>
        <w:rPr>
          <w:noProof/>
        </w:rPr>
      </w:pPr>
      <w:r w:rsidRPr="00E46BC9">
        <w:rPr>
          <w:noProof/>
          <w:lang w:eastAsia="en-GB"/>
        </w:rPr>
        <w:drawing>
          <wp:inline distT="0" distB="0" distL="0" distR="0" wp14:anchorId="5FE20603" wp14:editId="7D0D7A2D">
            <wp:extent cx="4965107" cy="2653195"/>
            <wp:effectExtent l="0" t="0" r="635" b="1270"/>
            <wp:docPr id="700621153" name="drawing"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21153"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982407" cy="2662440"/>
                    </a:xfrm>
                    <a:prstGeom prst="rect">
                      <a:avLst/>
                    </a:prstGeom>
                  </pic:spPr>
                </pic:pic>
              </a:graphicData>
            </a:graphic>
          </wp:inline>
        </w:drawing>
      </w:r>
    </w:p>
    <w:p w14:paraId="0115CAF2" w14:textId="635455F9" w:rsidR="00C778BA" w:rsidRPr="00D86314" w:rsidRDefault="00C778BA" w:rsidP="00C778BA">
      <w:pPr>
        <w:rPr>
          <w:rFonts w:eastAsia="Arial" w:cs="Arial"/>
          <w:noProof/>
        </w:rPr>
      </w:pPr>
      <w:r w:rsidRPr="00D86314">
        <w:rPr>
          <w:rFonts w:eastAsia="Arial" w:cs="Arial"/>
          <w:noProof/>
        </w:rPr>
        <w:t>In the lower half of the coverage scale the examples of Romania and Ireland suggest that settlement patterns will act as a brake on 3.4</w:t>
      </w:r>
      <w:r w:rsidR="00204E1F">
        <w:rPr>
          <w:rFonts w:eastAsia="Arial" w:cs="Arial"/>
          <w:noProof/>
        </w:rPr>
        <w:t>-</w:t>
      </w:r>
      <w:r w:rsidRPr="00D86314">
        <w:rPr>
          <w:rFonts w:eastAsia="Arial" w:cs="Arial"/>
          <w:noProof/>
        </w:rPr>
        <w:t>3.8 GHz coverage. Romania has 55% urban population and Ireland has 65%</w:t>
      </w:r>
      <w:r w:rsidRPr="00D86314">
        <w:rPr>
          <w:rStyle w:val="FootnoteReference"/>
          <w:rFonts w:eastAsia="Arial" w:cs="Arial"/>
          <w:noProof/>
        </w:rPr>
        <w:footnoteReference w:id="96"/>
      </w:r>
      <w:r w:rsidRPr="00D86314">
        <w:rPr>
          <w:rFonts w:eastAsia="Arial" w:cs="Arial"/>
          <w:noProof/>
        </w:rPr>
        <w:t>, meaning that rollout of a low propagation band like 3.4</w:t>
      </w:r>
      <w:r w:rsidR="0019385B" w:rsidRPr="00D86314">
        <w:rPr>
          <w:rFonts w:eastAsia="Arial" w:cs="Arial"/>
          <w:noProof/>
        </w:rPr>
        <w:t>–</w:t>
      </w:r>
      <w:r w:rsidRPr="00D86314">
        <w:rPr>
          <w:rFonts w:eastAsia="Arial" w:cs="Arial"/>
          <w:noProof/>
        </w:rPr>
        <w:t>3.8 GHz would be relatively expensive.</w:t>
      </w:r>
    </w:p>
    <w:p w14:paraId="3C17623B" w14:textId="5CC99A38" w:rsidR="00C778BA" w:rsidRPr="00D86314" w:rsidRDefault="00C778BA" w:rsidP="00C778BA">
      <w:pPr>
        <w:rPr>
          <w:rFonts w:eastAsia="Arial" w:cs="Arial"/>
          <w:noProof/>
        </w:rPr>
      </w:pPr>
      <w:r w:rsidRPr="00D86314">
        <w:rPr>
          <w:rFonts w:eastAsia="Arial" w:cs="Arial"/>
          <w:noProof/>
        </w:rPr>
        <w:t>As operator interviews showed little evidence of network densification, MNOs are likely installing 3.4</w:t>
      </w:r>
      <w:r w:rsidR="00852007">
        <w:rPr>
          <w:rFonts w:eastAsia="Arial" w:cs="Arial"/>
          <w:noProof/>
        </w:rPr>
        <w:t>-</w:t>
      </w:r>
      <w:r w:rsidRPr="00D86314">
        <w:rPr>
          <w:rFonts w:eastAsia="Arial" w:cs="Arial"/>
          <w:noProof/>
        </w:rPr>
        <w:t>3.8 GHz on their existing base stations. This means that 3.4</w:t>
      </w:r>
      <w:r w:rsidR="00852007">
        <w:rPr>
          <w:rFonts w:eastAsia="Arial" w:cs="Arial"/>
          <w:noProof/>
        </w:rPr>
        <w:t>-</w:t>
      </w:r>
      <w:r w:rsidR="0019385B" w:rsidRPr="00D86314">
        <w:rPr>
          <w:rFonts w:eastAsia="Arial" w:cs="Arial"/>
          <w:noProof/>
        </w:rPr>
        <w:t>3</w:t>
      </w:r>
      <w:r w:rsidRPr="00D86314">
        <w:rPr>
          <w:rFonts w:eastAsia="Arial" w:cs="Arial"/>
          <w:noProof/>
        </w:rPr>
        <w:t xml:space="preserve">.8 GHz could extend into rural areas if the operator already has wide coverage in its current grid. </w:t>
      </w:r>
      <w:r w:rsidR="00AE08D0" w:rsidRPr="00D86314">
        <w:rPr>
          <w:rFonts w:eastAsia="Arial" w:cs="Arial"/>
          <w:noProof/>
        </w:rPr>
        <w:t xml:space="preserve">It was </w:t>
      </w:r>
      <w:r w:rsidRPr="00D86314">
        <w:rPr>
          <w:rFonts w:eastAsia="Arial" w:cs="Arial"/>
          <w:noProof/>
        </w:rPr>
        <w:t>therefore assumed that 3.4</w:t>
      </w:r>
      <w:r w:rsidR="00852007">
        <w:rPr>
          <w:rFonts w:eastAsia="Arial" w:cs="Arial"/>
          <w:noProof/>
        </w:rPr>
        <w:t>-</w:t>
      </w:r>
      <w:r w:rsidRPr="00D86314">
        <w:rPr>
          <w:rFonts w:eastAsia="Arial" w:cs="Arial"/>
          <w:noProof/>
        </w:rPr>
        <w:t>3.8 GHz could grow to 85%, somewhat more than the proportion of the EU living in urban and suburban areas.</w:t>
      </w:r>
    </w:p>
    <w:p w14:paraId="682053BD" w14:textId="28B271A8" w:rsidR="00C778BA" w:rsidRPr="00D86314" w:rsidRDefault="00C778BA" w:rsidP="00C778BA">
      <w:pPr>
        <w:rPr>
          <w:rFonts w:eastAsia="Arial" w:cs="Arial"/>
          <w:noProof/>
        </w:rPr>
      </w:pPr>
      <w:r w:rsidRPr="00D86314">
        <w:rPr>
          <w:rFonts w:eastAsia="Arial" w:cs="Arial"/>
          <w:noProof/>
        </w:rPr>
        <w:t>To expand this estimate to include all 1</w:t>
      </w:r>
      <w:r w:rsidR="00852007">
        <w:rPr>
          <w:rFonts w:eastAsia="Arial" w:cs="Arial"/>
          <w:noProof/>
        </w:rPr>
        <w:t>-</w:t>
      </w:r>
      <w:r w:rsidRPr="00D86314">
        <w:rPr>
          <w:rFonts w:eastAsia="Arial" w:cs="Arial"/>
          <w:noProof/>
        </w:rPr>
        <w:t xml:space="preserve">7 GHz bands, the DESI figure for </w:t>
      </w:r>
      <w:r w:rsidR="00E579FB" w:rsidRPr="00D86314">
        <w:rPr>
          <w:rFonts w:eastAsia="Arial" w:cs="Arial"/>
          <w:noProof/>
        </w:rPr>
        <w:t xml:space="preserve">overall </w:t>
      </w:r>
      <w:r w:rsidRPr="00D86314">
        <w:rPr>
          <w:rFonts w:eastAsia="Arial" w:cs="Arial"/>
          <w:noProof/>
        </w:rPr>
        <w:t xml:space="preserve">5G coverage </w:t>
      </w:r>
      <w:r w:rsidR="00E579FB" w:rsidRPr="00D86314">
        <w:rPr>
          <w:rFonts w:eastAsia="Arial" w:cs="Arial"/>
          <w:noProof/>
        </w:rPr>
        <w:t xml:space="preserve">was used </w:t>
      </w:r>
      <w:r w:rsidRPr="00D86314">
        <w:rPr>
          <w:rFonts w:eastAsia="Arial" w:cs="Arial"/>
          <w:noProof/>
        </w:rPr>
        <w:t>as a guide. This is currently an EU average of 94%</w:t>
      </w:r>
      <w:r w:rsidRPr="00D86314">
        <w:rPr>
          <w:rStyle w:val="FootnoteReference"/>
          <w:rFonts w:eastAsia="Arial" w:cs="Arial"/>
          <w:noProof/>
        </w:rPr>
        <w:footnoteReference w:id="97"/>
      </w:r>
      <w:r w:rsidRPr="00D86314">
        <w:rPr>
          <w:rFonts w:eastAsia="Arial" w:cs="Arial"/>
          <w:noProof/>
        </w:rPr>
        <w:t>. It is reasonable to assume that all 5G coverage would be 99</w:t>
      </w:r>
      <w:r w:rsidR="00852007">
        <w:rPr>
          <w:rFonts w:eastAsia="Arial" w:cs="Arial"/>
          <w:noProof/>
        </w:rPr>
        <w:t>-</w:t>
      </w:r>
      <w:r w:rsidRPr="00D86314">
        <w:rPr>
          <w:rFonts w:eastAsia="Arial" w:cs="Arial"/>
          <w:noProof/>
        </w:rPr>
        <w:t xml:space="preserve">100% by 2035. </w:t>
      </w:r>
      <w:r w:rsidR="00E579FB" w:rsidRPr="00D86314">
        <w:rPr>
          <w:rFonts w:eastAsia="Arial" w:cs="Arial"/>
          <w:noProof/>
        </w:rPr>
        <w:t xml:space="preserve">The </w:t>
      </w:r>
      <w:r w:rsidRPr="00D86314">
        <w:rPr>
          <w:rFonts w:eastAsia="Arial" w:cs="Arial"/>
          <w:noProof/>
        </w:rPr>
        <w:t>estimate of 1</w:t>
      </w:r>
      <w:r w:rsidR="00852007">
        <w:rPr>
          <w:rFonts w:eastAsia="Arial" w:cs="Arial"/>
          <w:noProof/>
        </w:rPr>
        <w:t>-</w:t>
      </w:r>
      <w:r w:rsidRPr="00D86314">
        <w:rPr>
          <w:rFonts w:eastAsia="Arial" w:cs="Arial"/>
          <w:noProof/>
        </w:rPr>
        <w:t xml:space="preserve">7 GHz coverage </w:t>
      </w:r>
      <w:r w:rsidR="00341A05" w:rsidRPr="00D86314">
        <w:rPr>
          <w:rFonts w:eastAsia="Arial" w:cs="Arial"/>
          <w:noProof/>
        </w:rPr>
        <w:t xml:space="preserve">was </w:t>
      </w:r>
      <w:r w:rsidRPr="00D86314">
        <w:rPr>
          <w:rFonts w:eastAsia="Arial" w:cs="Arial"/>
          <w:noProof/>
        </w:rPr>
        <w:t xml:space="preserve">therefore </w:t>
      </w:r>
      <w:r w:rsidR="00341A05" w:rsidRPr="00D86314">
        <w:rPr>
          <w:rFonts w:eastAsia="Arial" w:cs="Arial"/>
          <w:noProof/>
        </w:rPr>
        <w:t xml:space="preserve">derived as </w:t>
      </w:r>
      <w:r w:rsidRPr="00D86314">
        <w:rPr>
          <w:rFonts w:eastAsia="Arial" w:cs="Arial"/>
          <w:noProof/>
        </w:rPr>
        <w:t>the "all 5G coverage" figure minus the additional coverage provided by 700, 800 and 900 MHz.</w:t>
      </w:r>
    </w:p>
    <w:p w14:paraId="3B396AF4" w14:textId="39DE1FDC" w:rsidR="00C778BA" w:rsidRPr="00D86314" w:rsidRDefault="00341A05" w:rsidP="00C778BA">
      <w:pPr>
        <w:rPr>
          <w:rFonts w:eastAsia="Arial" w:cs="Arial"/>
          <w:noProof/>
        </w:rPr>
      </w:pPr>
      <w:r w:rsidRPr="00D86314">
        <w:rPr>
          <w:rFonts w:eastAsia="Arial" w:cs="Arial"/>
          <w:noProof/>
        </w:rPr>
        <w:t xml:space="preserve">It was </w:t>
      </w:r>
      <w:r w:rsidR="00C778BA" w:rsidRPr="00D86314">
        <w:rPr>
          <w:rFonts w:eastAsia="Arial" w:cs="Arial"/>
          <w:noProof/>
        </w:rPr>
        <w:t>estimated that the without any new policy intervention, average 5G coverage in1</w:t>
      </w:r>
      <w:r w:rsidR="00431E09">
        <w:rPr>
          <w:rFonts w:eastAsia="Arial" w:cs="Arial"/>
          <w:noProof/>
        </w:rPr>
        <w:t>-</w:t>
      </w:r>
      <w:r w:rsidR="00C778BA" w:rsidRPr="00D86314">
        <w:rPr>
          <w:rFonts w:eastAsia="Arial" w:cs="Arial"/>
          <w:noProof/>
        </w:rPr>
        <w:t>7</w:t>
      </w:r>
      <w:r w:rsidR="0019385B" w:rsidRPr="00D86314">
        <w:rPr>
          <w:rFonts w:eastAsia="Arial" w:cs="Arial"/>
          <w:noProof/>
        </w:rPr>
        <w:t> </w:t>
      </w:r>
      <w:r w:rsidR="00C778BA" w:rsidRPr="00D86314">
        <w:rPr>
          <w:rFonts w:eastAsia="Arial" w:cs="Arial"/>
          <w:noProof/>
        </w:rPr>
        <w:t>GHz coverage would be 90%.</w:t>
      </w:r>
    </w:p>
    <w:p w14:paraId="24C8DEB2" w14:textId="6AEE90E3" w:rsidR="00C778BA" w:rsidRPr="00D86314" w:rsidRDefault="00C778BA" w:rsidP="00C778BA">
      <w:pPr>
        <w:rPr>
          <w:rFonts w:eastAsia="Arial" w:cs="Arial"/>
          <w:noProof/>
        </w:rPr>
      </w:pPr>
      <w:r w:rsidRPr="00D86314">
        <w:rPr>
          <w:rFonts w:eastAsia="Arial" w:cs="Arial"/>
          <w:noProof/>
        </w:rPr>
        <w:t>Taking into account the impact of policy options relating to award design, licence length and fewer market shaping measures on stimulating investment for all licence renewals and upper 6 GHz</w:t>
      </w:r>
      <w:r w:rsidR="005B78B0" w:rsidRPr="00D86314">
        <w:rPr>
          <w:rFonts w:eastAsia="Arial" w:cs="Arial"/>
          <w:noProof/>
        </w:rPr>
        <w:t>,</w:t>
      </w:r>
      <w:r w:rsidRPr="00D86314">
        <w:rPr>
          <w:rFonts w:eastAsia="Arial" w:cs="Arial"/>
          <w:noProof/>
        </w:rPr>
        <w:t xml:space="preserve"> the following growth in coverage</w:t>
      </w:r>
      <w:r w:rsidR="005B78B0" w:rsidRPr="00D86314">
        <w:rPr>
          <w:rFonts w:eastAsia="Arial" w:cs="Arial"/>
          <w:noProof/>
        </w:rPr>
        <w:t xml:space="preserve"> was estimated</w:t>
      </w:r>
      <w:r w:rsidRPr="00D86314">
        <w:rPr>
          <w:rFonts w:eastAsia="Arial" w:cs="Arial"/>
          <w:noProof/>
        </w:rPr>
        <w:t>:</w:t>
      </w:r>
    </w:p>
    <w:p w14:paraId="49141427" w14:textId="77777777" w:rsidR="00C778BA" w:rsidRPr="00D86314" w:rsidRDefault="00C778BA" w:rsidP="00A00C17">
      <w:pPr>
        <w:pStyle w:val="ListParagraph"/>
        <w:numPr>
          <w:ilvl w:val="0"/>
          <w:numId w:val="44"/>
        </w:numPr>
        <w:spacing w:after="0" w:line="259" w:lineRule="auto"/>
        <w:jc w:val="left"/>
        <w:rPr>
          <w:rFonts w:eastAsia="Arial" w:cs="Arial"/>
          <w:noProof/>
        </w:rPr>
      </w:pPr>
      <w:r w:rsidRPr="00D86314">
        <w:rPr>
          <w:rFonts w:eastAsia="Arial" w:cs="Arial"/>
          <w:noProof/>
        </w:rPr>
        <w:t xml:space="preserve">Baseline: 90% </w:t>
      </w:r>
    </w:p>
    <w:p w14:paraId="2255EC91" w14:textId="77777777" w:rsidR="00C778BA" w:rsidRPr="00D86314" w:rsidRDefault="00C778BA" w:rsidP="00A00C17">
      <w:pPr>
        <w:pStyle w:val="ListParagraph"/>
        <w:numPr>
          <w:ilvl w:val="0"/>
          <w:numId w:val="44"/>
        </w:numPr>
        <w:spacing w:after="0" w:line="259" w:lineRule="auto"/>
        <w:jc w:val="left"/>
        <w:rPr>
          <w:rFonts w:eastAsia="Arial" w:cs="Arial"/>
          <w:noProof/>
        </w:rPr>
      </w:pPr>
      <w:r w:rsidRPr="00D86314">
        <w:rPr>
          <w:rFonts w:eastAsia="Arial" w:cs="Arial"/>
          <w:noProof/>
        </w:rPr>
        <w:t>Option 1: 92%</w:t>
      </w:r>
      <w:r w:rsidRPr="00D86314">
        <w:rPr>
          <w:noProof/>
        </w:rPr>
        <w:tab/>
      </w:r>
    </w:p>
    <w:p w14:paraId="55614CB1" w14:textId="77777777" w:rsidR="00C778BA" w:rsidRPr="00D86314" w:rsidRDefault="00C778BA" w:rsidP="00A00C17">
      <w:pPr>
        <w:pStyle w:val="ListParagraph"/>
        <w:numPr>
          <w:ilvl w:val="0"/>
          <w:numId w:val="44"/>
        </w:numPr>
        <w:spacing w:after="0" w:line="259" w:lineRule="auto"/>
        <w:jc w:val="left"/>
        <w:rPr>
          <w:rFonts w:eastAsia="Arial" w:cs="Arial"/>
          <w:noProof/>
        </w:rPr>
      </w:pPr>
      <w:r w:rsidRPr="00D86314">
        <w:rPr>
          <w:rFonts w:eastAsia="Arial" w:cs="Arial"/>
          <w:noProof/>
        </w:rPr>
        <w:t>Option 2: 96%</w:t>
      </w:r>
      <w:r w:rsidRPr="00D86314">
        <w:rPr>
          <w:noProof/>
        </w:rPr>
        <w:tab/>
      </w:r>
    </w:p>
    <w:p w14:paraId="10C81039" w14:textId="77777777" w:rsidR="00C778BA" w:rsidRPr="00D86314" w:rsidRDefault="00C778BA" w:rsidP="00A00C17">
      <w:pPr>
        <w:pStyle w:val="ListParagraph"/>
        <w:numPr>
          <w:ilvl w:val="0"/>
          <w:numId w:val="44"/>
        </w:numPr>
        <w:spacing w:after="0" w:line="259" w:lineRule="auto"/>
        <w:jc w:val="left"/>
        <w:rPr>
          <w:rFonts w:eastAsia="Arial" w:cs="Arial"/>
          <w:noProof/>
        </w:rPr>
      </w:pPr>
      <w:r w:rsidRPr="00D86314">
        <w:rPr>
          <w:rFonts w:eastAsia="Arial" w:cs="Arial"/>
          <w:noProof/>
        </w:rPr>
        <w:t>Option 3: 96%</w:t>
      </w:r>
    </w:p>
    <w:p w14:paraId="66232017" w14:textId="47631F02" w:rsidR="00C778BA" w:rsidRPr="00D86314" w:rsidRDefault="00C778BA" w:rsidP="00441042">
      <w:pPr>
        <w:spacing w:before="120"/>
        <w:rPr>
          <w:rFonts w:eastAsia="Arial" w:cs="Arial"/>
          <w:noProof/>
        </w:rPr>
      </w:pPr>
      <w:r w:rsidRPr="00D86314">
        <w:rPr>
          <w:rFonts w:eastAsia="Arial" w:cs="Arial"/>
          <w:noProof/>
        </w:rPr>
        <w:t xml:space="preserve">The figure is the same for </w:t>
      </w:r>
      <w:r w:rsidR="00303DCB" w:rsidRPr="00D86314">
        <w:rPr>
          <w:rFonts w:eastAsia="Arial" w:cs="Arial"/>
          <w:noProof/>
        </w:rPr>
        <w:t xml:space="preserve">options </w:t>
      </w:r>
      <w:r w:rsidRPr="00D86314">
        <w:rPr>
          <w:rFonts w:eastAsia="Arial" w:cs="Arial"/>
          <w:noProof/>
        </w:rPr>
        <w:t xml:space="preserve">2 and 3 because </w:t>
      </w:r>
      <w:r w:rsidR="005B78B0" w:rsidRPr="00D86314">
        <w:rPr>
          <w:rFonts w:eastAsia="Arial" w:cs="Arial"/>
          <w:noProof/>
        </w:rPr>
        <w:t>it is</w:t>
      </w:r>
      <w:r w:rsidRPr="00D86314">
        <w:rPr>
          <w:rFonts w:eastAsia="Arial" w:cs="Arial"/>
          <w:noProof/>
        </w:rPr>
        <w:t xml:space="preserve"> not consider</w:t>
      </w:r>
      <w:r w:rsidR="005B78B0" w:rsidRPr="00D86314">
        <w:rPr>
          <w:rFonts w:eastAsia="Arial" w:cs="Arial"/>
          <w:noProof/>
        </w:rPr>
        <w:t>ed</w:t>
      </w:r>
      <w:r w:rsidR="008E469E" w:rsidRPr="00D86314">
        <w:rPr>
          <w:rFonts w:eastAsia="Arial" w:cs="Arial"/>
          <w:noProof/>
        </w:rPr>
        <w:t xml:space="preserve"> that</w:t>
      </w:r>
      <w:r w:rsidRPr="00D86314">
        <w:rPr>
          <w:rFonts w:eastAsia="Arial" w:cs="Arial"/>
          <w:noProof/>
        </w:rPr>
        <w:t xml:space="preserve"> the </w:t>
      </w:r>
      <w:r w:rsidR="00303DCB" w:rsidRPr="00D86314">
        <w:rPr>
          <w:rFonts w:eastAsia="Arial" w:cs="Arial"/>
          <w:noProof/>
        </w:rPr>
        <w:t xml:space="preserve">option </w:t>
      </w:r>
      <w:r w:rsidRPr="00D86314">
        <w:rPr>
          <w:rFonts w:eastAsia="Arial" w:cs="Arial"/>
          <w:noProof/>
        </w:rPr>
        <w:t>3 proposals on licence length,processes, or market shaping measures will make a significant difference.</w:t>
      </w:r>
    </w:p>
    <w:p w14:paraId="6C92F3D6" w14:textId="01E963BC" w:rsidR="00C778BA" w:rsidRPr="00D86314" w:rsidRDefault="005B3703" w:rsidP="00C778BA">
      <w:pPr>
        <w:pStyle w:val="Caption"/>
        <w:rPr>
          <w:b/>
          <w:noProof/>
          <w:color w:val="auto"/>
          <w:sz w:val="22"/>
          <w:szCs w:val="22"/>
        </w:rPr>
      </w:pPr>
      <w:bookmarkStart w:id="141" w:name="_Ref202432392"/>
      <w:bookmarkStart w:id="142" w:name="_Ref218169534"/>
      <w:bookmarkStart w:id="143" w:name="_Toc202554269"/>
      <w:r w:rsidRPr="00D86314">
        <w:rPr>
          <w:noProof/>
          <w:color w:val="auto"/>
          <w:sz w:val="22"/>
          <w:szCs w:val="22"/>
        </w:rPr>
        <w:t xml:space="preserve">Figure A4 </w:t>
      </w:r>
      <w:bookmarkEnd w:id="141"/>
      <w:r w:rsidR="005B5146">
        <w:rPr>
          <w:noProof/>
          <w:color w:val="auto"/>
          <w:sz w:val="22"/>
          <w:szCs w:val="22"/>
        </w:rPr>
        <w:fldChar w:fldCharType="begin"/>
      </w:r>
      <w:r w:rsidR="005B5146">
        <w:rPr>
          <w:noProof/>
          <w:color w:val="auto"/>
          <w:sz w:val="22"/>
          <w:szCs w:val="22"/>
        </w:rPr>
        <w:instrText xml:space="preserve"> STYLEREF 1 \s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0B2DA5">
        <w:rPr>
          <w:noProof/>
          <w:color w:val="auto"/>
          <w:sz w:val="22"/>
          <w:szCs w:val="22"/>
        </w:rPr>
        <w:t>-</w:t>
      </w:r>
      <w:r w:rsidR="005B5146">
        <w:rPr>
          <w:noProof/>
          <w:color w:val="auto"/>
          <w:sz w:val="22"/>
          <w:szCs w:val="22"/>
        </w:rPr>
        <w:noBreakHyphen/>
      </w:r>
      <w:r w:rsidR="00D74B9A">
        <w:rPr>
          <w:noProof/>
          <w:color w:val="auto"/>
          <w:sz w:val="22"/>
          <w:szCs w:val="22"/>
        </w:rPr>
        <w:t>6</w:t>
      </w:r>
      <w:bookmarkEnd w:id="142"/>
      <w:r w:rsidR="00C778BA" w:rsidRPr="00D86314">
        <w:rPr>
          <w:noProof/>
          <w:color w:val="auto"/>
          <w:sz w:val="22"/>
          <w:szCs w:val="22"/>
        </w:rPr>
        <w:t xml:space="preserve">:5G midband coverage by option </w:t>
      </w:r>
      <w:bookmarkEnd w:id="143"/>
    </w:p>
    <w:p w14:paraId="5CA13EA5" w14:textId="77777777" w:rsidR="00C778BA" w:rsidRPr="00D86314" w:rsidRDefault="00C778BA" w:rsidP="00C778BA">
      <w:pPr>
        <w:jc w:val="center"/>
        <w:rPr>
          <w:noProof/>
        </w:rPr>
      </w:pPr>
      <w:r w:rsidRPr="00E46BC9">
        <w:rPr>
          <w:noProof/>
          <w:lang w:eastAsia="en-GB"/>
        </w:rPr>
        <w:drawing>
          <wp:inline distT="0" distB="0" distL="0" distR="0" wp14:anchorId="09150F6E" wp14:editId="07FDA4D7">
            <wp:extent cx="5089170" cy="3026057"/>
            <wp:effectExtent l="0" t="0" r="0" b="3175"/>
            <wp:docPr id="2739974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97426" name=""/>
                    <pic:cNvPicPr/>
                  </pic:nvPicPr>
                  <pic:blipFill>
                    <a:blip r:embed="rId79">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80"/>
                        </a:ext>
                      </a:extLst>
                    </a:blip>
                    <a:stretch>
                      <a:fillRect/>
                    </a:stretch>
                  </pic:blipFill>
                  <pic:spPr>
                    <a:xfrm>
                      <a:off x="0" y="0"/>
                      <a:ext cx="5096999" cy="3030712"/>
                    </a:xfrm>
                    <a:prstGeom prst="rect">
                      <a:avLst/>
                    </a:prstGeom>
                  </pic:spPr>
                </pic:pic>
              </a:graphicData>
            </a:graphic>
          </wp:inline>
        </w:drawing>
      </w:r>
    </w:p>
    <w:p w14:paraId="30ED1AFB" w14:textId="77777777" w:rsidR="00C778BA" w:rsidRPr="00D86314" w:rsidRDefault="00C778BA" w:rsidP="00C778BA">
      <w:pPr>
        <w:pStyle w:val="Quelle"/>
        <w:rPr>
          <w:rFonts w:ascii="Times New Roman" w:hAnsi="Times New Roman"/>
          <w:noProof/>
        </w:rPr>
      </w:pPr>
      <w:r w:rsidRPr="00D86314">
        <w:rPr>
          <w:rFonts w:ascii="Times New Roman" w:hAnsi="Times New Roman"/>
          <w:noProof/>
        </w:rPr>
        <w:t>Source:</w:t>
      </w:r>
      <w:r w:rsidRPr="00D86314">
        <w:rPr>
          <w:rFonts w:ascii="Times New Roman" w:hAnsi="Times New Roman"/>
          <w:noProof/>
        </w:rPr>
        <w:tab/>
        <w:t xml:space="preserve">WIK-Consult. </w:t>
      </w:r>
    </w:p>
    <w:p w14:paraId="1330DD43" w14:textId="57B6CD80" w:rsidR="00C778BA" w:rsidRPr="00D86314" w:rsidRDefault="00C778BA" w:rsidP="00C778BA">
      <w:pPr>
        <w:rPr>
          <w:rFonts w:eastAsia="Arial" w:cs="Arial"/>
          <w:noProof/>
        </w:rPr>
      </w:pPr>
      <w:r w:rsidRPr="00D86314">
        <w:rPr>
          <w:noProof/>
        </w:rPr>
        <w:t>The evolution of 5G coverage can be segmented between coverage of low- and mid-band spectrum usage. European mobile network operators employ the 3.5</w:t>
      </w:r>
      <w:r w:rsidR="00993AFF" w:rsidRPr="00D86314">
        <w:rPr>
          <w:noProof/>
        </w:rPr>
        <w:t xml:space="preserve"> </w:t>
      </w:r>
      <w:r w:rsidRPr="00D86314">
        <w:rPr>
          <w:noProof/>
        </w:rPr>
        <w:t>GHz band for 5G as this delivers the fast average speeds and reasonable coverage. According to Opensignal other bands see less frequent 5G use.</w:t>
      </w:r>
      <w:r w:rsidRPr="00D86314">
        <w:rPr>
          <w:rStyle w:val="FootnoteReference"/>
          <w:noProof/>
        </w:rPr>
        <w:footnoteReference w:id="98"/>
      </w:r>
    </w:p>
    <w:p w14:paraId="54A51128" w14:textId="77777777" w:rsidR="00C778BA" w:rsidRPr="00D86314" w:rsidRDefault="00C778BA" w:rsidP="00C778BA">
      <w:pPr>
        <w:pStyle w:val="Heading4"/>
        <w:rPr>
          <w:noProof/>
        </w:rPr>
      </w:pPr>
      <w:r w:rsidRPr="00D86314">
        <w:rPr>
          <w:noProof/>
        </w:rPr>
        <w:t>Assumptions regarding download speed projections</w:t>
      </w:r>
    </w:p>
    <w:p w14:paraId="5B8FFFC0" w14:textId="77777777" w:rsidR="00C778BA" w:rsidRPr="00D86314" w:rsidRDefault="00C778BA" w:rsidP="00C778BA">
      <w:pPr>
        <w:rPr>
          <w:noProof/>
          <w:color w:val="000000" w:themeColor="text1"/>
        </w:rPr>
      </w:pPr>
      <w:r w:rsidRPr="00D86314">
        <w:rPr>
          <w:noProof/>
          <w:color w:val="000000" w:themeColor="text1"/>
        </w:rPr>
        <w:t>Mobile network speeds in Europe have steadily improved since 2020, driven by the ongoing rollout of 5G. Many EU countries have seen substantial speed increases as 5G adoption has grown. According to an OpenSignal analysis, European markets experienced an average increase in mobile download speeds of around 7.4 Mbps in 2023 alone. This increase was largely due to 5G deployment and more efficient use of the radio spectrum.</w:t>
      </w:r>
      <w:r w:rsidRPr="00D86314">
        <w:rPr>
          <w:rStyle w:val="FootnoteReference"/>
          <w:noProof/>
          <w:color w:val="000000" w:themeColor="text1"/>
        </w:rPr>
        <w:footnoteReference w:id="99"/>
      </w:r>
    </w:p>
    <w:p w14:paraId="3E5348E2" w14:textId="77777777" w:rsidR="00C778BA" w:rsidRPr="00D86314" w:rsidRDefault="00C778BA" w:rsidP="00C778BA">
      <w:pPr>
        <w:rPr>
          <w:noProof/>
          <w:color w:val="000000" w:themeColor="text1"/>
        </w:rPr>
      </w:pPr>
      <w:r w:rsidRPr="00D86314">
        <w:rPr>
          <w:noProof/>
          <w:color w:val="000000" w:themeColor="text1"/>
        </w:rPr>
        <w:t>Median 5G SA download speeds in Europe reached 221.17 Mbps, slower than those in the Americas (384.42 Mbps) and both Developed (237.04 Mbps) and Emerging (259.73 Mbps) Asia Pacific.</w:t>
      </w:r>
      <w:r w:rsidRPr="00D86314">
        <w:rPr>
          <w:rStyle w:val="FootnoteReference"/>
          <w:noProof/>
          <w:color w:val="000000" w:themeColor="text1"/>
        </w:rPr>
        <w:t xml:space="preserve"> </w:t>
      </w:r>
      <w:r w:rsidRPr="00D86314">
        <w:rPr>
          <w:noProof/>
          <w:color w:val="000000" w:themeColor="text1"/>
        </w:rPr>
        <w:t>Southern and Central European countries have overtaken the Nordic countries in terms of download speed. Greece (547.52 Mbps) had the fastest median download speed in Q4 2024 thanks to its use of the 3.5 GHz band, while Spain and Austria had the best rural 5G SA coverage due to their intensive deployment of the 700 MHz band.</w:t>
      </w:r>
      <w:r w:rsidRPr="00D86314">
        <w:rPr>
          <w:rStyle w:val="FootnoteReference"/>
          <w:noProof/>
          <w:color w:val="000000" w:themeColor="text1"/>
        </w:rPr>
        <w:footnoteReference w:id="100"/>
      </w:r>
    </w:p>
    <w:p w14:paraId="1C1FE1AB" w14:textId="687CC799" w:rsidR="00C778BA" w:rsidRPr="00D86314" w:rsidRDefault="00C778BA" w:rsidP="00C778BA">
      <w:pPr>
        <w:rPr>
          <w:noProof/>
          <w:color w:val="000000" w:themeColor="text1"/>
        </w:rPr>
      </w:pPr>
      <w:r w:rsidRPr="00D86314">
        <w:rPr>
          <w:noProof/>
          <w:color w:val="000000" w:themeColor="text1"/>
        </w:rPr>
        <w:t>The difference in 5G download speed across European countries is increasingly defined by spectrum strategy. Markets that deploy mid-band spectrum are achieving much faster 5G speeds. Conversely, countries that use low-band 5G are falling behind in terms of speed. However, lower bands like 700 MHz are needed to add capacity or to meet coverage obligations.</w:t>
      </w:r>
      <w:r w:rsidRPr="00D86314">
        <w:rPr>
          <w:rStyle w:val="FootnoteReference"/>
          <w:noProof/>
          <w:color w:val="000000" w:themeColor="text1"/>
        </w:rPr>
        <w:footnoteReference w:id="101"/>
      </w:r>
      <w:r w:rsidR="00094A54" w:rsidRPr="00D86314">
        <w:rPr>
          <w:noProof/>
          <w:color w:val="000000" w:themeColor="text1"/>
        </w:rPr>
        <w:t xml:space="preserve"> </w:t>
      </w:r>
    </w:p>
    <w:p w14:paraId="37B46E7E" w14:textId="2D540C88" w:rsidR="00DB4B71" w:rsidRPr="00D86314" w:rsidRDefault="00DB4B71" w:rsidP="00DB4B71">
      <w:pPr>
        <w:pStyle w:val="Caption"/>
        <w:keepNext/>
        <w:rPr>
          <w:noProof/>
          <w:color w:val="auto"/>
          <w:sz w:val="22"/>
          <w:szCs w:val="22"/>
        </w:rPr>
      </w:pPr>
      <w:bookmarkStart w:id="144" w:name="_Ref218170482"/>
      <w:r w:rsidRPr="00D86314">
        <w:rPr>
          <w:noProof/>
          <w:color w:val="auto"/>
          <w:sz w:val="22"/>
          <w:szCs w:val="22"/>
        </w:rPr>
        <w:t xml:space="preserve">Figure A4 </w:t>
      </w:r>
      <w:r w:rsidRPr="00D86314">
        <w:rPr>
          <w:noProof/>
          <w:color w:val="auto"/>
          <w:sz w:val="22"/>
          <w:szCs w:val="22"/>
        </w:rPr>
        <w:fldChar w:fldCharType="begin"/>
      </w:r>
      <w:r w:rsidRPr="00D86314">
        <w:rPr>
          <w:noProof/>
          <w:color w:val="auto"/>
          <w:sz w:val="22"/>
          <w:szCs w:val="22"/>
        </w:rPr>
        <w:fldChar w:fldCharType="separate"/>
      </w:r>
      <w:r w:rsidRPr="00D86314">
        <w:rPr>
          <w:noProof/>
          <w:color w:val="auto"/>
          <w:sz w:val="22"/>
          <w:szCs w:val="22"/>
        </w:rPr>
        <w:t>2</w:t>
      </w:r>
      <w:r w:rsidRPr="00D86314">
        <w:rPr>
          <w:noProof/>
          <w:color w:val="auto"/>
          <w:sz w:val="22"/>
          <w:szCs w:val="22"/>
        </w:rPr>
        <w:fldChar w:fldCharType="end"/>
      </w:r>
      <w:r w:rsidR="001F10E6" w:rsidRPr="00D86314">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STYLEREF 1 \s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B5146">
        <w:rPr>
          <w:noProof/>
          <w:color w:val="auto"/>
          <w:sz w:val="22"/>
          <w:szCs w:val="22"/>
        </w:rPr>
        <w:noBreakHyphen/>
      </w:r>
      <w:r w:rsidR="00D74B9A">
        <w:rPr>
          <w:noProof/>
          <w:color w:val="auto"/>
          <w:sz w:val="22"/>
          <w:szCs w:val="22"/>
        </w:rPr>
        <w:t>7</w:t>
      </w:r>
      <w:bookmarkEnd w:id="144"/>
      <w:r w:rsidRPr="00D86314">
        <w:rPr>
          <w:noProof/>
          <w:color w:val="auto"/>
          <w:sz w:val="22"/>
          <w:szCs w:val="22"/>
        </w:rPr>
        <w:t>: Mid-band deployments in Europe and higher download speeds</w:t>
      </w:r>
    </w:p>
    <w:p w14:paraId="2552D195" w14:textId="35747C4D" w:rsidR="00C778BA" w:rsidRPr="00D86314" w:rsidRDefault="00C778BA" w:rsidP="00C778BA">
      <w:pPr>
        <w:rPr>
          <w:noProof/>
          <w:color w:val="000000" w:themeColor="text1"/>
        </w:rPr>
      </w:pPr>
      <w:r w:rsidRPr="00E46BC9">
        <w:rPr>
          <w:noProof/>
          <w:lang w:eastAsia="en-GB"/>
        </w:rPr>
        <w:drawing>
          <wp:inline distT="0" distB="0" distL="0" distR="0" wp14:anchorId="30C54C05" wp14:editId="3B81D387">
            <wp:extent cx="5440045" cy="3187700"/>
            <wp:effectExtent l="0" t="0" r="8255" b="0"/>
            <wp:docPr id="114524556" name="Grafik 1" descr="Ein Bild, das Text, Screenshot, Schrif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10864" name="Grafik 1" descr="Ein Bild, das Text, Screenshot, Schrift, Reihe enthält.&#10;&#10;KI-generierte Inhalte können fehlerhaft sein."/>
                    <pic:cNvPicPr/>
                  </pic:nvPicPr>
                  <pic:blipFill>
                    <a:blip r:embed="rId81"/>
                    <a:stretch>
                      <a:fillRect/>
                    </a:stretch>
                  </pic:blipFill>
                  <pic:spPr>
                    <a:xfrm>
                      <a:off x="0" y="0"/>
                      <a:ext cx="5440045" cy="3187700"/>
                    </a:xfrm>
                    <a:prstGeom prst="rect">
                      <a:avLst/>
                    </a:prstGeom>
                  </pic:spPr>
                </pic:pic>
              </a:graphicData>
            </a:graphic>
          </wp:inline>
        </w:drawing>
      </w:r>
      <w:r w:rsidRPr="00E46BC9">
        <w:rPr>
          <w:noProof/>
          <w:lang w:eastAsia="en-GB"/>
        </w:rPr>
        <w:drawing>
          <wp:inline distT="0" distB="0" distL="0" distR="0" wp14:anchorId="4EC4B855" wp14:editId="65B9CD00">
            <wp:extent cx="5440045" cy="3187700"/>
            <wp:effectExtent l="0" t="0" r="8255" b="0"/>
            <wp:docPr id="1141710864" name="Grafik 1" descr="Ein Bild, das Text, Screenshot, Schrif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10864" name="Grafik 1" descr="Ein Bild, das Text, Screenshot, Schrift, Reihe enthält.&#10;&#10;KI-generierte Inhalte können fehlerhaft sein."/>
                    <pic:cNvPicPr/>
                  </pic:nvPicPr>
                  <pic:blipFill>
                    <a:blip r:embed="rId81"/>
                    <a:stretch>
                      <a:fillRect/>
                    </a:stretch>
                  </pic:blipFill>
                  <pic:spPr>
                    <a:xfrm>
                      <a:off x="0" y="0"/>
                      <a:ext cx="5440045" cy="3187700"/>
                    </a:xfrm>
                    <a:prstGeom prst="rect">
                      <a:avLst/>
                    </a:prstGeom>
                  </pic:spPr>
                </pic:pic>
              </a:graphicData>
            </a:graphic>
          </wp:inline>
        </w:drawing>
      </w:r>
    </w:p>
    <w:p w14:paraId="250C7B9C" w14:textId="77777777" w:rsidR="00C778BA" w:rsidRPr="00D86314" w:rsidRDefault="00C778BA" w:rsidP="00C778BA">
      <w:pPr>
        <w:pStyle w:val="Quelle"/>
        <w:rPr>
          <w:rFonts w:ascii="Times New Roman" w:hAnsi="Times New Roman"/>
          <w:noProof/>
          <w:color w:val="000000" w:themeColor="text1"/>
        </w:rPr>
      </w:pPr>
      <w:r w:rsidRPr="00D86314">
        <w:rPr>
          <w:rFonts w:ascii="Times New Roman" w:hAnsi="Times New Roman"/>
          <w:noProof/>
          <w:color w:val="000000" w:themeColor="text1"/>
        </w:rPr>
        <w:t>Source: Ookla/ Omdia (2025), A Global Evaluation of Europe’s Digital Competitiveness in 5G Standalone, p. 25.</w:t>
      </w:r>
    </w:p>
    <w:p w14:paraId="108772F1" w14:textId="29720FB1" w:rsidR="00C778BA" w:rsidRPr="00D86314" w:rsidRDefault="00C778BA" w:rsidP="008B6602">
      <w:pPr>
        <w:keepNext/>
        <w:keepLines/>
        <w:rPr>
          <w:noProof/>
          <w:color w:val="000000" w:themeColor="text1"/>
        </w:rPr>
      </w:pPr>
      <w:r w:rsidRPr="00D86314">
        <w:rPr>
          <w:noProof/>
          <w:color w:val="000000" w:themeColor="text1"/>
        </w:rPr>
        <w:t xml:space="preserve">The </w:t>
      </w:r>
      <w:r w:rsidR="004B0910">
        <w:rPr>
          <w:noProof/>
          <w:color w:val="000000" w:themeColor="text1"/>
        </w:rPr>
        <w:fldChar w:fldCharType="begin"/>
      </w:r>
      <w:r w:rsidR="004B0910">
        <w:rPr>
          <w:noProof/>
          <w:color w:val="000000" w:themeColor="text1"/>
        </w:rPr>
        <w:instrText xml:space="preserve"> REF _Ref218170928 \h </w:instrText>
      </w:r>
      <w:r w:rsidR="004B0910">
        <w:rPr>
          <w:noProof/>
          <w:color w:val="000000" w:themeColor="text1"/>
        </w:rPr>
      </w:r>
      <w:r w:rsidR="004B0910">
        <w:rPr>
          <w:noProof/>
          <w:color w:val="000000" w:themeColor="text1"/>
        </w:rPr>
        <w:fldChar w:fldCharType="separate"/>
      </w:r>
      <w:r w:rsidR="004B0910" w:rsidRPr="00D86314">
        <w:rPr>
          <w:noProof/>
          <w:sz w:val="22"/>
          <w:szCs w:val="22"/>
        </w:rPr>
        <w:t xml:space="preserve">Figure A4 </w:t>
      </w:r>
      <w:r w:rsidR="004B0910">
        <w:rPr>
          <w:noProof/>
          <w:sz w:val="22"/>
          <w:szCs w:val="22"/>
        </w:rPr>
        <w:t>2</w:t>
      </w:r>
      <w:r w:rsidR="004B0910" w:rsidRPr="00D86314">
        <w:rPr>
          <w:noProof/>
          <w:sz w:val="22"/>
          <w:szCs w:val="22"/>
        </w:rPr>
        <w:noBreakHyphen/>
      </w:r>
      <w:r w:rsidR="004B0910">
        <w:rPr>
          <w:noProof/>
          <w:color w:val="000000" w:themeColor="text1"/>
        </w:rPr>
        <w:fldChar w:fldCharType="end"/>
      </w:r>
      <w:r w:rsidR="00D74B9A">
        <w:rPr>
          <w:noProof/>
          <w:color w:val="000000" w:themeColor="text1"/>
        </w:rPr>
        <w:t>8</w:t>
      </w:r>
      <w:r w:rsidR="004B0910">
        <w:rPr>
          <w:noProof/>
          <w:color w:val="000000" w:themeColor="text1"/>
        </w:rPr>
        <w:t xml:space="preserve"> </w:t>
      </w:r>
      <w:r w:rsidRPr="00D86314">
        <w:rPr>
          <w:noProof/>
          <w:color w:val="000000" w:themeColor="text1"/>
        </w:rPr>
        <w:t>below shows average mobile broadband speeds today in the EU.</w:t>
      </w:r>
      <w:r w:rsidR="00094A54" w:rsidRPr="00D86314">
        <w:rPr>
          <w:noProof/>
          <w:color w:val="000000" w:themeColor="text1"/>
        </w:rPr>
        <w:t xml:space="preserve"> </w:t>
      </w:r>
    </w:p>
    <w:p w14:paraId="7A0A5746" w14:textId="3BE89B4F" w:rsidR="00094A54" w:rsidRPr="00D86314" w:rsidRDefault="00094A54" w:rsidP="00094A54">
      <w:pPr>
        <w:pStyle w:val="Caption"/>
        <w:keepNext/>
        <w:rPr>
          <w:noProof/>
          <w:color w:val="auto"/>
          <w:sz w:val="22"/>
          <w:szCs w:val="22"/>
        </w:rPr>
      </w:pPr>
      <w:bookmarkStart w:id="145" w:name="_Ref218170928"/>
      <w:r w:rsidRPr="00D86314">
        <w:rPr>
          <w:noProof/>
          <w:color w:val="auto"/>
          <w:sz w:val="22"/>
          <w:szCs w:val="22"/>
        </w:rPr>
        <w:t>Figure</w:t>
      </w:r>
      <w:r w:rsidR="007F12FA" w:rsidRPr="00D86314">
        <w:rPr>
          <w:noProof/>
          <w:color w:val="auto"/>
          <w:sz w:val="22"/>
          <w:szCs w:val="22"/>
        </w:rPr>
        <w:t xml:space="preserve"> A4</w:t>
      </w:r>
      <w:r w:rsidRPr="00D86314">
        <w:rPr>
          <w:noProof/>
          <w:color w:val="auto"/>
          <w:sz w:val="22"/>
          <w:szCs w:val="22"/>
        </w:rPr>
        <w:t xml:space="preserve"> </w:t>
      </w:r>
      <w:r w:rsidRPr="00D86314">
        <w:rPr>
          <w:noProof/>
          <w:color w:val="auto"/>
          <w:sz w:val="22"/>
          <w:szCs w:val="22"/>
        </w:rPr>
        <w:fldChar w:fldCharType="begin"/>
      </w:r>
      <w:r w:rsidRPr="00D86314">
        <w:rPr>
          <w:noProof/>
          <w:color w:val="auto"/>
          <w:sz w:val="22"/>
          <w:szCs w:val="22"/>
        </w:rPr>
        <w:fldChar w:fldCharType="separate"/>
      </w:r>
      <w:r w:rsidRPr="00D86314">
        <w:rPr>
          <w:noProof/>
          <w:color w:val="auto"/>
          <w:sz w:val="22"/>
          <w:szCs w:val="22"/>
        </w:rPr>
        <w:t>2</w:t>
      </w:r>
      <w:r w:rsidRPr="00D86314">
        <w:rPr>
          <w:noProof/>
          <w:color w:val="auto"/>
          <w:sz w:val="22"/>
          <w:szCs w:val="22"/>
        </w:rPr>
        <w:fldChar w:fldCharType="end"/>
      </w:r>
      <w:r w:rsidR="001F10E6" w:rsidRPr="00D86314">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STYLEREF 1 \s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B5146">
        <w:rPr>
          <w:noProof/>
          <w:color w:val="auto"/>
          <w:sz w:val="22"/>
          <w:szCs w:val="22"/>
        </w:rPr>
        <w:noBreakHyphen/>
      </w:r>
      <w:r w:rsidR="00D74B9A">
        <w:rPr>
          <w:noProof/>
          <w:color w:val="auto"/>
          <w:sz w:val="22"/>
          <w:szCs w:val="22"/>
        </w:rPr>
        <w:t>8</w:t>
      </w:r>
      <w:bookmarkEnd w:id="145"/>
      <w:r w:rsidRPr="00D86314">
        <w:rPr>
          <w:noProof/>
          <w:color w:val="auto"/>
          <w:sz w:val="22"/>
          <w:szCs w:val="22"/>
        </w:rPr>
        <w:t>: Broadband speeds per Member State</w:t>
      </w:r>
    </w:p>
    <w:p w14:paraId="43FBBA13" w14:textId="77777777" w:rsidR="00C778BA" w:rsidRPr="00D86314" w:rsidRDefault="00C778BA" w:rsidP="00C778BA">
      <w:pPr>
        <w:rPr>
          <w:noProof/>
          <w:color w:val="000000" w:themeColor="text1"/>
        </w:rPr>
      </w:pPr>
      <w:r w:rsidRPr="00E46BC9">
        <w:rPr>
          <w:noProof/>
          <w:color w:val="000000" w:themeColor="text1"/>
          <w:lang w:eastAsia="en-GB"/>
        </w:rPr>
        <w:drawing>
          <wp:inline distT="0" distB="0" distL="0" distR="0" wp14:anchorId="30E2EE47" wp14:editId="0CDBE7F2">
            <wp:extent cx="5238750" cy="3364008"/>
            <wp:effectExtent l="0" t="0" r="0" b="8255"/>
            <wp:docPr id="302482276" name="Grafik 5" descr="Ein Bild, das Text, Screenshot, Reihe,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82276" name="Grafik 5" descr="Ein Bild, das Text, Screenshot, Reihe, Schrift enthält.&#10;&#10;KI-generierte Inhalte können fehlerhaft sein."/>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43384" cy="3366983"/>
                    </a:xfrm>
                    <a:prstGeom prst="rect">
                      <a:avLst/>
                    </a:prstGeom>
                    <a:noFill/>
                  </pic:spPr>
                </pic:pic>
              </a:graphicData>
            </a:graphic>
          </wp:inline>
        </w:drawing>
      </w:r>
    </w:p>
    <w:p w14:paraId="2B1E4831" w14:textId="77777777" w:rsidR="00C778BA" w:rsidRPr="00C20A01" w:rsidRDefault="00C778BA" w:rsidP="00C778BA">
      <w:pPr>
        <w:rPr>
          <w:noProof/>
          <w:color w:val="000000" w:themeColor="text1"/>
        </w:rPr>
      </w:pPr>
      <w:r w:rsidRPr="00C20A01">
        <w:rPr>
          <w:noProof/>
          <w:color w:val="000000" w:themeColor="text1"/>
          <w:sz w:val="18"/>
          <w:szCs w:val="18"/>
        </w:rPr>
        <w:t>Source: Ookla (2025), https://www.speedtest.net/global-index</w:t>
      </w:r>
    </w:p>
    <w:p w14:paraId="43C438BF" w14:textId="77777777" w:rsidR="00C778BA" w:rsidRPr="00D86314" w:rsidRDefault="00C778BA" w:rsidP="00C778BA">
      <w:pPr>
        <w:spacing w:after="0"/>
        <w:rPr>
          <w:rFonts w:eastAsia="Arial" w:cs="Arial"/>
          <w:noProof/>
        </w:rPr>
      </w:pPr>
      <w:r w:rsidRPr="00D86314">
        <w:rPr>
          <w:rFonts w:eastAsia="Arial" w:cs="Arial"/>
          <w:noProof/>
        </w:rPr>
        <w:t>Opensignal does not publish a list of download speeds for all the EU member states but some information can be gleaned from its individual country reports</w:t>
      </w:r>
      <w:r w:rsidRPr="00D86314">
        <w:rPr>
          <w:rStyle w:val="FootnoteReference"/>
          <w:rFonts w:eastAsia="Arial" w:cs="Arial"/>
          <w:noProof/>
        </w:rPr>
        <w:footnoteReference w:id="102"/>
      </w:r>
      <w:r w:rsidRPr="00D86314">
        <w:rPr>
          <w:rFonts w:eastAsia="Arial" w:cs="Arial"/>
          <w:noProof/>
        </w:rPr>
        <w:t xml:space="preserve">. The table below gives the download speed for the top performing operator in 11 EU Member States based on tests from in the past two years. The average is 214 Mbps. </w:t>
      </w:r>
    </w:p>
    <w:p w14:paraId="3B05D8DC" w14:textId="77777777" w:rsidR="00773E73" w:rsidRPr="00D86314" w:rsidRDefault="00773E73" w:rsidP="00C778BA">
      <w:pPr>
        <w:spacing w:after="0"/>
        <w:rPr>
          <w:rFonts w:eastAsia="Arial" w:cs="Arial"/>
          <w:noProof/>
        </w:rPr>
      </w:pPr>
    </w:p>
    <w:p w14:paraId="2979D9A0" w14:textId="195D4D9F" w:rsidR="00C778BA" w:rsidRPr="00C20A01" w:rsidRDefault="00C75AA3" w:rsidP="00C778BA">
      <w:pPr>
        <w:pStyle w:val="Caption"/>
        <w:rPr>
          <w:noProof/>
          <w:color w:val="auto"/>
          <w:sz w:val="22"/>
          <w:szCs w:val="22"/>
        </w:rPr>
      </w:pPr>
      <w:r w:rsidRPr="00C20A01">
        <w:rPr>
          <w:noProof/>
          <w:color w:val="auto"/>
          <w:sz w:val="22"/>
          <w:szCs w:val="22"/>
        </w:rPr>
        <w:t>Table A4 2</w:t>
      </w:r>
      <w:r w:rsidRPr="00C20A01">
        <w:rPr>
          <w:noProof/>
          <w:color w:val="auto"/>
          <w:sz w:val="22"/>
          <w:szCs w:val="22"/>
        </w:rPr>
        <w:noBreakHyphen/>
      </w:r>
      <w:r w:rsidRPr="00C20A01">
        <w:rPr>
          <w:noProof/>
          <w:color w:val="auto"/>
          <w:sz w:val="22"/>
          <w:szCs w:val="22"/>
        </w:rPr>
        <w:fldChar w:fldCharType="begin"/>
      </w:r>
      <w:r w:rsidRPr="00C20A01">
        <w:rPr>
          <w:noProof/>
          <w:color w:val="auto"/>
          <w:sz w:val="22"/>
          <w:szCs w:val="22"/>
        </w:rPr>
        <w:instrText xml:space="preserve"> SEQ Table \* ARABIC \s 1 </w:instrText>
      </w:r>
      <w:r w:rsidRPr="00C20A01">
        <w:rPr>
          <w:noProof/>
          <w:color w:val="auto"/>
          <w:sz w:val="22"/>
          <w:szCs w:val="22"/>
        </w:rPr>
        <w:fldChar w:fldCharType="separate"/>
      </w:r>
      <w:r w:rsidR="00870CA9" w:rsidRPr="00C20A01">
        <w:rPr>
          <w:noProof/>
          <w:color w:val="auto"/>
          <w:sz w:val="22"/>
          <w:szCs w:val="22"/>
        </w:rPr>
        <w:t>3</w:t>
      </w:r>
      <w:r w:rsidRPr="00C20A01">
        <w:rPr>
          <w:noProof/>
          <w:color w:val="auto"/>
          <w:sz w:val="22"/>
          <w:szCs w:val="22"/>
        </w:rPr>
        <w:fldChar w:fldCharType="end"/>
      </w:r>
      <w:r w:rsidR="007B6801" w:rsidRPr="00C20A01">
        <w:rPr>
          <w:noProof/>
          <w:color w:val="auto"/>
          <w:sz w:val="22"/>
          <w:szCs w:val="22"/>
        </w:rPr>
        <w:t>:</w:t>
      </w:r>
      <w:r w:rsidRPr="00C20A01">
        <w:rPr>
          <w:noProof/>
          <w:color w:val="auto"/>
          <w:sz w:val="22"/>
          <w:szCs w:val="22"/>
        </w:rPr>
        <w:t xml:space="preserve"> </w:t>
      </w:r>
      <w:r w:rsidR="00C778BA" w:rsidRPr="00C20A01">
        <w:rPr>
          <w:noProof/>
          <w:color w:val="auto"/>
          <w:sz w:val="22"/>
          <w:szCs w:val="22"/>
        </w:rPr>
        <w:t>Average 5G download speeds from best performing MNOs in each country (Source: Opensignal</w:t>
      </w:r>
      <w:r w:rsidR="00C778BA" w:rsidRPr="00C20A01">
        <w:rPr>
          <w:rStyle w:val="FootnoteReference"/>
          <w:noProof/>
          <w:color w:val="auto"/>
          <w:sz w:val="22"/>
          <w:szCs w:val="22"/>
        </w:rPr>
        <w:footnoteReference w:id="103"/>
      </w:r>
      <w:r w:rsidR="00C778BA" w:rsidRPr="00C20A01">
        <w:rPr>
          <w:noProof/>
          <w:color w:val="auto"/>
          <w:sz w:val="22"/>
          <w:szCs w:val="22"/>
        </w:rPr>
        <w:t>)</w:t>
      </w:r>
    </w:p>
    <w:p w14:paraId="46306D0B" w14:textId="77777777" w:rsidR="008D6F9A" w:rsidRPr="00D86314" w:rsidRDefault="008D6F9A" w:rsidP="008D6F9A">
      <w:pPr>
        <w:spacing w:after="0"/>
        <w:rPr>
          <w:noProof/>
        </w:rPr>
      </w:pPr>
    </w:p>
    <w:tbl>
      <w:tblPr>
        <w:tblW w:w="0" w:type="auto"/>
        <w:tblLayout w:type="fixed"/>
        <w:tblLook w:val="06A0" w:firstRow="1" w:lastRow="0" w:firstColumn="1" w:lastColumn="0" w:noHBand="1" w:noVBand="1"/>
      </w:tblPr>
      <w:tblGrid>
        <w:gridCol w:w="2109"/>
        <w:gridCol w:w="1718"/>
      </w:tblGrid>
      <w:tr w:rsidR="008D6F9A" w:rsidRPr="00D86314" w14:paraId="447E6DC3"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4AD425F2" w14:textId="77777777" w:rsidR="008D6F9A" w:rsidRPr="00D86314" w:rsidRDefault="008D6F9A">
            <w:pPr>
              <w:spacing w:after="0"/>
              <w:rPr>
                <w:noProof/>
              </w:rPr>
            </w:pPr>
            <w:r w:rsidRPr="00D86314">
              <w:rPr>
                <w:rFonts w:eastAsia="Arial" w:cs="Arial"/>
                <w:b/>
                <w:bCs/>
                <w:noProof/>
                <w:sz w:val="20"/>
              </w:rPr>
              <w:t>Member State</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47C0A4C8" w14:textId="77777777" w:rsidR="008D6F9A" w:rsidRPr="00D86314" w:rsidRDefault="008D6F9A">
            <w:pPr>
              <w:spacing w:after="0"/>
              <w:rPr>
                <w:noProof/>
              </w:rPr>
            </w:pPr>
            <w:r w:rsidRPr="00D86314">
              <w:rPr>
                <w:rFonts w:eastAsia="Arial" w:cs="Arial"/>
                <w:b/>
                <w:bCs/>
                <w:noProof/>
                <w:sz w:val="20"/>
              </w:rPr>
              <w:t>Mbps</w:t>
            </w:r>
          </w:p>
        </w:tc>
      </w:tr>
      <w:tr w:rsidR="008D6F9A" w:rsidRPr="00D86314" w14:paraId="1B4FD7C0"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4145BB44" w14:textId="77777777" w:rsidR="008D6F9A" w:rsidRPr="00D86314" w:rsidRDefault="008D6F9A">
            <w:pPr>
              <w:spacing w:after="0"/>
              <w:rPr>
                <w:noProof/>
              </w:rPr>
            </w:pPr>
            <w:r w:rsidRPr="00D86314">
              <w:rPr>
                <w:rFonts w:eastAsia="Arial" w:cs="Arial"/>
                <w:noProof/>
                <w:sz w:val="20"/>
              </w:rPr>
              <w:t>Denmark</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2B2DE8FC" w14:textId="77777777" w:rsidR="008D6F9A" w:rsidRPr="00D86314" w:rsidRDefault="008D6F9A">
            <w:pPr>
              <w:spacing w:after="0"/>
              <w:jc w:val="right"/>
              <w:rPr>
                <w:noProof/>
              </w:rPr>
            </w:pPr>
            <w:r w:rsidRPr="00D86314">
              <w:rPr>
                <w:rFonts w:eastAsia="Arial" w:cs="Arial"/>
                <w:noProof/>
                <w:sz w:val="20"/>
              </w:rPr>
              <w:t>331.7</w:t>
            </w:r>
          </w:p>
        </w:tc>
      </w:tr>
      <w:tr w:rsidR="008D6F9A" w:rsidRPr="00D86314" w14:paraId="264A09A2"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6114B02C" w14:textId="77777777" w:rsidR="008D6F9A" w:rsidRPr="00D86314" w:rsidRDefault="008D6F9A">
            <w:pPr>
              <w:spacing w:after="0"/>
              <w:rPr>
                <w:noProof/>
              </w:rPr>
            </w:pPr>
            <w:r w:rsidRPr="00D86314">
              <w:rPr>
                <w:rFonts w:eastAsia="Arial" w:cs="Arial"/>
                <w:noProof/>
                <w:sz w:val="20"/>
              </w:rPr>
              <w:t>Greece</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71B77680" w14:textId="77777777" w:rsidR="008D6F9A" w:rsidRPr="00D86314" w:rsidRDefault="008D6F9A">
            <w:pPr>
              <w:spacing w:after="0"/>
              <w:jc w:val="right"/>
              <w:rPr>
                <w:noProof/>
              </w:rPr>
            </w:pPr>
            <w:r w:rsidRPr="00D86314">
              <w:rPr>
                <w:rFonts w:eastAsia="Arial" w:cs="Arial"/>
                <w:noProof/>
                <w:sz w:val="20"/>
              </w:rPr>
              <w:t>187.7</w:t>
            </w:r>
          </w:p>
        </w:tc>
      </w:tr>
      <w:tr w:rsidR="008D6F9A" w:rsidRPr="00D86314" w14:paraId="2D3C1696"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01604C85" w14:textId="77777777" w:rsidR="008D6F9A" w:rsidRPr="00D86314" w:rsidRDefault="008D6F9A">
            <w:pPr>
              <w:spacing w:after="0"/>
              <w:rPr>
                <w:noProof/>
              </w:rPr>
            </w:pPr>
            <w:r w:rsidRPr="00D86314">
              <w:rPr>
                <w:rFonts w:eastAsia="Arial" w:cs="Arial"/>
                <w:noProof/>
                <w:sz w:val="20"/>
              </w:rPr>
              <w:t>Czechia</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6664346D" w14:textId="77777777" w:rsidR="008D6F9A" w:rsidRPr="00D86314" w:rsidRDefault="008D6F9A">
            <w:pPr>
              <w:spacing w:after="0"/>
              <w:jc w:val="right"/>
              <w:rPr>
                <w:noProof/>
              </w:rPr>
            </w:pPr>
            <w:r w:rsidRPr="00D86314">
              <w:rPr>
                <w:rFonts w:eastAsia="Arial" w:cs="Arial"/>
                <w:noProof/>
                <w:sz w:val="20"/>
              </w:rPr>
              <w:t>130.1</w:t>
            </w:r>
          </w:p>
        </w:tc>
      </w:tr>
      <w:tr w:rsidR="008D6F9A" w:rsidRPr="00D86314" w14:paraId="5F738E93"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753B4764" w14:textId="77777777" w:rsidR="008D6F9A" w:rsidRPr="00D86314" w:rsidRDefault="008D6F9A">
            <w:pPr>
              <w:spacing w:after="0"/>
              <w:rPr>
                <w:noProof/>
              </w:rPr>
            </w:pPr>
            <w:r w:rsidRPr="00D86314">
              <w:rPr>
                <w:rFonts w:eastAsia="Arial" w:cs="Arial"/>
                <w:noProof/>
                <w:sz w:val="20"/>
              </w:rPr>
              <w:t>Poland</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7E2EAB6E" w14:textId="77777777" w:rsidR="008D6F9A" w:rsidRPr="00D86314" w:rsidRDefault="008D6F9A">
            <w:pPr>
              <w:spacing w:after="0"/>
              <w:jc w:val="right"/>
              <w:rPr>
                <w:noProof/>
              </w:rPr>
            </w:pPr>
            <w:r w:rsidRPr="00D86314">
              <w:rPr>
                <w:rFonts w:eastAsia="Arial" w:cs="Arial"/>
                <w:noProof/>
                <w:sz w:val="20"/>
              </w:rPr>
              <w:t>127.5</w:t>
            </w:r>
          </w:p>
        </w:tc>
      </w:tr>
      <w:tr w:rsidR="008D6F9A" w:rsidRPr="00D86314" w14:paraId="2477DB66"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6F3181BB" w14:textId="77777777" w:rsidR="008D6F9A" w:rsidRPr="00D86314" w:rsidRDefault="008D6F9A">
            <w:pPr>
              <w:spacing w:after="0"/>
              <w:rPr>
                <w:noProof/>
              </w:rPr>
            </w:pPr>
            <w:r w:rsidRPr="00D86314">
              <w:rPr>
                <w:rFonts w:eastAsia="Arial" w:cs="Arial"/>
                <w:noProof/>
                <w:sz w:val="20"/>
              </w:rPr>
              <w:t>France</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594AC517" w14:textId="77777777" w:rsidR="008D6F9A" w:rsidRPr="00D86314" w:rsidRDefault="008D6F9A">
            <w:pPr>
              <w:spacing w:after="0"/>
              <w:jc w:val="right"/>
              <w:rPr>
                <w:noProof/>
              </w:rPr>
            </w:pPr>
            <w:r w:rsidRPr="00D86314">
              <w:rPr>
                <w:rFonts w:eastAsia="Arial" w:cs="Arial"/>
                <w:noProof/>
                <w:sz w:val="20"/>
              </w:rPr>
              <w:t>246.6</w:t>
            </w:r>
          </w:p>
        </w:tc>
      </w:tr>
      <w:tr w:rsidR="008D6F9A" w:rsidRPr="00D86314" w14:paraId="0A6218B7"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25289BF1" w14:textId="77777777" w:rsidR="008D6F9A" w:rsidRPr="00D86314" w:rsidRDefault="008D6F9A">
            <w:pPr>
              <w:spacing w:after="0"/>
              <w:rPr>
                <w:noProof/>
              </w:rPr>
            </w:pPr>
            <w:r w:rsidRPr="00D86314">
              <w:rPr>
                <w:rFonts w:eastAsia="Arial" w:cs="Arial"/>
                <w:noProof/>
                <w:sz w:val="20"/>
              </w:rPr>
              <w:t>Finland</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21F335C2" w14:textId="77777777" w:rsidR="008D6F9A" w:rsidRPr="00D86314" w:rsidRDefault="008D6F9A">
            <w:pPr>
              <w:spacing w:after="0"/>
              <w:jc w:val="right"/>
              <w:rPr>
                <w:noProof/>
              </w:rPr>
            </w:pPr>
            <w:r w:rsidRPr="00D86314">
              <w:rPr>
                <w:rFonts w:eastAsia="Arial" w:cs="Arial"/>
                <w:noProof/>
                <w:sz w:val="20"/>
              </w:rPr>
              <w:t>260.1</w:t>
            </w:r>
          </w:p>
        </w:tc>
      </w:tr>
      <w:tr w:rsidR="008D6F9A" w:rsidRPr="00D86314" w14:paraId="58483E92"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705AD1A9" w14:textId="77777777" w:rsidR="008D6F9A" w:rsidRPr="00D86314" w:rsidRDefault="008D6F9A">
            <w:pPr>
              <w:spacing w:after="0"/>
              <w:rPr>
                <w:noProof/>
              </w:rPr>
            </w:pPr>
            <w:r w:rsidRPr="00D86314">
              <w:rPr>
                <w:rFonts w:eastAsia="Arial" w:cs="Arial"/>
                <w:noProof/>
                <w:sz w:val="20"/>
              </w:rPr>
              <w:t>Italy</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672A2E89" w14:textId="77777777" w:rsidR="008D6F9A" w:rsidRPr="00D86314" w:rsidRDefault="008D6F9A">
            <w:pPr>
              <w:spacing w:after="0"/>
              <w:jc w:val="right"/>
              <w:rPr>
                <w:noProof/>
              </w:rPr>
            </w:pPr>
            <w:r w:rsidRPr="00D86314">
              <w:rPr>
                <w:rFonts w:eastAsia="Arial" w:cs="Arial"/>
                <w:noProof/>
                <w:sz w:val="20"/>
              </w:rPr>
              <w:t>231.3</w:t>
            </w:r>
          </w:p>
        </w:tc>
      </w:tr>
      <w:tr w:rsidR="008D6F9A" w:rsidRPr="00D86314" w14:paraId="5A9E7B16"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66954A18" w14:textId="77777777" w:rsidR="008D6F9A" w:rsidRPr="00D86314" w:rsidRDefault="008D6F9A">
            <w:pPr>
              <w:spacing w:after="0"/>
              <w:rPr>
                <w:noProof/>
              </w:rPr>
            </w:pPr>
            <w:r w:rsidRPr="00D86314">
              <w:rPr>
                <w:rFonts w:eastAsia="Arial" w:cs="Arial"/>
                <w:noProof/>
                <w:sz w:val="20"/>
              </w:rPr>
              <w:t>Romania</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08485982" w14:textId="77777777" w:rsidR="008D6F9A" w:rsidRPr="00D86314" w:rsidRDefault="008D6F9A">
            <w:pPr>
              <w:spacing w:after="0"/>
              <w:jc w:val="right"/>
              <w:rPr>
                <w:noProof/>
              </w:rPr>
            </w:pPr>
            <w:r w:rsidRPr="00D86314">
              <w:rPr>
                <w:rFonts w:eastAsia="Arial" w:cs="Arial"/>
                <w:noProof/>
                <w:sz w:val="20"/>
              </w:rPr>
              <w:t>242.3</w:t>
            </w:r>
          </w:p>
        </w:tc>
      </w:tr>
      <w:tr w:rsidR="008D6F9A" w:rsidRPr="00D86314" w14:paraId="743E66CB"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0CE4D0F0" w14:textId="77777777" w:rsidR="008D6F9A" w:rsidRPr="00D86314" w:rsidRDefault="008D6F9A">
            <w:pPr>
              <w:spacing w:after="0"/>
              <w:rPr>
                <w:noProof/>
              </w:rPr>
            </w:pPr>
            <w:r w:rsidRPr="00D86314">
              <w:rPr>
                <w:rFonts w:eastAsia="Arial" w:cs="Arial"/>
                <w:noProof/>
                <w:sz w:val="20"/>
              </w:rPr>
              <w:t>Spain</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413047C7" w14:textId="77777777" w:rsidR="008D6F9A" w:rsidRPr="00D86314" w:rsidRDefault="008D6F9A">
            <w:pPr>
              <w:spacing w:after="0"/>
              <w:jc w:val="right"/>
              <w:rPr>
                <w:noProof/>
              </w:rPr>
            </w:pPr>
            <w:r w:rsidRPr="00D86314">
              <w:rPr>
                <w:rFonts w:eastAsia="Arial" w:cs="Arial"/>
                <w:noProof/>
                <w:sz w:val="20"/>
              </w:rPr>
              <w:t>267.4</w:t>
            </w:r>
          </w:p>
        </w:tc>
      </w:tr>
      <w:tr w:rsidR="008D6F9A" w:rsidRPr="00D86314" w14:paraId="6281D30F"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18FA8138" w14:textId="77777777" w:rsidR="008D6F9A" w:rsidRPr="00D86314" w:rsidRDefault="008D6F9A">
            <w:pPr>
              <w:spacing w:after="0"/>
              <w:rPr>
                <w:noProof/>
              </w:rPr>
            </w:pPr>
            <w:r w:rsidRPr="00D86314">
              <w:rPr>
                <w:rFonts w:eastAsia="Arial" w:cs="Arial"/>
                <w:noProof/>
                <w:sz w:val="20"/>
              </w:rPr>
              <w:t>Netherlands</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5D3C0467" w14:textId="77777777" w:rsidR="008D6F9A" w:rsidRPr="00D86314" w:rsidRDefault="008D6F9A">
            <w:pPr>
              <w:spacing w:after="0"/>
              <w:jc w:val="right"/>
              <w:rPr>
                <w:noProof/>
              </w:rPr>
            </w:pPr>
            <w:r w:rsidRPr="00D86314">
              <w:rPr>
                <w:rFonts w:eastAsia="Arial" w:cs="Arial"/>
                <w:noProof/>
                <w:sz w:val="20"/>
              </w:rPr>
              <w:t>166.5</w:t>
            </w:r>
          </w:p>
        </w:tc>
      </w:tr>
      <w:tr w:rsidR="008D6F9A" w:rsidRPr="00D86314" w14:paraId="73B6A8E4"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298AD904" w14:textId="77777777" w:rsidR="008D6F9A" w:rsidRPr="00D86314" w:rsidRDefault="008D6F9A">
            <w:pPr>
              <w:spacing w:after="0"/>
              <w:rPr>
                <w:noProof/>
              </w:rPr>
            </w:pPr>
            <w:r w:rsidRPr="00D86314">
              <w:rPr>
                <w:rFonts w:eastAsia="Arial" w:cs="Arial"/>
                <w:noProof/>
                <w:sz w:val="20"/>
              </w:rPr>
              <w:t>Germany</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4EB43DE0" w14:textId="77777777" w:rsidR="008D6F9A" w:rsidRPr="00D86314" w:rsidRDefault="008D6F9A">
            <w:pPr>
              <w:spacing w:after="0"/>
              <w:jc w:val="right"/>
              <w:rPr>
                <w:noProof/>
              </w:rPr>
            </w:pPr>
            <w:r w:rsidRPr="00D86314">
              <w:rPr>
                <w:rFonts w:eastAsia="Arial" w:cs="Arial"/>
                <w:noProof/>
                <w:sz w:val="20"/>
              </w:rPr>
              <w:t>165.5</w:t>
            </w:r>
          </w:p>
        </w:tc>
      </w:tr>
      <w:tr w:rsidR="008D6F9A" w:rsidRPr="00D86314" w14:paraId="082A5062" w14:textId="77777777">
        <w:trPr>
          <w:trHeight w:val="300"/>
        </w:trPr>
        <w:tc>
          <w:tcPr>
            <w:tcW w:w="2109"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417A2FF5" w14:textId="77777777" w:rsidR="008D6F9A" w:rsidRPr="00D86314" w:rsidRDefault="008D6F9A">
            <w:pPr>
              <w:spacing w:after="0"/>
              <w:rPr>
                <w:noProof/>
              </w:rPr>
            </w:pPr>
            <w:r w:rsidRPr="00D86314">
              <w:rPr>
                <w:rFonts w:eastAsia="Arial" w:cs="Arial"/>
                <w:b/>
                <w:bCs/>
                <w:noProof/>
                <w:sz w:val="20"/>
              </w:rPr>
              <w:t>Average</w:t>
            </w:r>
          </w:p>
        </w:tc>
        <w:tc>
          <w:tcPr>
            <w:tcW w:w="1718" w:type="dxa"/>
            <w:tcBorders>
              <w:top w:val="single" w:sz="8" w:space="0" w:color="9A9A9A"/>
              <w:left w:val="single" w:sz="8" w:space="0" w:color="9A9A9A"/>
              <w:bottom w:val="single" w:sz="8" w:space="0" w:color="9A9A9A"/>
              <w:right w:val="single" w:sz="8" w:space="0" w:color="9A9A9A"/>
            </w:tcBorders>
            <w:tcMar>
              <w:left w:w="108" w:type="dxa"/>
              <w:right w:w="108" w:type="dxa"/>
            </w:tcMar>
          </w:tcPr>
          <w:p w14:paraId="078EB109" w14:textId="77777777" w:rsidR="008D6F9A" w:rsidRPr="00D86314" w:rsidRDefault="008D6F9A">
            <w:pPr>
              <w:keepNext/>
              <w:spacing w:after="0"/>
              <w:jc w:val="right"/>
              <w:rPr>
                <w:noProof/>
              </w:rPr>
            </w:pPr>
            <w:r w:rsidRPr="00D86314">
              <w:rPr>
                <w:rFonts w:eastAsia="Arial" w:cs="Arial"/>
                <w:b/>
                <w:bCs/>
                <w:noProof/>
                <w:sz w:val="20"/>
              </w:rPr>
              <w:t>214.2</w:t>
            </w:r>
          </w:p>
        </w:tc>
      </w:tr>
    </w:tbl>
    <w:p w14:paraId="08ACB59F" w14:textId="77777777" w:rsidR="008D6F9A" w:rsidRPr="00D86314" w:rsidRDefault="008D6F9A" w:rsidP="00BE3015">
      <w:pPr>
        <w:rPr>
          <w:noProof/>
        </w:rPr>
      </w:pPr>
    </w:p>
    <w:p w14:paraId="5AF026F9" w14:textId="77777777" w:rsidR="00C778BA" w:rsidRPr="00D86314" w:rsidRDefault="00C778BA" w:rsidP="00366CAC">
      <w:pPr>
        <w:spacing w:before="240"/>
        <w:rPr>
          <w:noProof/>
        </w:rPr>
      </w:pPr>
      <w:r w:rsidRPr="00D86314">
        <w:rPr>
          <w:rFonts w:eastAsia="Arial" w:cs="Arial"/>
          <w:noProof/>
        </w:rPr>
        <w:t>This is likely to be an over-estimate because the worst performing operators are not included. However, it is much closer to the Ookla figure of 117 Mbps for all mobile technologies.</w:t>
      </w:r>
    </w:p>
    <w:p w14:paraId="4A13F5E6" w14:textId="77777777" w:rsidR="00C778BA" w:rsidRPr="00D86314" w:rsidRDefault="00C778BA" w:rsidP="00C778BA">
      <w:pPr>
        <w:rPr>
          <w:noProof/>
        </w:rPr>
      </w:pPr>
      <w:r w:rsidRPr="00D86314">
        <w:rPr>
          <w:noProof/>
        </w:rPr>
        <w:t>A general positive correlation can be observed: countries with higher 5G coverage tend to exhibit higher download speeds, though this relationship is not perfectly linear, see for example:</w:t>
      </w:r>
    </w:p>
    <w:p w14:paraId="7ACD516B" w14:textId="77777777" w:rsidR="00C778BA" w:rsidRPr="00D86314" w:rsidRDefault="00C778BA" w:rsidP="00A00C17">
      <w:pPr>
        <w:pStyle w:val="ListParagraph"/>
        <w:numPr>
          <w:ilvl w:val="0"/>
          <w:numId w:val="24"/>
        </w:numPr>
        <w:spacing w:before="120" w:after="120"/>
        <w:contextualSpacing w:val="0"/>
        <w:jc w:val="left"/>
        <w:rPr>
          <w:noProof/>
        </w:rPr>
      </w:pPr>
      <w:r w:rsidRPr="00D86314">
        <w:rPr>
          <w:noProof/>
        </w:rPr>
        <w:t>Bulgaria (BG) has the highest download speed (232.79 Mbps) despite moderate 5G coverage (70.9%), suggesting strong network performance or efficient spectrum use.</w:t>
      </w:r>
    </w:p>
    <w:p w14:paraId="31B9600C" w14:textId="77777777" w:rsidR="00C778BA" w:rsidRPr="00D86314" w:rsidRDefault="00C778BA" w:rsidP="00A00C17">
      <w:pPr>
        <w:pStyle w:val="ListParagraph"/>
        <w:numPr>
          <w:ilvl w:val="0"/>
          <w:numId w:val="24"/>
        </w:numPr>
        <w:spacing w:before="120" w:after="120"/>
        <w:contextualSpacing w:val="0"/>
        <w:jc w:val="left"/>
        <w:rPr>
          <w:noProof/>
        </w:rPr>
      </w:pPr>
      <w:r w:rsidRPr="00D86314">
        <w:rPr>
          <w:noProof/>
        </w:rPr>
        <w:t>Denmark (DK) and Netherlands (NL) show both 100% 5G coverage and very high speeds (202.67 and 172.28 Mbps), reinforcing the expected link between widespread 5G and high throughput.</w:t>
      </w:r>
    </w:p>
    <w:p w14:paraId="2FA66EAC" w14:textId="77777777" w:rsidR="00C778BA" w:rsidRPr="00D86314" w:rsidRDefault="00C778BA" w:rsidP="00A00C17">
      <w:pPr>
        <w:pStyle w:val="ListParagraph"/>
        <w:numPr>
          <w:ilvl w:val="0"/>
          <w:numId w:val="24"/>
        </w:numPr>
        <w:spacing w:before="120" w:after="120"/>
        <w:contextualSpacing w:val="0"/>
        <w:jc w:val="left"/>
        <w:rPr>
          <w:noProof/>
        </w:rPr>
      </w:pPr>
      <w:r w:rsidRPr="00D86314">
        <w:rPr>
          <w:noProof/>
        </w:rPr>
        <w:t>On the other hand, Belgium (BE) and Romania (RO) have low 5G coverage (40.4% and 32.8%) and correspondingly low download speeds (103.53 and 78.05 Mbps).</w:t>
      </w:r>
    </w:p>
    <w:p w14:paraId="1EF08CCF" w14:textId="0BFE4FAA" w:rsidR="00C778BA" w:rsidRPr="00D86314" w:rsidRDefault="00C778BA" w:rsidP="0084243B">
      <w:pPr>
        <w:pStyle w:val="ListParagraph"/>
        <w:numPr>
          <w:ilvl w:val="0"/>
          <w:numId w:val="24"/>
        </w:numPr>
        <w:spacing w:before="120"/>
        <w:ind w:left="714" w:hanging="357"/>
        <w:contextualSpacing w:val="0"/>
        <w:jc w:val="left"/>
        <w:rPr>
          <w:noProof/>
        </w:rPr>
      </w:pPr>
      <w:r w:rsidRPr="00D86314">
        <w:rPr>
          <w:noProof/>
        </w:rPr>
        <w:t>Germany (DE) is an exception, with high 5G coverage (98.1%) but relatively low download speeds (75.67 Mbps), indicating that coverage alone does not guarantee performance, possibly due to non-midband deployments or network congestion.</w:t>
      </w:r>
      <w:r w:rsidR="007F12FA" w:rsidRPr="00D86314">
        <w:rPr>
          <w:noProof/>
        </w:rPr>
        <w:t xml:space="preserve"> </w:t>
      </w:r>
    </w:p>
    <w:p w14:paraId="486C97F8" w14:textId="73AA1460" w:rsidR="00C00376" w:rsidRPr="00D86314" w:rsidRDefault="00C00376" w:rsidP="00C00376">
      <w:pPr>
        <w:pStyle w:val="Caption"/>
        <w:keepNext/>
        <w:rPr>
          <w:noProof/>
          <w:color w:val="auto"/>
          <w:sz w:val="22"/>
          <w:szCs w:val="22"/>
        </w:rPr>
      </w:pPr>
      <w:bookmarkStart w:id="146" w:name="_Ref218171402"/>
      <w:r w:rsidRPr="00D86314">
        <w:rPr>
          <w:noProof/>
          <w:color w:val="auto"/>
          <w:sz w:val="22"/>
          <w:szCs w:val="22"/>
        </w:rPr>
        <w:t xml:space="preserve">Figure A4 </w:t>
      </w:r>
      <w:r w:rsidRPr="00D86314">
        <w:rPr>
          <w:noProof/>
          <w:color w:val="auto"/>
          <w:sz w:val="22"/>
          <w:szCs w:val="22"/>
        </w:rPr>
        <w:fldChar w:fldCharType="begin"/>
      </w:r>
      <w:r w:rsidRPr="00D86314">
        <w:rPr>
          <w:noProof/>
          <w:color w:val="auto"/>
          <w:sz w:val="22"/>
          <w:szCs w:val="22"/>
        </w:rPr>
        <w:fldChar w:fldCharType="separate"/>
      </w:r>
      <w:r w:rsidRPr="00D86314">
        <w:rPr>
          <w:noProof/>
          <w:color w:val="auto"/>
          <w:sz w:val="22"/>
          <w:szCs w:val="22"/>
        </w:rPr>
        <w:t>2</w:t>
      </w:r>
      <w:r w:rsidRPr="00D86314">
        <w:rPr>
          <w:noProof/>
          <w:color w:val="auto"/>
          <w:sz w:val="22"/>
          <w:szCs w:val="22"/>
        </w:rPr>
        <w:fldChar w:fldCharType="end"/>
      </w:r>
      <w:r w:rsidR="001F10E6" w:rsidRPr="00D86314">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STYLEREF 1 \s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B5146">
        <w:rPr>
          <w:noProof/>
          <w:color w:val="auto"/>
          <w:sz w:val="22"/>
          <w:szCs w:val="22"/>
        </w:rPr>
        <w:noBreakHyphen/>
      </w:r>
      <w:r w:rsidR="00832C9B">
        <w:rPr>
          <w:noProof/>
          <w:color w:val="auto"/>
          <w:sz w:val="22"/>
          <w:szCs w:val="22"/>
        </w:rPr>
        <w:t>9</w:t>
      </w:r>
      <w:bookmarkEnd w:id="146"/>
      <w:r w:rsidRPr="00D86314">
        <w:rPr>
          <w:noProof/>
          <w:color w:val="auto"/>
          <w:sz w:val="22"/>
          <w:szCs w:val="22"/>
        </w:rPr>
        <w:t>: 5G coverage and Average Mobile download Speeds, 2025</w:t>
      </w:r>
    </w:p>
    <w:p w14:paraId="0DDE3979" w14:textId="77777777" w:rsidR="00C778BA" w:rsidRPr="00D86314" w:rsidRDefault="00C778BA" w:rsidP="00C778BA">
      <w:pPr>
        <w:rPr>
          <w:noProof/>
        </w:rPr>
      </w:pPr>
      <w:r w:rsidRPr="00E46BC9">
        <w:rPr>
          <w:noProof/>
          <w:lang w:eastAsia="en-GB"/>
        </w:rPr>
        <w:drawing>
          <wp:inline distT="0" distB="0" distL="0" distR="0" wp14:anchorId="6B5DF3B2" wp14:editId="5E3E055A">
            <wp:extent cx="3474720" cy="2627630"/>
            <wp:effectExtent l="0" t="0" r="11430" b="1270"/>
            <wp:docPr id="456996106" name="Diagramm 1">
              <a:extLst xmlns:a="http://schemas.openxmlformats.org/drawingml/2006/main">
                <a:ext uri="{FF2B5EF4-FFF2-40B4-BE49-F238E27FC236}">
                  <a16:creationId xmlns:a16="http://schemas.microsoft.com/office/drawing/2014/main" id="{E441CE63-9913-EAAE-3142-564A93172A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14F9599" w14:textId="77777777" w:rsidR="00C778BA" w:rsidRPr="00D86314" w:rsidRDefault="00C778BA" w:rsidP="00C778BA">
      <w:pPr>
        <w:pStyle w:val="Quelle"/>
        <w:rPr>
          <w:rFonts w:ascii="Times New Roman" w:hAnsi="Times New Roman"/>
          <w:noProof/>
        </w:rPr>
      </w:pPr>
      <w:r w:rsidRPr="00D86314">
        <w:rPr>
          <w:rFonts w:ascii="Times New Roman" w:hAnsi="Times New Roman"/>
          <w:noProof/>
        </w:rPr>
        <w:t>Source: WIK based on Ookla (2025) and Statista (2024)</w:t>
      </w:r>
    </w:p>
    <w:p w14:paraId="052AE2BB" w14:textId="77777777" w:rsidR="00C778BA" w:rsidRPr="00D86314" w:rsidRDefault="00C778BA" w:rsidP="00C778BA">
      <w:pPr>
        <w:rPr>
          <w:noProof/>
        </w:rPr>
      </w:pPr>
      <w:r w:rsidRPr="00D86314">
        <w:rPr>
          <w:noProof/>
        </w:rPr>
        <w:t>In summary, while higher 5G coverage generally aligns with better download performance, other factors such as spectrum quality, network capacity, and deployment density play a crucial role in actual speed outcomes.</w:t>
      </w:r>
    </w:p>
    <w:p w14:paraId="5948D2BC" w14:textId="3993E576" w:rsidR="00C778BA" w:rsidRPr="00D86314" w:rsidRDefault="00C778BA" w:rsidP="0084243B">
      <w:pPr>
        <w:spacing w:after="360"/>
        <w:rPr>
          <w:noProof/>
        </w:rPr>
      </w:pPr>
      <w:r w:rsidRPr="00D86314">
        <w:rPr>
          <w:noProof/>
        </w:rPr>
        <w:t>The 3.5GHz band is widely seen as ideal for 5G because it balances capacity and coverage, making it well-suited for enhanced mobile broadband services. Open Signal’s analysis shows a strong correlation (</w:t>
      </w:r>
      <w:r w:rsidR="00D757DF" w:rsidRPr="00D86314">
        <w:rPr>
          <w:noProof/>
        </w:rPr>
        <w:t>R</w:t>
      </w:r>
      <w:r w:rsidRPr="00D86314">
        <w:rPr>
          <w:noProof/>
        </w:rPr>
        <w:t>²=0.56) between increased 3.5</w:t>
      </w:r>
      <w:r w:rsidR="009029F8" w:rsidRPr="00D86314">
        <w:rPr>
          <w:noProof/>
        </w:rPr>
        <w:t xml:space="preserve"> </w:t>
      </w:r>
      <w:r w:rsidRPr="00D86314">
        <w:rPr>
          <w:noProof/>
        </w:rPr>
        <w:t>GHz usage and improvements in average 5G download speed.</w:t>
      </w:r>
      <w:r w:rsidRPr="00D86314">
        <w:rPr>
          <w:rStyle w:val="FootnoteReference"/>
          <w:noProof/>
        </w:rPr>
        <w:footnoteReference w:id="104"/>
      </w:r>
    </w:p>
    <w:p w14:paraId="1BF4564D" w14:textId="40FA70E4" w:rsidR="00C778BA" w:rsidRPr="00D86314" w:rsidRDefault="0062631C" w:rsidP="00576759">
      <w:pPr>
        <w:pStyle w:val="Caption"/>
        <w:keepNext/>
        <w:rPr>
          <w:noProof/>
          <w:color w:val="auto"/>
          <w:sz w:val="22"/>
          <w:szCs w:val="22"/>
        </w:rPr>
      </w:pPr>
      <w:bookmarkStart w:id="147" w:name="_Ref218171280"/>
      <w:bookmarkStart w:id="148" w:name="_Ref218171197"/>
      <w:r w:rsidRPr="00D86314">
        <w:rPr>
          <w:noProof/>
          <w:color w:val="auto"/>
          <w:sz w:val="22"/>
          <w:szCs w:val="22"/>
        </w:rPr>
        <w:t xml:space="preserve">Figure A4 </w:t>
      </w:r>
      <w:r w:rsidR="00576759" w:rsidRPr="00D86314">
        <w:rPr>
          <w:noProof/>
          <w:color w:val="auto"/>
          <w:sz w:val="22"/>
          <w:szCs w:val="22"/>
        </w:rPr>
        <w:t>2</w:t>
      </w:r>
      <w:bookmarkEnd w:id="147"/>
      <w:r w:rsidR="001F10E6" w:rsidRPr="00D86314">
        <w:rPr>
          <w:noProof/>
          <w:color w:val="auto"/>
          <w:sz w:val="22"/>
          <w:szCs w:val="22"/>
        </w:rPr>
        <w:noBreakHyphen/>
      </w:r>
      <w:r w:rsidR="00832C9B">
        <w:rPr>
          <w:noProof/>
          <w:color w:val="auto"/>
          <w:sz w:val="22"/>
          <w:szCs w:val="22"/>
        </w:rPr>
        <w:t>10</w:t>
      </w:r>
      <w:bookmarkEnd w:id="148"/>
      <w:r w:rsidR="00576759" w:rsidRPr="00D86314">
        <w:rPr>
          <w:noProof/>
          <w:color w:val="auto"/>
          <w:sz w:val="22"/>
          <w:szCs w:val="22"/>
        </w:rPr>
        <w:t>:</w:t>
      </w:r>
      <w:r w:rsidR="00C778BA" w:rsidRPr="00D86314">
        <w:rPr>
          <w:noProof/>
          <w:color w:val="auto"/>
          <w:sz w:val="22"/>
          <w:szCs w:val="22"/>
        </w:rPr>
        <w:t xml:space="preserve"> Correlation between changes in the use of 3.5GHz band and changes in 5G Download speed</w:t>
      </w:r>
    </w:p>
    <w:p w14:paraId="079F92D4" w14:textId="77777777" w:rsidR="00C778BA" w:rsidRPr="00D86314" w:rsidRDefault="00C778BA" w:rsidP="00C778BA">
      <w:pPr>
        <w:rPr>
          <w:noProof/>
          <w:color w:val="000000" w:themeColor="text1"/>
        </w:rPr>
      </w:pPr>
      <w:r w:rsidRPr="00E46BC9">
        <w:rPr>
          <w:noProof/>
          <w:color w:val="000000" w:themeColor="text1"/>
          <w:lang w:eastAsia="en-GB"/>
        </w:rPr>
        <w:drawing>
          <wp:inline distT="0" distB="0" distL="0" distR="0" wp14:anchorId="50D4AE35" wp14:editId="0A2C0644">
            <wp:extent cx="4297514" cy="3699510"/>
            <wp:effectExtent l="0" t="0" r="8255" b="0"/>
            <wp:docPr id="1190838711" name="Grafik 1" descr="Ein Bild, das Text, Screenshot, Reihe,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838711" name="Grafik 1" descr="Ein Bild, das Text, Screenshot, Reihe, Schrift enthält.&#10;&#10;KI-generierte Inhalte können fehlerhaft sein."/>
                    <pic:cNvPicPr/>
                  </pic:nvPicPr>
                  <pic:blipFill>
                    <a:blip r:embed="rId84"/>
                    <a:stretch>
                      <a:fillRect/>
                    </a:stretch>
                  </pic:blipFill>
                  <pic:spPr>
                    <a:xfrm>
                      <a:off x="0" y="0"/>
                      <a:ext cx="4298555" cy="3700406"/>
                    </a:xfrm>
                    <a:prstGeom prst="rect">
                      <a:avLst/>
                    </a:prstGeom>
                  </pic:spPr>
                </pic:pic>
              </a:graphicData>
            </a:graphic>
          </wp:inline>
        </w:drawing>
      </w:r>
    </w:p>
    <w:p w14:paraId="0FD0941A" w14:textId="77777777" w:rsidR="00C778BA" w:rsidRPr="00D86314" w:rsidRDefault="00C778BA" w:rsidP="00C778BA">
      <w:pPr>
        <w:pStyle w:val="Quelle"/>
        <w:rPr>
          <w:rFonts w:ascii="Times New Roman" w:hAnsi="Times New Roman"/>
          <w:noProof/>
          <w:color w:val="000000" w:themeColor="text1"/>
        </w:rPr>
      </w:pPr>
      <w:r w:rsidRPr="00D86314">
        <w:rPr>
          <w:rFonts w:ascii="Times New Roman" w:hAnsi="Times New Roman"/>
          <w:noProof/>
          <w:color w:val="000000" w:themeColor="text1"/>
        </w:rPr>
        <w:t xml:space="preserve">Source: OpenSignal (2025). Data collection period: Feb 1 – May 1, 2024, Feb 1 – May 1 2025. </w:t>
      </w:r>
    </w:p>
    <w:p w14:paraId="4FCE6F0E" w14:textId="4B7D4498" w:rsidR="00C778BA" w:rsidRPr="00D86314" w:rsidRDefault="00C778BA" w:rsidP="00C778BA">
      <w:pPr>
        <w:rPr>
          <w:noProof/>
        </w:rPr>
      </w:pPr>
      <w:r w:rsidRPr="00D86314">
        <w:rPr>
          <w:noProof/>
        </w:rPr>
        <w:t xml:space="preserve">Currently, European operators rely heavily on the 3.5GHz band for 5G </w:t>
      </w:r>
      <w:r w:rsidR="00C41860" w:rsidRPr="00D86314">
        <w:rPr>
          <w:rFonts w:eastAsia="Arial" w:cs="Arial"/>
          <w:noProof/>
        </w:rPr>
        <w:t>–</w:t>
      </w:r>
      <w:r w:rsidRPr="00D86314">
        <w:rPr>
          <w:noProof/>
        </w:rPr>
        <w:t xml:space="preserve"> which also delivers the fastest average speeds. According to Opensignal other bands see less frequent 5G use, which is currently changing.</w:t>
      </w:r>
      <w:r w:rsidRPr="00D86314">
        <w:rPr>
          <w:rStyle w:val="FootnoteReference"/>
          <w:noProof/>
        </w:rPr>
        <w:footnoteReference w:id="105"/>
      </w:r>
    </w:p>
    <w:p w14:paraId="3D873C1C" w14:textId="30DD1C92" w:rsidR="00C778BA" w:rsidRPr="00D86314" w:rsidRDefault="00C778BA" w:rsidP="00C778BA">
      <w:pPr>
        <w:rPr>
          <w:noProof/>
        </w:rPr>
      </w:pPr>
      <w:r w:rsidRPr="00D86314">
        <w:rPr>
          <w:noProof/>
        </w:rPr>
        <w:t>As 5G evolves, operators will increasingly use lower frequencies to boost capacity using multi-band carrier aggregation. Sweden is one of the examples where the 2.1</w:t>
      </w:r>
      <w:r w:rsidR="00BE7046" w:rsidRPr="00D86314">
        <w:rPr>
          <w:noProof/>
        </w:rPr>
        <w:t xml:space="preserve"> </w:t>
      </w:r>
      <w:r w:rsidRPr="00D86314">
        <w:rPr>
          <w:noProof/>
        </w:rPr>
        <w:t>GHz band seems to be gaining prominence in 5G roll-outs. This evolving spectrum landscape underscores a strategic balance between speed and coverage, as operators adapt their deployments to meet growing demands.</w:t>
      </w:r>
    </w:p>
    <w:p w14:paraId="0819D7B7" w14:textId="202A1728" w:rsidR="00C778BA" w:rsidRPr="00D86314" w:rsidRDefault="00C778BA" w:rsidP="00C778BA">
      <w:pPr>
        <w:rPr>
          <w:noProof/>
        </w:rPr>
      </w:pPr>
      <w:r w:rsidRPr="00D86314">
        <w:rPr>
          <w:noProof/>
        </w:rPr>
        <w:t>For speed projections</w:t>
      </w:r>
      <w:bookmarkStart w:id="149" w:name="_Toc202554273"/>
      <w:r w:rsidRPr="00D86314">
        <w:rPr>
          <w:noProof/>
        </w:rPr>
        <w:t>,</w:t>
      </w:r>
      <w:r w:rsidRPr="00D86314" w:rsidDel="007A3CA3">
        <w:rPr>
          <w:noProof/>
        </w:rPr>
        <w:t xml:space="preserve"> </w:t>
      </w:r>
      <w:r w:rsidRPr="00D86314">
        <w:rPr>
          <w:noProof/>
        </w:rPr>
        <w:t xml:space="preserve">different mobile broadband speed </w:t>
      </w:r>
      <w:r w:rsidR="007A3CA3" w:rsidRPr="00D86314">
        <w:rPr>
          <w:noProof/>
        </w:rPr>
        <w:t xml:space="preserve">is assumed </w:t>
      </w:r>
      <w:r w:rsidRPr="00D86314">
        <w:rPr>
          <w:noProof/>
        </w:rPr>
        <w:t>based on the used technologies. According to recent estimates by Opensignal, the average 5G download speed for the 700 MHz band is 104.3 Mbps. For mid-band spectrum it is on average 217.6 Mbps.</w:t>
      </w:r>
      <w:r w:rsidRPr="00D86314">
        <w:rPr>
          <w:rStyle w:val="FootnoteReference"/>
          <w:noProof/>
        </w:rPr>
        <w:footnoteReference w:id="106"/>
      </w:r>
      <w:r w:rsidRPr="00D86314">
        <w:rPr>
          <w:noProof/>
        </w:rPr>
        <w:t xml:space="preserve"> </w:t>
      </w:r>
      <w:bookmarkEnd w:id="149"/>
    </w:p>
    <w:p w14:paraId="46BCB6AB" w14:textId="75ECE30A" w:rsidR="00C778BA" w:rsidRPr="00D86314" w:rsidRDefault="00C778BA" w:rsidP="00C778BA">
      <w:pPr>
        <w:rPr>
          <w:rFonts w:eastAsia="Arial" w:cs="Arial"/>
          <w:noProof/>
        </w:rPr>
      </w:pPr>
      <w:r w:rsidRPr="00D86314">
        <w:rPr>
          <w:rFonts w:eastAsia="Arial" w:cs="Arial"/>
          <w:noProof/>
        </w:rPr>
        <w:t>There is a one published figure for the 5G average</w:t>
      </w:r>
      <w:r w:rsidRPr="00D86314">
        <w:rPr>
          <w:rFonts w:eastAsia="Arial" w:cs="Arial"/>
          <w:b/>
          <w:bCs/>
          <w:i/>
          <w:iCs/>
          <w:noProof/>
        </w:rPr>
        <w:t xml:space="preserve"> </w:t>
      </w:r>
      <w:r w:rsidRPr="00D86314">
        <w:rPr>
          <w:rFonts w:eastAsia="Arial" w:cs="Arial"/>
          <w:noProof/>
        </w:rPr>
        <w:t>download speed in the whole EU: Medux estimates this at 70 Mbps</w:t>
      </w:r>
      <w:r w:rsidRPr="00D86314">
        <w:rPr>
          <w:rStyle w:val="FootnoteReference"/>
          <w:rFonts w:eastAsia="Arial" w:cs="Arial"/>
          <w:noProof/>
        </w:rPr>
        <w:footnoteReference w:id="107"/>
      </w:r>
      <w:r w:rsidRPr="00D86314">
        <w:rPr>
          <w:rFonts w:eastAsia="Arial" w:cs="Arial"/>
          <w:noProof/>
        </w:rPr>
        <w:t xml:space="preserve">. </w:t>
      </w:r>
    </w:p>
    <w:p w14:paraId="3FB6A3D2" w14:textId="34B3D034" w:rsidR="0095293D" w:rsidRPr="00D86314" w:rsidRDefault="0095293D" w:rsidP="0095293D">
      <w:pPr>
        <w:pStyle w:val="Caption"/>
        <w:keepNext/>
        <w:rPr>
          <w:noProof/>
          <w:color w:val="auto"/>
          <w:sz w:val="22"/>
          <w:szCs w:val="22"/>
        </w:rPr>
      </w:pPr>
      <w:bookmarkStart w:id="150" w:name="_Ref218171397"/>
      <w:r w:rsidRPr="00D86314">
        <w:rPr>
          <w:noProof/>
          <w:color w:val="auto"/>
          <w:sz w:val="22"/>
          <w:szCs w:val="22"/>
        </w:rPr>
        <w:t>Figure A4</w:t>
      </w:r>
      <w:r w:rsidRPr="00D86314">
        <w:rPr>
          <w:noProof/>
          <w:color w:val="auto"/>
          <w:sz w:val="22"/>
          <w:szCs w:val="22"/>
        </w:rPr>
        <w:fldChar w:fldCharType="begin"/>
      </w:r>
      <w:r w:rsidRPr="00D86314">
        <w:rPr>
          <w:noProof/>
          <w:color w:val="auto"/>
          <w:sz w:val="22"/>
          <w:szCs w:val="22"/>
        </w:rPr>
        <w:fldChar w:fldCharType="separate"/>
      </w:r>
      <w:r w:rsidRPr="00D86314">
        <w:rPr>
          <w:noProof/>
          <w:color w:val="auto"/>
          <w:sz w:val="22"/>
          <w:szCs w:val="22"/>
        </w:rPr>
        <w:t>2</w:t>
      </w:r>
      <w:r w:rsidRPr="00D86314">
        <w:rPr>
          <w:noProof/>
          <w:color w:val="auto"/>
          <w:sz w:val="22"/>
          <w:szCs w:val="22"/>
        </w:rPr>
        <w:fldChar w:fldCharType="end"/>
      </w:r>
      <w:r w:rsidR="001F10E6" w:rsidRPr="00D86314">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STYLEREF 1 \s </w:instrText>
      </w:r>
      <w:r w:rsidR="005B5146">
        <w:rPr>
          <w:noProof/>
          <w:color w:val="auto"/>
          <w:sz w:val="22"/>
          <w:szCs w:val="22"/>
        </w:rPr>
        <w:fldChar w:fldCharType="separate"/>
      </w:r>
      <w:r w:rsidR="005B5146">
        <w:rPr>
          <w:noProof/>
          <w:color w:val="auto"/>
          <w:sz w:val="22"/>
          <w:szCs w:val="22"/>
        </w:rPr>
        <w:t>2</w:t>
      </w:r>
      <w:r w:rsidR="005B5146">
        <w:rPr>
          <w:noProof/>
          <w:color w:val="auto"/>
          <w:sz w:val="22"/>
          <w:szCs w:val="22"/>
        </w:rPr>
        <w:fldChar w:fldCharType="end"/>
      </w:r>
      <w:r w:rsidR="005B5146">
        <w:rPr>
          <w:noProof/>
          <w:color w:val="auto"/>
          <w:sz w:val="22"/>
          <w:szCs w:val="22"/>
        </w:rPr>
        <w:noBreakHyphen/>
      </w:r>
      <w:r w:rsidR="005B5146">
        <w:rPr>
          <w:noProof/>
          <w:color w:val="auto"/>
          <w:sz w:val="22"/>
          <w:szCs w:val="22"/>
        </w:rPr>
        <w:fldChar w:fldCharType="begin"/>
      </w:r>
      <w:r w:rsidR="005B5146">
        <w:rPr>
          <w:noProof/>
          <w:color w:val="auto"/>
          <w:sz w:val="22"/>
          <w:szCs w:val="22"/>
        </w:rPr>
        <w:instrText xml:space="preserve"> SEQ Figure \* ARABIC \s 1 </w:instrText>
      </w:r>
      <w:r w:rsidR="005B5146">
        <w:rPr>
          <w:noProof/>
          <w:color w:val="auto"/>
          <w:sz w:val="22"/>
          <w:szCs w:val="22"/>
        </w:rPr>
        <w:fldChar w:fldCharType="separate"/>
      </w:r>
      <w:r w:rsidR="005B5146">
        <w:rPr>
          <w:noProof/>
          <w:color w:val="auto"/>
          <w:sz w:val="22"/>
          <w:szCs w:val="22"/>
        </w:rPr>
        <w:t>1</w:t>
      </w:r>
      <w:r w:rsidR="005B5146">
        <w:rPr>
          <w:noProof/>
          <w:color w:val="auto"/>
          <w:sz w:val="22"/>
          <w:szCs w:val="22"/>
        </w:rPr>
        <w:fldChar w:fldCharType="end"/>
      </w:r>
      <w:r w:rsidR="00832C9B">
        <w:rPr>
          <w:noProof/>
          <w:color w:val="auto"/>
          <w:sz w:val="22"/>
          <w:szCs w:val="22"/>
        </w:rPr>
        <w:t>1</w:t>
      </w:r>
      <w:bookmarkEnd w:id="150"/>
      <w:r w:rsidRPr="00D86314">
        <w:rPr>
          <w:noProof/>
          <w:color w:val="auto"/>
          <w:sz w:val="22"/>
          <w:szCs w:val="22"/>
        </w:rPr>
        <w:t>: Average download speed across Member States (Mbps, Q1 2025)</w:t>
      </w:r>
    </w:p>
    <w:p w14:paraId="52B380AC" w14:textId="54B3D336" w:rsidR="00C778BA" w:rsidRPr="00D86314" w:rsidRDefault="00C778BA" w:rsidP="74E78B59">
      <w:pPr>
        <w:pStyle w:val="Caption"/>
        <w:keepNext/>
        <w:rPr>
          <w:noProof/>
        </w:rPr>
      </w:pPr>
      <w:r w:rsidRPr="00E46BC9">
        <w:rPr>
          <w:noProof/>
          <w:lang w:eastAsia="en-GB"/>
        </w:rPr>
        <w:drawing>
          <wp:inline distT="0" distB="0" distL="0" distR="0" wp14:anchorId="55F91E77" wp14:editId="5112AB2C">
            <wp:extent cx="5440045" cy="1588135"/>
            <wp:effectExtent l="0" t="0" r="8255" b="0"/>
            <wp:docPr id="32682886" name="Picture 1" descr="A graph with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2886" name="Picture 1" descr="A graph with blue and white bars&#10;&#10;AI-generated content may be incorrec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40045" cy="1588135"/>
                    </a:xfrm>
                    <a:prstGeom prst="rect">
                      <a:avLst/>
                    </a:prstGeom>
                    <a:noFill/>
                    <a:ln>
                      <a:noFill/>
                    </a:ln>
                  </pic:spPr>
                </pic:pic>
              </a:graphicData>
            </a:graphic>
          </wp:inline>
        </w:drawing>
      </w:r>
    </w:p>
    <w:p w14:paraId="4B5C1828" w14:textId="77777777" w:rsidR="00C778BA" w:rsidRPr="00D86314" w:rsidRDefault="00C778BA" w:rsidP="00C778BA">
      <w:pPr>
        <w:rPr>
          <w:noProof/>
        </w:rPr>
      </w:pPr>
      <w:r w:rsidRPr="00D86314">
        <w:rPr>
          <w:rFonts w:eastAsia="Arial" w:cs="Arial"/>
          <w:noProof/>
        </w:rPr>
        <w:t xml:space="preserve">However, other companies suggest a higher figure. </w:t>
      </w:r>
      <w:hyperlink r:id="rId86" w:anchor="mobile">
        <w:r w:rsidRPr="00D86314">
          <w:rPr>
            <w:rStyle w:val="Hyperlink"/>
            <w:rFonts w:eastAsia="Arial" w:cs="Arial"/>
            <w:noProof/>
          </w:rPr>
          <w:t>Ookla</w:t>
        </w:r>
      </w:hyperlink>
      <w:r w:rsidRPr="00D86314">
        <w:rPr>
          <w:rFonts w:eastAsia="Arial" w:cs="Arial"/>
          <w:noProof/>
        </w:rPr>
        <w:t xml:space="preserve"> puts the median EU speed in </w:t>
      </w:r>
      <w:r w:rsidRPr="00D86314">
        <w:rPr>
          <w:rFonts w:eastAsia="Arial" w:cs="Arial"/>
          <w:i/>
          <w:iCs/>
          <w:noProof/>
        </w:rPr>
        <w:t>all mobile technologies</w:t>
      </w:r>
      <w:r w:rsidRPr="00D86314">
        <w:rPr>
          <w:rFonts w:eastAsia="Arial" w:cs="Arial"/>
          <w:noProof/>
        </w:rPr>
        <w:t xml:space="preserve"> at 117 Mbps. The number for 5G is likely to be higher if the slower results from earlier mobile generations are removed.</w:t>
      </w:r>
    </w:p>
    <w:p w14:paraId="27178FEC" w14:textId="78ABD9E2" w:rsidR="00C778BA" w:rsidRPr="00D86314" w:rsidRDefault="00FD5C3C" w:rsidP="00C778BA">
      <w:pPr>
        <w:rPr>
          <w:noProof/>
        </w:rPr>
      </w:pPr>
      <w:r w:rsidRPr="00D86314">
        <w:rPr>
          <w:noProof/>
        </w:rPr>
        <w:t>The model assumes</w:t>
      </w:r>
      <w:r w:rsidR="00C778BA" w:rsidRPr="00D86314">
        <w:rPr>
          <w:noProof/>
        </w:rPr>
        <w:t xml:space="preserve"> an average mobile broadband speed of ca. 69 Mbps across all technologies.</w:t>
      </w:r>
      <w:r w:rsidR="00614650" w:rsidRPr="00D86314">
        <w:rPr>
          <w:rStyle w:val="FootnoteReference"/>
          <w:noProof/>
        </w:rPr>
        <w:footnoteReference w:id="108"/>
      </w:r>
      <w:r w:rsidR="00C778BA" w:rsidRPr="00D86314">
        <w:rPr>
          <w:noProof/>
        </w:rPr>
        <w:t xml:space="preserve"> </w:t>
      </w:r>
      <w:r w:rsidR="00B329C4" w:rsidRPr="00D86314">
        <w:rPr>
          <w:noProof/>
        </w:rPr>
        <w:t>As a reasonableness check, Statista reports an average mobile download speed of 62.4 Mbps for 2023, making the modelled assumption for 2024 a plausible incremental increase on recent observed data</w:t>
      </w:r>
      <w:r w:rsidR="00C778BA" w:rsidRPr="00D86314">
        <w:rPr>
          <w:noProof/>
        </w:rPr>
        <w:t>.</w:t>
      </w:r>
      <w:r w:rsidR="00C778BA" w:rsidRPr="00D86314">
        <w:rPr>
          <w:rStyle w:val="FootnoteReference"/>
          <w:noProof/>
        </w:rPr>
        <w:footnoteReference w:id="109"/>
      </w:r>
      <w:r w:rsidR="00C778BA" w:rsidRPr="00D86314">
        <w:rPr>
          <w:noProof/>
        </w:rPr>
        <w:t xml:space="preserve"> The average mobile broadband speed is lower because 4G mobile broadband is likely to be more relevant in rural areas and</w:t>
      </w:r>
      <w:r w:rsidR="00A77913" w:rsidRPr="00D86314">
        <w:rPr>
          <w:noProof/>
        </w:rPr>
        <w:t>,</w:t>
      </w:r>
      <w:r w:rsidR="00C778BA" w:rsidRPr="00D86314">
        <w:rPr>
          <w:noProof/>
        </w:rPr>
        <w:t xml:space="preserve"> based on data from Opensignal</w:t>
      </w:r>
      <w:r w:rsidR="00A77913" w:rsidRPr="00D86314">
        <w:rPr>
          <w:noProof/>
        </w:rPr>
        <w:t>,</w:t>
      </w:r>
      <w:r w:rsidR="00C778BA" w:rsidRPr="00D86314">
        <w:rPr>
          <w:noProof/>
        </w:rPr>
        <w:t xml:space="preserve"> a gap of ca. 20% between mobile broadband speeds in urban and rural areas</w:t>
      </w:r>
      <w:r w:rsidR="00905781" w:rsidRPr="00D86314">
        <w:rPr>
          <w:noProof/>
        </w:rPr>
        <w:t xml:space="preserve"> can be assumed</w:t>
      </w:r>
      <w:r w:rsidR="00C778BA" w:rsidRPr="00D86314">
        <w:rPr>
          <w:noProof/>
        </w:rPr>
        <w:t>.</w:t>
      </w:r>
      <w:r w:rsidR="00C778BA" w:rsidRPr="00D86314">
        <w:rPr>
          <w:rStyle w:val="FootnoteReference"/>
          <w:noProof/>
        </w:rPr>
        <w:footnoteReference w:id="110"/>
      </w:r>
      <w:r w:rsidR="00C778BA" w:rsidRPr="00D86314">
        <w:rPr>
          <w:noProof/>
        </w:rPr>
        <w:t xml:space="preserve"> </w:t>
      </w:r>
    </w:p>
    <w:p w14:paraId="4DF91EF6" w14:textId="03D93FE1" w:rsidR="00C778BA" w:rsidRPr="00D86314" w:rsidRDefault="00E3384C" w:rsidP="00C778BA">
      <w:pPr>
        <w:rPr>
          <w:rFonts w:eastAsia="Times New Roman"/>
          <w:noProof/>
        </w:rPr>
      </w:pPr>
      <w:r w:rsidRPr="00D86314">
        <w:rPr>
          <w:noProof/>
        </w:rPr>
        <w:t>T</w:t>
      </w:r>
      <w:r w:rsidR="00C778BA" w:rsidRPr="00D86314">
        <w:rPr>
          <w:noProof/>
        </w:rPr>
        <w:t xml:space="preserve">here are only marginal </w:t>
      </w:r>
      <w:r w:rsidRPr="00D86314">
        <w:rPr>
          <w:noProof/>
        </w:rPr>
        <w:t xml:space="preserve">speed </w:t>
      </w:r>
      <w:r w:rsidR="00C778BA" w:rsidRPr="00D86314">
        <w:rPr>
          <w:noProof/>
        </w:rPr>
        <w:t xml:space="preserve">differences between the options as speed is mainly driven by the availability of mid-band 5G usage which will not be available widespread until 2035. Nevertheless, </w:t>
      </w:r>
      <w:r w:rsidR="0091189C" w:rsidRPr="00D86314">
        <w:rPr>
          <w:noProof/>
        </w:rPr>
        <w:t xml:space="preserve">over the next decade, </w:t>
      </w:r>
      <w:r w:rsidR="008D10AB" w:rsidRPr="00D86314">
        <w:rPr>
          <w:noProof/>
        </w:rPr>
        <w:t xml:space="preserve">mobile download speeds are </w:t>
      </w:r>
      <w:r w:rsidR="00C778BA" w:rsidRPr="00D86314">
        <w:rPr>
          <w:noProof/>
        </w:rPr>
        <w:t>expect</w:t>
      </w:r>
      <w:r w:rsidR="008D10AB" w:rsidRPr="00D86314">
        <w:rPr>
          <w:noProof/>
        </w:rPr>
        <w:t>ed</w:t>
      </w:r>
      <w:r w:rsidR="000E5F4A" w:rsidRPr="00D86314">
        <w:rPr>
          <w:noProof/>
        </w:rPr>
        <w:t xml:space="preserve"> to</w:t>
      </w:r>
      <w:r w:rsidR="00C778BA" w:rsidRPr="00D86314">
        <w:rPr>
          <w:noProof/>
        </w:rPr>
        <w:t xml:space="preserve"> </w:t>
      </w:r>
      <w:r w:rsidR="000E5F4A" w:rsidRPr="00D86314">
        <w:rPr>
          <w:noProof/>
        </w:rPr>
        <w:t>increase substantially</w:t>
      </w:r>
      <w:r w:rsidR="00AA466A" w:rsidRPr="00D86314">
        <w:rPr>
          <w:noProof/>
        </w:rPr>
        <w:t>,</w:t>
      </w:r>
      <w:r w:rsidR="00C778BA" w:rsidRPr="00D86314">
        <w:rPr>
          <w:noProof/>
        </w:rPr>
        <w:t xml:space="preserve"> </w:t>
      </w:r>
      <w:r w:rsidR="00D373E9" w:rsidRPr="00D86314">
        <w:rPr>
          <w:noProof/>
        </w:rPr>
        <w:t>and could potentially</w:t>
      </w:r>
      <w:r w:rsidR="00C778BA" w:rsidRPr="00D86314">
        <w:rPr>
          <w:noProof/>
        </w:rPr>
        <w:t xml:space="preserve"> quadr</w:t>
      </w:r>
      <w:r w:rsidR="00CC380D" w:rsidRPr="00D86314">
        <w:rPr>
          <w:noProof/>
        </w:rPr>
        <w:t>u</w:t>
      </w:r>
      <w:r w:rsidR="00C778BA" w:rsidRPr="00D86314">
        <w:rPr>
          <w:noProof/>
        </w:rPr>
        <w:t>ple</w:t>
      </w:r>
      <w:r w:rsidR="00CE5940" w:rsidRPr="00D86314">
        <w:rPr>
          <w:rStyle w:val="FootnoteReference"/>
          <w:noProof/>
        </w:rPr>
        <w:footnoteReference w:id="111"/>
      </w:r>
      <w:r w:rsidR="00C778BA" w:rsidRPr="00D86314">
        <w:rPr>
          <w:noProof/>
        </w:rPr>
        <w:t xml:space="preserve"> </w:t>
      </w:r>
      <w:r w:rsidR="0091189C" w:rsidRPr="00D86314">
        <w:rPr>
          <w:noProof/>
        </w:rPr>
        <w:t>relative to current levels</w:t>
      </w:r>
      <w:r w:rsidR="00C778BA" w:rsidRPr="00D86314">
        <w:rPr>
          <w:noProof/>
        </w:rPr>
        <w:t>.</w:t>
      </w:r>
    </w:p>
    <w:p w14:paraId="69258F1E" w14:textId="139764BE" w:rsidR="00C778BA" w:rsidRPr="00D86314" w:rsidRDefault="00C778BA" w:rsidP="00C778BA">
      <w:pPr>
        <w:spacing w:after="0"/>
        <w:rPr>
          <w:rFonts w:eastAsia="Arial" w:cs="Arial"/>
          <w:noProof/>
        </w:rPr>
      </w:pPr>
      <w:r w:rsidRPr="00D86314">
        <w:rPr>
          <w:rFonts w:eastAsia="Arial" w:cs="Arial"/>
          <w:noProof/>
        </w:rPr>
        <w:t xml:space="preserve">Without further policy intervention, </w:t>
      </w:r>
      <w:r w:rsidR="004D7BE8" w:rsidRPr="00D86314">
        <w:rPr>
          <w:rFonts w:eastAsia="Arial" w:cs="Arial"/>
          <w:noProof/>
        </w:rPr>
        <w:t>two main factors are expected to contribute to higher average mobile download speeds towards 2035</w:t>
      </w:r>
      <w:r w:rsidR="0047745F" w:rsidRPr="00D86314">
        <w:rPr>
          <w:rFonts w:eastAsia="Arial" w:cs="Arial"/>
          <w:noProof/>
        </w:rPr>
        <w:t>:</w:t>
      </w:r>
    </w:p>
    <w:p w14:paraId="754BD098" w14:textId="29B1489E" w:rsidR="00C778BA" w:rsidRPr="00D86314" w:rsidRDefault="00C778BA" w:rsidP="00112994">
      <w:pPr>
        <w:spacing w:before="240"/>
        <w:rPr>
          <w:noProof/>
          <w:u w:val="single"/>
          <w:vertAlign w:val="superscript"/>
        </w:rPr>
      </w:pPr>
      <w:r w:rsidRPr="00D86314">
        <w:rPr>
          <w:rFonts w:eastAsia="Arial" w:cs="Arial"/>
          <w:b/>
          <w:bCs/>
          <w:noProof/>
        </w:rPr>
        <w:t>1. Upgrading from 4G to 5G</w:t>
      </w:r>
    </w:p>
    <w:p w14:paraId="39119CBE" w14:textId="0180BB98" w:rsidR="003610A5" w:rsidRPr="00D86314" w:rsidRDefault="003610A5" w:rsidP="004A6689">
      <w:pPr>
        <w:pStyle w:val="ListParagraph"/>
        <w:numPr>
          <w:ilvl w:val="0"/>
          <w:numId w:val="46"/>
        </w:numPr>
        <w:spacing w:after="0" w:line="259" w:lineRule="auto"/>
        <w:rPr>
          <w:rFonts w:eastAsia="Arial" w:cs="Arial"/>
          <w:noProof/>
        </w:rPr>
      </w:pPr>
      <w:r w:rsidRPr="00D86314">
        <w:rPr>
          <w:rFonts w:eastAsia="Arial" w:cs="Arial"/>
          <w:noProof/>
        </w:rPr>
        <w:t>With the natural telecoms equipment replacement cycle of 8 years, it is assumed that all networks will be upgraded from 4G to 5G by 2035. According to Opensignal, 5G is four times faster than 4G.</w:t>
      </w:r>
      <w:r w:rsidRPr="00D86314">
        <w:rPr>
          <w:rStyle w:val="FootnoteReference"/>
          <w:rFonts w:eastAsia="Arial" w:cs="Arial"/>
          <w:noProof/>
        </w:rPr>
        <w:footnoteReference w:id="112"/>
      </w:r>
    </w:p>
    <w:p w14:paraId="788E541F" w14:textId="02855858" w:rsidR="00C778BA" w:rsidRPr="00D86314" w:rsidRDefault="00C778BA" w:rsidP="004A6689">
      <w:pPr>
        <w:pStyle w:val="ListParagraph"/>
        <w:numPr>
          <w:ilvl w:val="0"/>
          <w:numId w:val="46"/>
        </w:numPr>
        <w:spacing w:after="0" w:line="259" w:lineRule="auto"/>
        <w:rPr>
          <w:rFonts w:eastAsia="Arial" w:cs="Arial"/>
          <w:noProof/>
        </w:rPr>
      </w:pPr>
      <w:r w:rsidRPr="00D86314">
        <w:rPr>
          <w:rFonts w:eastAsia="Arial" w:cs="Arial"/>
          <w:noProof/>
        </w:rPr>
        <w:t>EU</w:t>
      </w:r>
      <w:r w:rsidR="00F87C2E" w:rsidRPr="00D86314">
        <w:rPr>
          <w:rFonts w:eastAsia="Arial" w:cs="Arial"/>
          <w:noProof/>
        </w:rPr>
        <w:t>-wide</w:t>
      </w:r>
      <w:r w:rsidRPr="00D86314">
        <w:rPr>
          <w:rFonts w:eastAsia="Arial" w:cs="Arial"/>
          <w:noProof/>
        </w:rPr>
        <w:t xml:space="preserve"> 5G coverage is currently 94% according to DESI</w:t>
      </w:r>
      <w:r w:rsidR="00FE27C2" w:rsidRPr="00D86314">
        <w:rPr>
          <w:rFonts w:eastAsia="Arial" w:cs="Arial"/>
          <w:noProof/>
        </w:rPr>
        <w:t>.</w:t>
      </w:r>
    </w:p>
    <w:p w14:paraId="073E21AD" w14:textId="7C1B78DD" w:rsidR="00C778BA" w:rsidRPr="00D86314" w:rsidRDefault="0040182A" w:rsidP="004A6689">
      <w:pPr>
        <w:pStyle w:val="ListParagraph"/>
        <w:numPr>
          <w:ilvl w:val="0"/>
          <w:numId w:val="46"/>
        </w:numPr>
        <w:spacing w:after="0" w:line="259" w:lineRule="auto"/>
        <w:rPr>
          <w:rFonts w:eastAsia="Arial" w:cs="Arial"/>
          <w:noProof/>
        </w:rPr>
      </w:pPr>
      <w:r w:rsidRPr="00D86314">
        <w:rPr>
          <w:rFonts w:eastAsia="Arial" w:cs="Arial"/>
          <w:noProof/>
        </w:rPr>
        <w:t xml:space="preserve">The transition from 4G to 5G is estimated to </w:t>
      </w:r>
      <w:r w:rsidR="00214227" w:rsidRPr="00D86314">
        <w:rPr>
          <w:rFonts w:eastAsia="Arial" w:cs="Arial"/>
          <w:noProof/>
        </w:rPr>
        <w:t>increase</w:t>
      </w:r>
      <w:r w:rsidRPr="00D86314">
        <w:rPr>
          <w:rFonts w:eastAsia="Arial" w:cs="Arial"/>
          <w:noProof/>
        </w:rPr>
        <w:t xml:space="preserve"> average mobile download speeds to around 177 Mbps. This reflects the refarming of existing mobile bands (such as 900 MHz, 1800 MHz and 2.6 GHz) from 4G to 5G and the progressive rollout of 5G by multiple operators in already covered areas, which increases capacity and enables more efficient spectrum use.</w:t>
      </w:r>
    </w:p>
    <w:p w14:paraId="6070D18C" w14:textId="625CF92D" w:rsidR="00C778BA" w:rsidRPr="00D86314" w:rsidRDefault="00C778BA" w:rsidP="004A6689">
      <w:pPr>
        <w:spacing w:before="240"/>
        <w:rPr>
          <w:noProof/>
          <w:u w:val="single"/>
          <w:vertAlign w:val="superscript"/>
        </w:rPr>
      </w:pPr>
      <w:r w:rsidRPr="00D86314">
        <w:rPr>
          <w:rFonts w:eastAsia="Arial" w:cs="Arial"/>
          <w:b/>
          <w:bCs/>
          <w:noProof/>
        </w:rPr>
        <w:t>2. Moving from 5G NSA to 5G SA</w:t>
      </w:r>
    </w:p>
    <w:p w14:paraId="0CA6D499" w14:textId="24374B49" w:rsidR="003610A5" w:rsidRPr="00D86314" w:rsidRDefault="003610A5" w:rsidP="004A6689">
      <w:pPr>
        <w:pStyle w:val="ListParagraph"/>
        <w:numPr>
          <w:ilvl w:val="0"/>
          <w:numId w:val="45"/>
        </w:numPr>
        <w:spacing w:after="0" w:line="259" w:lineRule="auto"/>
        <w:rPr>
          <w:rFonts w:eastAsia="Arial" w:cs="Arial"/>
          <w:noProof/>
        </w:rPr>
      </w:pPr>
      <w:r w:rsidRPr="00D86314">
        <w:rPr>
          <w:rFonts w:eastAsia="Arial" w:cs="Arial"/>
          <w:noProof/>
        </w:rPr>
        <w:t>According to Ookla, 5G SA is currently available to only 2% of European consumers, much less than China (80%), India (52%), and the United States (24%)</w:t>
      </w:r>
      <w:r w:rsidRPr="00D86314">
        <w:rPr>
          <w:rStyle w:val="FootnoteReference"/>
          <w:rFonts w:eastAsia="Arial" w:cs="Arial"/>
          <w:noProof/>
        </w:rPr>
        <w:footnoteReference w:id="113"/>
      </w:r>
      <w:r w:rsidR="00340E42" w:rsidRPr="00D86314">
        <w:rPr>
          <w:rFonts w:eastAsia="Arial" w:cs="Arial"/>
          <w:noProof/>
        </w:rPr>
        <w:t>.</w:t>
      </w:r>
    </w:p>
    <w:p w14:paraId="6323D7E0" w14:textId="3AFD5875" w:rsidR="00C778BA" w:rsidRPr="00D86314" w:rsidRDefault="00C778BA" w:rsidP="004A6689">
      <w:pPr>
        <w:pStyle w:val="ListParagraph"/>
        <w:numPr>
          <w:ilvl w:val="0"/>
          <w:numId w:val="45"/>
        </w:numPr>
        <w:spacing w:after="0" w:line="259" w:lineRule="auto"/>
        <w:rPr>
          <w:rFonts w:eastAsia="Arial" w:cs="Arial"/>
          <w:noProof/>
        </w:rPr>
      </w:pPr>
      <w:r w:rsidRPr="00D86314">
        <w:rPr>
          <w:rFonts w:eastAsia="Arial" w:cs="Arial"/>
          <w:noProof/>
        </w:rPr>
        <w:t>Median download speeds on 5G SA were 57% higher than 5G NSA in Europe and 84% higher in China</w:t>
      </w:r>
      <w:r w:rsidR="00340E42" w:rsidRPr="00D86314">
        <w:rPr>
          <w:rFonts w:eastAsia="Arial" w:cs="Arial"/>
          <w:noProof/>
        </w:rPr>
        <w:t>.</w:t>
      </w:r>
    </w:p>
    <w:p w14:paraId="711D9B6B" w14:textId="2BDA9C4C" w:rsidR="00C778BA" w:rsidRPr="00D86314" w:rsidRDefault="00C778BA" w:rsidP="004A6689">
      <w:pPr>
        <w:pStyle w:val="ListParagraph"/>
        <w:numPr>
          <w:ilvl w:val="0"/>
          <w:numId w:val="45"/>
        </w:numPr>
        <w:spacing w:after="0" w:line="259" w:lineRule="auto"/>
        <w:rPr>
          <w:rFonts w:eastAsia="Arial" w:cs="Arial"/>
          <w:noProof/>
        </w:rPr>
      </w:pPr>
      <w:r w:rsidRPr="00D86314">
        <w:rPr>
          <w:rFonts w:eastAsia="Arial" w:cs="Arial"/>
          <w:noProof/>
        </w:rPr>
        <w:t xml:space="preserve">With no changes to </w:t>
      </w:r>
      <w:r w:rsidR="000F4642" w:rsidRPr="00D86314">
        <w:rPr>
          <w:rFonts w:eastAsia="Arial" w:cs="Arial"/>
          <w:noProof/>
        </w:rPr>
        <w:t>policy,</w:t>
      </w:r>
      <w:r w:rsidRPr="00D86314">
        <w:rPr>
          <w:rFonts w:eastAsia="Arial" w:cs="Arial"/>
          <w:noProof/>
        </w:rPr>
        <w:t xml:space="preserve"> it seems reasonable to assume that 5G SA will continue to roll out, reaching levels of at least 40% availability</w:t>
      </w:r>
    </w:p>
    <w:p w14:paraId="748C3C0C" w14:textId="3E469AD2" w:rsidR="00962711" w:rsidRPr="00D86314" w:rsidRDefault="002E3D52" w:rsidP="004A6689">
      <w:pPr>
        <w:pStyle w:val="ListParagraph"/>
        <w:numPr>
          <w:ilvl w:val="0"/>
          <w:numId w:val="45"/>
        </w:numPr>
        <w:spacing w:after="0" w:line="259" w:lineRule="auto"/>
        <w:rPr>
          <w:rFonts w:eastAsia="Arial" w:cs="Arial"/>
          <w:noProof/>
        </w:rPr>
      </w:pPr>
      <w:r w:rsidRPr="00D86314">
        <w:rPr>
          <w:rFonts w:eastAsia="Arial" w:cs="Arial"/>
          <w:noProof/>
        </w:rPr>
        <w:t>Starting from a current average 5G download speed of around 177 Mbps (predominantly reflecting 5G NSA), applying a 57% uplift implies an average 5G SA speed of approximately 278 Mbps. Combining 40% of subscriptions at this level with the remaining 60% continuing at around 177 Mbps yields a population-weighted average of approximately 217 Mbps.</w:t>
      </w:r>
      <w:r w:rsidR="00C778BA" w:rsidRPr="00D86314">
        <w:rPr>
          <w:rFonts w:eastAsia="Arial" w:cs="Arial"/>
          <w:noProof/>
        </w:rPr>
        <w:t xml:space="preserve"> </w:t>
      </w:r>
    </w:p>
    <w:p w14:paraId="17E0390E" w14:textId="7733D1C8" w:rsidR="00C778BA" w:rsidRPr="00D86314" w:rsidRDefault="00962711" w:rsidP="004A6689">
      <w:pPr>
        <w:pStyle w:val="ListParagraph"/>
        <w:numPr>
          <w:ilvl w:val="0"/>
          <w:numId w:val="45"/>
        </w:numPr>
        <w:spacing w:after="0" w:line="259" w:lineRule="auto"/>
        <w:rPr>
          <w:rFonts w:eastAsia="Arial" w:cs="Arial"/>
          <w:noProof/>
        </w:rPr>
      </w:pPr>
      <w:r w:rsidRPr="00D86314">
        <w:rPr>
          <w:rFonts w:eastAsia="Arial" w:cs="Arial"/>
          <w:noProof/>
        </w:rPr>
        <w:t xml:space="preserve">This figure is adjusted upwards to around </w:t>
      </w:r>
      <w:r w:rsidRPr="00D86314">
        <w:rPr>
          <w:rFonts w:eastAsia="Arial" w:cs="Arial"/>
          <w:b/>
          <w:bCs/>
          <w:noProof/>
        </w:rPr>
        <w:t>250 Mbps</w:t>
      </w:r>
      <w:r w:rsidRPr="00D86314">
        <w:rPr>
          <w:rFonts w:eastAsia="Arial" w:cs="Arial"/>
          <w:noProof/>
        </w:rPr>
        <w:t xml:space="preserve"> to reflect the possibility of higher 5G SA adoption rates over time and the fact that leading operators in </w:t>
      </w:r>
      <w:r w:rsidR="008D5B08" w:rsidRPr="00D86314">
        <w:rPr>
          <w:rFonts w:eastAsia="Arial" w:cs="Arial"/>
          <w:noProof/>
        </w:rPr>
        <w:t>at least six</w:t>
      </w:r>
      <w:r w:rsidRPr="00D86314">
        <w:rPr>
          <w:rFonts w:eastAsia="Arial" w:cs="Arial"/>
          <w:noProof/>
        </w:rPr>
        <w:t xml:space="preserve"> EU Member States already report download speeds exceeding this level.</w:t>
      </w:r>
    </w:p>
    <w:p w14:paraId="75505BED" w14:textId="77777777" w:rsidR="00C778BA" w:rsidRPr="00D86314" w:rsidRDefault="00C778BA" w:rsidP="00894B6D">
      <w:pPr>
        <w:pStyle w:val="Heading4"/>
        <w:spacing w:before="240"/>
        <w:ind w:left="862" w:hanging="862"/>
        <w:rPr>
          <w:noProof/>
        </w:rPr>
      </w:pPr>
      <w:r w:rsidRPr="00D86314">
        <w:rPr>
          <w:noProof/>
        </w:rPr>
        <w:t>Modelling the impact of the policy options</w:t>
      </w:r>
    </w:p>
    <w:p w14:paraId="26E381EB" w14:textId="77777777" w:rsidR="00C778BA" w:rsidRPr="00D86314" w:rsidRDefault="00C778BA" w:rsidP="00894B6D">
      <w:pPr>
        <w:rPr>
          <w:rFonts w:eastAsia="Arial" w:cs="Arial"/>
          <w:noProof/>
        </w:rPr>
      </w:pPr>
      <w:r w:rsidRPr="00D86314">
        <w:rPr>
          <w:rFonts w:eastAsia="Arial" w:cs="Arial"/>
          <w:noProof/>
        </w:rPr>
        <w:t xml:space="preserve">Policy changes can improve download speeds in three ways: firstly, by encouraging investment in the expensive business of upgrading whole networks to 5G SA. Secondly, by ensuring the affordability of the upper 6 GHz band when it is auctioned. The additional mid-range bandwidth in 6 GHz will increase download speeds without the need to install expensive new base stations. Thirdly, by allowing the purchase of more spectrum in renewals and any other awards by relaxing the use of market-shaping measures. This can also improve speeds by providing additional bandwidth. </w:t>
      </w:r>
    </w:p>
    <w:p w14:paraId="5947FEF4" w14:textId="65478294" w:rsidR="00C778BA" w:rsidRPr="00D86314" w:rsidRDefault="00C778BA" w:rsidP="00C778BA">
      <w:pPr>
        <w:spacing w:after="0"/>
        <w:rPr>
          <w:rFonts w:eastAsia="Arial" w:cs="Arial"/>
          <w:noProof/>
        </w:rPr>
      </w:pPr>
      <w:r w:rsidRPr="00D86314">
        <w:rPr>
          <w:rFonts w:eastAsia="Arial" w:cs="Arial"/>
          <w:noProof/>
        </w:rPr>
        <w:t xml:space="preserve">The stronger measures suggested in Option 2 relating to licence length, award design, market shaping measures and the need to consider the policy impact on investment can therefore make a greater impact on download speeds. </w:t>
      </w:r>
    </w:p>
    <w:p w14:paraId="3A0CB99F" w14:textId="6026D581" w:rsidR="00C778BA" w:rsidRPr="00D86314" w:rsidRDefault="00C778BA" w:rsidP="00894B6D">
      <w:pPr>
        <w:spacing w:before="240" w:after="120"/>
        <w:rPr>
          <w:rFonts w:eastAsia="Arial" w:cs="Arial"/>
          <w:noProof/>
        </w:rPr>
      </w:pPr>
      <w:r w:rsidRPr="00D86314">
        <w:rPr>
          <w:rFonts w:eastAsia="Arial" w:cs="Arial"/>
          <w:noProof/>
        </w:rPr>
        <w:t>Based on the baseline figure of 250 Mbps by 2035</w:t>
      </w:r>
      <w:r w:rsidR="00610A8D" w:rsidRPr="00D86314">
        <w:rPr>
          <w:rFonts w:eastAsia="Arial" w:cs="Arial"/>
          <w:noProof/>
        </w:rPr>
        <w:t>,</w:t>
      </w:r>
      <w:r w:rsidRPr="00D86314">
        <w:rPr>
          <w:rFonts w:eastAsia="Arial" w:cs="Arial"/>
          <w:noProof/>
        </w:rPr>
        <w:t xml:space="preserve"> the </w:t>
      </w:r>
      <w:r w:rsidR="00610A8D" w:rsidRPr="00D86314">
        <w:rPr>
          <w:rFonts w:eastAsia="Arial" w:cs="Arial"/>
          <w:noProof/>
        </w:rPr>
        <w:t xml:space="preserve">impacts of the </w:t>
      </w:r>
      <w:r w:rsidRPr="00D86314">
        <w:rPr>
          <w:rFonts w:eastAsia="Arial" w:cs="Arial"/>
          <w:noProof/>
        </w:rPr>
        <w:t>policy option</w:t>
      </w:r>
      <w:r w:rsidR="00610A8D" w:rsidRPr="00D86314">
        <w:rPr>
          <w:rFonts w:eastAsia="Arial" w:cs="Arial"/>
          <w:noProof/>
        </w:rPr>
        <w:t>s</w:t>
      </w:r>
      <w:r w:rsidRPr="00D86314">
        <w:rPr>
          <w:rFonts w:eastAsia="Arial" w:cs="Arial"/>
          <w:noProof/>
        </w:rPr>
        <w:t xml:space="preserve"> </w:t>
      </w:r>
      <w:r w:rsidR="00610A8D" w:rsidRPr="00D86314">
        <w:rPr>
          <w:rFonts w:eastAsia="Arial" w:cs="Arial"/>
          <w:noProof/>
        </w:rPr>
        <w:t>were consider</w:t>
      </w:r>
      <w:r w:rsidR="005007AB" w:rsidRPr="00D86314">
        <w:rPr>
          <w:rFonts w:eastAsia="Arial" w:cs="Arial"/>
          <w:noProof/>
        </w:rPr>
        <w:t>ed</w:t>
      </w:r>
      <w:r w:rsidR="00610A8D" w:rsidRPr="00D86314">
        <w:rPr>
          <w:rFonts w:eastAsia="Arial" w:cs="Arial"/>
          <w:noProof/>
        </w:rPr>
        <w:t xml:space="preserve"> </w:t>
      </w:r>
      <w:r w:rsidRPr="00D86314">
        <w:rPr>
          <w:rFonts w:eastAsia="Arial" w:cs="Arial"/>
          <w:noProof/>
        </w:rPr>
        <w:t>as follows:</w:t>
      </w:r>
    </w:p>
    <w:p w14:paraId="6869631B" w14:textId="23686DF3" w:rsidR="00C778BA" w:rsidRPr="00D86314" w:rsidRDefault="00C778BA" w:rsidP="00C778BA">
      <w:pPr>
        <w:spacing w:after="0"/>
        <w:rPr>
          <w:rFonts w:eastAsia="Arial" w:cs="Arial"/>
          <w:noProof/>
        </w:rPr>
      </w:pPr>
      <w:r w:rsidRPr="00D86314">
        <w:rPr>
          <w:rFonts w:eastAsia="Arial" w:cs="Arial"/>
          <w:noProof/>
        </w:rPr>
        <w:t>Option 1: 2% increase</w:t>
      </w:r>
      <w:r w:rsidR="00260C67" w:rsidRPr="00D86314">
        <w:rPr>
          <w:rFonts w:eastAsia="Arial" w:cs="Arial"/>
          <w:noProof/>
        </w:rPr>
        <w:t xml:space="preserve"> in download speed</w:t>
      </w:r>
    </w:p>
    <w:p w14:paraId="2E0BFEBE" w14:textId="3D51729B" w:rsidR="00C778BA" w:rsidRPr="00D86314" w:rsidRDefault="00C778BA" w:rsidP="00C778BA">
      <w:pPr>
        <w:spacing w:after="0"/>
        <w:rPr>
          <w:rFonts w:eastAsia="Arial" w:cs="Arial"/>
          <w:noProof/>
        </w:rPr>
      </w:pPr>
      <w:r w:rsidRPr="00D86314">
        <w:rPr>
          <w:rFonts w:eastAsia="Arial" w:cs="Arial"/>
          <w:noProof/>
        </w:rPr>
        <w:t>Option 2: 6% increase</w:t>
      </w:r>
      <w:r w:rsidR="00260C67" w:rsidRPr="00D86314">
        <w:rPr>
          <w:rFonts w:eastAsia="Arial" w:cs="Arial"/>
          <w:noProof/>
        </w:rPr>
        <w:t xml:space="preserve"> in download speed</w:t>
      </w:r>
    </w:p>
    <w:p w14:paraId="1D388323" w14:textId="234B6B9F" w:rsidR="00C778BA" w:rsidRPr="00D86314" w:rsidRDefault="00C778BA" w:rsidP="00C778BA">
      <w:pPr>
        <w:rPr>
          <w:rFonts w:eastAsia="Arial" w:cs="Arial"/>
          <w:noProof/>
        </w:rPr>
      </w:pPr>
      <w:r w:rsidRPr="00D86314">
        <w:rPr>
          <w:rFonts w:eastAsia="Arial" w:cs="Arial"/>
          <w:noProof/>
        </w:rPr>
        <w:t>Option 3: 6% increase</w:t>
      </w:r>
      <w:r w:rsidR="00260C67" w:rsidRPr="00D86314">
        <w:rPr>
          <w:rFonts w:eastAsia="Arial" w:cs="Arial"/>
          <w:noProof/>
        </w:rPr>
        <w:t xml:space="preserve"> in download speed</w:t>
      </w:r>
    </w:p>
    <w:p w14:paraId="023EC71B" w14:textId="7670F5D4" w:rsidR="00C778BA" w:rsidRPr="00D86314" w:rsidRDefault="00C778BA" w:rsidP="006804DB">
      <w:pPr>
        <w:spacing w:before="120"/>
        <w:rPr>
          <w:rFonts w:eastAsia="Arial" w:cs="Arial"/>
          <w:noProof/>
        </w:rPr>
      </w:pPr>
      <w:r w:rsidRPr="00D86314">
        <w:rPr>
          <w:rFonts w:eastAsia="Arial" w:cs="Arial"/>
          <w:noProof/>
        </w:rPr>
        <w:t xml:space="preserve">As discussed for 5G midband coverage the figure is the same for Options 2 and 3 because </w:t>
      </w:r>
      <w:r w:rsidR="00610A8D" w:rsidRPr="00D86314">
        <w:rPr>
          <w:rFonts w:eastAsia="Arial" w:cs="Arial"/>
          <w:noProof/>
        </w:rPr>
        <w:t>it is</w:t>
      </w:r>
      <w:r w:rsidRPr="00D86314">
        <w:rPr>
          <w:rFonts w:eastAsia="Arial" w:cs="Arial"/>
          <w:noProof/>
        </w:rPr>
        <w:t xml:space="preserve"> not consider</w:t>
      </w:r>
      <w:r w:rsidR="00610A8D" w:rsidRPr="00D86314">
        <w:rPr>
          <w:rFonts w:eastAsia="Arial" w:cs="Arial"/>
          <w:noProof/>
        </w:rPr>
        <w:t>ed that</w:t>
      </w:r>
      <w:r w:rsidRPr="00D86314">
        <w:rPr>
          <w:rFonts w:eastAsia="Arial" w:cs="Arial"/>
          <w:noProof/>
        </w:rPr>
        <w:t xml:space="preserve"> the Option 3 proposals on licence length, authorisation processes or market shaping measures will lead to significantly different outcomes</w:t>
      </w:r>
      <w:r w:rsidR="009B1133" w:rsidRPr="00D86314">
        <w:rPr>
          <w:rFonts w:eastAsia="Arial" w:cs="Arial"/>
          <w:noProof/>
        </w:rPr>
        <w:t xml:space="preserve"> in the proposed </w:t>
      </w:r>
      <w:r w:rsidR="00C46378" w:rsidRPr="00D86314">
        <w:rPr>
          <w:rFonts w:eastAsia="Arial" w:cs="Arial"/>
          <w:noProof/>
        </w:rPr>
        <w:t xml:space="preserve">analysis period (2025-2035) and </w:t>
      </w:r>
      <w:r w:rsidR="00CD61FC" w:rsidRPr="00D86314">
        <w:rPr>
          <w:rFonts w:eastAsia="Arial" w:cs="Arial"/>
          <w:noProof/>
        </w:rPr>
        <w:t xml:space="preserve">would lead to similar results in terms of </w:t>
      </w:r>
      <w:r w:rsidR="00F1503F" w:rsidRPr="00D86314">
        <w:rPr>
          <w:rFonts w:eastAsia="Arial" w:cs="Arial"/>
          <w:noProof/>
        </w:rPr>
        <w:t xml:space="preserve">benefits from reduced fragmentation, increased predictability and </w:t>
      </w:r>
      <w:r w:rsidR="00CD61FC" w:rsidRPr="00D86314">
        <w:rPr>
          <w:rFonts w:eastAsia="Arial" w:cs="Arial"/>
          <w:noProof/>
        </w:rPr>
        <w:t xml:space="preserve">economies of scale considering </w:t>
      </w:r>
      <w:r w:rsidR="00F1503F" w:rsidRPr="00D86314">
        <w:rPr>
          <w:rFonts w:eastAsia="Arial" w:cs="Arial"/>
          <w:noProof/>
        </w:rPr>
        <w:t>the scope of the model assessment</w:t>
      </w:r>
      <w:r w:rsidRPr="00D86314">
        <w:rPr>
          <w:rFonts w:eastAsia="Arial" w:cs="Arial"/>
          <w:noProof/>
        </w:rPr>
        <w:t>.</w:t>
      </w:r>
      <w:r w:rsidR="007F16CF" w:rsidRPr="00D86314">
        <w:rPr>
          <w:rFonts w:eastAsia="Arial" w:cs="Arial"/>
          <w:noProof/>
        </w:rPr>
        <w:t xml:space="preserve"> </w:t>
      </w:r>
    </w:p>
    <w:p w14:paraId="50BBC427" w14:textId="3AE9C6A2" w:rsidR="001F10E6" w:rsidRPr="00D86314" w:rsidRDefault="001F10E6" w:rsidP="001F10E6">
      <w:pPr>
        <w:keepNext/>
        <w:spacing w:after="120"/>
        <w:rPr>
          <w:i/>
          <w:noProof/>
          <w:sz w:val="20"/>
        </w:rPr>
      </w:pPr>
      <w:bookmarkStart w:id="151" w:name="_Ref218171692"/>
      <w:bookmarkStart w:id="152" w:name="_Ref218171719"/>
      <w:r w:rsidRPr="00D86314">
        <w:rPr>
          <w:i/>
          <w:noProof/>
          <w:sz w:val="22"/>
          <w:szCs w:val="22"/>
        </w:rPr>
        <w:t xml:space="preserve">Figure A4 </w:t>
      </w:r>
      <w:r w:rsidRPr="00D86314">
        <w:rPr>
          <w:i/>
          <w:noProof/>
          <w:sz w:val="22"/>
          <w:szCs w:val="22"/>
        </w:rPr>
        <w:fldChar w:fldCharType="begin"/>
      </w:r>
      <w:r w:rsidRPr="00D86314">
        <w:rPr>
          <w:i/>
          <w:noProof/>
          <w:sz w:val="22"/>
          <w:szCs w:val="22"/>
        </w:rPr>
        <w:instrText xml:space="preserve"> STYLEREF 1 \s </w:instrText>
      </w:r>
      <w:r w:rsidRPr="00D86314">
        <w:rPr>
          <w:i/>
          <w:noProof/>
          <w:sz w:val="22"/>
          <w:szCs w:val="22"/>
        </w:rPr>
        <w:fldChar w:fldCharType="separate"/>
      </w:r>
      <w:r w:rsidR="00870CA9" w:rsidRPr="00C20A01">
        <w:rPr>
          <w:i/>
          <w:noProof/>
          <w:sz w:val="22"/>
          <w:szCs w:val="22"/>
        </w:rPr>
        <w:t>2</w:t>
      </w:r>
      <w:r w:rsidRPr="00D86314">
        <w:rPr>
          <w:i/>
          <w:noProof/>
          <w:sz w:val="22"/>
          <w:szCs w:val="22"/>
        </w:rPr>
        <w:fldChar w:fldCharType="end"/>
      </w:r>
      <w:bookmarkEnd w:id="151"/>
      <w:r w:rsidRPr="00D86314">
        <w:rPr>
          <w:i/>
          <w:noProof/>
          <w:sz w:val="22"/>
          <w:szCs w:val="22"/>
        </w:rPr>
        <w:noBreakHyphen/>
      </w:r>
      <w:bookmarkEnd w:id="152"/>
      <w:r w:rsidR="005B5146">
        <w:rPr>
          <w:i/>
          <w:noProof/>
          <w:sz w:val="22"/>
          <w:szCs w:val="22"/>
        </w:rPr>
        <w:fldChar w:fldCharType="begin"/>
      </w:r>
      <w:r w:rsidR="005B5146">
        <w:rPr>
          <w:i/>
          <w:noProof/>
          <w:sz w:val="22"/>
          <w:szCs w:val="22"/>
        </w:rPr>
        <w:instrText xml:space="preserve"> SEQ Figure \* ARABIC \s 1 </w:instrText>
      </w:r>
      <w:r w:rsidR="005B5146">
        <w:rPr>
          <w:i/>
          <w:noProof/>
          <w:sz w:val="22"/>
          <w:szCs w:val="22"/>
        </w:rPr>
        <w:fldChar w:fldCharType="separate"/>
      </w:r>
      <w:r w:rsidR="005B5146">
        <w:rPr>
          <w:i/>
          <w:noProof/>
          <w:sz w:val="22"/>
          <w:szCs w:val="22"/>
        </w:rPr>
        <w:t>1</w:t>
      </w:r>
      <w:r w:rsidR="005B5146">
        <w:rPr>
          <w:i/>
          <w:noProof/>
          <w:sz w:val="22"/>
          <w:szCs w:val="22"/>
        </w:rPr>
        <w:fldChar w:fldCharType="end"/>
      </w:r>
      <w:r w:rsidR="00E04392">
        <w:rPr>
          <w:i/>
          <w:noProof/>
          <w:sz w:val="22"/>
          <w:szCs w:val="22"/>
        </w:rPr>
        <w:t>2</w:t>
      </w:r>
      <w:r w:rsidRPr="00D86314">
        <w:rPr>
          <w:i/>
          <w:noProof/>
          <w:sz w:val="22"/>
          <w:szCs w:val="22"/>
        </w:rPr>
        <w:t>: Projected download speeds by option</w:t>
      </w:r>
    </w:p>
    <w:p w14:paraId="1F4F5156" w14:textId="77777777" w:rsidR="00C778BA" w:rsidRPr="00D86314" w:rsidRDefault="00C778BA" w:rsidP="00C778BA">
      <w:pPr>
        <w:keepNext/>
        <w:spacing w:before="120" w:after="0"/>
        <w:jc w:val="center"/>
        <w:rPr>
          <w:noProof/>
        </w:rPr>
      </w:pPr>
      <w:r w:rsidRPr="00E46BC9">
        <w:rPr>
          <w:noProof/>
          <w:lang w:eastAsia="en-GB"/>
        </w:rPr>
        <w:drawing>
          <wp:inline distT="0" distB="0" distL="0" distR="0" wp14:anchorId="543D9F0F" wp14:editId="5B0BE7C0">
            <wp:extent cx="5275905" cy="3691554"/>
            <wp:effectExtent l="0" t="0" r="1270" b="4445"/>
            <wp:docPr id="1628811666" name="Grafik 4" descr="Ein Bild, das Text,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11666" name="Grafik 4" descr="Ein Bild, das Text, Screenshot, Diagramm, Reihe enthält.&#10;&#10;KI-generierte Inhalte können fehlerhaft sein."/>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82691" cy="3696302"/>
                    </a:xfrm>
                    <a:prstGeom prst="rect">
                      <a:avLst/>
                    </a:prstGeom>
                    <a:noFill/>
                  </pic:spPr>
                </pic:pic>
              </a:graphicData>
            </a:graphic>
          </wp:inline>
        </w:drawing>
      </w:r>
    </w:p>
    <w:p w14:paraId="40F00ECF" w14:textId="77777777" w:rsidR="00C778BA" w:rsidRPr="00D86314" w:rsidRDefault="00C778BA" w:rsidP="00C778BA">
      <w:pPr>
        <w:keepNext/>
        <w:spacing w:after="120"/>
        <w:rPr>
          <w:noProof/>
          <w:sz w:val="20"/>
        </w:rPr>
      </w:pPr>
      <w:r w:rsidRPr="00D86314">
        <w:rPr>
          <w:noProof/>
          <w:sz w:val="20"/>
        </w:rPr>
        <w:t>_____________________________________________________________________________</w:t>
      </w:r>
    </w:p>
    <w:p w14:paraId="5474E860" w14:textId="77777777" w:rsidR="00C778BA" w:rsidRPr="00D86314" w:rsidRDefault="00C778BA" w:rsidP="00C778BA">
      <w:pPr>
        <w:pStyle w:val="Quelle"/>
        <w:rPr>
          <w:rFonts w:ascii="Times New Roman" w:hAnsi="Times New Roman"/>
          <w:noProof/>
        </w:rPr>
      </w:pPr>
      <w:r w:rsidRPr="00D86314">
        <w:rPr>
          <w:rFonts w:ascii="Times New Roman" w:hAnsi="Times New Roman"/>
          <w:noProof/>
        </w:rPr>
        <w:t>Source: WIK-Consult</w:t>
      </w:r>
    </w:p>
    <w:p w14:paraId="2403882A" w14:textId="77777777" w:rsidR="00C778BA" w:rsidRPr="00D86314" w:rsidRDefault="00C778BA" w:rsidP="00C778BA">
      <w:pPr>
        <w:pStyle w:val="Heading4"/>
        <w:rPr>
          <w:noProof/>
        </w:rPr>
      </w:pPr>
      <w:r w:rsidRPr="00D86314">
        <w:rPr>
          <w:noProof/>
        </w:rPr>
        <w:t>Assumptions regarding 5G take-up</w:t>
      </w:r>
    </w:p>
    <w:p w14:paraId="368B6C34" w14:textId="12A79EC6" w:rsidR="00C778BA" w:rsidRPr="00D86314" w:rsidRDefault="003142F6" w:rsidP="00C778BA">
      <w:pPr>
        <w:rPr>
          <w:noProof/>
        </w:rPr>
      </w:pPr>
      <w:r w:rsidRPr="00D86314">
        <w:rPr>
          <w:noProof/>
        </w:rPr>
        <w:t>Figure</w:t>
      </w:r>
      <w:r w:rsidR="00A36024" w:rsidRPr="00D86314">
        <w:rPr>
          <w:noProof/>
        </w:rPr>
        <w:t xml:space="preserve"> A4 2-</w:t>
      </w:r>
      <w:r w:rsidR="00E02019" w:rsidRPr="00D86314">
        <w:rPr>
          <w:noProof/>
        </w:rPr>
        <w:t>13</w:t>
      </w:r>
      <w:r w:rsidR="00C778BA" w:rsidRPr="00D86314">
        <w:rPr>
          <w:noProof/>
        </w:rPr>
        <w:t xml:space="preserve"> shows the projected evolution of mobile subscription technologies from 2024 to 2035. It highlights a clear and steady transition toward 5G. In 2024, 4G still holds the majority share, while 5G accounts for around one-quarter of subscriptions. However, over time, 5G rapidly gains ground, surpassing 50% by 2027 and becoming the leading mobile technology.</w:t>
      </w:r>
    </w:p>
    <w:p w14:paraId="1DC2E288" w14:textId="77777777" w:rsidR="00C778BA" w:rsidRPr="00D86314" w:rsidRDefault="00C778BA" w:rsidP="00C778BA">
      <w:pPr>
        <w:rPr>
          <w:noProof/>
        </w:rPr>
      </w:pPr>
      <w:r w:rsidRPr="00D86314">
        <w:rPr>
          <w:noProof/>
        </w:rPr>
        <w:t>By 2030, 5G is projected to account for approximately 75% of all mobile subscriptions, making it the dominant access technology. The decline of 4G continues steadily until it nearly disappears by 2033. By 2035, 5G makes up almost 100% of the mobile subscription base, effectively replacing earlier generations.</w:t>
      </w:r>
      <w:r w:rsidRPr="00D86314">
        <w:rPr>
          <w:rStyle w:val="FootnoteReference"/>
          <w:noProof/>
        </w:rPr>
        <w:footnoteReference w:id="114"/>
      </w:r>
      <w:r w:rsidRPr="00D86314">
        <w:rPr>
          <w:noProof/>
        </w:rPr>
        <w:t xml:space="preserve"> This shift reflects growing consumer adoption, increasing device compatibility, and the gradual phase-out of legacy networks across Europe and globally.</w:t>
      </w:r>
    </w:p>
    <w:p w14:paraId="58793480" w14:textId="4382C0E9" w:rsidR="00C778BA" w:rsidRPr="00D86314" w:rsidRDefault="003E68CC" w:rsidP="00623C8D">
      <w:pPr>
        <w:pStyle w:val="Caption"/>
        <w:keepNext/>
        <w:ind w:left="1701" w:hanging="1701"/>
        <w:jc w:val="left"/>
        <w:rPr>
          <w:noProof/>
          <w:color w:val="auto"/>
          <w:sz w:val="22"/>
          <w:szCs w:val="22"/>
        </w:rPr>
      </w:pPr>
      <w:bookmarkStart w:id="153" w:name="_Toc202554270"/>
      <w:r w:rsidRPr="00D86314">
        <w:rPr>
          <w:noProof/>
          <w:color w:val="auto"/>
          <w:sz w:val="22"/>
          <w:szCs w:val="22"/>
        </w:rPr>
        <w:t>Figure A4 2</w:t>
      </w:r>
      <w:r w:rsidR="005D1232" w:rsidRPr="00D86314">
        <w:rPr>
          <w:noProof/>
          <w:color w:val="auto"/>
          <w:sz w:val="22"/>
          <w:szCs w:val="22"/>
        </w:rPr>
        <w:t>-</w:t>
      </w:r>
      <w:r w:rsidR="008433A9" w:rsidRPr="00D86314">
        <w:rPr>
          <w:noProof/>
          <w:color w:val="auto"/>
          <w:sz w:val="22"/>
          <w:szCs w:val="22"/>
        </w:rPr>
        <w:t>1</w:t>
      </w:r>
      <w:r w:rsidR="00E04392">
        <w:rPr>
          <w:noProof/>
          <w:color w:val="auto"/>
          <w:sz w:val="22"/>
          <w:szCs w:val="22"/>
        </w:rPr>
        <w:t>3</w:t>
      </w:r>
      <w:r w:rsidR="00C778BA" w:rsidRPr="00D86314">
        <w:rPr>
          <w:noProof/>
          <w:color w:val="auto"/>
          <w:sz w:val="22"/>
          <w:szCs w:val="22"/>
        </w:rPr>
        <w:t>:</w:t>
      </w:r>
      <w:r w:rsidR="006F3CFA" w:rsidRPr="00D86314">
        <w:rPr>
          <w:noProof/>
          <w:color w:val="auto"/>
          <w:sz w:val="22"/>
          <w:szCs w:val="22"/>
        </w:rPr>
        <w:t xml:space="preserve"> </w:t>
      </w:r>
      <w:r w:rsidR="00C778BA" w:rsidRPr="00D86314">
        <w:rPr>
          <w:noProof/>
          <w:color w:val="auto"/>
          <w:sz w:val="22"/>
          <w:szCs w:val="22"/>
        </w:rPr>
        <w:t xml:space="preserve">Evolution of mobile technology shares in the EU27 (in % of mobile subscriptions) </w:t>
      </w:r>
      <w:bookmarkEnd w:id="153"/>
      <w:r w:rsidR="00C778BA" w:rsidRPr="00D86314">
        <w:rPr>
          <w:noProof/>
          <w:color w:val="auto"/>
          <w:sz w:val="22"/>
          <w:szCs w:val="22"/>
        </w:rPr>
        <w:t>2024-2035</w:t>
      </w:r>
    </w:p>
    <w:p w14:paraId="3CDFFC13" w14:textId="77777777" w:rsidR="00C778BA" w:rsidRPr="00D86314" w:rsidRDefault="00C778BA" w:rsidP="00C778BA">
      <w:pPr>
        <w:rPr>
          <w:noProof/>
          <w:color w:val="000000" w:themeColor="text1"/>
        </w:rPr>
      </w:pPr>
      <w:r w:rsidRPr="00E46BC9">
        <w:rPr>
          <w:noProof/>
          <w:color w:val="000000" w:themeColor="text1"/>
          <w:lang w:eastAsia="en-GB"/>
        </w:rPr>
        <w:drawing>
          <wp:inline distT="0" distB="0" distL="0" distR="0" wp14:anchorId="72C6A0C4" wp14:editId="49126E3F">
            <wp:extent cx="5594721" cy="3529169"/>
            <wp:effectExtent l="0" t="0" r="6350" b="0"/>
            <wp:docPr id="1553913179" name="Grafik 4" descr="A graph of a number of mobile subscrip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13179" name="Grafik 4" descr="A graph of a number of mobile subscriptions&#10;&#10;AI-generated content may be incorrec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03306" cy="3534585"/>
                    </a:xfrm>
                    <a:prstGeom prst="rect">
                      <a:avLst/>
                    </a:prstGeom>
                    <a:noFill/>
                  </pic:spPr>
                </pic:pic>
              </a:graphicData>
            </a:graphic>
          </wp:inline>
        </w:drawing>
      </w:r>
    </w:p>
    <w:p w14:paraId="77D63C1E" w14:textId="77777777" w:rsidR="00C778BA" w:rsidRPr="00D86314" w:rsidRDefault="00C778BA" w:rsidP="00C778BA">
      <w:pPr>
        <w:pStyle w:val="Quelle"/>
        <w:rPr>
          <w:rFonts w:ascii="Times New Roman" w:hAnsi="Times New Roman"/>
          <w:noProof/>
          <w:color w:val="000000" w:themeColor="text1"/>
        </w:rPr>
      </w:pPr>
      <w:r w:rsidRPr="00D86314">
        <w:rPr>
          <w:rFonts w:ascii="Times New Roman" w:hAnsi="Times New Roman"/>
          <w:noProof/>
          <w:color w:val="000000" w:themeColor="text1"/>
        </w:rPr>
        <w:t>Source: WIK Consult</w:t>
      </w:r>
    </w:p>
    <w:p w14:paraId="70CD3538" w14:textId="4588403B" w:rsidR="00C778BA" w:rsidRPr="00D86314" w:rsidRDefault="00C778BA" w:rsidP="00C778BA">
      <w:pPr>
        <w:rPr>
          <w:noProof/>
          <w:color w:val="000000" w:themeColor="text1"/>
        </w:rPr>
      </w:pPr>
      <w:r w:rsidRPr="00D86314">
        <w:rPr>
          <w:noProof/>
          <w:color w:val="000000" w:themeColor="text1"/>
        </w:rPr>
        <w:t xml:space="preserve">While projections for overall 5G adoption are increasingly robust, any specific predictions regarding the take-up or use of 5G midband (3.4–3.8 GHz) remain speculative due to a critical lack of publicly available data on the number of users connected via midband spectrum. Most statistics and market reports – such as </w:t>
      </w:r>
      <w:r w:rsidRPr="00D86314">
        <w:rPr>
          <w:noProof/>
        </w:rPr>
        <w:t xml:space="preserve">those from </w:t>
      </w:r>
      <w:r w:rsidRPr="00D86314">
        <w:rPr>
          <w:noProof/>
          <w:color w:val="000000" w:themeColor="text1"/>
        </w:rPr>
        <w:t xml:space="preserve">Ericsson Mobility Report, or GSMA – track 5G adoption in aggregate without distinguishing between low-band, midband, or </w:t>
      </w:r>
      <w:r w:rsidR="00D86314" w:rsidRPr="00D86314">
        <w:rPr>
          <w:noProof/>
          <w:color w:val="000000" w:themeColor="text1"/>
        </w:rPr>
        <w:t>millimet</w:t>
      </w:r>
      <w:r w:rsidR="00FF528B">
        <w:rPr>
          <w:noProof/>
          <w:color w:val="000000" w:themeColor="text1"/>
        </w:rPr>
        <w:t>er</w:t>
      </w:r>
      <w:r w:rsidRPr="00D86314">
        <w:rPr>
          <w:noProof/>
          <w:color w:val="000000" w:themeColor="text1"/>
        </w:rPr>
        <w:t xml:space="preserve"> wave usage. This limits the precision of forecasts related to midband-specific take-up.</w:t>
      </w:r>
    </w:p>
    <w:p w14:paraId="0B7F9BF5" w14:textId="171500EF" w:rsidR="00C778BA" w:rsidRPr="00D86314" w:rsidRDefault="000D1F1A" w:rsidP="00C778BA">
      <w:pPr>
        <w:rPr>
          <w:noProof/>
          <w:color w:val="000000" w:themeColor="text1"/>
        </w:rPr>
      </w:pPr>
      <w:r w:rsidRPr="00D86314">
        <w:rPr>
          <w:noProof/>
          <w:color w:val="000000" w:themeColor="text1"/>
        </w:rPr>
        <w:t>The</w:t>
      </w:r>
      <w:r w:rsidR="00C778BA" w:rsidRPr="00D86314">
        <w:rPr>
          <w:noProof/>
          <w:color w:val="000000" w:themeColor="text1"/>
        </w:rPr>
        <w:t xml:space="preserve"> following development </w:t>
      </w:r>
      <w:r w:rsidRPr="00D86314">
        <w:rPr>
          <w:noProof/>
          <w:color w:val="000000" w:themeColor="text1"/>
        </w:rPr>
        <w:t xml:space="preserve">was estimated </w:t>
      </w:r>
      <w:r w:rsidR="00C778BA" w:rsidRPr="00D86314">
        <w:rPr>
          <w:noProof/>
          <w:color w:val="000000" w:themeColor="text1"/>
        </w:rPr>
        <w:t xml:space="preserve">for the options with regard to the impact of midband (see </w:t>
      </w:r>
      <w:r w:rsidR="000C0921">
        <w:rPr>
          <w:noProof/>
          <w:color w:val="000000" w:themeColor="text1"/>
        </w:rPr>
        <w:t>Figure A4 2-14</w:t>
      </w:r>
      <w:r w:rsidR="00C778BA" w:rsidRPr="00D86314">
        <w:rPr>
          <w:noProof/>
          <w:color w:val="000000" w:themeColor="text1"/>
        </w:rPr>
        <w:t>).</w:t>
      </w:r>
    </w:p>
    <w:p w14:paraId="398ECE29" w14:textId="1BD1A113" w:rsidR="00C778BA" w:rsidRPr="00D86314" w:rsidRDefault="003E68CC" w:rsidP="006F3CFA">
      <w:pPr>
        <w:pStyle w:val="Caption"/>
        <w:keepNext/>
        <w:keepLines/>
        <w:rPr>
          <w:noProof/>
          <w:color w:val="000000" w:themeColor="text1"/>
          <w:sz w:val="22"/>
          <w:szCs w:val="22"/>
        </w:rPr>
      </w:pPr>
      <w:r w:rsidRPr="00D86314">
        <w:rPr>
          <w:noProof/>
          <w:color w:val="auto"/>
          <w:sz w:val="22"/>
          <w:szCs w:val="22"/>
        </w:rPr>
        <w:t>Figure A4 2</w:t>
      </w:r>
      <w:r w:rsidRPr="00D86314">
        <w:rPr>
          <w:noProof/>
          <w:color w:val="auto"/>
          <w:sz w:val="22"/>
          <w:szCs w:val="22"/>
        </w:rPr>
        <w:noBreakHyphen/>
      </w:r>
      <w:r w:rsidR="00585723" w:rsidRPr="00D86314">
        <w:rPr>
          <w:noProof/>
          <w:color w:val="auto"/>
          <w:sz w:val="22"/>
          <w:szCs w:val="22"/>
        </w:rPr>
        <w:t>1</w:t>
      </w:r>
      <w:r w:rsidR="00E04392">
        <w:rPr>
          <w:noProof/>
          <w:color w:val="auto"/>
          <w:sz w:val="22"/>
          <w:szCs w:val="22"/>
        </w:rPr>
        <w:t>4</w:t>
      </w:r>
      <w:r w:rsidR="00C778BA" w:rsidRPr="00D86314">
        <w:rPr>
          <w:noProof/>
          <w:color w:val="000000" w:themeColor="text1"/>
          <w:sz w:val="22"/>
          <w:szCs w:val="22"/>
        </w:rPr>
        <w:t>: Mobile subscriptions benefiting from higher bandwidth supported by 3.5 GHz</w:t>
      </w:r>
    </w:p>
    <w:p w14:paraId="3687D1AA" w14:textId="77777777" w:rsidR="00C778BA" w:rsidRPr="00D86314" w:rsidRDefault="00C778BA" w:rsidP="00C778BA">
      <w:pPr>
        <w:rPr>
          <w:noProof/>
          <w:color w:val="000000" w:themeColor="text1"/>
        </w:rPr>
      </w:pPr>
      <w:r w:rsidRPr="00E46BC9">
        <w:rPr>
          <w:noProof/>
          <w:color w:val="000000" w:themeColor="text1"/>
          <w:lang w:eastAsia="en-GB"/>
        </w:rPr>
        <w:drawing>
          <wp:inline distT="0" distB="0" distL="0" distR="0" wp14:anchorId="631C4837" wp14:editId="4F0B644F">
            <wp:extent cx="5440045" cy="3493770"/>
            <wp:effectExtent l="0" t="0" r="8255" b="0"/>
            <wp:docPr id="21086519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51993" name=""/>
                    <pic:cNvPicPr/>
                  </pic:nvPicPr>
                  <pic:blipFill>
                    <a:blip r:embed="rId89">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90"/>
                        </a:ext>
                      </a:extLst>
                    </a:blip>
                    <a:stretch>
                      <a:fillRect/>
                    </a:stretch>
                  </pic:blipFill>
                  <pic:spPr>
                    <a:xfrm>
                      <a:off x="0" y="0"/>
                      <a:ext cx="5440045" cy="3493770"/>
                    </a:xfrm>
                    <a:prstGeom prst="rect">
                      <a:avLst/>
                    </a:prstGeom>
                  </pic:spPr>
                </pic:pic>
              </a:graphicData>
            </a:graphic>
          </wp:inline>
        </w:drawing>
      </w:r>
      <w:r w:rsidRPr="00D86314">
        <w:rPr>
          <w:noProof/>
          <w:color w:val="000000" w:themeColor="text1"/>
        </w:rPr>
        <w:t xml:space="preserve"> </w:t>
      </w:r>
    </w:p>
    <w:p w14:paraId="13832746" w14:textId="77777777" w:rsidR="00C778BA" w:rsidRPr="00D86314" w:rsidRDefault="00C778BA" w:rsidP="00C778BA">
      <w:pPr>
        <w:rPr>
          <w:noProof/>
          <w:color w:val="000000" w:themeColor="text1"/>
        </w:rPr>
      </w:pPr>
      <w:r w:rsidRPr="00D86314">
        <w:rPr>
          <w:noProof/>
          <w:color w:val="000000" w:themeColor="text1"/>
        </w:rPr>
        <w:t>Source: WIK-Consult estimates.</w:t>
      </w:r>
    </w:p>
    <w:p w14:paraId="29866AF8" w14:textId="77777777" w:rsidR="00C778BA" w:rsidRPr="00D86314" w:rsidRDefault="00C778BA" w:rsidP="00C778BA">
      <w:pPr>
        <w:rPr>
          <w:noProof/>
          <w:color w:val="000000" w:themeColor="text1"/>
        </w:rPr>
      </w:pPr>
      <w:r w:rsidRPr="00D86314">
        <w:rPr>
          <w:noProof/>
          <w:color w:val="000000" w:themeColor="text1"/>
        </w:rPr>
        <w:t>The figure illustrates the projected percentage of mobile subscribers who will benefit from higher bandwidths enabled by the 3.5 GHz spectrum between 2024 and 2035, under the four different action options. Starting from a baseline of around 10% in 2024, all options show a steady increase over time, reaching approximately 90-95% by 2035.</w:t>
      </w:r>
    </w:p>
    <w:p w14:paraId="24C26AF6" w14:textId="77777777" w:rsidR="00C778BA" w:rsidRPr="00D86314" w:rsidRDefault="00C778BA" w:rsidP="00C778BA">
      <w:pPr>
        <w:pStyle w:val="Heading4"/>
        <w:rPr>
          <w:noProof/>
        </w:rPr>
      </w:pPr>
      <w:r w:rsidRPr="00D86314">
        <w:rPr>
          <w:noProof/>
        </w:rPr>
        <w:t>Assumptions regarding mobile data consumption</w:t>
      </w:r>
    </w:p>
    <w:p w14:paraId="518E220D" w14:textId="77777777" w:rsidR="00C778BA" w:rsidRPr="00D86314" w:rsidRDefault="00C778BA" w:rsidP="00C778BA">
      <w:pPr>
        <w:rPr>
          <w:noProof/>
          <w:color w:val="000000" w:themeColor="text1"/>
        </w:rPr>
      </w:pPr>
      <w:r w:rsidRPr="00D86314">
        <w:rPr>
          <w:noProof/>
          <w:color w:val="000000" w:themeColor="text1"/>
        </w:rPr>
        <w:t>Regarding mobile data consumption, there is relatively limited information available which distinguishes between bandwidth used by customers with 5G connections compared to 4G customers. More importantly, it is even more difficult to find data on bandwidth consumption between 5G customers using low- or mid-band frequencies. However, there is a link between the download speed and overall data consumption. Opensignal reports that 5G users consume more data than 4G users which can be contributed to higher available speeds. This ranges from a factor of 1.9 in the US where mainly low-band 5G is employed to countries like the UK, Japan or Germany where due to mid-band 5G the factor is on average 2.6.</w:t>
      </w:r>
      <w:r w:rsidRPr="00D86314">
        <w:rPr>
          <w:rStyle w:val="FootnoteReference"/>
          <w:noProof/>
          <w:color w:val="000000" w:themeColor="text1"/>
        </w:rPr>
        <w:footnoteReference w:id="115"/>
      </w:r>
      <w:r w:rsidRPr="00D86314">
        <w:rPr>
          <w:noProof/>
          <w:color w:val="000000" w:themeColor="text1"/>
        </w:rPr>
        <w:t xml:space="preserve"> </w:t>
      </w:r>
    </w:p>
    <w:p w14:paraId="54BD3FE3" w14:textId="541D1DFC" w:rsidR="00C778BA" w:rsidRPr="00D86314" w:rsidRDefault="003E68CC" w:rsidP="00C778BA">
      <w:pPr>
        <w:keepNext/>
        <w:keepLines/>
        <w:rPr>
          <w:i/>
          <w:noProof/>
          <w:color w:val="000000" w:themeColor="text1"/>
          <w:sz w:val="22"/>
          <w:szCs w:val="22"/>
        </w:rPr>
      </w:pPr>
      <w:r w:rsidRPr="00D86314">
        <w:rPr>
          <w:i/>
          <w:noProof/>
          <w:sz w:val="22"/>
          <w:szCs w:val="22"/>
        </w:rPr>
        <w:t>Figure A4 2</w:t>
      </w:r>
      <w:r w:rsidRPr="00D86314">
        <w:rPr>
          <w:i/>
          <w:noProof/>
          <w:sz w:val="22"/>
          <w:szCs w:val="22"/>
        </w:rPr>
        <w:noBreakHyphen/>
      </w:r>
      <w:r w:rsidR="00585723" w:rsidRPr="00D86314">
        <w:rPr>
          <w:i/>
          <w:noProof/>
          <w:sz w:val="22"/>
          <w:szCs w:val="22"/>
        </w:rPr>
        <w:t>1</w:t>
      </w:r>
      <w:r w:rsidR="00E04392">
        <w:rPr>
          <w:i/>
          <w:noProof/>
          <w:sz w:val="22"/>
          <w:szCs w:val="22"/>
        </w:rPr>
        <w:t>5</w:t>
      </w:r>
      <w:r w:rsidR="00C778BA" w:rsidRPr="00D86314">
        <w:rPr>
          <w:i/>
          <w:noProof/>
          <w:color w:val="000000" w:themeColor="text1"/>
          <w:sz w:val="22"/>
          <w:szCs w:val="22"/>
        </w:rPr>
        <w:t>:</w:t>
      </w:r>
      <w:r w:rsidR="00C778BA" w:rsidRPr="00D86314">
        <w:rPr>
          <w:i/>
          <w:noProof/>
          <w:color w:val="000000" w:themeColor="text1"/>
          <w:sz w:val="22"/>
          <w:szCs w:val="22"/>
        </w:rPr>
        <w:tab/>
        <w:t>Data usage by mobile network technology (Opensignal)</w:t>
      </w:r>
    </w:p>
    <w:p w14:paraId="7B48C845" w14:textId="77777777" w:rsidR="00C778BA" w:rsidRPr="00D86314" w:rsidRDefault="00C778BA" w:rsidP="00C778BA">
      <w:pPr>
        <w:keepNext/>
        <w:keepLines/>
        <w:rPr>
          <w:noProof/>
          <w:color w:val="000000" w:themeColor="text1"/>
        </w:rPr>
      </w:pPr>
      <w:r w:rsidRPr="00E46BC9">
        <w:rPr>
          <w:noProof/>
          <w:color w:val="000000" w:themeColor="text1"/>
          <w:lang w:eastAsia="en-GB"/>
        </w:rPr>
        <w:drawing>
          <wp:inline distT="0" distB="0" distL="0" distR="0" wp14:anchorId="03140DFC" wp14:editId="33692383">
            <wp:extent cx="5581015" cy="3006725"/>
            <wp:effectExtent l="0" t="0" r="635" b="3175"/>
            <wp:docPr id="1884011357" name="Grafik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11357" name="Grafik 1" descr="A graph of a number of people&#10;&#10;AI-generated content may be incorrect."/>
                    <pic:cNvPicPr/>
                  </pic:nvPicPr>
                  <pic:blipFill>
                    <a:blip r:embed="rId91"/>
                    <a:stretch>
                      <a:fillRect/>
                    </a:stretch>
                  </pic:blipFill>
                  <pic:spPr>
                    <a:xfrm>
                      <a:off x="0" y="0"/>
                      <a:ext cx="5581015" cy="3006725"/>
                    </a:xfrm>
                    <a:prstGeom prst="rect">
                      <a:avLst/>
                    </a:prstGeom>
                  </pic:spPr>
                </pic:pic>
              </a:graphicData>
            </a:graphic>
          </wp:inline>
        </w:drawing>
      </w:r>
    </w:p>
    <w:p w14:paraId="3237F2FB" w14:textId="77777777" w:rsidR="00C778BA" w:rsidRPr="00D86314" w:rsidRDefault="00C778BA" w:rsidP="00C778BA">
      <w:pPr>
        <w:pStyle w:val="Quelle"/>
        <w:keepNext/>
        <w:keepLines/>
        <w:rPr>
          <w:rFonts w:ascii="Times New Roman" w:hAnsi="Times New Roman"/>
          <w:noProof/>
          <w:color w:val="000000" w:themeColor="text1"/>
          <w:sz w:val="20"/>
        </w:rPr>
      </w:pPr>
      <w:r w:rsidRPr="00D86314">
        <w:rPr>
          <w:rFonts w:ascii="Times New Roman" w:hAnsi="Times New Roman"/>
          <w:noProof/>
          <w:color w:val="000000" w:themeColor="text1"/>
          <w:sz w:val="20"/>
        </w:rPr>
        <w:t xml:space="preserve">Source: Opensignal (2020): 5G users on average consume up to 2.7x more mobile data compared to 4G users, </w:t>
      </w:r>
      <w:hyperlink r:id="rId92" w:history="1">
        <w:r w:rsidRPr="00D86314">
          <w:rPr>
            <w:rStyle w:val="Hyperlink"/>
            <w:rFonts w:ascii="Times New Roman" w:hAnsi="Times New Roman"/>
            <w:noProof/>
            <w:color w:val="000000" w:themeColor="text1"/>
            <w:sz w:val="20"/>
          </w:rPr>
          <w:t>https://www.opensignal.com/2020/10/21/5g-users-on-average-consume-up-to-27x-more-mobile-data-compared-to-4g-users</w:t>
        </w:r>
      </w:hyperlink>
      <w:r w:rsidRPr="00D86314">
        <w:rPr>
          <w:rFonts w:ascii="Times New Roman" w:hAnsi="Times New Roman"/>
          <w:noProof/>
          <w:color w:val="000000" w:themeColor="text1"/>
          <w:sz w:val="20"/>
        </w:rPr>
        <w:t xml:space="preserve"> </w:t>
      </w:r>
    </w:p>
    <w:p w14:paraId="27716106" w14:textId="7C141C58" w:rsidR="00C778BA" w:rsidRPr="00D86314" w:rsidRDefault="00C778BA" w:rsidP="00C778BA">
      <w:pPr>
        <w:rPr>
          <w:noProof/>
          <w:color w:val="000000" w:themeColor="text1"/>
        </w:rPr>
      </w:pPr>
      <w:r w:rsidRPr="00D86314">
        <w:rPr>
          <w:noProof/>
          <w:color w:val="000000" w:themeColor="text1"/>
        </w:rPr>
        <w:t xml:space="preserve">The different technology shares affect total bandwidth consumption as shown in the following </w:t>
      </w:r>
      <w:r w:rsidR="00373282">
        <w:rPr>
          <w:noProof/>
          <w:color w:val="000000" w:themeColor="text1"/>
        </w:rPr>
        <w:t>Figure</w:t>
      </w:r>
      <w:r w:rsidR="00FF1567" w:rsidRPr="00D86314">
        <w:rPr>
          <w:noProof/>
        </w:rPr>
        <w:t>A4 2</w:t>
      </w:r>
      <w:r w:rsidR="00FF1567" w:rsidRPr="00D86314">
        <w:rPr>
          <w:noProof/>
        </w:rPr>
        <w:noBreakHyphen/>
        <w:t>16</w:t>
      </w:r>
      <w:r w:rsidRPr="00D86314">
        <w:rPr>
          <w:noProof/>
          <w:color w:val="000000" w:themeColor="text1"/>
        </w:rPr>
        <w:t>.</w:t>
      </w:r>
      <w:r w:rsidR="005B6077" w:rsidRPr="00D86314">
        <w:rPr>
          <w:noProof/>
          <w:color w:val="000000" w:themeColor="text1"/>
        </w:rPr>
        <w:t xml:space="preserve"> </w:t>
      </w:r>
      <w:r w:rsidRPr="00D86314">
        <w:rPr>
          <w:noProof/>
          <w:color w:val="000000" w:themeColor="text1"/>
        </w:rPr>
        <w:t>The graph shows the projected monthly bandwidth consumption per subscriber from 2024 to 2035, broken down by technology: LTE, 5G low-band, and 5G mid-band. Consumption increases steadily across all technologies, with 5G mid-band showing the highest usage, reaching over 120 GB/month by 2035, followed by 5G low-band and LTE. This trend highlights the growing data demands associated with more advanced mobile technologies.</w:t>
      </w:r>
    </w:p>
    <w:p w14:paraId="43A3F4DA" w14:textId="2A9046F8" w:rsidR="00C778BA" w:rsidRPr="00D86314" w:rsidRDefault="003E68CC" w:rsidP="00165A56">
      <w:pPr>
        <w:pStyle w:val="Caption"/>
        <w:keepNext/>
        <w:keepLines/>
        <w:rPr>
          <w:noProof/>
          <w:color w:val="000000" w:themeColor="text1"/>
          <w:sz w:val="22"/>
          <w:szCs w:val="22"/>
        </w:rPr>
      </w:pPr>
      <w:bookmarkStart w:id="154" w:name="_Toc202554277"/>
      <w:r w:rsidRPr="00D86314">
        <w:rPr>
          <w:noProof/>
          <w:color w:val="auto"/>
          <w:sz w:val="22"/>
          <w:szCs w:val="22"/>
        </w:rPr>
        <w:t>Figure A4 2</w:t>
      </w:r>
      <w:r w:rsidRPr="00D86314">
        <w:rPr>
          <w:noProof/>
          <w:color w:val="auto"/>
          <w:sz w:val="22"/>
          <w:szCs w:val="22"/>
        </w:rPr>
        <w:noBreakHyphen/>
      </w:r>
      <w:r w:rsidR="0007579B" w:rsidRPr="00D86314">
        <w:rPr>
          <w:noProof/>
          <w:sz w:val="22"/>
          <w:szCs w:val="22"/>
        </w:rPr>
        <w:t>1</w:t>
      </w:r>
      <w:r w:rsidR="00067956">
        <w:rPr>
          <w:noProof/>
          <w:sz w:val="22"/>
          <w:szCs w:val="22"/>
        </w:rPr>
        <w:t>6</w:t>
      </w:r>
      <w:r w:rsidR="00C778BA" w:rsidRPr="00D86314">
        <w:rPr>
          <w:noProof/>
          <w:color w:val="000000" w:themeColor="text1"/>
          <w:sz w:val="22"/>
          <w:szCs w:val="22"/>
        </w:rPr>
        <w:t>:</w:t>
      </w:r>
      <w:r w:rsidR="00C778BA" w:rsidRPr="00D86314">
        <w:rPr>
          <w:noProof/>
          <w:color w:val="000000" w:themeColor="text1"/>
          <w:sz w:val="22"/>
          <w:szCs w:val="22"/>
        </w:rPr>
        <w:tab/>
        <w:t>Estimated bandwidth consumption per subscriber for 4G, 5G low-band and 5G mid-band until 2035</w:t>
      </w:r>
      <w:bookmarkEnd w:id="154"/>
    </w:p>
    <w:p w14:paraId="03F52897" w14:textId="77777777" w:rsidR="00C778BA" w:rsidRPr="00D86314" w:rsidRDefault="00C778BA" w:rsidP="00C778BA">
      <w:pPr>
        <w:keepNext/>
        <w:keepLines/>
        <w:spacing w:after="120"/>
        <w:rPr>
          <w:noProof/>
          <w:color w:val="000000" w:themeColor="text1"/>
          <w:sz w:val="20"/>
        </w:rPr>
      </w:pPr>
      <w:r w:rsidRPr="00D86314">
        <w:rPr>
          <w:noProof/>
          <w:color w:val="000000" w:themeColor="text1"/>
          <w:sz w:val="20"/>
        </w:rPr>
        <w:t>_____________________________________________________________________________</w:t>
      </w:r>
    </w:p>
    <w:p w14:paraId="6F22D0B7" w14:textId="77777777" w:rsidR="00C778BA" w:rsidRPr="00D86314" w:rsidRDefault="00C778BA" w:rsidP="00C778BA">
      <w:pPr>
        <w:keepNext/>
        <w:keepLines/>
        <w:spacing w:before="120" w:after="0"/>
        <w:jc w:val="center"/>
        <w:rPr>
          <w:noProof/>
          <w:color w:val="000000" w:themeColor="text1"/>
        </w:rPr>
      </w:pPr>
      <w:r w:rsidRPr="00E46BC9">
        <w:rPr>
          <w:noProof/>
          <w:lang w:eastAsia="en-GB"/>
        </w:rPr>
        <w:drawing>
          <wp:inline distT="0" distB="0" distL="0" distR="0" wp14:anchorId="63841D73" wp14:editId="5E6AB2D8">
            <wp:extent cx="5440045" cy="3044825"/>
            <wp:effectExtent l="0" t="0" r="8255" b="3175"/>
            <wp:docPr id="16328006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00643" name=""/>
                    <pic:cNvPicPr/>
                  </pic:nvPicPr>
                  <pic:blipFill>
                    <a:blip r:embed="rId93">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94"/>
                        </a:ext>
                      </a:extLst>
                    </a:blip>
                    <a:stretch>
                      <a:fillRect/>
                    </a:stretch>
                  </pic:blipFill>
                  <pic:spPr>
                    <a:xfrm>
                      <a:off x="0" y="0"/>
                      <a:ext cx="5440045" cy="3044825"/>
                    </a:xfrm>
                    <a:prstGeom prst="rect">
                      <a:avLst/>
                    </a:prstGeom>
                  </pic:spPr>
                </pic:pic>
              </a:graphicData>
            </a:graphic>
          </wp:inline>
        </w:drawing>
      </w:r>
    </w:p>
    <w:p w14:paraId="25ADEE99" w14:textId="77777777" w:rsidR="00C778BA" w:rsidRPr="00D86314" w:rsidRDefault="00C778BA" w:rsidP="00C778BA">
      <w:pPr>
        <w:keepNext/>
        <w:keepLines/>
        <w:spacing w:after="120"/>
        <w:rPr>
          <w:noProof/>
          <w:color w:val="000000" w:themeColor="text1"/>
          <w:sz w:val="20"/>
        </w:rPr>
      </w:pPr>
      <w:r w:rsidRPr="00D86314">
        <w:rPr>
          <w:noProof/>
          <w:color w:val="000000" w:themeColor="text1"/>
          <w:sz w:val="20"/>
        </w:rPr>
        <w:t>_____________________________________________________________________________</w:t>
      </w:r>
    </w:p>
    <w:p w14:paraId="1CA72FA3" w14:textId="77777777" w:rsidR="00C778BA" w:rsidRPr="00D86314" w:rsidRDefault="00C778BA" w:rsidP="00C778BA">
      <w:pPr>
        <w:pStyle w:val="Quelle"/>
        <w:keepNext/>
        <w:keepLines/>
        <w:rPr>
          <w:rFonts w:ascii="Times New Roman" w:hAnsi="Times New Roman"/>
          <w:noProof/>
          <w:color w:val="000000" w:themeColor="text1"/>
        </w:rPr>
      </w:pPr>
      <w:r w:rsidRPr="00D86314">
        <w:rPr>
          <w:rFonts w:ascii="Times New Roman" w:hAnsi="Times New Roman"/>
          <w:noProof/>
          <w:color w:val="000000" w:themeColor="text1"/>
        </w:rPr>
        <w:t>Source: WIK-Consult</w:t>
      </w:r>
    </w:p>
    <w:p w14:paraId="54DB41B4" w14:textId="74F068AE" w:rsidR="00C778BA" w:rsidRPr="00D86314" w:rsidRDefault="00C778BA" w:rsidP="00C778BA">
      <w:pPr>
        <w:rPr>
          <w:noProof/>
          <w:color w:val="000000" w:themeColor="text1"/>
        </w:rPr>
      </w:pPr>
      <w:r w:rsidRPr="00D86314">
        <w:rPr>
          <w:noProof/>
          <w:color w:val="000000" w:themeColor="text1"/>
        </w:rPr>
        <w:t>Mobile data usage in the EU has increased exponentially. On average, a smartphone user in Western Europe consumed 19 GB of data per month in 2023, rising to 22 GB in 2024. Ericsson forecasts that mobile data consumption will rise up to 47</w:t>
      </w:r>
      <w:r w:rsidR="00F53F9A">
        <w:rPr>
          <w:noProof/>
          <w:color w:val="000000" w:themeColor="text1"/>
        </w:rPr>
        <w:t> </w:t>
      </w:r>
      <w:r w:rsidRPr="00D86314">
        <w:rPr>
          <w:noProof/>
          <w:color w:val="000000" w:themeColor="text1"/>
        </w:rPr>
        <w:t>GB per month by 2030, increasing by 20 % per year. Overall, mobile data consumption in Europe will reach 37 EB per month in 2030.</w:t>
      </w:r>
      <w:r w:rsidRPr="00D86314">
        <w:rPr>
          <w:rStyle w:val="FootnoteReference"/>
          <w:noProof/>
          <w:color w:val="000000" w:themeColor="text1"/>
        </w:rPr>
        <w:footnoteReference w:id="116"/>
      </w:r>
      <w:r w:rsidRPr="00D86314">
        <w:rPr>
          <w:noProof/>
          <w:color w:val="000000" w:themeColor="text1"/>
        </w:rPr>
        <w:t xml:space="preserve"> Similarly, the GSMA forecasts that mobile data usage in Europe will increase up to 7</w:t>
      </w:r>
      <w:r w:rsidR="00F53F9A">
        <w:rPr>
          <w:noProof/>
          <w:color w:val="000000" w:themeColor="text1"/>
        </w:rPr>
        <w:t> </w:t>
      </w:r>
      <w:r w:rsidRPr="00D86314">
        <w:rPr>
          <w:noProof/>
          <w:color w:val="000000" w:themeColor="text1"/>
        </w:rPr>
        <w:t>GB per user per month by 2030.</w:t>
      </w:r>
      <w:r w:rsidRPr="00D86314">
        <w:rPr>
          <w:rStyle w:val="FootnoteReference"/>
          <w:noProof/>
          <w:color w:val="000000" w:themeColor="text1"/>
        </w:rPr>
        <w:footnoteReference w:id="117"/>
      </w:r>
      <w:r w:rsidRPr="00D86314">
        <w:rPr>
          <w:noProof/>
          <w:color w:val="000000" w:themeColor="text1"/>
        </w:rPr>
        <w:t xml:space="preserve"> </w:t>
      </w:r>
    </w:p>
    <w:p w14:paraId="7A7466C9" w14:textId="2AE0E0E0" w:rsidR="00C778BA" w:rsidRPr="00D86314" w:rsidRDefault="00126CE1" w:rsidP="00C778BA">
      <w:pPr>
        <w:rPr>
          <w:noProof/>
          <w:color w:val="000000" w:themeColor="text1"/>
        </w:rPr>
      </w:pPr>
      <w:r>
        <w:rPr>
          <w:noProof/>
          <w:color w:val="000000" w:themeColor="text1"/>
        </w:rPr>
        <w:t xml:space="preserve">Figure </w:t>
      </w:r>
      <w:r w:rsidR="00EA7FE5" w:rsidRPr="00D86314">
        <w:rPr>
          <w:noProof/>
          <w:color w:val="000000" w:themeColor="text1"/>
        </w:rPr>
        <w:t>A</w:t>
      </w:r>
      <w:r w:rsidR="00B6765A" w:rsidRPr="00D86314">
        <w:rPr>
          <w:noProof/>
          <w:color w:val="000000" w:themeColor="text1"/>
        </w:rPr>
        <w:t>4 2-1</w:t>
      </w:r>
      <w:r w:rsidR="00067956">
        <w:rPr>
          <w:noProof/>
          <w:color w:val="000000" w:themeColor="text1"/>
        </w:rPr>
        <w:t>6</w:t>
      </w:r>
      <w:r w:rsidR="00C778BA" w:rsidRPr="00D86314">
        <w:rPr>
          <w:noProof/>
          <w:color w:val="000000" w:themeColor="text1"/>
        </w:rPr>
        <w:t xml:space="preserve"> displays projected monthly mobile data consumption for 5G mid-band from 2024 to 2035 across the four mobile policy options. Data usage grows steadily for all options, with Option 3 resulting in the highest consumption, approaching 140 million GB/month by 2035.</w:t>
      </w:r>
    </w:p>
    <w:p w14:paraId="5E982966" w14:textId="101FB0C5" w:rsidR="00C778BA" w:rsidRPr="00D86314" w:rsidRDefault="003E68CC" w:rsidP="00165A56">
      <w:pPr>
        <w:pStyle w:val="Caption"/>
        <w:keepNext/>
        <w:keepLines/>
        <w:rPr>
          <w:noProof/>
          <w:color w:val="000000" w:themeColor="text1"/>
          <w:sz w:val="22"/>
          <w:szCs w:val="22"/>
        </w:rPr>
      </w:pPr>
      <w:r w:rsidRPr="00D86314">
        <w:rPr>
          <w:noProof/>
          <w:color w:val="auto"/>
          <w:sz w:val="22"/>
          <w:szCs w:val="22"/>
        </w:rPr>
        <w:t>Figure A4 2</w:t>
      </w:r>
      <w:r w:rsidRPr="00D86314">
        <w:rPr>
          <w:noProof/>
          <w:color w:val="auto"/>
          <w:sz w:val="22"/>
          <w:szCs w:val="22"/>
        </w:rPr>
        <w:noBreakHyphen/>
      </w:r>
      <w:r w:rsidR="0007579B" w:rsidRPr="00D86314">
        <w:rPr>
          <w:noProof/>
          <w:color w:val="auto"/>
          <w:sz w:val="22"/>
          <w:szCs w:val="22"/>
        </w:rPr>
        <w:t>1</w:t>
      </w:r>
      <w:r w:rsidR="00D35144">
        <w:rPr>
          <w:noProof/>
          <w:color w:val="auto"/>
          <w:sz w:val="22"/>
          <w:szCs w:val="22"/>
        </w:rPr>
        <w:t>7</w:t>
      </w:r>
      <w:r w:rsidR="00C778BA" w:rsidRPr="00D86314">
        <w:rPr>
          <w:noProof/>
          <w:color w:val="auto"/>
          <w:sz w:val="22"/>
          <w:szCs w:val="22"/>
        </w:rPr>
        <w:t>:</w:t>
      </w:r>
      <w:r w:rsidR="00C778BA" w:rsidRPr="00D86314">
        <w:rPr>
          <w:noProof/>
          <w:color w:val="auto"/>
          <w:sz w:val="22"/>
          <w:szCs w:val="22"/>
        </w:rPr>
        <w:tab/>
      </w:r>
      <w:r w:rsidR="00C778BA" w:rsidRPr="00D86314">
        <w:rPr>
          <w:noProof/>
          <w:color w:val="000000" w:themeColor="text1"/>
          <w:sz w:val="22"/>
          <w:szCs w:val="22"/>
        </w:rPr>
        <w:t>Mobile data consumption for 5G midband – projections by options until 2035</w:t>
      </w:r>
    </w:p>
    <w:p w14:paraId="0E791BFA" w14:textId="77777777" w:rsidR="00C778BA" w:rsidRPr="00D86314" w:rsidRDefault="00C778BA" w:rsidP="00C778BA">
      <w:pPr>
        <w:keepNext/>
        <w:keepLines/>
        <w:spacing w:after="120"/>
        <w:rPr>
          <w:noProof/>
          <w:color w:val="000000" w:themeColor="text1"/>
          <w:sz w:val="20"/>
        </w:rPr>
      </w:pPr>
      <w:r w:rsidRPr="00D86314">
        <w:rPr>
          <w:noProof/>
          <w:color w:val="000000" w:themeColor="text1"/>
          <w:sz w:val="20"/>
        </w:rPr>
        <w:t>_____________________________________________________________________________</w:t>
      </w:r>
    </w:p>
    <w:p w14:paraId="57330B34" w14:textId="77777777" w:rsidR="00C778BA" w:rsidRPr="00D86314" w:rsidRDefault="00C778BA" w:rsidP="00C778BA">
      <w:pPr>
        <w:keepNext/>
        <w:keepLines/>
        <w:pBdr>
          <w:bottom w:val="single" w:sz="12" w:space="1" w:color="auto"/>
        </w:pBdr>
        <w:spacing w:before="120" w:after="0"/>
        <w:jc w:val="center"/>
        <w:rPr>
          <w:noProof/>
          <w:color w:val="000000" w:themeColor="text1"/>
        </w:rPr>
      </w:pPr>
      <w:r w:rsidRPr="00E46BC9">
        <w:rPr>
          <w:noProof/>
          <w:lang w:eastAsia="en-GB"/>
        </w:rPr>
        <w:drawing>
          <wp:inline distT="0" distB="0" distL="0" distR="0" wp14:anchorId="3E5C0227" wp14:editId="6ACB6B68">
            <wp:extent cx="5440045" cy="3653790"/>
            <wp:effectExtent l="0" t="0" r="8255" b="3810"/>
            <wp:docPr id="7501250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25000" name=""/>
                    <pic:cNvPicPr/>
                  </pic:nvPicPr>
                  <pic:blipFill>
                    <a:blip r:embed="rId95">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96"/>
                        </a:ext>
                      </a:extLst>
                    </a:blip>
                    <a:stretch>
                      <a:fillRect/>
                    </a:stretch>
                  </pic:blipFill>
                  <pic:spPr>
                    <a:xfrm>
                      <a:off x="0" y="0"/>
                      <a:ext cx="5440045" cy="3653790"/>
                    </a:xfrm>
                    <a:prstGeom prst="rect">
                      <a:avLst/>
                    </a:prstGeom>
                  </pic:spPr>
                </pic:pic>
              </a:graphicData>
            </a:graphic>
          </wp:inline>
        </w:drawing>
      </w:r>
    </w:p>
    <w:p w14:paraId="5C41AB5F" w14:textId="77777777" w:rsidR="00C778BA" w:rsidRPr="00D86314" w:rsidRDefault="00C778BA" w:rsidP="00C778BA">
      <w:pPr>
        <w:rPr>
          <w:noProof/>
          <w:color w:val="000000" w:themeColor="text1"/>
          <w:sz w:val="18"/>
        </w:rPr>
      </w:pPr>
      <w:r w:rsidRPr="00D86314">
        <w:rPr>
          <w:noProof/>
          <w:color w:val="000000" w:themeColor="text1"/>
          <w:sz w:val="18"/>
        </w:rPr>
        <w:t>Source: WIK-Consult</w:t>
      </w:r>
    </w:p>
    <w:p w14:paraId="5E58416A" w14:textId="77777777" w:rsidR="00C778BA" w:rsidRPr="00D86314" w:rsidRDefault="00C778BA" w:rsidP="00C778BA">
      <w:pPr>
        <w:rPr>
          <w:noProof/>
        </w:rPr>
        <w:sectPr w:rsidR="00C778BA" w:rsidRPr="00D86314" w:rsidSect="00C778BA">
          <w:headerReference w:type="even" r:id="rId97"/>
          <w:headerReference w:type="default" r:id="rId98"/>
          <w:footerReference w:type="default" r:id="rId99"/>
          <w:pgSz w:w="11907" w:h="16840"/>
          <w:pgMar w:top="907" w:right="1327" w:bottom="1418" w:left="1440" w:header="720" w:footer="720" w:gutter="573"/>
          <w:cols w:space="720"/>
        </w:sectPr>
      </w:pPr>
      <w:r w:rsidRPr="00D86314">
        <w:rPr>
          <w:noProof/>
        </w:rPr>
        <w:t>The following table provides an overview of the estimates regarding the quantitative effects of the different policy options and the underlying justification.</w:t>
      </w:r>
    </w:p>
    <w:p w14:paraId="7AD25A8B" w14:textId="7CEF4847" w:rsidR="00C778BA" w:rsidRPr="00D86314" w:rsidRDefault="00C778BA" w:rsidP="00C778BA">
      <w:pPr>
        <w:pStyle w:val="Tabberschrift"/>
        <w:rPr>
          <w:rFonts w:ascii="Times New Roman" w:hAnsi="Times New Roman"/>
          <w:noProof/>
        </w:rPr>
      </w:pPr>
      <w:bookmarkStart w:id="155" w:name="_Toc213947063"/>
      <w:r w:rsidRPr="00D86314">
        <w:rPr>
          <w:rFonts w:ascii="Times New Roman" w:hAnsi="Times New Roman"/>
          <w:noProof/>
        </w:rPr>
        <w:t xml:space="preserve">Table </w:t>
      </w:r>
      <w:r w:rsidR="003E68CC" w:rsidRPr="00D86314">
        <w:rPr>
          <w:rFonts w:ascii="Times New Roman" w:hAnsi="Times New Roman"/>
          <w:noProof/>
        </w:rPr>
        <w:t>A4 2</w:t>
      </w:r>
      <w:r w:rsidRPr="00D86314">
        <w:rPr>
          <w:rFonts w:ascii="Times New Roman" w:hAnsi="Times New Roman"/>
          <w:noProof/>
        </w:rPr>
        <w:noBreakHyphen/>
      </w:r>
      <w:r w:rsidRPr="00C20A01">
        <w:rPr>
          <w:rFonts w:ascii="Times New Roman" w:hAnsi="Times New Roman"/>
          <w:noProof/>
        </w:rPr>
        <w:fldChar w:fldCharType="begin"/>
      </w:r>
      <w:r w:rsidRPr="00D86314">
        <w:rPr>
          <w:rFonts w:ascii="Times New Roman" w:hAnsi="Times New Roman"/>
          <w:noProof/>
        </w:rPr>
        <w:instrText xml:space="preserve"> SEQ Table \* ARABIC \s 1 </w:instrText>
      </w:r>
      <w:r w:rsidRPr="00C20A01">
        <w:rPr>
          <w:rFonts w:ascii="Times New Roman" w:hAnsi="Times New Roman"/>
          <w:noProof/>
        </w:rPr>
        <w:fldChar w:fldCharType="separate"/>
      </w:r>
      <w:r w:rsidR="00870CA9" w:rsidRPr="00C20A01">
        <w:rPr>
          <w:rFonts w:ascii="Times New Roman" w:hAnsi="Times New Roman"/>
          <w:noProof/>
        </w:rPr>
        <w:t>4</w:t>
      </w:r>
      <w:r w:rsidRPr="00C20A01">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t>Assumptions and estimates for quantification of impact</w:t>
      </w:r>
      <w:bookmarkEnd w:id="155"/>
    </w:p>
    <w:tbl>
      <w:tblPr>
        <w:tblStyle w:val="TableGrid"/>
        <w:tblW w:w="5000" w:type="pct"/>
        <w:tblLook w:val="04A0" w:firstRow="1" w:lastRow="0" w:firstColumn="1" w:lastColumn="0" w:noHBand="0" w:noVBand="1"/>
      </w:tblPr>
      <w:tblGrid>
        <w:gridCol w:w="2020"/>
        <w:gridCol w:w="2023"/>
        <w:gridCol w:w="2023"/>
        <w:gridCol w:w="2020"/>
        <w:gridCol w:w="2020"/>
        <w:gridCol w:w="4682"/>
      </w:tblGrid>
      <w:tr w:rsidR="00C778BA" w:rsidRPr="00D86314" w14:paraId="0CAF0488" w14:textId="77777777" w:rsidTr="007736E8">
        <w:trPr>
          <w:trHeight w:val="841"/>
        </w:trPr>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72E87AEF" w14:textId="77777777" w:rsidR="00C778BA" w:rsidRPr="00D86314" w:rsidRDefault="00C778BA" w:rsidP="007736E8">
            <w:pPr>
              <w:jc w:val="center"/>
              <w:rPr>
                <w:rFonts w:cs="Arial"/>
                <w:b/>
                <w:noProof/>
                <w:color w:val="FFFFFF" w:themeColor="background1"/>
                <w:sz w:val="18"/>
                <w:szCs w:val="18"/>
              </w:rPr>
            </w:pPr>
          </w:p>
        </w:tc>
        <w:tc>
          <w:tcPr>
            <w:tcW w:w="684" w:type="pct"/>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5BC10727" w14:textId="77777777" w:rsidR="00C778BA" w:rsidRPr="00D86314" w:rsidRDefault="00C778BA" w:rsidP="007736E8">
            <w:pPr>
              <w:jc w:val="center"/>
              <w:rPr>
                <w:rFonts w:cs="Arial"/>
                <w:b/>
                <w:noProof/>
                <w:color w:val="FFFFFF" w:themeColor="background1"/>
                <w:sz w:val="18"/>
                <w:szCs w:val="18"/>
              </w:rPr>
            </w:pPr>
            <w:r w:rsidRPr="00D86314">
              <w:rPr>
                <w:rFonts w:cs="Arial"/>
                <w:b/>
                <w:noProof/>
                <w:color w:val="FFFFFF" w:themeColor="background1"/>
                <w:sz w:val="18"/>
                <w:szCs w:val="18"/>
              </w:rPr>
              <w:t>Option 0</w:t>
            </w:r>
          </w:p>
        </w:tc>
        <w:tc>
          <w:tcPr>
            <w:tcW w:w="684" w:type="pct"/>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173C4567" w14:textId="77777777" w:rsidR="00C778BA" w:rsidRPr="00D86314" w:rsidRDefault="00C778BA" w:rsidP="007736E8">
            <w:pPr>
              <w:jc w:val="center"/>
              <w:rPr>
                <w:rFonts w:cs="Arial"/>
                <w:b/>
                <w:noProof/>
                <w:color w:val="FFFFFF" w:themeColor="background1"/>
                <w:sz w:val="18"/>
                <w:szCs w:val="18"/>
              </w:rPr>
            </w:pPr>
            <w:r w:rsidRPr="00D86314">
              <w:rPr>
                <w:rFonts w:cs="Arial"/>
                <w:b/>
                <w:noProof/>
                <w:color w:val="FFFFFF" w:themeColor="background1"/>
                <w:sz w:val="18"/>
                <w:szCs w:val="18"/>
              </w:rPr>
              <w:t>Option 1</w:t>
            </w:r>
          </w:p>
        </w:tc>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7E3F38E9" w14:textId="77777777" w:rsidR="00C778BA" w:rsidRPr="00D86314" w:rsidRDefault="00C778BA" w:rsidP="007736E8">
            <w:pPr>
              <w:jc w:val="center"/>
              <w:rPr>
                <w:rFonts w:cs="Arial"/>
                <w:b/>
                <w:noProof/>
                <w:color w:val="FFFFFF" w:themeColor="background1"/>
                <w:sz w:val="18"/>
                <w:szCs w:val="18"/>
              </w:rPr>
            </w:pPr>
            <w:r w:rsidRPr="00D86314">
              <w:rPr>
                <w:rFonts w:cs="Arial"/>
                <w:b/>
                <w:noProof/>
                <w:color w:val="FFFFFF" w:themeColor="background1"/>
                <w:sz w:val="18"/>
                <w:szCs w:val="18"/>
              </w:rPr>
              <w:t>Option 2</w:t>
            </w:r>
          </w:p>
        </w:tc>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5A774132" w14:textId="77777777" w:rsidR="00C778BA" w:rsidRPr="00D86314" w:rsidRDefault="00C778BA" w:rsidP="007736E8">
            <w:pPr>
              <w:jc w:val="center"/>
              <w:rPr>
                <w:rFonts w:cs="Arial"/>
                <w:b/>
                <w:noProof/>
                <w:color w:val="FFFFFF" w:themeColor="background1"/>
                <w:sz w:val="18"/>
                <w:szCs w:val="18"/>
              </w:rPr>
            </w:pPr>
            <w:r w:rsidRPr="00D86314">
              <w:rPr>
                <w:rFonts w:cs="Arial"/>
                <w:b/>
                <w:noProof/>
                <w:color w:val="FFFFFF" w:themeColor="background1"/>
                <w:sz w:val="18"/>
                <w:szCs w:val="18"/>
              </w:rPr>
              <w:t>Option 3</w:t>
            </w:r>
          </w:p>
        </w:tc>
        <w:tc>
          <w:tcPr>
            <w:tcW w:w="1583" w:type="pct"/>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2C0D136D" w14:textId="77777777" w:rsidR="00C778BA" w:rsidRPr="00D86314" w:rsidRDefault="00C778BA" w:rsidP="007736E8">
            <w:pPr>
              <w:jc w:val="center"/>
              <w:rPr>
                <w:rFonts w:cs="Arial"/>
                <w:b/>
                <w:noProof/>
                <w:color w:val="FFFFFF" w:themeColor="background1"/>
                <w:sz w:val="18"/>
                <w:szCs w:val="18"/>
              </w:rPr>
            </w:pPr>
            <w:r w:rsidRPr="00D86314">
              <w:rPr>
                <w:rFonts w:cs="Arial"/>
                <w:b/>
                <w:noProof/>
                <w:color w:val="FFFFFF" w:themeColor="background1"/>
                <w:sz w:val="18"/>
                <w:szCs w:val="18"/>
              </w:rPr>
              <w:t>Description quantification estimates</w:t>
            </w:r>
          </w:p>
        </w:tc>
      </w:tr>
      <w:tr w:rsidR="00C778BA" w:rsidRPr="00D86314" w14:paraId="009723FA" w14:textId="77777777" w:rsidTr="007736E8">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tcPr>
          <w:p w14:paraId="314D9745" w14:textId="77777777" w:rsidR="00C778BA" w:rsidRPr="00D86314" w:rsidRDefault="00C778BA" w:rsidP="007736E8">
            <w:pPr>
              <w:rPr>
                <w:rFonts w:cs="Arial"/>
                <w:b/>
                <w:noProof/>
                <w:color w:val="FFFFFF" w:themeColor="background1"/>
                <w:sz w:val="18"/>
                <w:szCs w:val="18"/>
              </w:rPr>
            </w:pPr>
            <w:r w:rsidRPr="00D86314">
              <w:rPr>
                <w:rFonts w:cs="Arial"/>
                <w:b/>
                <w:noProof/>
                <w:color w:val="FFFFFF" w:themeColor="background1"/>
                <w:sz w:val="18"/>
                <w:szCs w:val="18"/>
              </w:rPr>
              <w:t>Coverage of 5G in mid-band spectrum</w:t>
            </w:r>
          </w:p>
        </w:tc>
        <w:tc>
          <w:tcPr>
            <w:tcW w:w="684"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08B0FEF2" w14:textId="77777777" w:rsidR="00C778BA" w:rsidRPr="00D86314" w:rsidRDefault="00C778BA" w:rsidP="007736E8">
            <w:pPr>
              <w:rPr>
                <w:noProof/>
                <w:sz w:val="18"/>
                <w:szCs w:val="18"/>
              </w:rPr>
            </w:pPr>
            <w:r w:rsidRPr="00D86314">
              <w:rPr>
                <w:noProof/>
                <w:sz w:val="18"/>
                <w:szCs w:val="18"/>
              </w:rPr>
              <w:t>90%</w:t>
            </w:r>
          </w:p>
        </w:tc>
        <w:tc>
          <w:tcPr>
            <w:tcW w:w="684"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09314B55" w14:textId="77777777" w:rsidR="00C778BA" w:rsidRPr="00D86314" w:rsidRDefault="00C778BA" w:rsidP="007736E8">
            <w:pPr>
              <w:rPr>
                <w:noProof/>
                <w:sz w:val="18"/>
                <w:szCs w:val="18"/>
              </w:rPr>
            </w:pPr>
            <w:r w:rsidRPr="00D86314">
              <w:rPr>
                <w:noProof/>
                <w:sz w:val="18"/>
                <w:szCs w:val="18"/>
              </w:rPr>
              <w:t>92%</w:t>
            </w:r>
          </w:p>
        </w:tc>
        <w:tc>
          <w:tcPr>
            <w:tcW w:w="683"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43239EF2" w14:textId="77777777" w:rsidR="00C778BA" w:rsidRPr="00D86314" w:rsidRDefault="00C778BA" w:rsidP="007736E8">
            <w:pPr>
              <w:rPr>
                <w:noProof/>
                <w:sz w:val="18"/>
                <w:szCs w:val="18"/>
              </w:rPr>
            </w:pPr>
            <w:r w:rsidRPr="00D86314">
              <w:rPr>
                <w:noProof/>
                <w:sz w:val="18"/>
                <w:szCs w:val="18"/>
              </w:rPr>
              <w:t>96%</w:t>
            </w:r>
          </w:p>
        </w:tc>
        <w:tc>
          <w:tcPr>
            <w:tcW w:w="683"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4895840D" w14:textId="77777777" w:rsidR="00C778BA" w:rsidRPr="00D86314" w:rsidRDefault="00C778BA" w:rsidP="007736E8">
            <w:pPr>
              <w:rPr>
                <w:noProof/>
                <w:sz w:val="18"/>
                <w:szCs w:val="18"/>
              </w:rPr>
            </w:pPr>
            <w:r w:rsidRPr="00D86314">
              <w:rPr>
                <w:noProof/>
                <w:sz w:val="18"/>
                <w:szCs w:val="18"/>
              </w:rPr>
              <w:t>96%</w:t>
            </w:r>
          </w:p>
        </w:tc>
        <w:tc>
          <w:tcPr>
            <w:tcW w:w="1583"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2AF7D445" w14:textId="77777777" w:rsidR="00C778BA" w:rsidRPr="00D86314" w:rsidRDefault="00C778BA" w:rsidP="007736E8">
            <w:pPr>
              <w:rPr>
                <w:noProof/>
                <w:sz w:val="18"/>
                <w:szCs w:val="18"/>
              </w:rPr>
            </w:pPr>
            <w:r w:rsidRPr="00D86314">
              <w:rPr>
                <w:noProof/>
                <w:sz w:val="18"/>
                <w:szCs w:val="18"/>
              </w:rPr>
              <w:t xml:space="preserve">Coverage data employed from DESI from 2023 until 2025. The average coverage of 5G midband rose from just under 41% to 68% between 2023 and 2025. It can be assumed that coverage will now increase at a slower rate. By 2035, midband 5G coverage is expected to reach around 90%. </w:t>
            </w:r>
          </w:p>
        </w:tc>
      </w:tr>
      <w:tr w:rsidR="00C778BA" w:rsidRPr="00D86314" w14:paraId="5DF80B24" w14:textId="77777777" w:rsidTr="007736E8">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tcPr>
          <w:p w14:paraId="414BD72E" w14:textId="77777777" w:rsidR="00C778BA" w:rsidRPr="00D86314" w:rsidRDefault="00C778BA" w:rsidP="007736E8">
            <w:pPr>
              <w:rPr>
                <w:rFonts w:cs="Arial"/>
                <w:b/>
                <w:noProof/>
                <w:color w:val="FFFFFF" w:themeColor="background1"/>
                <w:sz w:val="18"/>
                <w:szCs w:val="18"/>
              </w:rPr>
            </w:pPr>
            <w:r w:rsidRPr="00D86314">
              <w:rPr>
                <w:rFonts w:cs="Arial"/>
                <w:b/>
                <w:noProof/>
                <w:color w:val="FFFFFF" w:themeColor="background1"/>
                <w:sz w:val="18"/>
                <w:szCs w:val="18"/>
              </w:rPr>
              <w:t>Business use of 5G</w:t>
            </w:r>
            <w:r w:rsidRPr="00D86314">
              <w:rPr>
                <w:rStyle w:val="FootnoteReference"/>
                <w:rFonts w:cs="Arial"/>
                <w:noProof/>
                <w:color w:val="FFFFFF" w:themeColor="background1"/>
                <w:szCs w:val="18"/>
              </w:rPr>
              <w:footnoteReference w:id="118"/>
            </w:r>
          </w:p>
        </w:tc>
        <w:tc>
          <w:tcPr>
            <w:tcW w:w="684"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158AE3BF" w14:textId="77777777" w:rsidR="00C778BA" w:rsidRPr="00D86314" w:rsidRDefault="00C778BA" w:rsidP="007736E8">
            <w:pPr>
              <w:rPr>
                <w:noProof/>
                <w:sz w:val="18"/>
                <w:szCs w:val="18"/>
              </w:rPr>
            </w:pPr>
            <w:r w:rsidRPr="00D86314">
              <w:rPr>
                <w:noProof/>
                <w:sz w:val="18"/>
                <w:szCs w:val="18"/>
              </w:rPr>
              <w:t>0</w:t>
            </w:r>
          </w:p>
        </w:tc>
        <w:tc>
          <w:tcPr>
            <w:tcW w:w="684"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0C4FC1C6"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6AC982EC"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4FB08833" w14:textId="77777777" w:rsidR="00C778BA" w:rsidRPr="00D86314" w:rsidRDefault="00C778BA" w:rsidP="007736E8">
            <w:pPr>
              <w:rPr>
                <w:noProof/>
                <w:sz w:val="18"/>
                <w:szCs w:val="18"/>
              </w:rPr>
            </w:pPr>
            <w:r w:rsidRPr="00D86314">
              <w:rPr>
                <w:noProof/>
                <w:sz w:val="18"/>
                <w:szCs w:val="18"/>
              </w:rPr>
              <w:t>++++</w:t>
            </w:r>
          </w:p>
        </w:tc>
        <w:tc>
          <w:tcPr>
            <w:tcW w:w="15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4265FF18" w14:textId="77777777" w:rsidR="00C778BA" w:rsidRPr="00D86314" w:rsidRDefault="00C778BA" w:rsidP="007736E8">
            <w:pPr>
              <w:rPr>
                <w:noProof/>
                <w:sz w:val="18"/>
                <w:szCs w:val="18"/>
              </w:rPr>
            </w:pPr>
            <w:r w:rsidRPr="00D86314">
              <w:rPr>
                <w:noProof/>
                <w:sz w:val="18"/>
                <w:szCs w:val="18"/>
              </w:rPr>
              <w:t xml:space="preserve">Business use cases are primarily driven by use of IoT and vertical application with private 5G networks. </w:t>
            </w:r>
          </w:p>
        </w:tc>
      </w:tr>
      <w:tr w:rsidR="00C778BA" w:rsidRPr="00D86314" w14:paraId="0AF10EB3" w14:textId="77777777" w:rsidTr="007736E8">
        <w:tc>
          <w:tcPr>
            <w:tcW w:w="683" w:type="pct"/>
            <w:tcBorders>
              <w:top w:val="single" w:sz="4" w:space="0" w:color="FFFFFF"/>
              <w:left w:val="single" w:sz="4" w:space="0" w:color="FFFFFF"/>
              <w:right w:val="single" w:sz="4" w:space="0" w:color="FFFFFF"/>
            </w:tcBorders>
            <w:shd w:val="clear" w:color="auto" w:fill="000000" w:themeFill="text1"/>
          </w:tcPr>
          <w:p w14:paraId="0FD0529A" w14:textId="77777777" w:rsidR="00C778BA" w:rsidRPr="00D86314" w:rsidRDefault="00C778BA" w:rsidP="007736E8">
            <w:pPr>
              <w:rPr>
                <w:rFonts w:cs="Arial"/>
                <w:b/>
                <w:noProof/>
                <w:color w:val="FFFFFF" w:themeColor="background1"/>
                <w:sz w:val="18"/>
                <w:szCs w:val="18"/>
              </w:rPr>
            </w:pPr>
            <w:r w:rsidRPr="00D86314">
              <w:rPr>
                <w:rFonts w:cs="Arial"/>
                <w:b/>
                <w:noProof/>
                <w:color w:val="FFFFFF" w:themeColor="background1"/>
                <w:sz w:val="18"/>
                <w:szCs w:val="18"/>
              </w:rPr>
              <w:t>Average 5G mobile download speeds</w:t>
            </w:r>
          </w:p>
        </w:tc>
        <w:tc>
          <w:tcPr>
            <w:tcW w:w="684" w:type="pct"/>
            <w:tcBorders>
              <w:top w:val="single" w:sz="4" w:space="0" w:color="FFFFFF"/>
              <w:left w:val="single" w:sz="4" w:space="0" w:color="FFFFFF"/>
              <w:right w:val="single" w:sz="4" w:space="0" w:color="FFFFFF"/>
            </w:tcBorders>
            <w:shd w:val="clear" w:color="auto" w:fill="B2A1C7" w:themeFill="accent4" w:themeFillTint="99"/>
          </w:tcPr>
          <w:p w14:paraId="45FD8E59" w14:textId="77777777" w:rsidR="00C778BA" w:rsidRPr="00D86314" w:rsidRDefault="00C778BA" w:rsidP="007736E8">
            <w:pPr>
              <w:rPr>
                <w:noProof/>
                <w:sz w:val="18"/>
                <w:szCs w:val="18"/>
              </w:rPr>
            </w:pPr>
            <w:r w:rsidRPr="00D86314">
              <w:rPr>
                <w:noProof/>
                <w:sz w:val="18"/>
                <w:szCs w:val="18"/>
              </w:rPr>
              <w:t>250</w:t>
            </w:r>
          </w:p>
        </w:tc>
        <w:tc>
          <w:tcPr>
            <w:tcW w:w="684" w:type="pct"/>
            <w:tcBorders>
              <w:top w:val="single" w:sz="4" w:space="0" w:color="FFFFFF"/>
              <w:left w:val="single" w:sz="4" w:space="0" w:color="FFFFFF"/>
              <w:right w:val="single" w:sz="4" w:space="0" w:color="FFFFFF"/>
            </w:tcBorders>
            <w:shd w:val="clear" w:color="auto" w:fill="B2A1C7" w:themeFill="accent4" w:themeFillTint="99"/>
          </w:tcPr>
          <w:p w14:paraId="2B4AD336" w14:textId="77777777" w:rsidR="00C778BA" w:rsidRPr="00D86314" w:rsidRDefault="00C778BA" w:rsidP="007736E8">
            <w:pPr>
              <w:rPr>
                <w:noProof/>
                <w:sz w:val="18"/>
                <w:szCs w:val="18"/>
              </w:rPr>
            </w:pPr>
            <w:r w:rsidRPr="00D86314">
              <w:rPr>
                <w:noProof/>
                <w:sz w:val="18"/>
                <w:szCs w:val="18"/>
              </w:rPr>
              <w:t>2% increase on baseline</w:t>
            </w:r>
          </w:p>
        </w:tc>
        <w:tc>
          <w:tcPr>
            <w:tcW w:w="683" w:type="pct"/>
            <w:tcBorders>
              <w:top w:val="single" w:sz="4" w:space="0" w:color="FFFFFF"/>
              <w:left w:val="single" w:sz="4" w:space="0" w:color="FFFFFF"/>
              <w:right w:val="single" w:sz="4" w:space="0" w:color="FFFFFF"/>
            </w:tcBorders>
            <w:shd w:val="clear" w:color="auto" w:fill="B2A1C7" w:themeFill="accent4" w:themeFillTint="99"/>
          </w:tcPr>
          <w:p w14:paraId="70958127" w14:textId="77777777" w:rsidR="00C778BA" w:rsidRPr="00D86314" w:rsidRDefault="00C778BA" w:rsidP="007736E8">
            <w:pPr>
              <w:rPr>
                <w:noProof/>
                <w:sz w:val="18"/>
                <w:szCs w:val="18"/>
              </w:rPr>
            </w:pPr>
            <w:r w:rsidRPr="00D86314">
              <w:rPr>
                <w:noProof/>
                <w:sz w:val="18"/>
                <w:szCs w:val="18"/>
              </w:rPr>
              <w:t>6% increase on baseline</w:t>
            </w:r>
          </w:p>
        </w:tc>
        <w:tc>
          <w:tcPr>
            <w:tcW w:w="683" w:type="pct"/>
            <w:tcBorders>
              <w:top w:val="single" w:sz="4" w:space="0" w:color="FFFFFF"/>
              <w:left w:val="single" w:sz="4" w:space="0" w:color="FFFFFF"/>
              <w:right w:val="single" w:sz="4" w:space="0" w:color="FFFFFF"/>
            </w:tcBorders>
            <w:shd w:val="clear" w:color="auto" w:fill="B2A1C7" w:themeFill="accent4" w:themeFillTint="99"/>
          </w:tcPr>
          <w:p w14:paraId="32889A66" w14:textId="77777777" w:rsidR="00C778BA" w:rsidRPr="00D86314" w:rsidRDefault="00C778BA" w:rsidP="007736E8">
            <w:pPr>
              <w:rPr>
                <w:noProof/>
                <w:sz w:val="18"/>
                <w:szCs w:val="18"/>
              </w:rPr>
            </w:pPr>
            <w:r w:rsidRPr="00D86314">
              <w:rPr>
                <w:noProof/>
                <w:sz w:val="18"/>
                <w:szCs w:val="18"/>
              </w:rPr>
              <w:t>6% increase on baseline</w:t>
            </w:r>
          </w:p>
        </w:tc>
        <w:tc>
          <w:tcPr>
            <w:tcW w:w="1583"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3D97FDD1" w14:textId="70B68446" w:rsidR="00C778BA" w:rsidRPr="00D86314" w:rsidRDefault="00C778BA" w:rsidP="007736E8">
            <w:pPr>
              <w:rPr>
                <w:noProof/>
                <w:sz w:val="18"/>
                <w:szCs w:val="18"/>
              </w:rPr>
            </w:pPr>
            <w:r w:rsidRPr="00D86314">
              <w:rPr>
                <w:noProof/>
                <w:sz w:val="18"/>
                <w:szCs w:val="18"/>
              </w:rPr>
              <w:t xml:space="preserve">Medux estimates current average mobile speeds at 70 Mbps. However, other estimates suggest a higher figure. Ookla puts the median EU speed in all mobile technologies at 117 Mbps. The number for 5G is likely to be higher if the slower results from earlier mobile generations are removed. </w:t>
            </w:r>
          </w:p>
        </w:tc>
      </w:tr>
      <w:tr w:rsidR="00C778BA" w:rsidRPr="00D86314" w14:paraId="2B29A6B7" w14:textId="77777777" w:rsidTr="007736E8">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tcPr>
          <w:p w14:paraId="5CCD9F59" w14:textId="77777777" w:rsidR="00C778BA" w:rsidRPr="00D86314" w:rsidRDefault="00C778BA" w:rsidP="007736E8">
            <w:pPr>
              <w:rPr>
                <w:rFonts w:cs="Arial"/>
                <w:b/>
                <w:noProof/>
                <w:color w:val="FFFFFF" w:themeColor="background1"/>
                <w:sz w:val="18"/>
                <w:szCs w:val="18"/>
              </w:rPr>
            </w:pPr>
            <w:r w:rsidRPr="00D86314">
              <w:rPr>
                <w:rFonts w:cs="Arial"/>
                <w:b/>
                <w:noProof/>
                <w:color w:val="FFFFFF" w:themeColor="background1"/>
                <w:sz w:val="18"/>
                <w:szCs w:val="18"/>
              </w:rPr>
              <w:t>Geographic coverage</w:t>
            </w:r>
          </w:p>
        </w:tc>
        <w:tc>
          <w:tcPr>
            <w:tcW w:w="684"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57670D9F" w14:textId="77777777" w:rsidR="00C778BA" w:rsidRPr="00D86314" w:rsidRDefault="00C778BA" w:rsidP="007736E8">
            <w:pPr>
              <w:tabs>
                <w:tab w:val="center" w:pos="884"/>
              </w:tabs>
              <w:rPr>
                <w:noProof/>
                <w:sz w:val="18"/>
                <w:szCs w:val="18"/>
              </w:rPr>
            </w:pPr>
            <w:r w:rsidRPr="00D86314">
              <w:rPr>
                <w:noProof/>
                <w:sz w:val="18"/>
                <w:szCs w:val="18"/>
              </w:rPr>
              <w:t>0</w:t>
            </w:r>
            <w:r w:rsidRPr="00D86314">
              <w:rPr>
                <w:noProof/>
                <w:sz w:val="18"/>
                <w:szCs w:val="18"/>
              </w:rPr>
              <w:tab/>
            </w:r>
          </w:p>
        </w:tc>
        <w:tc>
          <w:tcPr>
            <w:tcW w:w="684"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27826302"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501CF9D3"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02A8F30A" w14:textId="77777777" w:rsidR="00C778BA" w:rsidRPr="00D86314" w:rsidRDefault="00C778BA" w:rsidP="007736E8">
            <w:pPr>
              <w:rPr>
                <w:noProof/>
                <w:sz w:val="18"/>
                <w:szCs w:val="18"/>
              </w:rPr>
            </w:pPr>
            <w:r w:rsidRPr="00D86314">
              <w:rPr>
                <w:noProof/>
                <w:sz w:val="18"/>
                <w:szCs w:val="18"/>
              </w:rPr>
              <w:t>+++++</w:t>
            </w:r>
          </w:p>
        </w:tc>
        <w:tc>
          <w:tcPr>
            <w:tcW w:w="15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268082E1" w14:textId="77777777" w:rsidR="00C778BA" w:rsidRPr="00D86314" w:rsidRDefault="00C778BA" w:rsidP="007736E8">
            <w:pPr>
              <w:rPr>
                <w:noProof/>
                <w:sz w:val="18"/>
                <w:szCs w:val="18"/>
              </w:rPr>
            </w:pPr>
            <w:r w:rsidRPr="00D86314">
              <w:rPr>
                <w:noProof/>
                <w:sz w:val="18"/>
                <w:szCs w:val="18"/>
              </w:rPr>
              <w:t>Pro-investment approach to awards will reduce the cost of roll-out. Spectrum sharing will allow operators targeting underserved areas to access frequencies for FWA or mobile services.</w:t>
            </w:r>
          </w:p>
        </w:tc>
      </w:tr>
      <w:tr w:rsidR="00C778BA" w:rsidRPr="00D86314" w14:paraId="118576E6" w14:textId="77777777" w:rsidTr="007736E8">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tcPr>
          <w:p w14:paraId="77ED9511" w14:textId="77777777" w:rsidR="00C778BA" w:rsidRPr="00D86314" w:rsidRDefault="00C778BA" w:rsidP="007736E8">
            <w:pPr>
              <w:rPr>
                <w:rFonts w:cs="Arial"/>
                <w:b/>
                <w:noProof/>
                <w:color w:val="FFFFFF" w:themeColor="background1"/>
                <w:sz w:val="18"/>
                <w:szCs w:val="18"/>
              </w:rPr>
            </w:pPr>
            <w:r w:rsidRPr="00D86314">
              <w:rPr>
                <w:rFonts w:cs="Arial"/>
                <w:b/>
                <w:noProof/>
                <w:color w:val="FFFFFF" w:themeColor="background1"/>
                <w:sz w:val="18"/>
                <w:szCs w:val="18"/>
              </w:rPr>
              <w:t>Service innovation</w:t>
            </w:r>
          </w:p>
        </w:tc>
        <w:tc>
          <w:tcPr>
            <w:tcW w:w="684"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707C9E2A" w14:textId="77777777" w:rsidR="00C778BA" w:rsidRPr="00D86314" w:rsidRDefault="00C778BA" w:rsidP="007736E8">
            <w:pPr>
              <w:rPr>
                <w:noProof/>
                <w:sz w:val="18"/>
                <w:szCs w:val="18"/>
              </w:rPr>
            </w:pPr>
            <w:r w:rsidRPr="00D86314">
              <w:rPr>
                <w:noProof/>
                <w:sz w:val="18"/>
                <w:szCs w:val="18"/>
              </w:rPr>
              <w:t>0</w:t>
            </w:r>
          </w:p>
        </w:tc>
        <w:tc>
          <w:tcPr>
            <w:tcW w:w="684"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77CCAE29"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0242534F"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4582AD47" w14:textId="77777777" w:rsidR="00C778BA" w:rsidRPr="00D86314" w:rsidRDefault="00C778BA" w:rsidP="007736E8">
            <w:pPr>
              <w:rPr>
                <w:noProof/>
                <w:sz w:val="18"/>
                <w:szCs w:val="18"/>
              </w:rPr>
            </w:pPr>
            <w:r w:rsidRPr="00D86314">
              <w:rPr>
                <w:noProof/>
                <w:sz w:val="18"/>
                <w:szCs w:val="18"/>
              </w:rPr>
              <w:t>+++++</w:t>
            </w:r>
          </w:p>
        </w:tc>
        <w:tc>
          <w:tcPr>
            <w:tcW w:w="1583" w:type="pct"/>
            <w:tcBorders>
              <w:top w:val="single" w:sz="4" w:space="0" w:color="FFFFFF"/>
              <w:left w:val="single" w:sz="4" w:space="0" w:color="FFFFFF"/>
              <w:bottom w:val="single" w:sz="4" w:space="0" w:color="FFFFFF"/>
              <w:right w:val="single" w:sz="4" w:space="0" w:color="FFFFFF"/>
            </w:tcBorders>
            <w:shd w:val="clear" w:color="auto" w:fill="B2A1C7" w:themeFill="accent4" w:themeFillTint="99"/>
          </w:tcPr>
          <w:p w14:paraId="413E63BF" w14:textId="77777777" w:rsidR="00C778BA" w:rsidRPr="00D86314" w:rsidRDefault="00C778BA" w:rsidP="007736E8">
            <w:pPr>
              <w:rPr>
                <w:noProof/>
                <w:sz w:val="18"/>
                <w:szCs w:val="18"/>
              </w:rPr>
            </w:pPr>
            <w:r w:rsidRPr="00D86314">
              <w:rPr>
                <w:noProof/>
                <w:sz w:val="18"/>
                <w:szCs w:val="18"/>
              </w:rPr>
              <w:t>Petition for rule-making will allow innovators access to spectrum, as will increased spectrum sharing</w:t>
            </w:r>
          </w:p>
        </w:tc>
      </w:tr>
      <w:tr w:rsidR="00C778BA" w:rsidRPr="00D86314" w14:paraId="76F771C8" w14:textId="77777777" w:rsidTr="007736E8">
        <w:tc>
          <w:tcPr>
            <w:tcW w:w="683" w:type="pct"/>
            <w:tcBorders>
              <w:top w:val="single" w:sz="4" w:space="0" w:color="FFFFFF"/>
              <w:left w:val="single" w:sz="4" w:space="0" w:color="FFFFFF"/>
              <w:bottom w:val="single" w:sz="4" w:space="0" w:color="FFFFFF"/>
              <w:right w:val="single" w:sz="4" w:space="0" w:color="FFFFFF"/>
            </w:tcBorders>
            <w:shd w:val="clear" w:color="auto" w:fill="000000" w:themeFill="text1"/>
          </w:tcPr>
          <w:p w14:paraId="482F073B" w14:textId="77777777" w:rsidR="00C778BA" w:rsidRPr="00D86314" w:rsidRDefault="00C778BA" w:rsidP="007736E8">
            <w:pPr>
              <w:rPr>
                <w:rFonts w:cs="Arial"/>
                <w:b/>
                <w:noProof/>
                <w:color w:val="FFFFFF" w:themeColor="background1"/>
                <w:sz w:val="18"/>
                <w:szCs w:val="18"/>
              </w:rPr>
            </w:pPr>
            <w:r w:rsidRPr="00D86314">
              <w:rPr>
                <w:rFonts w:cs="Arial"/>
                <w:b/>
                <w:noProof/>
                <w:color w:val="FFFFFF" w:themeColor="background1"/>
                <w:sz w:val="18"/>
                <w:szCs w:val="18"/>
              </w:rPr>
              <w:t>Consistency in spectrum awards and licence conditions</w:t>
            </w:r>
          </w:p>
        </w:tc>
        <w:tc>
          <w:tcPr>
            <w:tcW w:w="684"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4F354CAE" w14:textId="77777777" w:rsidR="00C778BA" w:rsidRPr="00D86314" w:rsidRDefault="00C778BA" w:rsidP="007736E8">
            <w:pPr>
              <w:rPr>
                <w:noProof/>
                <w:sz w:val="18"/>
                <w:szCs w:val="18"/>
              </w:rPr>
            </w:pPr>
            <w:r w:rsidRPr="00D86314">
              <w:rPr>
                <w:noProof/>
                <w:sz w:val="18"/>
                <w:szCs w:val="18"/>
              </w:rPr>
              <w:t>0</w:t>
            </w:r>
          </w:p>
        </w:tc>
        <w:tc>
          <w:tcPr>
            <w:tcW w:w="684"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4ACB9EC7"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009723E5" w14:textId="77777777" w:rsidR="00C778BA" w:rsidRPr="00D86314" w:rsidRDefault="00C778BA" w:rsidP="007736E8">
            <w:pPr>
              <w:rPr>
                <w:noProof/>
                <w:sz w:val="18"/>
                <w:szCs w:val="18"/>
              </w:rPr>
            </w:pPr>
            <w:r w:rsidRPr="00D86314">
              <w:rPr>
                <w:noProof/>
                <w:sz w:val="18"/>
                <w:szCs w:val="18"/>
              </w:rPr>
              <w:t>++++</w:t>
            </w:r>
          </w:p>
        </w:tc>
        <w:tc>
          <w:tcPr>
            <w:tcW w:w="6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4148B560" w14:textId="77777777" w:rsidR="00C778BA" w:rsidRPr="00D86314" w:rsidRDefault="00C778BA" w:rsidP="007736E8">
            <w:pPr>
              <w:rPr>
                <w:noProof/>
                <w:sz w:val="18"/>
                <w:szCs w:val="18"/>
              </w:rPr>
            </w:pPr>
            <w:r w:rsidRPr="00D86314">
              <w:rPr>
                <w:noProof/>
                <w:sz w:val="18"/>
                <w:szCs w:val="18"/>
              </w:rPr>
              <w:t>++++</w:t>
            </w:r>
          </w:p>
        </w:tc>
        <w:tc>
          <w:tcPr>
            <w:tcW w:w="1583" w:type="pct"/>
            <w:tcBorders>
              <w:top w:val="single" w:sz="4" w:space="0" w:color="FFFFFF"/>
              <w:left w:val="single" w:sz="4" w:space="0" w:color="FFFFFF"/>
              <w:bottom w:val="single" w:sz="4" w:space="0" w:color="FFFFFF"/>
              <w:right w:val="single" w:sz="4" w:space="0" w:color="FFFFFF"/>
            </w:tcBorders>
            <w:shd w:val="clear" w:color="auto" w:fill="E5DFEC" w:themeFill="accent4" w:themeFillTint="33"/>
          </w:tcPr>
          <w:p w14:paraId="1D62EBA9" w14:textId="77777777" w:rsidR="00C778BA" w:rsidRPr="00D86314" w:rsidRDefault="00C778BA" w:rsidP="007736E8">
            <w:pPr>
              <w:rPr>
                <w:noProof/>
                <w:sz w:val="18"/>
                <w:szCs w:val="18"/>
              </w:rPr>
            </w:pPr>
            <w:r w:rsidRPr="00D86314">
              <w:rPr>
                <w:noProof/>
                <w:sz w:val="18"/>
                <w:szCs w:val="18"/>
              </w:rPr>
              <w:t>6G spectrum roadmap, stronger measures on licence duration and harmonisation of authorisation regime will all increase consistency.</w:t>
            </w:r>
          </w:p>
        </w:tc>
      </w:tr>
    </w:tbl>
    <w:p w14:paraId="0DD4F920" w14:textId="77777777" w:rsidR="00C778BA" w:rsidRPr="00D86314" w:rsidRDefault="00C778BA" w:rsidP="00C778BA">
      <w:pPr>
        <w:spacing w:after="120"/>
        <w:rPr>
          <w:noProof/>
        </w:rPr>
      </w:pPr>
    </w:p>
    <w:p w14:paraId="3E65F0A8" w14:textId="77777777" w:rsidR="00C778BA" w:rsidRPr="00D86314" w:rsidRDefault="00C778BA" w:rsidP="00C778BA">
      <w:pPr>
        <w:spacing w:after="120"/>
        <w:rPr>
          <w:noProof/>
        </w:rPr>
        <w:sectPr w:rsidR="00C778BA" w:rsidRPr="00D86314" w:rsidSect="00C778BA">
          <w:headerReference w:type="default" r:id="rId100"/>
          <w:footerReference w:type="default" r:id="rId101"/>
          <w:headerReference w:type="first" r:id="rId102"/>
          <w:footerReference w:type="first" r:id="rId103"/>
          <w:pgSz w:w="16838" w:h="11906" w:orient="landscape"/>
          <w:pgMar w:top="1587" w:right="1020" w:bottom="707" w:left="1020" w:header="601" w:footer="1077" w:gutter="0"/>
          <w:cols w:space="720"/>
          <w:titlePg/>
          <w:docGrid w:linePitch="326"/>
        </w:sectPr>
      </w:pPr>
    </w:p>
    <w:p w14:paraId="67CE2110" w14:textId="77777777" w:rsidR="00C778BA" w:rsidRPr="00D86314" w:rsidRDefault="00C778BA" w:rsidP="00C778BA">
      <w:pPr>
        <w:spacing w:after="120"/>
        <w:rPr>
          <w:noProof/>
        </w:rPr>
      </w:pPr>
    </w:p>
    <w:p w14:paraId="69D76051" w14:textId="77777777" w:rsidR="00C778BA" w:rsidRPr="00D86314" w:rsidRDefault="00C778BA" w:rsidP="00C778BA">
      <w:pPr>
        <w:pStyle w:val="Heading2"/>
        <w:rPr>
          <w:noProof/>
        </w:rPr>
      </w:pPr>
      <w:bookmarkStart w:id="156" w:name="_Toc219718378"/>
      <w:r w:rsidRPr="00D86314">
        <w:rPr>
          <w:noProof/>
        </w:rPr>
        <w:t>Methodology for the estimation of GDP impacts resulting from increases in full 5G adoption and associated speed increases</w:t>
      </w:r>
      <w:bookmarkEnd w:id="156"/>
    </w:p>
    <w:p w14:paraId="0696E6C9" w14:textId="3B21A9C0" w:rsidR="00C778BA" w:rsidRPr="00D86314" w:rsidRDefault="00C778BA" w:rsidP="00C778BA">
      <w:pPr>
        <w:rPr>
          <w:noProof/>
        </w:rPr>
      </w:pPr>
      <w:r w:rsidRPr="00D86314">
        <w:rPr>
          <w:noProof/>
        </w:rPr>
        <w:t>Potential effects of the different policy options on GDP were estimated with reference to academic literature linking increased adoption of mobile technologies and GDP. Specifically, the assessment of the impact on GDP relies on elasticities provided in a recent study by Briglauer et al./EcoAustria (2025). The authors note that coefficient estimates suggest that a 1% increase in per capita weighted mobile broadband adoption leads to an increase of GDP per capita by 0.084–0.113%. They analysed a panel dataset covering 32 OECD countries from 2002 until 2020 where the authors estimate the following formula:</w:t>
      </w:r>
    </w:p>
    <w:p w14:paraId="66205AF3" w14:textId="77777777" w:rsidR="00C778BA" w:rsidRPr="00D86314" w:rsidRDefault="00B046D9" w:rsidP="00C778BA">
      <w:pPr>
        <w:rPr>
          <w:noProof/>
        </w:rPr>
      </w:pPr>
      <m:oMathPara>
        <m:oMath>
          <m:func>
            <m:funcPr>
              <m:ctrlPr>
                <w:rPr>
                  <w:rFonts w:ascii="Cambria Math" w:hAnsi="Cambria Math"/>
                  <w:noProof/>
                </w:rPr>
              </m:ctrlPr>
            </m:funcPr>
            <m:fName>
              <m:r>
                <m:rPr>
                  <m:sty m:val="p"/>
                </m:rPr>
                <w:rPr>
                  <w:rFonts w:ascii="Cambria Math" w:hAnsi="Cambria Math"/>
                  <w:noProof/>
                </w:rPr>
                <m:t>log</m:t>
              </m:r>
            </m:fName>
            <m:e>
              <m:r>
                <w:rPr>
                  <w:rFonts w:ascii="Cambria Math" w:hAnsi="Cambria Math"/>
                  <w:noProof/>
                </w:rPr>
                <m:t>GD</m:t>
              </m:r>
              <m:sSub>
                <m:sSubPr>
                  <m:ctrlPr>
                    <w:rPr>
                      <w:rFonts w:ascii="Cambria Math" w:hAnsi="Cambria Math"/>
                      <w:i/>
                      <w:noProof/>
                    </w:rPr>
                  </m:ctrlPr>
                </m:sSubPr>
                <m:e>
                  <m:r>
                    <w:rPr>
                      <w:rFonts w:ascii="Cambria Math" w:hAnsi="Cambria Math"/>
                      <w:noProof/>
                    </w:rPr>
                    <m:t>P</m:t>
                  </m:r>
                </m:e>
                <m:sub>
                  <m:d>
                    <m:dPr>
                      <m:begChr m:val="{"/>
                      <m:endChr m:val="}"/>
                      <m:ctrlPr>
                        <w:rPr>
                          <w:rFonts w:ascii="Cambria Math" w:hAnsi="Cambria Math"/>
                          <w:i/>
                          <w:noProof/>
                        </w:rPr>
                      </m:ctrlPr>
                    </m:dPr>
                    <m:e>
                      <m:r>
                        <w:rPr>
                          <w:rFonts w:ascii="Cambria Math" w:hAnsi="Cambria Math"/>
                          <w:noProof/>
                        </w:rPr>
                        <m:t>it</m:t>
                      </m:r>
                    </m:e>
                  </m:d>
                </m:sub>
              </m:sSub>
            </m:e>
          </m:func>
          <m:r>
            <w:rPr>
              <w:rFonts w:ascii="Cambria Math" w:hAnsi="Cambria Math"/>
              <w:noProof/>
            </w:rPr>
            <m:t xml:space="preserve">= </m:t>
          </m:r>
          <m:sSub>
            <m:sSubPr>
              <m:ctrlPr>
                <w:rPr>
                  <w:rFonts w:ascii="Cambria Math" w:hAnsi="Cambria Math"/>
                  <w:i/>
                  <w:noProof/>
                </w:rPr>
              </m:ctrlPr>
            </m:sSubPr>
            <m:e>
              <m:r>
                <w:rPr>
                  <w:rFonts w:ascii="Cambria Math" w:hAnsi="Cambria Math"/>
                  <w:noProof/>
                </w:rPr>
                <m:t>β</m:t>
              </m:r>
            </m:e>
            <m:sub>
              <m:r>
                <w:rPr>
                  <w:rFonts w:ascii="Cambria Math" w:hAnsi="Cambria Math"/>
                  <w:noProof/>
                </w:rPr>
                <m:t>0</m:t>
              </m:r>
            </m:sub>
          </m:sSub>
          <m:r>
            <w:rPr>
              <w:rFonts w:ascii="Cambria Math" w:hAnsi="Cambria Math"/>
              <w:noProof/>
            </w:rPr>
            <m:t>+</m:t>
          </m:r>
          <m:sSub>
            <m:sSubPr>
              <m:ctrlPr>
                <w:rPr>
                  <w:rFonts w:ascii="Cambria Math" w:hAnsi="Cambria Math"/>
                  <w:i/>
                  <w:noProof/>
                </w:rPr>
              </m:ctrlPr>
            </m:sSubPr>
            <m:e>
              <m:r>
                <w:rPr>
                  <w:rFonts w:ascii="Cambria Math" w:hAnsi="Cambria Math"/>
                  <w:noProof/>
                </w:rPr>
                <m:t>β</m:t>
              </m:r>
            </m:e>
            <m:sub>
              <m:r>
                <w:rPr>
                  <w:rFonts w:ascii="Cambria Math" w:hAnsi="Cambria Math"/>
                  <w:noProof/>
                </w:rPr>
                <m:t>1</m:t>
              </m:r>
            </m:sub>
          </m:sSub>
          <m:func>
            <m:funcPr>
              <m:ctrlPr>
                <w:rPr>
                  <w:rFonts w:ascii="Cambria Math" w:hAnsi="Cambria Math"/>
                  <w:noProof/>
                </w:rPr>
              </m:ctrlPr>
            </m:funcPr>
            <m:fName>
              <m:r>
                <m:rPr>
                  <m:sty m:val="p"/>
                </m:rPr>
                <w:rPr>
                  <w:rFonts w:ascii="Cambria Math" w:hAnsi="Cambria Math"/>
                  <w:noProof/>
                </w:rPr>
                <m:t>log</m:t>
              </m:r>
            </m:fName>
            <m:e>
              <m:r>
                <w:rPr>
                  <w:rFonts w:ascii="Cambria Math" w:hAnsi="Cambria Math"/>
                  <w:noProof/>
                </w:rPr>
                <m:t>CAPITA</m:t>
              </m:r>
              <m:sSub>
                <m:sSubPr>
                  <m:ctrlPr>
                    <w:rPr>
                      <w:rFonts w:ascii="Cambria Math" w:hAnsi="Cambria Math"/>
                      <w:i/>
                      <w:noProof/>
                    </w:rPr>
                  </m:ctrlPr>
                </m:sSubPr>
                <m:e>
                  <m:r>
                    <w:rPr>
                      <w:rFonts w:ascii="Cambria Math" w:hAnsi="Cambria Math"/>
                      <w:noProof/>
                    </w:rPr>
                    <m:t>L</m:t>
                  </m:r>
                </m:e>
                <m:sub>
                  <m:d>
                    <m:dPr>
                      <m:begChr m:val="{"/>
                      <m:endChr m:val="}"/>
                      <m:ctrlPr>
                        <w:rPr>
                          <w:rFonts w:ascii="Cambria Math" w:hAnsi="Cambria Math"/>
                          <w:i/>
                          <w:noProof/>
                        </w:rPr>
                      </m:ctrlPr>
                    </m:dPr>
                    <m:e>
                      <m:r>
                        <w:rPr>
                          <w:rFonts w:ascii="Cambria Math" w:hAnsi="Cambria Math"/>
                          <w:noProof/>
                        </w:rPr>
                        <m:t>it</m:t>
                      </m:r>
                    </m:e>
                  </m:d>
                </m:sub>
              </m:sSub>
            </m:e>
          </m:func>
          <m:r>
            <w:rPr>
              <w:rFonts w:ascii="Cambria Math" w:hAnsi="Cambria Math"/>
              <w:noProof/>
            </w:rPr>
            <m:t>+</m:t>
          </m:r>
          <m:sSub>
            <m:sSubPr>
              <m:ctrlPr>
                <w:rPr>
                  <w:rFonts w:ascii="Cambria Math" w:hAnsi="Cambria Math"/>
                  <w:i/>
                  <w:noProof/>
                </w:rPr>
              </m:ctrlPr>
            </m:sSubPr>
            <m:e>
              <m:r>
                <w:rPr>
                  <w:rFonts w:ascii="Cambria Math" w:hAnsi="Cambria Math"/>
                  <w:noProof/>
                </w:rPr>
                <m:t>β</m:t>
              </m:r>
            </m:e>
            <m:sub>
              <m:r>
                <w:rPr>
                  <w:rFonts w:ascii="Cambria Math" w:hAnsi="Cambria Math"/>
                  <w:noProof/>
                </w:rPr>
                <m:t>2</m:t>
              </m:r>
            </m:sub>
          </m:sSub>
          <m:func>
            <m:funcPr>
              <m:ctrlPr>
                <w:rPr>
                  <w:rFonts w:ascii="Cambria Math" w:hAnsi="Cambria Math"/>
                  <w:noProof/>
                </w:rPr>
              </m:ctrlPr>
            </m:funcPr>
            <m:fName>
              <m:r>
                <m:rPr>
                  <m:sty m:val="p"/>
                </m:rPr>
                <w:rPr>
                  <w:rFonts w:ascii="Cambria Math" w:hAnsi="Cambria Math"/>
                  <w:noProof/>
                </w:rPr>
                <m:t>log</m:t>
              </m:r>
            </m:fName>
            <m:e>
              <m:r>
                <w:rPr>
                  <w:rFonts w:ascii="Cambria Math" w:hAnsi="Cambria Math"/>
                  <w:noProof/>
                </w:rPr>
                <m:t>LABOU</m:t>
              </m:r>
              <m:sSub>
                <m:sSubPr>
                  <m:ctrlPr>
                    <w:rPr>
                      <w:rFonts w:ascii="Cambria Math" w:hAnsi="Cambria Math"/>
                      <w:i/>
                      <w:noProof/>
                    </w:rPr>
                  </m:ctrlPr>
                </m:sSubPr>
                <m:e>
                  <m:r>
                    <w:rPr>
                      <w:rFonts w:ascii="Cambria Math" w:hAnsi="Cambria Math"/>
                      <w:noProof/>
                    </w:rPr>
                    <m:t>R</m:t>
                  </m:r>
                </m:e>
                <m:sub>
                  <m:d>
                    <m:dPr>
                      <m:begChr m:val="{"/>
                      <m:endChr m:val="}"/>
                      <m:ctrlPr>
                        <w:rPr>
                          <w:rFonts w:ascii="Cambria Math" w:hAnsi="Cambria Math"/>
                          <w:i/>
                          <w:noProof/>
                        </w:rPr>
                      </m:ctrlPr>
                    </m:dPr>
                    <m:e>
                      <m:r>
                        <w:rPr>
                          <w:rFonts w:ascii="Cambria Math" w:hAnsi="Cambria Math"/>
                          <w:noProof/>
                        </w:rPr>
                        <m:t>it</m:t>
                      </m:r>
                    </m:e>
                  </m:d>
                </m:sub>
              </m:sSub>
            </m:e>
          </m:func>
          <m:r>
            <w:rPr>
              <w:rFonts w:ascii="Cambria Math" w:hAnsi="Cambria Math"/>
              <w:noProof/>
            </w:rPr>
            <m:t>+</m:t>
          </m:r>
          <m:sSub>
            <m:sSubPr>
              <m:ctrlPr>
                <w:rPr>
                  <w:rFonts w:ascii="Cambria Math" w:hAnsi="Cambria Math"/>
                  <w:i/>
                  <w:noProof/>
                </w:rPr>
              </m:ctrlPr>
            </m:sSubPr>
            <m:e>
              <m:r>
                <w:rPr>
                  <w:rFonts w:ascii="Cambria Math" w:hAnsi="Cambria Math"/>
                  <w:noProof/>
                </w:rPr>
                <m:t>β</m:t>
              </m:r>
            </m:e>
            <m:sub>
              <m:r>
                <w:rPr>
                  <w:rFonts w:ascii="Cambria Math" w:hAnsi="Cambria Math"/>
                  <w:noProof/>
                </w:rPr>
                <m:t>3</m:t>
              </m:r>
            </m:sub>
          </m:sSub>
          <m:r>
            <w:rPr>
              <w:rFonts w:ascii="Cambria Math" w:hAnsi="Cambria Math"/>
              <w:noProof/>
            </w:rPr>
            <m:t xml:space="preserve"> </m:t>
          </m:r>
          <m:r>
            <w:rPr>
              <w:rFonts w:ascii="Cambria Math" w:hAnsi="Cambria Math"/>
              <w:noProof/>
            </w:rPr>
            <m:t>logB</m:t>
          </m:r>
          <m:sSub>
            <m:sSubPr>
              <m:ctrlPr>
                <w:rPr>
                  <w:rFonts w:ascii="Cambria Math" w:hAnsi="Cambria Math"/>
                  <w:i/>
                  <w:noProof/>
                </w:rPr>
              </m:ctrlPr>
            </m:sSubPr>
            <m:e>
              <m:r>
                <w:rPr>
                  <w:rFonts w:ascii="Cambria Math" w:hAnsi="Cambria Math"/>
                  <w:noProof/>
                </w:rPr>
                <m:t>B</m:t>
              </m:r>
            </m:e>
            <m:sub>
              <m:sSubSup>
                <m:sSubSupPr>
                  <m:ctrlPr>
                    <w:rPr>
                      <w:rFonts w:ascii="Cambria Math" w:hAnsi="Cambria Math"/>
                      <w:i/>
                      <w:noProof/>
                    </w:rPr>
                  </m:ctrlPr>
                </m:sSubSupPr>
                <m:e>
                  <m:r>
                    <w:rPr>
                      <w:rFonts w:ascii="Cambria Math" w:hAnsi="Cambria Math"/>
                      <w:noProof/>
                    </w:rPr>
                    <m:t>COV</m:t>
                  </m:r>
                </m:e>
                <m:sub>
                  <m:d>
                    <m:dPr>
                      <m:begChr m:val="{"/>
                      <m:endChr m:val="}"/>
                      <m:ctrlPr>
                        <w:rPr>
                          <w:rFonts w:ascii="Cambria Math" w:hAnsi="Cambria Math"/>
                          <w:i/>
                          <w:noProof/>
                        </w:rPr>
                      </m:ctrlPr>
                    </m:dPr>
                    <m:e>
                      <m:r>
                        <w:rPr>
                          <w:rFonts w:ascii="Cambria Math" w:hAnsi="Cambria Math"/>
                          <w:noProof/>
                        </w:rPr>
                        <m:t>it</m:t>
                      </m:r>
                    </m:e>
                  </m:d>
                </m:sub>
                <m:sup>
                  <m:d>
                    <m:dPr>
                      <m:begChr m:val="{"/>
                      <m:endChr m:val="}"/>
                      <m:ctrlPr>
                        <w:rPr>
                          <w:rFonts w:ascii="Cambria Math" w:hAnsi="Cambria Math"/>
                          <w:i/>
                          <w:noProof/>
                        </w:rPr>
                      </m:ctrlPr>
                    </m:dPr>
                    <m:e>
                      <m:r>
                        <w:rPr>
                          <w:rFonts w:ascii="Cambria Math" w:hAnsi="Cambria Math"/>
                          <w:noProof/>
                        </w:rPr>
                        <m:t>j</m:t>
                      </m:r>
                    </m:e>
                  </m:d>
                </m:sup>
              </m:sSubSup>
            </m:sub>
          </m:sSub>
          <m:r>
            <w:rPr>
              <w:rFonts w:ascii="Cambria Math" w:hAnsi="Cambria Math"/>
              <w:noProof/>
            </w:rPr>
            <m:t>+</m:t>
          </m:r>
          <m:sSub>
            <m:sSubPr>
              <m:ctrlPr>
                <w:rPr>
                  <w:rFonts w:ascii="Cambria Math" w:hAnsi="Cambria Math"/>
                  <w:i/>
                  <w:noProof/>
                </w:rPr>
              </m:ctrlPr>
            </m:sSubPr>
            <m:e>
              <m:r>
                <w:rPr>
                  <w:rFonts w:ascii="Cambria Math" w:hAnsi="Cambria Math"/>
                  <w:noProof/>
                </w:rPr>
                <m:t>β</m:t>
              </m:r>
            </m:e>
            <m:sub>
              <m:r>
                <w:rPr>
                  <w:rFonts w:ascii="Cambria Math" w:hAnsi="Cambria Math"/>
                  <w:noProof/>
                </w:rPr>
                <m:t>k</m:t>
              </m:r>
            </m:sub>
          </m:sSub>
          <m:r>
            <w:rPr>
              <w:rFonts w:ascii="Cambria Math" w:hAnsi="Cambria Math"/>
              <w:noProof/>
            </w:rPr>
            <m:t xml:space="preserve"> </m:t>
          </m:r>
          <m:r>
            <w:rPr>
              <w:rFonts w:ascii="Cambria Math" w:hAnsi="Cambria Math"/>
              <w:noProof/>
            </w:rPr>
            <m:t>logB</m:t>
          </m:r>
          <m:sSub>
            <m:sSubPr>
              <m:ctrlPr>
                <w:rPr>
                  <w:rFonts w:ascii="Cambria Math" w:hAnsi="Cambria Math"/>
                  <w:i/>
                  <w:noProof/>
                </w:rPr>
              </m:ctrlPr>
            </m:sSubPr>
            <m:e>
              <m:r>
                <w:rPr>
                  <w:rFonts w:ascii="Cambria Math" w:hAnsi="Cambria Math"/>
                  <w:noProof/>
                </w:rPr>
                <m:t>B</m:t>
              </m:r>
            </m:e>
            <m:sub>
              <m:sSubSup>
                <m:sSubSupPr>
                  <m:ctrlPr>
                    <w:rPr>
                      <w:rFonts w:ascii="Cambria Math" w:hAnsi="Cambria Math"/>
                      <w:i/>
                      <w:noProof/>
                    </w:rPr>
                  </m:ctrlPr>
                </m:sSubSupPr>
                <m:e>
                  <m:r>
                    <w:rPr>
                      <w:rFonts w:ascii="Cambria Math" w:hAnsi="Cambria Math"/>
                      <w:noProof/>
                    </w:rPr>
                    <m:t>ADOP</m:t>
                  </m:r>
                </m:e>
                <m:sub>
                  <m:d>
                    <m:dPr>
                      <m:begChr m:val="{"/>
                      <m:endChr m:val="}"/>
                      <m:ctrlPr>
                        <w:rPr>
                          <w:rFonts w:ascii="Cambria Math" w:hAnsi="Cambria Math"/>
                          <w:i/>
                          <w:noProof/>
                        </w:rPr>
                      </m:ctrlPr>
                    </m:dPr>
                    <m:e>
                      <m:r>
                        <w:rPr>
                          <w:rFonts w:ascii="Cambria Math" w:hAnsi="Cambria Math"/>
                          <w:noProof/>
                        </w:rPr>
                        <m:t>it</m:t>
                      </m:r>
                    </m:e>
                  </m:d>
                </m:sub>
                <m:sup>
                  <m:d>
                    <m:dPr>
                      <m:begChr m:val="{"/>
                      <m:endChr m:val="}"/>
                      <m:ctrlPr>
                        <w:rPr>
                          <w:rFonts w:ascii="Cambria Math" w:hAnsi="Cambria Math"/>
                          <w:i/>
                          <w:noProof/>
                        </w:rPr>
                      </m:ctrlPr>
                    </m:dPr>
                    <m:e>
                      <m:r>
                        <w:rPr>
                          <w:rFonts w:ascii="Cambria Math" w:hAnsi="Cambria Math"/>
                          <w:noProof/>
                        </w:rPr>
                        <m:t>k</m:t>
                      </m:r>
                    </m:e>
                  </m:d>
                </m:sup>
              </m:sSubSup>
            </m:sub>
          </m:sSub>
          <m:r>
            <w:rPr>
              <w:rFonts w:ascii="Cambria Math" w:hAnsi="Cambria Math"/>
              <w:noProof/>
            </w:rPr>
            <m:t>+</m:t>
          </m:r>
          <m:sSub>
            <m:sSubPr>
              <m:ctrlPr>
                <w:rPr>
                  <w:rFonts w:ascii="Cambria Math" w:hAnsi="Cambria Math"/>
                  <w:i/>
                  <w:noProof/>
                </w:rPr>
              </m:ctrlPr>
            </m:sSubPr>
            <m:e>
              <m:r>
                <w:rPr>
                  <w:rFonts w:ascii="Cambria Math" w:hAnsi="Cambria Math"/>
                  <w:noProof/>
                </w:rPr>
                <m:t>β</m:t>
              </m:r>
            </m:e>
            <m:sub>
              <m:r>
                <w:rPr>
                  <w:rFonts w:ascii="Cambria Math" w:hAnsi="Cambria Math"/>
                  <w:noProof/>
                </w:rPr>
                <m:t>h</m:t>
              </m:r>
            </m:sub>
          </m:sSub>
          <m:func>
            <m:funcPr>
              <m:ctrlPr>
                <w:rPr>
                  <w:rFonts w:ascii="Cambria Math" w:hAnsi="Cambria Math"/>
                  <w:noProof/>
                </w:rPr>
              </m:ctrlPr>
            </m:funcPr>
            <m:fName>
              <m:r>
                <m:rPr>
                  <m:sty m:val="p"/>
                </m:rPr>
                <w:rPr>
                  <w:rFonts w:ascii="Cambria Math" w:hAnsi="Cambria Math"/>
                  <w:noProof/>
                </w:rPr>
                <m:t>log</m:t>
              </m:r>
            </m:fName>
            <m:e>
              <m:r>
                <w:rPr>
                  <w:rFonts w:ascii="Cambria Math" w:hAnsi="Cambria Math"/>
                  <w:noProof/>
                </w:rPr>
                <m:t>EDU</m:t>
              </m:r>
              <m:sSubSup>
                <m:sSubSupPr>
                  <m:ctrlPr>
                    <w:rPr>
                      <w:rFonts w:ascii="Cambria Math" w:hAnsi="Cambria Math"/>
                      <w:i/>
                      <w:noProof/>
                    </w:rPr>
                  </m:ctrlPr>
                </m:sSubSupPr>
                <m:e>
                  <m:r>
                    <w:rPr>
                      <w:rFonts w:ascii="Cambria Math" w:hAnsi="Cambria Math"/>
                      <w:noProof/>
                    </w:rPr>
                    <m:t>C</m:t>
                  </m:r>
                </m:e>
                <m:sub>
                  <m:d>
                    <m:dPr>
                      <m:begChr m:val="{"/>
                      <m:endChr m:val="}"/>
                      <m:ctrlPr>
                        <w:rPr>
                          <w:rFonts w:ascii="Cambria Math" w:hAnsi="Cambria Math"/>
                          <w:i/>
                          <w:noProof/>
                        </w:rPr>
                      </m:ctrlPr>
                    </m:dPr>
                    <m:e>
                      <m:r>
                        <w:rPr>
                          <w:rFonts w:ascii="Cambria Math" w:hAnsi="Cambria Math"/>
                          <w:noProof/>
                        </w:rPr>
                        <m:t>it</m:t>
                      </m:r>
                    </m:e>
                  </m:d>
                </m:sub>
                <m:sup>
                  <m:d>
                    <m:dPr>
                      <m:begChr m:val="{"/>
                      <m:endChr m:val="}"/>
                      <m:ctrlPr>
                        <w:rPr>
                          <w:rFonts w:ascii="Cambria Math" w:hAnsi="Cambria Math"/>
                          <w:i/>
                          <w:noProof/>
                        </w:rPr>
                      </m:ctrlPr>
                    </m:dPr>
                    <m:e>
                      <m:r>
                        <w:rPr>
                          <w:rFonts w:ascii="Cambria Math" w:hAnsi="Cambria Math"/>
                          <w:noProof/>
                        </w:rPr>
                        <m:t>h</m:t>
                      </m:r>
                    </m:e>
                  </m:d>
                </m:sup>
              </m:sSubSup>
            </m:e>
          </m:func>
          <m:r>
            <w:rPr>
              <w:rFonts w:ascii="Cambria Math" w:hAnsi="Cambria Math"/>
              <w:noProof/>
            </w:rPr>
            <m:t xml:space="preserve">+ </m:t>
          </m:r>
          <m:sSub>
            <m:sSubPr>
              <m:ctrlPr>
                <w:rPr>
                  <w:rFonts w:ascii="Cambria Math" w:hAnsi="Cambria Math"/>
                  <w:i/>
                  <w:noProof/>
                </w:rPr>
              </m:ctrlPr>
            </m:sSubPr>
            <m:e>
              <m:r>
                <w:rPr>
                  <w:rFonts w:ascii="Cambria Math" w:hAnsi="Cambria Math"/>
                  <w:noProof/>
                </w:rPr>
                <m:t>β</m:t>
              </m:r>
            </m:e>
            <m:sub>
              <m:r>
                <w:rPr>
                  <w:rFonts w:ascii="Cambria Math" w:hAnsi="Cambria Math"/>
                  <w:noProof/>
                </w:rPr>
                <m:t>4</m:t>
              </m:r>
            </m:sub>
          </m:sSub>
          <m:r>
            <w:rPr>
              <w:rFonts w:ascii="Cambria Math" w:hAnsi="Cambria Math"/>
              <w:noProof/>
            </w:rPr>
            <m:t xml:space="preserve"> </m:t>
          </m:r>
          <m:r>
            <w:rPr>
              <w:rFonts w:ascii="Cambria Math" w:hAnsi="Cambria Math"/>
              <w:noProof/>
            </w:rPr>
            <m:t>years</m:t>
          </m:r>
          <m:r>
            <w:rPr>
              <w:rFonts w:ascii="Cambria Math" w:hAnsi="Cambria Math"/>
              <w:noProof/>
            </w:rPr>
            <m:t>_</m:t>
          </m:r>
          <m:sSubSup>
            <m:sSubSupPr>
              <m:ctrlPr>
                <w:rPr>
                  <w:rFonts w:ascii="Cambria Math" w:hAnsi="Cambria Math"/>
                  <w:i/>
                  <w:noProof/>
                </w:rPr>
              </m:ctrlPr>
            </m:sSubSupPr>
            <m:e>
              <m:r>
                <w:rPr>
                  <w:rFonts w:ascii="Cambria Math" w:hAnsi="Cambria Math"/>
                  <w:noProof/>
                </w:rPr>
                <m:t>adop</m:t>
              </m:r>
            </m:e>
            <m:sub>
              <m:d>
                <m:dPr>
                  <m:begChr m:val="{"/>
                  <m:endChr m:val="}"/>
                  <m:ctrlPr>
                    <w:rPr>
                      <w:rFonts w:ascii="Cambria Math" w:hAnsi="Cambria Math"/>
                      <w:i/>
                      <w:noProof/>
                    </w:rPr>
                  </m:ctrlPr>
                </m:dPr>
                <m:e>
                  <m:r>
                    <w:rPr>
                      <w:rFonts w:ascii="Cambria Math" w:hAnsi="Cambria Math"/>
                      <w:noProof/>
                    </w:rPr>
                    <m:t>it</m:t>
                  </m:r>
                </m:e>
              </m:d>
            </m:sub>
            <m:sup>
              <m:d>
                <m:dPr>
                  <m:begChr m:val="{"/>
                  <m:endChr m:val="}"/>
                  <m:ctrlPr>
                    <w:rPr>
                      <w:rFonts w:ascii="Cambria Math" w:hAnsi="Cambria Math"/>
                      <w:i/>
                      <w:noProof/>
                    </w:rPr>
                  </m:ctrlPr>
                </m:dPr>
                <m:e>
                  <m:r>
                    <w:rPr>
                      <w:rFonts w:ascii="Cambria Math" w:hAnsi="Cambria Math"/>
                      <w:noProof/>
                    </w:rPr>
                    <m:t>k</m:t>
                  </m:r>
                </m:e>
              </m:d>
            </m:sup>
          </m:sSubSup>
          <m:r>
            <w:rPr>
              <w:rFonts w:ascii="Cambria Math" w:hAnsi="Cambria Math"/>
              <w:noProof/>
            </w:rPr>
            <m:t xml:space="preserve">+ </m:t>
          </m:r>
          <m:sSub>
            <m:sSubPr>
              <m:ctrlPr>
                <w:rPr>
                  <w:rFonts w:ascii="Cambria Math" w:hAnsi="Cambria Math"/>
                  <w:i/>
                  <w:noProof/>
                </w:rPr>
              </m:ctrlPr>
            </m:sSubPr>
            <m:e>
              <m:r>
                <w:rPr>
                  <w:rFonts w:ascii="Cambria Math" w:hAnsi="Cambria Math"/>
                  <w:noProof/>
                </w:rPr>
                <m:t>α</m:t>
              </m:r>
            </m:e>
            <m:sub>
              <m:r>
                <w:rPr>
                  <w:rFonts w:ascii="Cambria Math" w:hAnsi="Cambria Math"/>
                  <w:noProof/>
                </w:rPr>
                <m:t>i</m:t>
              </m:r>
            </m:sub>
          </m:sSub>
          <m:r>
            <w:rPr>
              <w:rFonts w:ascii="Cambria Math" w:hAnsi="Cambria Math"/>
              <w:noProof/>
            </w:rPr>
            <m:t xml:space="preserve">+ </m:t>
          </m:r>
          <m:sSub>
            <m:sSubPr>
              <m:ctrlPr>
                <w:rPr>
                  <w:rFonts w:ascii="Cambria Math" w:hAnsi="Cambria Math"/>
                  <w:i/>
                  <w:noProof/>
                </w:rPr>
              </m:ctrlPr>
            </m:sSubPr>
            <m:e>
              <m:r>
                <w:rPr>
                  <w:rFonts w:ascii="Cambria Math" w:hAnsi="Cambria Math"/>
                  <w:noProof/>
                </w:rPr>
                <m:t>α</m:t>
              </m:r>
            </m:e>
            <m:sub>
              <m:r>
                <w:rPr>
                  <w:rFonts w:ascii="Cambria Math" w:hAnsi="Cambria Math"/>
                  <w:noProof/>
                </w:rPr>
                <m:t>t</m:t>
              </m:r>
            </m:sub>
          </m:sSub>
          <m:r>
            <w:rPr>
              <w:rFonts w:ascii="Cambria Math" w:hAnsi="Cambria Math"/>
              <w:noProof/>
            </w:rPr>
            <m:t xml:space="preserve">+ </m:t>
          </m:r>
          <m:sSub>
            <m:sSubPr>
              <m:ctrlPr>
                <w:rPr>
                  <w:rFonts w:ascii="Cambria Math" w:hAnsi="Cambria Math"/>
                  <w:i/>
                  <w:noProof/>
                </w:rPr>
              </m:ctrlPr>
            </m:sSubPr>
            <m:e>
              <m:r>
                <w:rPr>
                  <w:rFonts w:ascii="Cambria Math" w:hAnsi="Cambria Math"/>
                  <w:noProof/>
                </w:rPr>
                <m:t>ε</m:t>
              </m:r>
            </m:e>
            <m:sub>
              <m:d>
                <m:dPr>
                  <m:begChr m:val="{"/>
                  <m:endChr m:val="}"/>
                  <m:ctrlPr>
                    <w:rPr>
                      <w:rFonts w:ascii="Cambria Math" w:hAnsi="Cambria Math"/>
                      <w:i/>
                      <w:noProof/>
                    </w:rPr>
                  </m:ctrlPr>
                </m:dPr>
                <m:e>
                  <m:r>
                    <w:rPr>
                      <w:rFonts w:ascii="Cambria Math" w:hAnsi="Cambria Math"/>
                      <w:noProof/>
                    </w:rPr>
                    <m:t>it</m:t>
                  </m:r>
                </m:e>
              </m:d>
            </m:sub>
          </m:sSub>
        </m:oMath>
      </m:oMathPara>
    </w:p>
    <w:p w14:paraId="024E0362" w14:textId="77777777" w:rsidR="00C778BA" w:rsidRPr="00D86314" w:rsidRDefault="001C5567" w:rsidP="00C778BA">
      <w:pPr>
        <w:rPr>
          <w:noProof/>
        </w:rPr>
      </w:pPr>
      <m:oMath>
        <m:r>
          <w:rPr>
            <w:rFonts w:ascii="Cambria Math" w:hAnsi="Cambria Math"/>
            <w:noProof/>
          </w:rPr>
          <m:t>BB_</m:t>
        </m:r>
        <m:sSubSup>
          <m:sSubSupPr>
            <m:ctrlPr>
              <w:rPr>
                <w:rFonts w:ascii="Cambria Math" w:hAnsi="Cambria Math"/>
                <w:i/>
                <w:noProof/>
              </w:rPr>
            </m:ctrlPr>
          </m:sSubSupPr>
          <m:e>
            <m:r>
              <w:rPr>
                <w:rFonts w:ascii="Cambria Math" w:hAnsi="Cambria Math"/>
                <w:noProof/>
              </w:rPr>
              <m:t>ADOP</m:t>
            </m:r>
          </m:e>
          <m:sub>
            <m:d>
              <m:dPr>
                <m:begChr m:val="{"/>
                <m:endChr m:val="}"/>
                <m:ctrlPr>
                  <w:rPr>
                    <w:rFonts w:ascii="Cambria Math" w:hAnsi="Cambria Math"/>
                    <w:i/>
                    <w:noProof/>
                  </w:rPr>
                </m:ctrlPr>
              </m:dPr>
              <m:e>
                <m:r>
                  <w:rPr>
                    <w:rFonts w:ascii="Cambria Math" w:hAnsi="Cambria Math"/>
                    <w:noProof/>
                  </w:rPr>
                  <m:t>it</m:t>
                </m:r>
              </m:e>
            </m:d>
          </m:sub>
          <m:sup>
            <m:d>
              <m:dPr>
                <m:begChr m:val="{"/>
                <m:endChr m:val="}"/>
                <m:ctrlPr>
                  <w:rPr>
                    <w:rFonts w:ascii="Cambria Math" w:hAnsi="Cambria Math"/>
                    <w:i/>
                    <w:noProof/>
                  </w:rPr>
                </m:ctrlPr>
              </m:dPr>
              <m:e>
                <m:r>
                  <w:rPr>
                    <w:rFonts w:ascii="Cambria Math" w:hAnsi="Cambria Math"/>
                    <w:noProof/>
                  </w:rPr>
                  <m:t>k</m:t>
                </m:r>
              </m:e>
            </m:d>
          </m:sup>
        </m:sSubSup>
      </m:oMath>
      <w:r w:rsidR="00C778BA" w:rsidRPr="00D86314">
        <w:rPr>
          <w:noProof/>
        </w:rPr>
        <w:t xml:space="preserve"> is the aggregated number of customers that adopt new broadband connections. </w:t>
      </w:r>
      <m:oMath>
        <m:sSub>
          <m:sSubPr>
            <m:ctrlPr>
              <w:rPr>
                <w:rFonts w:ascii="Cambria Math" w:hAnsi="Cambria Math"/>
                <w:i/>
                <w:noProof/>
              </w:rPr>
            </m:ctrlPr>
          </m:sSubPr>
          <m:e>
            <m:r>
              <w:rPr>
                <w:rFonts w:ascii="Cambria Math" w:hAnsi="Cambria Math"/>
                <w:noProof/>
              </w:rPr>
              <m:t>β</m:t>
            </m:r>
          </m:e>
          <m:sub>
            <m:r>
              <w:rPr>
                <w:rFonts w:ascii="Cambria Math" w:hAnsi="Cambria Math"/>
                <w:noProof/>
              </w:rPr>
              <m:t>k</m:t>
            </m:r>
          </m:sub>
        </m:sSub>
      </m:oMath>
      <w:r w:rsidR="00C778BA" w:rsidRPr="00D86314">
        <w:rPr>
          <w:noProof/>
        </w:rPr>
        <w:t xml:space="preserve"> estimates the percentage change in the increase of GDP per capita when mobile broadband adoption increases by 1 percent. The estimate of 0.084% corresponds closely to Edquist et al. (2018), that find an elasticity of 0.08%.</w:t>
      </w:r>
    </w:p>
    <w:p w14:paraId="1CA1DA5F" w14:textId="77777777" w:rsidR="00C778BA" w:rsidRPr="00D86314" w:rsidRDefault="00C778BA" w:rsidP="00C778BA">
      <w:pPr>
        <w:rPr>
          <w:noProof/>
        </w:rPr>
      </w:pPr>
      <w:r w:rsidRPr="00D86314">
        <w:rPr>
          <w:noProof/>
        </w:rPr>
        <w:t xml:space="preserve">As the study focuses on the </w:t>
      </w:r>
      <w:r w:rsidRPr="00D86314">
        <w:rPr>
          <w:i/>
          <w:noProof/>
        </w:rPr>
        <w:t>adoption</w:t>
      </w:r>
      <w:r w:rsidRPr="00D86314">
        <w:rPr>
          <w:noProof/>
        </w:rPr>
        <w:t xml:space="preserve"> (and not merely coverage) of mobile broadband during a period when the then new generation technology 4G was deployed, it implicitly reflects the impact of increasing mobile broadband capabilities on GDP. As the considered policy options are not likely to significantly affect standard 5G (including NSA) coverage (which is near universal) or 5G uptake (which is currently limited inter alia by the devices in use), assessment of the impacts focused on the degree to which the options are likely to improve mobile broadband quality, as measured by increases in speed. </w:t>
      </w:r>
    </w:p>
    <w:p w14:paraId="54780512" w14:textId="0DDCE8B9" w:rsidR="00C778BA" w:rsidRPr="00C20A01" w:rsidRDefault="00C778BA" w:rsidP="004B0720">
      <w:pPr>
        <w:pStyle w:val="bullettext"/>
        <w:numPr>
          <w:ilvl w:val="0"/>
          <w:numId w:val="0"/>
        </w:numPr>
        <w:spacing w:after="240"/>
        <w:rPr>
          <w:rFonts w:ascii="Times New Roman" w:eastAsia="Arial" w:hAnsi="Times New Roman"/>
          <w:sz w:val="24"/>
        </w:rPr>
      </w:pPr>
      <w:r w:rsidRPr="00C20A01">
        <w:rPr>
          <w:rFonts w:ascii="Times New Roman" w:hAnsi="Times New Roman"/>
          <w:sz w:val="24"/>
        </w:rPr>
        <w:t>This would reflect findings from other studies that link economic benefits to the deployment of new generation (more performant) mobile technologies. For example, Oxford Economics (2023)</w:t>
      </w:r>
      <w:r w:rsidRPr="00C20A01">
        <w:rPr>
          <w:rStyle w:val="FootnoteReference"/>
          <w:rFonts w:ascii="Times New Roman" w:hAnsi="Times New Roman"/>
          <w:sz w:val="24"/>
        </w:rPr>
        <w:footnoteReference w:id="119"/>
      </w:r>
      <w:r w:rsidRPr="00C20A01">
        <w:rPr>
          <w:rFonts w:ascii="Times New Roman" w:hAnsi="Times New Roman"/>
          <w:sz w:val="24"/>
        </w:rPr>
        <w:t xml:space="preserve"> estimates that mid-band deployment and mmWave spectrum with 5G technologies could contribute </w:t>
      </w:r>
      <w:r w:rsidR="005D60AB" w:rsidRPr="00C20A01">
        <w:rPr>
          <w:rFonts w:ascii="Times New Roman" w:hAnsi="Times New Roman"/>
          <w:sz w:val="24"/>
        </w:rPr>
        <w:t>USD </w:t>
      </w:r>
      <w:r w:rsidRPr="00C20A01">
        <w:rPr>
          <w:rFonts w:ascii="Times New Roman" w:hAnsi="Times New Roman"/>
          <w:sz w:val="24"/>
        </w:rPr>
        <w:t>2.1 trillion (1.7 %) to global GDP until 2030. The inference that the influence of mobile broadband adoption of more recent generations affects GDP via improvements in broadband quality is supported by a study by Edquist (2021),</w:t>
      </w:r>
      <w:r w:rsidRPr="00C20A01">
        <w:rPr>
          <w:rStyle w:val="FootnoteReference"/>
          <w:rFonts w:ascii="Times New Roman" w:hAnsi="Times New Roman"/>
          <w:sz w:val="24"/>
        </w:rPr>
        <w:footnoteReference w:id="120"/>
      </w:r>
      <w:r w:rsidRPr="00C20A01">
        <w:rPr>
          <w:rFonts w:ascii="Times New Roman" w:hAnsi="Times New Roman"/>
          <w:sz w:val="24"/>
        </w:rPr>
        <w:t xml:space="preserve"> which aimed to investigate the </w:t>
      </w:r>
      <w:r w:rsidRPr="00C20A01">
        <w:rPr>
          <w:rFonts w:ascii="Times New Roman" w:hAnsi="Times New Roman"/>
          <w:b/>
          <w:sz w:val="24"/>
        </w:rPr>
        <w:t>association between mobile broadband speed and labour productivity</w:t>
      </w:r>
      <w:r w:rsidRPr="00C20A01">
        <w:rPr>
          <w:rFonts w:ascii="Times New Roman" w:hAnsi="Times New Roman"/>
          <w:sz w:val="24"/>
        </w:rPr>
        <w:t xml:space="preserve"> by building panel data of 116 countries over 2014–2019. Their results suggest a significant and robust effect when an one-year lag of mobile broadband speed is introduced. Their modelling suggests </w:t>
      </w:r>
      <w:r w:rsidRPr="00C20A01" w:rsidDel="004E2C38">
        <w:rPr>
          <w:rFonts w:ascii="Times New Roman" w:hAnsi="Times New Roman"/>
          <w:sz w:val="24"/>
        </w:rPr>
        <w:t xml:space="preserve">that </w:t>
      </w:r>
      <w:r w:rsidRPr="00C20A01">
        <w:rPr>
          <w:rFonts w:ascii="Times New Roman" w:hAnsi="Times New Roman"/>
          <w:sz w:val="24"/>
        </w:rPr>
        <w:t>a 10% increase in mobile broadband speed in a given period is associated with a 0.2% increase in productivity in the following period.</w:t>
      </w:r>
    </w:p>
    <w:p w14:paraId="1B6753D4" w14:textId="28401A3E" w:rsidR="00C778BA" w:rsidRPr="00D86314" w:rsidRDefault="00C778BA" w:rsidP="00C778BA">
      <w:pPr>
        <w:rPr>
          <w:noProof/>
        </w:rPr>
      </w:pPr>
      <w:r w:rsidRPr="00D86314">
        <w:rPr>
          <w:noProof/>
        </w:rPr>
        <w:t>Forecasted increases in broadband speeds resulting from the different options were converted to GDP impacts based on the estimate from Briglauer et al./EcoAustria (2025) noted above. Calculations were made for each year between 2024 until 2035. The results are presented in the main report. The resulting forecasts are consistent with other findings in the literature. For instance, with predictions by Oxford Economics</w:t>
      </w:r>
      <w:r w:rsidRPr="00D86314">
        <w:rPr>
          <w:rStyle w:val="FootnoteReference"/>
          <w:noProof/>
        </w:rPr>
        <w:footnoteReference w:id="121"/>
      </w:r>
      <w:r w:rsidRPr="00D86314">
        <w:rPr>
          <w:noProof/>
        </w:rPr>
        <w:t xml:space="preserve"> or PwC.</w:t>
      </w:r>
      <w:r w:rsidRPr="00D86314">
        <w:rPr>
          <w:rStyle w:val="FootnoteReference"/>
          <w:noProof/>
        </w:rPr>
        <w:footnoteReference w:id="122"/>
      </w:r>
    </w:p>
    <w:p w14:paraId="6607A45C" w14:textId="2E8EC9B4" w:rsidR="00C778BA" w:rsidRPr="00D86314" w:rsidRDefault="00C778BA" w:rsidP="00C778BA">
      <w:pPr>
        <w:rPr>
          <w:noProof/>
        </w:rPr>
      </w:pPr>
      <w:r w:rsidRPr="00D86314">
        <w:rPr>
          <w:noProof/>
        </w:rPr>
        <w:t>While estimates have assumed a linear relationship between improvements in mobile broadband speed and GDP, there are uncertainties around this assumption. The panel data used by the authors covers the 4G era. Therefore, the estimate does not include improvements relating to the use of verticals and latency. It is unclear how the estimate would change in the 5G era. Therefore, the estimate should be viewed conservatively.</w:t>
      </w:r>
      <w:r w:rsidR="00761445" w:rsidRPr="00D86314">
        <w:rPr>
          <w:rStyle w:val="FootnoteReference"/>
          <w:noProof/>
        </w:rPr>
        <w:footnoteReference w:id="123"/>
      </w:r>
      <w:r w:rsidRPr="00D86314">
        <w:rPr>
          <w:noProof/>
        </w:rPr>
        <w:t xml:space="preserve"> The model does not account for spillover effects on different sectors of the economy. These 5G-specific effects have not been included in the calculations due to significant uncertainty surrounding the measurement of the impact of technologies for which there is limited empirical evidence. Nevertheless, these spillover effects could provide an additional upside to the effects outlined in the study. </w:t>
      </w:r>
      <w:r w:rsidRPr="00D86314">
        <w:rPr>
          <w:rStyle w:val="FootnoteReference"/>
          <w:noProof/>
        </w:rPr>
        <w:footnoteReference w:id="124"/>
      </w:r>
    </w:p>
    <w:p w14:paraId="4E394E0A" w14:textId="77777777" w:rsidR="00C778BA" w:rsidRPr="00D86314" w:rsidRDefault="00C778BA" w:rsidP="00C778BA">
      <w:pPr>
        <w:rPr>
          <w:noProof/>
        </w:rPr>
      </w:pPr>
      <w:r w:rsidRPr="00D86314">
        <w:rPr>
          <w:noProof/>
        </w:rPr>
        <w:t>To account for potential uncertainties, a sensitivity analysis is conducted that relies on varying estimates (0.01 % to 0.113 %). The lower bound is taken into consideration to account for multiple uncertainties. These are for example that the study period of Briglauer et al. (2025) ends in 2019 and does not account for speed increases due to 5G or the fact that the estimate only accounts for adoption of mobile broadband but not directly estimates speed increases. The upper bound (0.113 %) is the higher coefficient estimated by Briglauer et al. (2025). This can be seen as more upside potential from increased 5G mobile broadband speeds.</w:t>
      </w:r>
    </w:p>
    <w:p w14:paraId="0773AFB3" w14:textId="6991C126" w:rsidR="00C778BA" w:rsidRPr="00D86314" w:rsidRDefault="00C778BA" w:rsidP="00C778BA">
      <w:pPr>
        <w:pStyle w:val="Tabberschrift"/>
        <w:rPr>
          <w:rFonts w:ascii="Times New Roman" w:hAnsi="Times New Roman"/>
          <w:noProof/>
        </w:rPr>
      </w:pPr>
      <w:bookmarkStart w:id="157" w:name="_Toc209527848"/>
      <w:bookmarkStart w:id="158" w:name="_Toc213947064"/>
      <w:r w:rsidRPr="00D86314">
        <w:rPr>
          <w:rFonts w:ascii="Times New Roman" w:hAnsi="Times New Roman"/>
          <w:noProof/>
        </w:rPr>
        <w:t xml:space="preserve">Table </w:t>
      </w:r>
      <w:r w:rsidR="003E68CC" w:rsidRPr="00D86314">
        <w:rPr>
          <w:rFonts w:ascii="Times New Roman" w:hAnsi="Times New Roman"/>
          <w:noProof/>
        </w:rPr>
        <w:t>A4 2</w:t>
      </w:r>
      <w:r w:rsidRPr="00D86314">
        <w:rPr>
          <w:rFonts w:ascii="Times New Roman" w:hAnsi="Times New Roman"/>
          <w:noProof/>
        </w:rPr>
        <w:noBreakHyphen/>
      </w:r>
      <w:r w:rsidRPr="00D86314">
        <w:rPr>
          <w:rFonts w:ascii="Times New Roman" w:hAnsi="Times New Roman"/>
          <w:noProof/>
        </w:rPr>
        <w:fldChar w:fldCharType="begin"/>
      </w:r>
      <w:r w:rsidRPr="00D86314">
        <w:rPr>
          <w:rFonts w:ascii="Times New Roman" w:hAnsi="Times New Roman"/>
          <w:noProof/>
        </w:rPr>
        <w:instrText xml:space="preserve"> SEQ Table \* ARABIC \s 1 </w:instrText>
      </w:r>
      <w:r w:rsidRPr="00D86314">
        <w:rPr>
          <w:rFonts w:ascii="Times New Roman" w:hAnsi="Times New Roman"/>
          <w:noProof/>
        </w:rPr>
        <w:fldChar w:fldCharType="separate"/>
      </w:r>
      <w:r w:rsidR="00870CA9" w:rsidRPr="00C20A01">
        <w:rPr>
          <w:rFonts w:ascii="Times New Roman" w:hAnsi="Times New Roman"/>
          <w:noProof/>
        </w:rPr>
        <w:t>5</w:t>
      </w:r>
      <w:r w:rsidRPr="00D86314">
        <w:rPr>
          <w:rFonts w:ascii="Times New Roman" w:hAnsi="Times New Roman"/>
          <w:noProof/>
        </w:rPr>
        <w:fldChar w:fldCharType="end"/>
      </w:r>
      <w:r w:rsidRPr="00D86314">
        <w:rPr>
          <w:rFonts w:ascii="Times New Roman" w:hAnsi="Times New Roman"/>
          <w:noProof/>
        </w:rPr>
        <w:t>:</w:t>
      </w:r>
      <w:r w:rsidRPr="00D86314">
        <w:rPr>
          <w:rFonts w:ascii="Times New Roman" w:hAnsi="Times New Roman"/>
          <w:noProof/>
        </w:rPr>
        <w:tab/>
      </w:r>
      <w:bookmarkEnd w:id="157"/>
      <w:r w:rsidRPr="00D86314">
        <w:rPr>
          <w:rFonts w:ascii="Times New Roman" w:hAnsi="Times New Roman"/>
          <w:noProof/>
        </w:rPr>
        <w:t xml:space="preserve">Sensitivity analysis: Cumulative 5G impact on GDP 2025-2035 (in billion </w:t>
      </w:r>
      <w:r w:rsidR="008B3EF4" w:rsidRPr="00D86314">
        <w:rPr>
          <w:rFonts w:ascii="Times New Roman" w:hAnsi="Times New Roman"/>
          <w:noProof/>
        </w:rPr>
        <w:t>EUR</w:t>
      </w:r>
      <w:r w:rsidRPr="00D86314">
        <w:rPr>
          <w:rFonts w:ascii="Times New Roman" w:hAnsi="Times New Roman"/>
          <w:noProof/>
        </w:rPr>
        <w:t>)</w:t>
      </w:r>
      <w:bookmarkEnd w:id="158"/>
    </w:p>
    <w:tbl>
      <w:tblPr>
        <w:tblStyle w:val="TableGridLight"/>
        <w:tblW w:w="3571" w:type="pct"/>
        <w:tblLayout w:type="fixed"/>
        <w:tblLook w:val="04A0" w:firstRow="1" w:lastRow="0" w:firstColumn="1" w:lastColumn="0" w:noHBand="0" w:noVBand="1"/>
      </w:tblPr>
      <w:tblGrid>
        <w:gridCol w:w="1374"/>
        <w:gridCol w:w="1373"/>
        <w:gridCol w:w="1373"/>
        <w:gridCol w:w="1373"/>
        <w:gridCol w:w="1372"/>
      </w:tblGrid>
      <w:tr w:rsidR="00C778BA" w:rsidRPr="00D86314" w14:paraId="6BCCBB86" w14:textId="77777777" w:rsidTr="007736E8">
        <w:trPr>
          <w:trHeight w:val="288"/>
        </w:trPr>
        <w:tc>
          <w:tcPr>
            <w:tcW w:w="1001" w:type="pct"/>
            <w:shd w:val="clear" w:color="auto" w:fill="0C4DA2"/>
          </w:tcPr>
          <w:p w14:paraId="7C28263D" w14:textId="77777777" w:rsidR="00C778BA" w:rsidRPr="00D86314" w:rsidRDefault="00C778BA" w:rsidP="007736E8">
            <w:pPr>
              <w:spacing w:before="40" w:after="40"/>
              <w:rPr>
                <w:noProof/>
                <w:color w:val="FFFFFF" w:themeColor="background1"/>
                <w:sz w:val="18"/>
                <w:szCs w:val="18"/>
              </w:rPr>
            </w:pPr>
            <w:r w:rsidRPr="00D86314">
              <w:rPr>
                <w:noProof/>
                <w:color w:val="FFFFFF" w:themeColor="background1"/>
                <w:sz w:val="18"/>
                <w:szCs w:val="18"/>
              </w:rPr>
              <w:t>Scenario</w:t>
            </w:r>
          </w:p>
        </w:tc>
        <w:tc>
          <w:tcPr>
            <w:tcW w:w="1000" w:type="pct"/>
            <w:shd w:val="clear" w:color="auto" w:fill="0C4DA2"/>
            <w:hideMark/>
          </w:tcPr>
          <w:p w14:paraId="2B4FE58D" w14:textId="77777777" w:rsidR="00C778BA" w:rsidRPr="00D86314" w:rsidRDefault="00C778BA" w:rsidP="007736E8">
            <w:pPr>
              <w:spacing w:before="40" w:after="40"/>
              <w:jc w:val="center"/>
              <w:rPr>
                <w:noProof/>
                <w:color w:val="FFFFFF" w:themeColor="background1"/>
                <w:sz w:val="18"/>
                <w:szCs w:val="18"/>
              </w:rPr>
            </w:pPr>
            <w:r w:rsidRPr="00D86314">
              <w:rPr>
                <w:noProof/>
                <w:color w:val="FFFFFF" w:themeColor="background1"/>
                <w:sz w:val="18"/>
                <w:szCs w:val="18"/>
              </w:rPr>
              <w:t>Option 0</w:t>
            </w:r>
          </w:p>
        </w:tc>
        <w:tc>
          <w:tcPr>
            <w:tcW w:w="1000" w:type="pct"/>
            <w:shd w:val="clear" w:color="auto" w:fill="0C4DA2"/>
            <w:hideMark/>
          </w:tcPr>
          <w:p w14:paraId="33262193" w14:textId="77777777" w:rsidR="00C778BA" w:rsidRPr="00D86314" w:rsidRDefault="00C778BA" w:rsidP="007736E8">
            <w:pPr>
              <w:spacing w:before="40" w:after="40"/>
              <w:jc w:val="center"/>
              <w:rPr>
                <w:noProof/>
                <w:color w:val="FFFFFF" w:themeColor="background1"/>
                <w:sz w:val="18"/>
                <w:szCs w:val="18"/>
              </w:rPr>
            </w:pPr>
            <w:r w:rsidRPr="00D86314">
              <w:rPr>
                <w:noProof/>
                <w:color w:val="FFFFFF" w:themeColor="background1"/>
                <w:sz w:val="18"/>
                <w:szCs w:val="18"/>
              </w:rPr>
              <w:t>Option 1</w:t>
            </w:r>
          </w:p>
        </w:tc>
        <w:tc>
          <w:tcPr>
            <w:tcW w:w="1000" w:type="pct"/>
            <w:shd w:val="clear" w:color="auto" w:fill="0C4DA2"/>
          </w:tcPr>
          <w:p w14:paraId="58E2C597" w14:textId="77777777" w:rsidR="00C778BA" w:rsidRPr="00D86314" w:rsidRDefault="00C778BA" w:rsidP="007736E8">
            <w:pPr>
              <w:spacing w:before="40" w:after="40"/>
              <w:jc w:val="center"/>
              <w:rPr>
                <w:noProof/>
                <w:color w:val="FFFFFF" w:themeColor="background1"/>
                <w:sz w:val="18"/>
                <w:szCs w:val="18"/>
              </w:rPr>
            </w:pPr>
            <w:r w:rsidRPr="00D86314">
              <w:rPr>
                <w:noProof/>
                <w:color w:val="FFFFFF" w:themeColor="background1"/>
                <w:sz w:val="18"/>
                <w:szCs w:val="18"/>
              </w:rPr>
              <w:t>Option 2</w:t>
            </w:r>
          </w:p>
        </w:tc>
        <w:tc>
          <w:tcPr>
            <w:tcW w:w="999" w:type="pct"/>
            <w:shd w:val="clear" w:color="auto" w:fill="0C4DA2"/>
            <w:hideMark/>
          </w:tcPr>
          <w:p w14:paraId="0EC30CBF" w14:textId="77777777" w:rsidR="00C778BA" w:rsidRPr="00D86314" w:rsidRDefault="00C778BA" w:rsidP="007736E8">
            <w:pPr>
              <w:spacing w:before="40" w:after="40"/>
              <w:jc w:val="center"/>
              <w:rPr>
                <w:noProof/>
                <w:color w:val="FFFFFF" w:themeColor="background1"/>
                <w:sz w:val="18"/>
                <w:szCs w:val="18"/>
              </w:rPr>
            </w:pPr>
            <w:r w:rsidRPr="00D86314">
              <w:rPr>
                <w:noProof/>
                <w:color w:val="FFFFFF" w:themeColor="background1"/>
                <w:sz w:val="18"/>
                <w:szCs w:val="18"/>
              </w:rPr>
              <w:t>Option 3</w:t>
            </w:r>
          </w:p>
        </w:tc>
      </w:tr>
      <w:tr w:rsidR="00C778BA" w:rsidRPr="00D86314" w14:paraId="3D08744E" w14:textId="77777777" w:rsidTr="007736E8">
        <w:trPr>
          <w:trHeight w:val="288"/>
        </w:trPr>
        <w:tc>
          <w:tcPr>
            <w:tcW w:w="1001" w:type="pct"/>
          </w:tcPr>
          <w:p w14:paraId="2842F01A" w14:textId="77777777" w:rsidR="00C778BA" w:rsidRPr="00D86314" w:rsidRDefault="00C778BA" w:rsidP="007736E8">
            <w:pPr>
              <w:spacing w:before="40" w:after="40"/>
              <w:rPr>
                <w:noProof/>
                <w:sz w:val="18"/>
                <w:szCs w:val="18"/>
              </w:rPr>
            </w:pPr>
            <w:r w:rsidRPr="00D86314">
              <w:rPr>
                <w:noProof/>
                <w:sz w:val="18"/>
                <w:szCs w:val="18"/>
              </w:rPr>
              <w:t>Baseline (coefficient 0.084 %)</w:t>
            </w:r>
          </w:p>
        </w:tc>
        <w:tc>
          <w:tcPr>
            <w:tcW w:w="1000" w:type="pct"/>
            <w:noWrap/>
            <w:vAlign w:val="center"/>
          </w:tcPr>
          <w:p w14:paraId="2B01E8FE" w14:textId="2BB36996" w:rsidR="00C778BA" w:rsidRPr="00D86314" w:rsidRDefault="00C778BA" w:rsidP="007736E8">
            <w:pPr>
              <w:spacing w:before="40" w:after="40"/>
              <w:jc w:val="center"/>
              <w:rPr>
                <w:rFonts w:cstheme="minorHAnsi"/>
                <w:noProof/>
                <w:sz w:val="18"/>
                <w:szCs w:val="16"/>
              </w:rPr>
            </w:pPr>
            <w:r w:rsidRPr="00D86314">
              <w:rPr>
                <w:noProof/>
                <w:sz w:val="18"/>
                <w:szCs w:val="16"/>
              </w:rPr>
              <w:t>1</w:t>
            </w:r>
            <w:r w:rsidR="00CA261E">
              <w:rPr>
                <w:noProof/>
                <w:sz w:val="18"/>
                <w:szCs w:val="16"/>
              </w:rPr>
              <w:t> </w:t>
            </w:r>
            <w:r w:rsidRPr="00D86314">
              <w:rPr>
                <w:noProof/>
                <w:sz w:val="18"/>
                <w:szCs w:val="16"/>
              </w:rPr>
              <w:t>480</w:t>
            </w:r>
          </w:p>
        </w:tc>
        <w:tc>
          <w:tcPr>
            <w:tcW w:w="1000" w:type="pct"/>
            <w:noWrap/>
            <w:vAlign w:val="center"/>
          </w:tcPr>
          <w:p w14:paraId="0354200F" w14:textId="1CE6645B" w:rsidR="00C778BA" w:rsidRPr="00D86314" w:rsidRDefault="00C778BA" w:rsidP="007736E8">
            <w:pPr>
              <w:spacing w:before="40" w:after="40"/>
              <w:jc w:val="center"/>
              <w:rPr>
                <w:rFonts w:cstheme="minorHAnsi"/>
                <w:noProof/>
                <w:sz w:val="18"/>
                <w:szCs w:val="16"/>
              </w:rPr>
            </w:pPr>
            <w:r w:rsidRPr="00D86314">
              <w:rPr>
                <w:noProof/>
                <w:sz w:val="18"/>
                <w:szCs w:val="16"/>
              </w:rPr>
              <w:t>1</w:t>
            </w:r>
            <w:r w:rsidR="00DA6004">
              <w:rPr>
                <w:noProof/>
                <w:sz w:val="18"/>
                <w:szCs w:val="16"/>
              </w:rPr>
              <w:t> </w:t>
            </w:r>
            <w:r w:rsidRPr="00D86314">
              <w:rPr>
                <w:noProof/>
                <w:sz w:val="18"/>
                <w:szCs w:val="16"/>
              </w:rPr>
              <w:t>505</w:t>
            </w:r>
          </w:p>
        </w:tc>
        <w:tc>
          <w:tcPr>
            <w:tcW w:w="1000" w:type="pct"/>
            <w:vAlign w:val="center"/>
          </w:tcPr>
          <w:p w14:paraId="4D5E9360" w14:textId="4DA4B626"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1</w:t>
            </w:r>
            <w:r w:rsidR="00DA6004">
              <w:rPr>
                <w:noProof/>
                <w:sz w:val="18"/>
                <w:szCs w:val="16"/>
              </w:rPr>
              <w:t> </w:t>
            </w:r>
            <w:r w:rsidRPr="00D86314">
              <w:rPr>
                <w:noProof/>
                <w:sz w:val="18"/>
                <w:szCs w:val="16"/>
              </w:rPr>
              <w:t>553</w:t>
            </w:r>
          </w:p>
        </w:tc>
        <w:tc>
          <w:tcPr>
            <w:tcW w:w="999" w:type="pct"/>
            <w:noWrap/>
            <w:vAlign w:val="center"/>
          </w:tcPr>
          <w:p w14:paraId="40489EFF" w14:textId="42ECA765" w:rsidR="00C778BA" w:rsidRPr="00D86314" w:rsidRDefault="00C778BA" w:rsidP="007736E8">
            <w:pPr>
              <w:spacing w:before="40" w:after="40"/>
              <w:jc w:val="center"/>
              <w:rPr>
                <w:rFonts w:cstheme="minorHAnsi"/>
                <w:noProof/>
                <w:sz w:val="18"/>
                <w:szCs w:val="16"/>
              </w:rPr>
            </w:pPr>
            <w:r w:rsidRPr="00D86314">
              <w:rPr>
                <w:noProof/>
                <w:sz w:val="18"/>
                <w:szCs w:val="16"/>
              </w:rPr>
              <w:t>1</w:t>
            </w:r>
            <w:r w:rsidR="00DA6004">
              <w:rPr>
                <w:noProof/>
                <w:sz w:val="18"/>
                <w:szCs w:val="16"/>
              </w:rPr>
              <w:t> </w:t>
            </w:r>
            <w:r w:rsidRPr="00D86314">
              <w:rPr>
                <w:noProof/>
                <w:sz w:val="18"/>
                <w:szCs w:val="16"/>
              </w:rPr>
              <w:t>553</w:t>
            </w:r>
          </w:p>
        </w:tc>
      </w:tr>
      <w:tr w:rsidR="00C778BA" w:rsidRPr="00D86314" w14:paraId="55F1F5AE" w14:textId="77777777" w:rsidTr="007736E8">
        <w:trPr>
          <w:trHeight w:val="288"/>
        </w:trPr>
        <w:tc>
          <w:tcPr>
            <w:tcW w:w="1001" w:type="pct"/>
          </w:tcPr>
          <w:p w14:paraId="08629BBF" w14:textId="77777777" w:rsidR="00C778BA" w:rsidRPr="00D86314" w:rsidRDefault="00C778BA" w:rsidP="007736E8">
            <w:pPr>
              <w:spacing w:before="40" w:after="40"/>
              <w:rPr>
                <w:noProof/>
                <w:sz w:val="18"/>
                <w:szCs w:val="18"/>
              </w:rPr>
            </w:pPr>
            <w:r w:rsidRPr="00D86314">
              <w:rPr>
                <w:noProof/>
                <w:sz w:val="18"/>
                <w:szCs w:val="18"/>
              </w:rPr>
              <w:t>Lower bound (coefficient 0.01 %)</w:t>
            </w:r>
          </w:p>
        </w:tc>
        <w:tc>
          <w:tcPr>
            <w:tcW w:w="1000" w:type="pct"/>
            <w:noWrap/>
            <w:vAlign w:val="center"/>
          </w:tcPr>
          <w:p w14:paraId="49FDA5D5" w14:textId="77777777"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171</w:t>
            </w:r>
          </w:p>
        </w:tc>
        <w:tc>
          <w:tcPr>
            <w:tcW w:w="1000" w:type="pct"/>
            <w:noWrap/>
            <w:vAlign w:val="center"/>
          </w:tcPr>
          <w:p w14:paraId="22CFC61B" w14:textId="77777777"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174</w:t>
            </w:r>
          </w:p>
        </w:tc>
        <w:tc>
          <w:tcPr>
            <w:tcW w:w="1000" w:type="pct"/>
            <w:vAlign w:val="center"/>
          </w:tcPr>
          <w:p w14:paraId="17EFB89A" w14:textId="77777777"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179</w:t>
            </w:r>
          </w:p>
        </w:tc>
        <w:tc>
          <w:tcPr>
            <w:tcW w:w="999" w:type="pct"/>
            <w:noWrap/>
            <w:vAlign w:val="center"/>
          </w:tcPr>
          <w:p w14:paraId="6289A7A9" w14:textId="77777777"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179</w:t>
            </w:r>
          </w:p>
        </w:tc>
      </w:tr>
      <w:tr w:rsidR="00C778BA" w:rsidRPr="00D86314" w14:paraId="2A28E2CF" w14:textId="77777777" w:rsidTr="007736E8">
        <w:trPr>
          <w:trHeight w:val="288"/>
        </w:trPr>
        <w:tc>
          <w:tcPr>
            <w:tcW w:w="1001" w:type="pct"/>
          </w:tcPr>
          <w:p w14:paraId="3E6AF4A5" w14:textId="77777777" w:rsidR="00C778BA" w:rsidRPr="00D86314" w:rsidRDefault="00C778BA" w:rsidP="007736E8">
            <w:pPr>
              <w:spacing w:before="40" w:after="40"/>
              <w:rPr>
                <w:noProof/>
                <w:sz w:val="18"/>
                <w:szCs w:val="18"/>
              </w:rPr>
            </w:pPr>
            <w:r w:rsidRPr="008377B1">
              <w:rPr>
                <w:noProof/>
                <w:sz w:val="18"/>
                <w:szCs w:val="18"/>
                <w:lang w:val="fr-BE"/>
              </w:rPr>
              <w:t xml:space="preserve">Upper bound (coefficient 0.113 %; Briglauer et al. </w:t>
            </w:r>
            <w:r w:rsidRPr="00D86314">
              <w:rPr>
                <w:noProof/>
                <w:sz w:val="18"/>
                <w:szCs w:val="18"/>
              </w:rPr>
              <w:t>(2025))</w:t>
            </w:r>
          </w:p>
        </w:tc>
        <w:tc>
          <w:tcPr>
            <w:tcW w:w="1000" w:type="pct"/>
            <w:noWrap/>
            <w:vAlign w:val="center"/>
          </w:tcPr>
          <w:p w14:paraId="28382F04" w14:textId="0BDEB47F"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2</w:t>
            </w:r>
            <w:r w:rsidR="00DA6004">
              <w:rPr>
                <w:noProof/>
                <w:sz w:val="18"/>
                <w:szCs w:val="16"/>
              </w:rPr>
              <w:t> </w:t>
            </w:r>
            <w:r w:rsidRPr="00D86314">
              <w:rPr>
                <w:noProof/>
                <w:sz w:val="18"/>
                <w:szCs w:val="16"/>
              </w:rPr>
              <w:t>015</w:t>
            </w:r>
          </w:p>
        </w:tc>
        <w:tc>
          <w:tcPr>
            <w:tcW w:w="1000" w:type="pct"/>
            <w:noWrap/>
            <w:vAlign w:val="center"/>
          </w:tcPr>
          <w:p w14:paraId="0E707476" w14:textId="79BF27B4"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2</w:t>
            </w:r>
            <w:r w:rsidR="00DA6004">
              <w:rPr>
                <w:noProof/>
                <w:sz w:val="18"/>
                <w:szCs w:val="16"/>
              </w:rPr>
              <w:t> </w:t>
            </w:r>
            <w:r w:rsidRPr="00D86314">
              <w:rPr>
                <w:noProof/>
                <w:sz w:val="18"/>
                <w:szCs w:val="16"/>
              </w:rPr>
              <w:t>049</w:t>
            </w:r>
          </w:p>
        </w:tc>
        <w:tc>
          <w:tcPr>
            <w:tcW w:w="1000" w:type="pct"/>
            <w:vAlign w:val="center"/>
          </w:tcPr>
          <w:p w14:paraId="0B309BB3" w14:textId="35630DBE"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2</w:t>
            </w:r>
            <w:r w:rsidR="00DA6004">
              <w:rPr>
                <w:noProof/>
                <w:sz w:val="18"/>
                <w:szCs w:val="16"/>
              </w:rPr>
              <w:t> </w:t>
            </w:r>
            <w:r w:rsidRPr="00D86314">
              <w:rPr>
                <w:noProof/>
                <w:sz w:val="18"/>
                <w:szCs w:val="16"/>
              </w:rPr>
              <w:t>116</w:t>
            </w:r>
          </w:p>
        </w:tc>
        <w:tc>
          <w:tcPr>
            <w:tcW w:w="999" w:type="pct"/>
            <w:noWrap/>
            <w:vAlign w:val="center"/>
          </w:tcPr>
          <w:p w14:paraId="62D1EAC8" w14:textId="3412F47C" w:rsidR="00C778BA" w:rsidRPr="00D86314" w:rsidRDefault="00C778BA" w:rsidP="007736E8">
            <w:pPr>
              <w:spacing w:before="40" w:after="40"/>
              <w:jc w:val="center"/>
              <w:rPr>
                <w:rFonts w:cstheme="minorHAnsi"/>
                <w:b/>
                <w:bCs/>
                <w:noProof/>
                <w:color w:val="000000"/>
                <w:sz w:val="18"/>
                <w:szCs w:val="16"/>
              </w:rPr>
            </w:pPr>
            <w:r w:rsidRPr="00D86314">
              <w:rPr>
                <w:noProof/>
                <w:sz w:val="18"/>
                <w:szCs w:val="16"/>
              </w:rPr>
              <w:t>2</w:t>
            </w:r>
            <w:r w:rsidR="00DA6004">
              <w:rPr>
                <w:noProof/>
                <w:sz w:val="18"/>
                <w:szCs w:val="16"/>
              </w:rPr>
              <w:t> </w:t>
            </w:r>
            <w:r w:rsidRPr="00D86314">
              <w:rPr>
                <w:noProof/>
                <w:sz w:val="18"/>
                <w:szCs w:val="16"/>
              </w:rPr>
              <w:t>116</w:t>
            </w:r>
          </w:p>
        </w:tc>
      </w:tr>
    </w:tbl>
    <w:p w14:paraId="7D91E51B" w14:textId="77777777" w:rsidR="00C778BA" w:rsidRPr="00D86314" w:rsidRDefault="00C778BA" w:rsidP="00C778BA">
      <w:pPr>
        <w:pStyle w:val="Quelle"/>
        <w:rPr>
          <w:rFonts w:ascii="Times New Roman" w:hAnsi="Times New Roman"/>
          <w:noProof/>
        </w:rPr>
      </w:pPr>
      <w:r w:rsidRPr="00D86314">
        <w:rPr>
          <w:rFonts w:ascii="Times New Roman" w:hAnsi="Times New Roman"/>
          <w:noProof/>
        </w:rPr>
        <w:t>Source: WIK-Consult.</w:t>
      </w:r>
    </w:p>
    <w:p w14:paraId="610F28B4" w14:textId="0D9CF883" w:rsidR="00C778BA" w:rsidRPr="00D86314" w:rsidRDefault="00C778BA" w:rsidP="00C778BA">
      <w:pPr>
        <w:rPr>
          <w:noProof/>
        </w:rPr>
      </w:pPr>
      <w:r w:rsidRPr="00D86314">
        <w:rPr>
          <w:noProof/>
        </w:rPr>
        <w:t>Under the lower-sensitivity scenario, which assumes a smaller impact of increased mobile broadband speeds on productivity and GDP (for example, due to uncertainties regarding the effective use of 5G-enabled technologies across sectors or slower diffusion of digital applications), the cumulative GDP impact for the EU over 2025–2035 is estimated at EUR</w:t>
      </w:r>
      <w:r w:rsidR="004421FA" w:rsidRPr="00D86314">
        <w:rPr>
          <w:noProof/>
        </w:rPr>
        <w:t> </w:t>
      </w:r>
      <w:r w:rsidRPr="00D86314">
        <w:rPr>
          <w:noProof/>
        </w:rPr>
        <w:t xml:space="preserve">179 billion for </w:t>
      </w:r>
      <w:r w:rsidR="009D2395">
        <w:rPr>
          <w:noProof/>
        </w:rPr>
        <w:t>o</w:t>
      </w:r>
      <w:r w:rsidRPr="00D86314">
        <w:rPr>
          <w:noProof/>
        </w:rPr>
        <w:t>ption 2, compared to EUR</w:t>
      </w:r>
      <w:r w:rsidR="00976592" w:rsidRPr="00D86314">
        <w:rPr>
          <w:noProof/>
        </w:rPr>
        <w:t> </w:t>
      </w:r>
      <w:r w:rsidRPr="00D86314">
        <w:rPr>
          <w:noProof/>
        </w:rPr>
        <w:t>171 billion for the baseline and EUR</w:t>
      </w:r>
      <w:r w:rsidR="00976592" w:rsidRPr="00D86314">
        <w:rPr>
          <w:noProof/>
        </w:rPr>
        <w:t> </w:t>
      </w:r>
      <w:r w:rsidRPr="00D86314">
        <w:rPr>
          <w:noProof/>
        </w:rPr>
        <w:t xml:space="preserve">179 billion for </w:t>
      </w:r>
      <w:r w:rsidR="009D2395">
        <w:rPr>
          <w:noProof/>
        </w:rPr>
        <w:t>o</w:t>
      </w:r>
      <w:r w:rsidRPr="00D86314">
        <w:rPr>
          <w:noProof/>
        </w:rPr>
        <w:t>ption 3.</w:t>
      </w:r>
    </w:p>
    <w:p w14:paraId="1D9970D0" w14:textId="5841ECFA" w:rsidR="00C778BA" w:rsidRPr="00D86314" w:rsidRDefault="00C778BA" w:rsidP="00C778BA">
      <w:pPr>
        <w:rPr>
          <w:noProof/>
        </w:rPr>
      </w:pPr>
      <w:r w:rsidRPr="00D86314">
        <w:rPr>
          <w:noProof/>
        </w:rPr>
        <w:t>Conversely, under the upper-sensitivity scenario, which assumes a higher responsiveness of GDP to broadband speed improvements (for instance, reflecting faster adoption of 5G-driven innovations or stronger network effects), the overall GDP impact for the EU over the same period is estimated at EUR</w:t>
      </w:r>
      <w:r w:rsidR="00976592" w:rsidRPr="00D86314">
        <w:rPr>
          <w:noProof/>
        </w:rPr>
        <w:t> </w:t>
      </w:r>
      <w:r w:rsidRPr="00D86314">
        <w:rPr>
          <w:noProof/>
        </w:rPr>
        <w:t>2</w:t>
      </w:r>
      <w:r w:rsidR="005D5077">
        <w:rPr>
          <w:noProof/>
        </w:rPr>
        <w:t>,</w:t>
      </w:r>
      <w:r w:rsidRPr="00D86314">
        <w:rPr>
          <w:noProof/>
        </w:rPr>
        <w:t xml:space="preserve">116 billion for </w:t>
      </w:r>
      <w:r w:rsidR="009D2395">
        <w:rPr>
          <w:noProof/>
        </w:rPr>
        <w:t>o</w:t>
      </w:r>
      <w:r w:rsidRPr="00D86314">
        <w:rPr>
          <w:noProof/>
        </w:rPr>
        <w:t>ption 2, compared to EUR</w:t>
      </w:r>
      <w:r w:rsidR="005D5077">
        <w:rPr>
          <w:noProof/>
        </w:rPr>
        <w:t>,</w:t>
      </w:r>
      <w:r w:rsidRPr="00D86314">
        <w:rPr>
          <w:noProof/>
        </w:rPr>
        <w:t>2</w:t>
      </w:r>
      <w:r w:rsidR="00DA6004">
        <w:rPr>
          <w:noProof/>
        </w:rPr>
        <w:t> </w:t>
      </w:r>
      <w:r w:rsidRPr="00D86314">
        <w:rPr>
          <w:noProof/>
        </w:rPr>
        <w:t>015 billion for the baseline and EUR2</w:t>
      </w:r>
      <w:r w:rsidR="00746587">
        <w:rPr>
          <w:noProof/>
        </w:rPr>
        <w:t>,</w:t>
      </w:r>
      <w:r w:rsidRPr="00D86314">
        <w:rPr>
          <w:noProof/>
        </w:rPr>
        <w:t xml:space="preserve">116 billion for </w:t>
      </w:r>
      <w:r w:rsidR="009D2395">
        <w:rPr>
          <w:noProof/>
        </w:rPr>
        <w:t>o</w:t>
      </w:r>
      <w:r w:rsidRPr="00D86314">
        <w:rPr>
          <w:noProof/>
        </w:rPr>
        <w:t>ption 3.</w:t>
      </w:r>
    </w:p>
    <w:p w14:paraId="228992DD" w14:textId="77777777" w:rsidR="00C778BA" w:rsidRPr="00D86314" w:rsidRDefault="00C778BA" w:rsidP="004B0720">
      <w:pPr>
        <w:spacing w:after="360"/>
        <w:rPr>
          <w:noProof/>
        </w:rPr>
      </w:pPr>
      <w:r w:rsidRPr="00D86314">
        <w:rPr>
          <w:noProof/>
        </w:rPr>
        <w:t>These results illustrate that while the magnitude of impacts varies substantially across sensitivity assumptions, the relative differences between policy options remain limited, suggesting that the overall ranking of options is robust to variations in the assumed elasticity of GDP to broadband speed increases.</w:t>
      </w:r>
    </w:p>
    <w:p w14:paraId="1CCE75BD" w14:textId="742D0F81" w:rsidR="00C778BA" w:rsidRPr="00D86314" w:rsidRDefault="003E68CC" w:rsidP="00C778BA">
      <w:pPr>
        <w:pStyle w:val="Abbberschrift"/>
        <w:rPr>
          <w:rFonts w:ascii="Times New Roman" w:hAnsi="Times New Roman"/>
          <w:i/>
          <w:noProof/>
        </w:rPr>
      </w:pPr>
      <w:bookmarkStart w:id="159" w:name="_Toc209527817"/>
      <w:bookmarkStart w:id="160" w:name="_Toc213962425"/>
      <w:r w:rsidRPr="00D86314">
        <w:rPr>
          <w:rFonts w:ascii="Times New Roman" w:hAnsi="Times New Roman"/>
          <w:i/>
          <w:noProof/>
        </w:rPr>
        <w:t>Figure A4 2</w:t>
      </w:r>
      <w:r w:rsidRPr="00D86314">
        <w:rPr>
          <w:rFonts w:ascii="Times New Roman" w:hAnsi="Times New Roman"/>
          <w:i/>
          <w:noProof/>
        </w:rPr>
        <w:noBreakHyphen/>
      </w:r>
      <w:r w:rsidR="00A44134" w:rsidRPr="00D86314">
        <w:rPr>
          <w:rFonts w:ascii="Times New Roman" w:hAnsi="Times New Roman"/>
          <w:i/>
          <w:noProof/>
        </w:rPr>
        <w:t>1</w:t>
      </w:r>
      <w:r w:rsidR="00D35144">
        <w:rPr>
          <w:rFonts w:ascii="Times New Roman" w:hAnsi="Times New Roman"/>
          <w:i/>
          <w:noProof/>
        </w:rPr>
        <w:t>8</w:t>
      </w:r>
      <w:r w:rsidR="00C778BA" w:rsidRPr="00D86314">
        <w:rPr>
          <w:rFonts w:ascii="Times New Roman" w:hAnsi="Times New Roman"/>
          <w:i/>
          <w:noProof/>
        </w:rPr>
        <w:t>:</w:t>
      </w:r>
      <w:r w:rsidR="00C778BA" w:rsidRPr="00D86314">
        <w:rPr>
          <w:rFonts w:ascii="Times New Roman" w:hAnsi="Times New Roman"/>
          <w:i/>
          <w:noProof/>
        </w:rPr>
        <w:tab/>
      </w:r>
      <w:r w:rsidR="003E5DE2" w:rsidRPr="00D86314">
        <w:rPr>
          <w:rFonts w:ascii="Times New Roman" w:hAnsi="Times New Roman"/>
          <w:i/>
          <w:noProof/>
        </w:rPr>
        <w:t xml:space="preserve"> </w:t>
      </w:r>
      <w:r w:rsidR="00C778BA" w:rsidRPr="00D86314">
        <w:rPr>
          <w:rFonts w:ascii="Times New Roman" w:hAnsi="Times New Roman"/>
          <w:i/>
          <w:noProof/>
        </w:rPr>
        <w:t xml:space="preserve">5G download speed impact on GDP growth </w:t>
      </w:r>
      <w:bookmarkEnd w:id="159"/>
      <w:r w:rsidR="00C778BA" w:rsidRPr="00D86314">
        <w:rPr>
          <w:rFonts w:ascii="Times New Roman" w:hAnsi="Times New Roman"/>
          <w:i/>
          <w:noProof/>
        </w:rPr>
        <w:t>(baseline)</w:t>
      </w:r>
      <w:bookmarkEnd w:id="160"/>
    </w:p>
    <w:p w14:paraId="37879AC5" w14:textId="77777777" w:rsidR="00C778BA" w:rsidRPr="00D86314" w:rsidRDefault="00C778BA" w:rsidP="00C778BA">
      <w:pPr>
        <w:jc w:val="center"/>
        <w:rPr>
          <w:noProof/>
        </w:rPr>
      </w:pPr>
      <w:r w:rsidRPr="00E46BC9">
        <w:rPr>
          <w:noProof/>
          <w:lang w:eastAsia="en-GB"/>
        </w:rPr>
        <w:drawing>
          <wp:inline distT="0" distB="0" distL="0" distR="0" wp14:anchorId="18E45B70" wp14:editId="0B948579">
            <wp:extent cx="4680000" cy="2812364"/>
            <wp:effectExtent l="0" t="0" r="6350" b="7620"/>
            <wp:docPr id="601740082" name="Grafik 3" descr="Ein Bild, das Screenshot, Tex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0082" name="Grafik 3" descr="Ein Bild, das Screenshot, Text, Diagramm, Reihe enthält.&#10;&#10;KI-generierte Inhalte können fehlerhaft sein."/>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680000" cy="2812364"/>
                    </a:xfrm>
                    <a:prstGeom prst="rect">
                      <a:avLst/>
                    </a:prstGeom>
                    <a:noFill/>
                  </pic:spPr>
                </pic:pic>
              </a:graphicData>
            </a:graphic>
          </wp:inline>
        </w:drawing>
      </w:r>
    </w:p>
    <w:p w14:paraId="5C2FDDB5" w14:textId="4FB8EA02" w:rsidR="00C778BA" w:rsidRPr="00D86314" w:rsidRDefault="00C778BA" w:rsidP="004B0720">
      <w:pPr>
        <w:pStyle w:val="Quelle"/>
        <w:rPr>
          <w:noProof/>
        </w:rPr>
      </w:pPr>
      <w:r w:rsidRPr="00D86314">
        <w:rPr>
          <w:rFonts w:ascii="Times New Roman" w:hAnsi="Times New Roman"/>
          <w:noProof/>
        </w:rPr>
        <w:t>Source: WIK based on Briglauer et al. (2025).</w:t>
      </w:r>
    </w:p>
    <w:p w14:paraId="33594C69" w14:textId="0B270A18" w:rsidR="00C778BA" w:rsidRPr="00D86314" w:rsidRDefault="003E68CC" w:rsidP="00C778BA">
      <w:pPr>
        <w:pStyle w:val="Abbberschrift"/>
        <w:rPr>
          <w:rFonts w:ascii="Times New Roman" w:hAnsi="Times New Roman"/>
          <w:i/>
          <w:noProof/>
        </w:rPr>
      </w:pPr>
      <w:bookmarkStart w:id="161" w:name="_Toc213962426"/>
      <w:r w:rsidRPr="00D86314">
        <w:rPr>
          <w:rFonts w:ascii="Times New Roman" w:hAnsi="Times New Roman"/>
          <w:i/>
          <w:noProof/>
        </w:rPr>
        <w:t>Figure A4 2</w:t>
      </w:r>
      <w:r w:rsidRPr="00D86314">
        <w:rPr>
          <w:rFonts w:ascii="Times New Roman" w:hAnsi="Times New Roman"/>
          <w:i/>
          <w:noProof/>
        </w:rPr>
        <w:noBreakHyphen/>
      </w:r>
      <w:r w:rsidR="00D35144">
        <w:rPr>
          <w:rFonts w:ascii="Times New Roman" w:hAnsi="Times New Roman"/>
          <w:i/>
          <w:noProof/>
        </w:rPr>
        <w:t>19</w:t>
      </w:r>
      <w:r w:rsidR="00C778BA" w:rsidRPr="00D86314">
        <w:rPr>
          <w:rFonts w:ascii="Times New Roman" w:hAnsi="Times New Roman"/>
          <w:i/>
          <w:noProof/>
        </w:rPr>
        <w:t>:</w:t>
      </w:r>
      <w:r w:rsidR="00C778BA" w:rsidRPr="00D86314">
        <w:rPr>
          <w:rFonts w:ascii="Times New Roman" w:hAnsi="Times New Roman"/>
          <w:i/>
          <w:noProof/>
        </w:rPr>
        <w:tab/>
        <w:t>5G download speed impact on GDP growth (lower bound)</w:t>
      </w:r>
      <w:bookmarkEnd w:id="161"/>
    </w:p>
    <w:p w14:paraId="03D521F4" w14:textId="77777777" w:rsidR="00C778BA" w:rsidRPr="00D86314" w:rsidRDefault="00C778BA" w:rsidP="00C778BA">
      <w:pPr>
        <w:jc w:val="center"/>
        <w:rPr>
          <w:noProof/>
        </w:rPr>
      </w:pPr>
      <w:r w:rsidRPr="00E46BC9">
        <w:rPr>
          <w:noProof/>
          <w:lang w:eastAsia="en-GB"/>
        </w:rPr>
        <w:drawing>
          <wp:inline distT="0" distB="0" distL="0" distR="0" wp14:anchorId="5BD125C2" wp14:editId="01A2632A">
            <wp:extent cx="4680000" cy="2812364"/>
            <wp:effectExtent l="0" t="0" r="6350" b="7620"/>
            <wp:docPr id="1713368195" name="Grafik 1" descr="Ein Bild, das Screenshot, Tex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68195" name="Grafik 1" descr="Ein Bild, das Screenshot, Text, Diagramm, Reihe enthält.&#10;&#10;KI-generierte Inhalte können fehlerhaft sein."/>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680000" cy="2812364"/>
                    </a:xfrm>
                    <a:prstGeom prst="rect">
                      <a:avLst/>
                    </a:prstGeom>
                    <a:noFill/>
                  </pic:spPr>
                </pic:pic>
              </a:graphicData>
            </a:graphic>
          </wp:inline>
        </w:drawing>
      </w:r>
    </w:p>
    <w:p w14:paraId="22843DE6" w14:textId="77777777" w:rsidR="00C778BA" w:rsidRPr="00D86314" w:rsidRDefault="00C778BA" w:rsidP="00C778BA">
      <w:pPr>
        <w:pStyle w:val="Quelle"/>
        <w:rPr>
          <w:rFonts w:ascii="Times New Roman" w:hAnsi="Times New Roman"/>
          <w:noProof/>
        </w:rPr>
      </w:pPr>
      <w:r w:rsidRPr="00D86314">
        <w:rPr>
          <w:rFonts w:ascii="Times New Roman" w:hAnsi="Times New Roman"/>
          <w:noProof/>
        </w:rPr>
        <w:t>Source: WIK based on Briglauer et al. (2025).</w:t>
      </w:r>
    </w:p>
    <w:p w14:paraId="394D0A21" w14:textId="6C4B68B7" w:rsidR="00C778BA" w:rsidRPr="00D86314" w:rsidRDefault="003E68CC" w:rsidP="00C778BA">
      <w:pPr>
        <w:pStyle w:val="Abbberschrift"/>
        <w:rPr>
          <w:rFonts w:ascii="Times New Roman" w:hAnsi="Times New Roman"/>
          <w:i/>
          <w:noProof/>
        </w:rPr>
      </w:pPr>
      <w:bookmarkStart w:id="162" w:name="_Toc213962427"/>
      <w:r w:rsidRPr="00D86314">
        <w:rPr>
          <w:rFonts w:ascii="Times New Roman" w:hAnsi="Times New Roman"/>
          <w:i/>
          <w:noProof/>
        </w:rPr>
        <w:t>Figure A4 2</w:t>
      </w:r>
      <w:r w:rsidRPr="00D86314">
        <w:rPr>
          <w:rFonts w:ascii="Times New Roman" w:hAnsi="Times New Roman"/>
          <w:i/>
          <w:noProof/>
        </w:rPr>
        <w:noBreakHyphen/>
      </w:r>
      <w:r w:rsidR="00A44134" w:rsidRPr="00D86314">
        <w:rPr>
          <w:rFonts w:ascii="Times New Roman" w:hAnsi="Times New Roman"/>
          <w:i/>
          <w:noProof/>
        </w:rPr>
        <w:t>2</w:t>
      </w:r>
      <w:r w:rsidR="00D35144">
        <w:rPr>
          <w:rFonts w:ascii="Times New Roman" w:hAnsi="Times New Roman"/>
          <w:i/>
          <w:noProof/>
        </w:rPr>
        <w:t>0</w:t>
      </w:r>
      <w:r w:rsidR="00C778BA" w:rsidRPr="00D86314">
        <w:rPr>
          <w:rFonts w:ascii="Times New Roman" w:hAnsi="Times New Roman"/>
          <w:i/>
          <w:noProof/>
        </w:rPr>
        <w:t>:</w:t>
      </w:r>
      <w:r w:rsidR="00C778BA" w:rsidRPr="00D86314">
        <w:rPr>
          <w:rFonts w:ascii="Times New Roman" w:hAnsi="Times New Roman"/>
          <w:i/>
          <w:noProof/>
        </w:rPr>
        <w:tab/>
        <w:t>5G download speed impact on GDP growth upper bound)</w:t>
      </w:r>
      <w:bookmarkEnd w:id="162"/>
    </w:p>
    <w:p w14:paraId="5B8A7877" w14:textId="77777777" w:rsidR="00C778BA" w:rsidRPr="00D86314" w:rsidRDefault="00C778BA" w:rsidP="00C778BA">
      <w:pPr>
        <w:jc w:val="center"/>
        <w:rPr>
          <w:noProof/>
        </w:rPr>
      </w:pPr>
      <w:r w:rsidRPr="00E46BC9">
        <w:rPr>
          <w:noProof/>
          <w:lang w:eastAsia="en-GB"/>
        </w:rPr>
        <w:drawing>
          <wp:inline distT="0" distB="0" distL="0" distR="0" wp14:anchorId="4DC2F402" wp14:editId="4B17E1F2">
            <wp:extent cx="4680000" cy="2812363"/>
            <wp:effectExtent l="0" t="0" r="6350" b="7620"/>
            <wp:docPr id="2053376563" name="Grafik 2" descr="Ein Bild, das Screenshot, Tex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76563" name="Grafik 2" descr="Ein Bild, das Screenshot, Text, Diagramm, Reihe enthält.&#10;&#10;KI-generierte Inhalte können fehlerhaft sein."/>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680000" cy="2812363"/>
                    </a:xfrm>
                    <a:prstGeom prst="rect">
                      <a:avLst/>
                    </a:prstGeom>
                    <a:noFill/>
                  </pic:spPr>
                </pic:pic>
              </a:graphicData>
            </a:graphic>
          </wp:inline>
        </w:drawing>
      </w:r>
    </w:p>
    <w:p w14:paraId="6A3C5D52" w14:textId="77777777" w:rsidR="00C778BA" w:rsidRPr="00D86314" w:rsidRDefault="00C778BA" w:rsidP="00C778BA">
      <w:pPr>
        <w:pStyle w:val="Quelle"/>
        <w:rPr>
          <w:rFonts w:ascii="Times New Roman" w:hAnsi="Times New Roman"/>
          <w:noProof/>
        </w:rPr>
      </w:pPr>
      <w:r w:rsidRPr="00D86314">
        <w:rPr>
          <w:rFonts w:ascii="Times New Roman" w:hAnsi="Times New Roman"/>
          <w:noProof/>
        </w:rPr>
        <w:t>Source: WIK based on Briglauer et al. (2025).</w:t>
      </w:r>
    </w:p>
    <w:p w14:paraId="403FBB2C" w14:textId="77777777" w:rsidR="00C778BA" w:rsidRPr="00D86314" w:rsidRDefault="00C778BA" w:rsidP="004B0720">
      <w:pPr>
        <w:pStyle w:val="Heading2"/>
        <w:spacing w:before="480"/>
        <w:ind w:left="578" w:hanging="578"/>
        <w:rPr>
          <w:noProof/>
        </w:rPr>
      </w:pPr>
      <w:bookmarkStart w:id="163" w:name="_Toc219718379"/>
      <w:r w:rsidRPr="00D86314">
        <w:rPr>
          <w:noProof/>
        </w:rPr>
        <w:t>Methodology for the estimation of environmental impacts</w:t>
      </w:r>
      <w:bookmarkEnd w:id="163"/>
    </w:p>
    <w:p w14:paraId="67FC6EFC" w14:textId="774AAF28" w:rsidR="00C778BA" w:rsidRPr="00D86314" w:rsidRDefault="00C778BA" w:rsidP="00C778BA">
      <w:pPr>
        <w:rPr>
          <w:noProof/>
        </w:rPr>
      </w:pPr>
      <w:r w:rsidRPr="00D86314">
        <w:rPr>
          <w:noProof/>
        </w:rPr>
        <w:t xml:space="preserve">In order to estimate the environmental impact of full 5G coverage, </w:t>
      </w:r>
      <w:r w:rsidR="008D45DA" w:rsidRPr="00D86314">
        <w:rPr>
          <w:noProof/>
        </w:rPr>
        <w:t xml:space="preserve">estimates </w:t>
      </w:r>
      <w:r w:rsidRPr="00D86314">
        <w:rPr>
          <w:noProof/>
        </w:rPr>
        <w:t>we</w:t>
      </w:r>
      <w:r w:rsidR="008D45DA" w:rsidRPr="00D86314">
        <w:rPr>
          <w:noProof/>
        </w:rPr>
        <w:t>re</w:t>
      </w:r>
      <w:r w:rsidRPr="00D86314">
        <w:rPr>
          <w:noProof/>
        </w:rPr>
        <w:t xml:space="preserve"> derived for increases in bandwidth consumption associated with the increased deployment and associated take-up of different technologies. The bandwidth use per technology was then translated into environmental impacts based on linkages identified in literature. The details are provided below.</w:t>
      </w:r>
    </w:p>
    <w:p w14:paraId="5A3A97E1" w14:textId="1F353B15" w:rsidR="00C778BA" w:rsidRPr="00D86314" w:rsidRDefault="00C778BA" w:rsidP="00C778BA">
      <w:pPr>
        <w:keepNext/>
        <w:rPr>
          <w:noProof/>
        </w:rPr>
      </w:pPr>
      <w:r w:rsidRPr="00D86314">
        <w:rPr>
          <w:noProof/>
        </w:rPr>
        <w:t xml:space="preserve">To investigate the environmental impact of annual data consumption across networks, </w:t>
      </w:r>
      <w:r w:rsidR="004D031B" w:rsidRPr="00D86314">
        <w:rPr>
          <w:noProof/>
        </w:rPr>
        <w:t xml:space="preserve">the analysis </w:t>
      </w:r>
      <w:r w:rsidRPr="00D86314">
        <w:rPr>
          <w:noProof/>
        </w:rPr>
        <w:t>build</w:t>
      </w:r>
      <w:r w:rsidR="004D031B" w:rsidRPr="00D86314">
        <w:rPr>
          <w:noProof/>
        </w:rPr>
        <w:t>s</w:t>
      </w:r>
      <w:r w:rsidRPr="00D86314">
        <w:rPr>
          <w:noProof/>
        </w:rPr>
        <w:t xml:space="preserve"> upon the model developed by </w:t>
      </w:r>
      <w:sdt>
        <w:sdtPr>
          <w:rPr>
            <w:noProof/>
          </w:rPr>
          <w:id w:val="-1157769375"/>
          <w:citation/>
        </w:sdtPr>
        <w:sdtEndPr/>
        <w:sdtContent>
          <w:r w:rsidRPr="00D86314">
            <w:rPr>
              <w:noProof/>
            </w:rPr>
            <w:fldChar w:fldCharType="begin"/>
          </w:r>
          <w:r w:rsidRPr="00D86314">
            <w:rPr>
              <w:noProof/>
            </w:rPr>
            <w:instrText xml:space="preserve"> CITATION And15 \l 1033 </w:instrText>
          </w:r>
          <w:r w:rsidRPr="00D86314">
            <w:rPr>
              <w:noProof/>
            </w:rPr>
            <w:fldChar w:fldCharType="separate"/>
          </w:r>
          <w:r w:rsidRPr="00D86314">
            <w:rPr>
              <w:noProof/>
            </w:rPr>
            <w:t>(Andrae &amp; Edler, 2015)</w:t>
          </w:r>
          <w:r w:rsidRPr="00D86314">
            <w:rPr>
              <w:noProof/>
            </w:rPr>
            <w:fldChar w:fldCharType="end"/>
          </w:r>
        </w:sdtContent>
      </w:sdt>
      <w:r w:rsidRPr="00D86314">
        <w:rPr>
          <w:noProof/>
        </w:rPr>
        <w:t>. Here the electricity consumption for 4G (LTE) is found to be 0.6 kWh per GB in 2010</w:t>
      </w:r>
      <w:r w:rsidR="00606103" w:rsidRPr="00D86314">
        <w:rPr>
          <w:noProof/>
        </w:rPr>
        <w:t>.</w:t>
      </w:r>
      <w:r w:rsidRPr="00D86314">
        <w:rPr>
          <w:noProof/>
        </w:rPr>
        <w:t xml:space="preserve"> As a best estimate the energy efficiency is assumed to improve by 22% annually until 2020. </w:t>
      </w:r>
    </w:p>
    <w:p w14:paraId="14E186E1" w14:textId="77777777" w:rsidR="00C778BA" w:rsidRPr="00D86314" w:rsidRDefault="00C778BA" w:rsidP="00C778BA">
      <w:pPr>
        <w:keepNext/>
        <w:rPr>
          <w:noProof/>
        </w:rPr>
      </w:pPr>
      <w:r w:rsidRPr="00D86314">
        <w:rPr>
          <w:noProof/>
        </w:rPr>
        <w:t xml:space="preserve">The electricity consumption per network can therefore be calculated based on the following equation </w:t>
      </w:r>
      <w:sdt>
        <w:sdtPr>
          <w:rPr>
            <w:noProof/>
          </w:rPr>
          <w:id w:val="369658433"/>
          <w:citation/>
        </w:sdtPr>
        <w:sdtEndPr/>
        <w:sdtContent>
          <w:r w:rsidRPr="00D86314">
            <w:rPr>
              <w:noProof/>
            </w:rPr>
            <w:fldChar w:fldCharType="begin"/>
          </w:r>
          <w:r w:rsidRPr="00D86314">
            <w:rPr>
              <w:noProof/>
            </w:rPr>
            <w:instrText xml:space="preserve"> CITATION And15 \l 1033 </w:instrText>
          </w:r>
          <w:r w:rsidRPr="00D86314">
            <w:rPr>
              <w:noProof/>
            </w:rPr>
            <w:fldChar w:fldCharType="separate"/>
          </w:r>
          <w:r w:rsidRPr="00D86314">
            <w:rPr>
              <w:noProof/>
            </w:rPr>
            <w:t>(Andrae &amp; Edler, 2015)</w:t>
          </w:r>
          <w:r w:rsidRPr="00D86314">
            <w:rPr>
              <w:noProof/>
            </w:rPr>
            <w:fldChar w:fldCharType="end"/>
          </w:r>
        </w:sdtContent>
      </w:sdt>
      <w:r w:rsidRPr="00D86314">
        <w:rPr>
          <w:noProof/>
        </w:rPr>
        <w:t>:</w:t>
      </w:r>
    </w:p>
    <w:p w14:paraId="2B002E0C" w14:textId="77777777" w:rsidR="00C778BA" w:rsidRPr="00D86314" w:rsidRDefault="00B046D9" w:rsidP="00C778BA">
      <w:pPr>
        <w:rPr>
          <w:noProof/>
        </w:rPr>
      </w:pPr>
      <m:oMathPara>
        <m:oMath>
          <m:sSub>
            <m:sSubPr>
              <m:ctrlPr>
                <w:rPr>
                  <w:rFonts w:ascii="Cambria Math" w:hAnsi="Cambria Math"/>
                  <w:i/>
                  <w:noProof/>
                </w:rPr>
              </m:ctrlPr>
            </m:sSubPr>
            <m:e>
              <m:r>
                <w:rPr>
                  <w:rFonts w:ascii="Cambria Math" w:hAnsi="Cambria Math"/>
                  <w:noProof/>
                </w:rPr>
                <m:t>E</m:t>
              </m:r>
            </m:e>
            <m:sub>
              <m:r>
                <w:rPr>
                  <w:rFonts w:ascii="Cambria Math" w:hAnsi="Cambria Math"/>
                  <w:noProof/>
                </w:rPr>
                <m:t>xG</m:t>
              </m:r>
              <m:r>
                <w:rPr>
                  <w:rFonts w:ascii="Cambria Math" w:hAnsi="Cambria Math"/>
                  <w:noProof/>
                </w:rPr>
                <m:t>,2010+</m:t>
              </m:r>
              <m:r>
                <w:rPr>
                  <w:rFonts w:ascii="Cambria Math" w:hAnsi="Cambria Math"/>
                  <w:noProof/>
                </w:rPr>
                <m:t>n</m:t>
              </m:r>
            </m:sub>
          </m:sSub>
          <m:r>
            <w:rPr>
              <w:rFonts w:ascii="Cambria Math" w:hAnsi="Cambria Math"/>
              <w:noProof/>
            </w:rPr>
            <m:t>=</m:t>
          </m:r>
          <m:r>
            <w:rPr>
              <w:rFonts w:ascii="Cambria Math" w:hAnsi="Cambria Math"/>
              <w:noProof/>
            </w:rPr>
            <m:t>AD</m:t>
          </m:r>
          <m:sSub>
            <m:sSubPr>
              <m:ctrlPr>
                <w:rPr>
                  <w:rFonts w:ascii="Cambria Math" w:hAnsi="Cambria Math"/>
                  <w:i/>
                  <w:noProof/>
                </w:rPr>
              </m:ctrlPr>
            </m:sSubPr>
            <m:e>
              <m:r>
                <w:rPr>
                  <w:rFonts w:ascii="Cambria Math" w:hAnsi="Cambria Math"/>
                  <w:noProof/>
                </w:rPr>
                <m:t>T</m:t>
              </m:r>
            </m:e>
            <m:sub>
              <m:r>
                <w:rPr>
                  <w:rFonts w:ascii="Cambria Math" w:hAnsi="Cambria Math"/>
                  <w:noProof/>
                </w:rPr>
                <m:t>xG</m:t>
              </m:r>
            </m:sub>
          </m:sSub>
          <m:r>
            <w:rPr>
              <w:rFonts w:ascii="Cambria Math" w:hAnsi="Cambria Math"/>
              <w:noProof/>
            </w:rPr>
            <m:t>*</m:t>
          </m:r>
          <m:r>
            <w:rPr>
              <w:rFonts w:ascii="Cambria Math" w:hAnsi="Cambria Math"/>
              <w:noProof/>
            </w:rPr>
            <m:t>E</m:t>
          </m:r>
          <m:sSub>
            <m:sSubPr>
              <m:ctrlPr>
                <w:rPr>
                  <w:rFonts w:ascii="Cambria Math" w:hAnsi="Cambria Math"/>
                  <w:i/>
                  <w:noProof/>
                </w:rPr>
              </m:ctrlPr>
            </m:sSubPr>
            <m:e>
              <m:r>
                <w:rPr>
                  <w:rFonts w:ascii="Cambria Math" w:hAnsi="Cambria Math"/>
                  <w:noProof/>
                </w:rPr>
                <m:t>I</m:t>
              </m:r>
            </m:e>
            <m:sub>
              <m:r>
                <w:rPr>
                  <w:rFonts w:ascii="Cambria Math" w:hAnsi="Cambria Math"/>
                  <w:noProof/>
                </w:rPr>
                <m:t>xG</m:t>
              </m:r>
              <m:r>
                <w:rPr>
                  <w:rFonts w:ascii="Cambria Math" w:hAnsi="Cambria Math"/>
                  <w:noProof/>
                </w:rPr>
                <m:t>,2010</m:t>
              </m:r>
            </m:sub>
          </m:sSub>
          <m:r>
            <w:rPr>
              <w:rFonts w:ascii="Cambria Math" w:hAnsi="Cambria Math"/>
              <w:noProof/>
            </w:rPr>
            <m:t>*</m:t>
          </m:r>
          <m:sSup>
            <m:sSupPr>
              <m:ctrlPr>
                <w:rPr>
                  <w:rFonts w:ascii="Cambria Math" w:hAnsi="Cambria Math"/>
                  <w:i/>
                  <w:noProof/>
                </w:rPr>
              </m:ctrlPr>
            </m:sSupPr>
            <m:e>
              <m:d>
                <m:dPr>
                  <m:ctrlPr>
                    <w:rPr>
                      <w:rFonts w:ascii="Cambria Math" w:hAnsi="Cambria Math"/>
                      <w:i/>
                      <w:noProof/>
                    </w:rPr>
                  </m:ctrlPr>
                </m:dPr>
                <m:e>
                  <m:r>
                    <w:rPr>
                      <w:rFonts w:ascii="Cambria Math" w:hAnsi="Cambria Math"/>
                      <w:noProof/>
                    </w:rPr>
                    <m:t>100%-</m:t>
                  </m:r>
                  <m:r>
                    <w:rPr>
                      <w:rFonts w:ascii="Cambria Math" w:hAnsi="Cambria Math"/>
                      <w:noProof/>
                    </w:rPr>
                    <m:t>EE</m:t>
                  </m:r>
                  <m:r>
                    <w:rPr>
                      <w:rFonts w:ascii="Cambria Math" w:hAnsi="Cambria Math"/>
                      <w:noProof/>
                    </w:rPr>
                    <m:t>%</m:t>
                  </m:r>
                </m:e>
              </m:d>
            </m:e>
            <m:sup>
              <m:r>
                <w:rPr>
                  <w:rFonts w:ascii="Cambria Math" w:hAnsi="Cambria Math"/>
                  <w:noProof/>
                </w:rPr>
                <m:t>n</m:t>
              </m:r>
            </m:sup>
          </m:sSup>
        </m:oMath>
      </m:oMathPara>
    </w:p>
    <w:p w14:paraId="40F340B3" w14:textId="77777777" w:rsidR="00C778BA" w:rsidRPr="00D86314" w:rsidRDefault="00C778BA" w:rsidP="00C778BA">
      <w:pPr>
        <w:keepNext/>
        <w:rPr>
          <w:noProof/>
        </w:rPr>
      </w:pPr>
      <w:r w:rsidRPr="00D86314">
        <w:rPr>
          <w:noProof/>
        </w:rPr>
        <w:t>Where:</w:t>
      </w:r>
    </w:p>
    <w:p w14:paraId="4F05F1A9" w14:textId="77777777" w:rsidR="00C778BA" w:rsidRPr="00C20A01" w:rsidRDefault="00B046D9" w:rsidP="00A00C17">
      <w:pPr>
        <w:pStyle w:val="bullettext"/>
        <w:numPr>
          <w:ilvl w:val="0"/>
          <w:numId w:val="47"/>
        </w:numPr>
        <w:jc w:val="left"/>
      </w:pPr>
      <m:oMath>
        <m:sSub>
          <m:sSubPr>
            <m:ctrlPr>
              <w:rPr>
                <w:rFonts w:ascii="Cambria Math" w:hAnsi="Cambria Math"/>
                <w:i/>
              </w:rPr>
            </m:ctrlPr>
          </m:sSubPr>
          <m:e>
            <m:r>
              <w:rPr>
                <w:rFonts w:ascii="Cambria Math" w:hAnsi="Cambria Math"/>
              </w:rPr>
              <m:t>E</m:t>
            </m:r>
          </m:e>
          <m:sub>
            <m:r>
              <w:rPr>
                <w:rFonts w:ascii="Cambria Math" w:hAnsi="Cambria Math"/>
              </w:rPr>
              <m:t>xG</m:t>
            </m:r>
            <m:r>
              <w:rPr>
                <w:rFonts w:ascii="Cambria Math" w:hAnsi="Cambria Math"/>
              </w:rPr>
              <m:t>,2010+</m:t>
            </m:r>
            <m:r>
              <w:rPr>
                <w:rFonts w:ascii="Cambria Math" w:hAnsi="Cambria Math"/>
              </w:rPr>
              <m:t>n</m:t>
            </m:r>
          </m:sub>
        </m:sSub>
        <m:r>
          <w:rPr>
            <w:rFonts w:ascii="Cambria Math" w:hAnsi="Cambria Math"/>
          </w:rPr>
          <m:t>=</m:t>
        </m:r>
      </m:oMath>
      <w:r w:rsidR="00C778BA" w:rsidRPr="00C20A01">
        <w:t xml:space="preserve"> </w:t>
      </w:r>
      <w:r w:rsidR="00C778BA" w:rsidRPr="00C20A01">
        <w:rPr>
          <w:rFonts w:ascii="Times New Roman" w:hAnsi="Times New Roman"/>
        </w:rPr>
        <w:t>total electricity consumption, kWh, for network xG in year 2010+n</w:t>
      </w:r>
    </w:p>
    <w:p w14:paraId="3214CA0B" w14:textId="77777777" w:rsidR="00C778BA" w:rsidRPr="00C20A01" w:rsidRDefault="001C5567" w:rsidP="00A00C17">
      <w:pPr>
        <w:pStyle w:val="bullettext"/>
        <w:numPr>
          <w:ilvl w:val="0"/>
          <w:numId w:val="47"/>
        </w:numPr>
        <w:jc w:val="left"/>
      </w:pPr>
      <m:oMath>
        <m:r>
          <w:rPr>
            <w:rFonts w:ascii="Cambria Math" w:hAnsi="Cambria Math"/>
          </w:rPr>
          <m:t>AD</m:t>
        </m:r>
        <m:sSub>
          <m:sSubPr>
            <m:ctrlPr>
              <w:rPr>
                <w:rFonts w:ascii="Cambria Math" w:hAnsi="Cambria Math"/>
                <w:i/>
              </w:rPr>
            </m:ctrlPr>
          </m:sSubPr>
          <m:e>
            <m:r>
              <w:rPr>
                <w:rFonts w:ascii="Cambria Math" w:hAnsi="Cambria Math"/>
              </w:rPr>
              <m:t>T</m:t>
            </m:r>
          </m:e>
          <m:sub>
            <m:r>
              <w:rPr>
                <w:rFonts w:ascii="Cambria Math" w:hAnsi="Cambria Math"/>
              </w:rPr>
              <m:t>xG</m:t>
            </m:r>
          </m:sub>
        </m:sSub>
        <m:r>
          <w:rPr>
            <w:rFonts w:ascii="Cambria Math" w:hAnsi="Cambria Math"/>
          </w:rPr>
          <m:t>=</m:t>
        </m:r>
      </m:oMath>
      <w:r w:rsidR="00C778BA" w:rsidRPr="00C20A01">
        <w:t xml:space="preserve"> </w:t>
      </w:r>
      <w:r w:rsidR="00C778BA" w:rsidRPr="00C20A01">
        <w:rPr>
          <w:rFonts w:ascii="Times New Roman" w:hAnsi="Times New Roman"/>
        </w:rPr>
        <w:t>annual data traffic, GB, for network xG</w:t>
      </w:r>
    </w:p>
    <w:p w14:paraId="6297E62E" w14:textId="77777777" w:rsidR="00C778BA" w:rsidRPr="00C20A01" w:rsidRDefault="001C5567" w:rsidP="00A00C17">
      <w:pPr>
        <w:pStyle w:val="bullettext"/>
        <w:numPr>
          <w:ilvl w:val="0"/>
          <w:numId w:val="47"/>
        </w:numPr>
        <w:jc w:val="left"/>
      </w:pPr>
      <m:oMath>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xG,2010</m:t>
            </m:r>
          </m:sub>
        </m:sSub>
        <m:r>
          <w:rPr>
            <w:rFonts w:ascii="Cambria Math" w:hAnsi="Cambria Math"/>
          </w:rPr>
          <m:t>=</m:t>
        </m:r>
      </m:oMath>
      <w:r w:rsidR="00C778BA" w:rsidRPr="00C20A01">
        <w:t xml:space="preserve"> </w:t>
      </w:r>
      <w:r w:rsidR="00C778BA" w:rsidRPr="00C20A01">
        <w:rPr>
          <w:rFonts w:ascii="Times New Roman" w:hAnsi="Times New Roman"/>
        </w:rPr>
        <w:t>electricity intensity, kWh/GB, for network xG</w:t>
      </w:r>
    </w:p>
    <w:p w14:paraId="786658E9" w14:textId="77777777" w:rsidR="00C778BA" w:rsidRPr="00C20A01" w:rsidRDefault="001C5567" w:rsidP="00A00C17">
      <w:pPr>
        <w:pStyle w:val="bullettext"/>
        <w:numPr>
          <w:ilvl w:val="0"/>
          <w:numId w:val="47"/>
        </w:numPr>
        <w:spacing w:after="240"/>
        <w:jc w:val="left"/>
        <w:rPr>
          <w:rFonts w:ascii="Times New Roman" w:hAnsi="Times New Roman"/>
        </w:rPr>
      </w:pPr>
      <m:oMath>
        <m:r>
          <w:rPr>
            <w:rFonts w:ascii="Cambria Math" w:hAnsi="Cambria Math"/>
          </w:rPr>
          <m:t>EE=</m:t>
        </m:r>
      </m:oMath>
      <w:r w:rsidR="00C778BA" w:rsidRPr="00C20A01">
        <w:t xml:space="preserve"> </w:t>
      </w:r>
      <w:r w:rsidR="00C778BA" w:rsidRPr="00C20A01">
        <w:rPr>
          <w:rFonts w:ascii="Times New Roman" w:hAnsi="Times New Roman"/>
        </w:rPr>
        <w:t>annual electricity efficiency improvement</w:t>
      </w:r>
    </w:p>
    <w:p w14:paraId="096DD98F" w14:textId="690D376B" w:rsidR="00C778BA" w:rsidRPr="00D86314" w:rsidRDefault="00C778BA" w:rsidP="00C778BA">
      <w:pPr>
        <w:keepNext/>
        <w:rPr>
          <w:noProof/>
        </w:rPr>
      </w:pPr>
      <w:r w:rsidRPr="00D86314">
        <w:rPr>
          <w:noProof/>
        </w:rPr>
        <w:t xml:space="preserve">For 5G the model </w:t>
      </w:r>
      <w:r w:rsidR="008309D9" w:rsidRPr="00D86314">
        <w:rPr>
          <w:noProof/>
        </w:rPr>
        <w:t xml:space="preserve">is </w:t>
      </w:r>
      <w:r w:rsidR="00606103" w:rsidRPr="00D86314">
        <w:rPr>
          <w:noProof/>
        </w:rPr>
        <w:t>refine</w:t>
      </w:r>
      <w:r w:rsidR="008309D9" w:rsidRPr="00D86314">
        <w:rPr>
          <w:noProof/>
        </w:rPr>
        <w:t>d</w:t>
      </w:r>
      <w:r w:rsidR="00606103" w:rsidRPr="00D86314">
        <w:rPr>
          <w:noProof/>
        </w:rPr>
        <w:t xml:space="preserve"> </w:t>
      </w:r>
      <w:r w:rsidRPr="00D86314">
        <w:rPr>
          <w:noProof/>
        </w:rPr>
        <w:t xml:space="preserve">to differentiate between basic 5G and full 5G. Laidler </w:t>
      </w:r>
      <w:sdt>
        <w:sdtPr>
          <w:rPr>
            <w:noProof/>
          </w:rPr>
          <w:id w:val="1140468184"/>
          <w:citation/>
        </w:sdtPr>
        <w:sdtEndPr/>
        <w:sdtContent>
          <w:r w:rsidRPr="00D86314">
            <w:rPr>
              <w:noProof/>
            </w:rPr>
            <w:fldChar w:fldCharType="begin"/>
          </w:r>
          <w:r w:rsidRPr="00D86314">
            <w:rPr>
              <w:noProof/>
            </w:rPr>
            <w:instrText xml:space="preserve">CITATION Phi19 \n  \l 1033 </w:instrText>
          </w:r>
          <w:r w:rsidRPr="00D86314">
            <w:rPr>
              <w:noProof/>
            </w:rPr>
            <w:fldChar w:fldCharType="separate"/>
          </w:r>
          <w:r w:rsidRPr="00D86314">
            <w:rPr>
              <w:noProof/>
            </w:rPr>
            <w:t>(Curtailing carbon emissions - can 5G help?, 2019)</w:t>
          </w:r>
          <w:r w:rsidRPr="00D86314">
            <w:rPr>
              <w:noProof/>
            </w:rPr>
            <w:fldChar w:fldCharType="end"/>
          </w:r>
        </w:sdtContent>
      </w:sdt>
      <w:r w:rsidRPr="00D86314">
        <w:rPr>
          <w:noProof/>
        </w:rPr>
        <w:t xml:space="preserve"> estimates that a 5G cell has 8-15% the electricity intensity compared to a like-for-like 4G cell. mmWave 5G has potential to fall to 1-2% of a 4G cell, </w:t>
      </w:r>
      <w:r w:rsidR="008309D9" w:rsidRPr="00D86314">
        <w:rPr>
          <w:noProof/>
        </w:rPr>
        <w:t xml:space="preserve">it is </w:t>
      </w:r>
      <w:r w:rsidRPr="00D86314">
        <w:rPr>
          <w:noProof/>
        </w:rPr>
        <w:t>therefore estimate</w:t>
      </w:r>
      <w:r w:rsidR="008309D9" w:rsidRPr="00D86314">
        <w:rPr>
          <w:noProof/>
        </w:rPr>
        <w:t>d</w:t>
      </w:r>
      <w:r w:rsidRPr="00D86314">
        <w:rPr>
          <w:noProof/>
        </w:rPr>
        <w:t xml:space="preserve"> that midband (3.5GHz) may be able to obtain electricity intensity of 6.5% of 4G using the midpoints. </w:t>
      </w:r>
      <w:r w:rsidR="0048692C" w:rsidRPr="00D86314">
        <w:rPr>
          <w:noProof/>
        </w:rPr>
        <w:t>Accordingly,</w:t>
      </w:r>
      <w:r w:rsidRPr="00D86314">
        <w:rPr>
          <w:noProof/>
        </w:rPr>
        <w:t xml:space="preserve"> the energy intensity of 5G</w:t>
      </w:r>
      <w:r w:rsidR="0048692C" w:rsidRPr="00D86314">
        <w:rPr>
          <w:noProof/>
        </w:rPr>
        <w:t xml:space="preserve"> is</w:t>
      </w:r>
      <w:r w:rsidRPr="00D86314">
        <w:rPr>
          <w:noProof/>
        </w:rPr>
        <w:t xml:space="preserve"> </w:t>
      </w:r>
      <w:r w:rsidR="0048692C" w:rsidRPr="00D86314">
        <w:rPr>
          <w:noProof/>
        </w:rPr>
        <w:t>estimated as follows</w:t>
      </w:r>
      <w:r w:rsidRPr="00D86314">
        <w:rPr>
          <w:noProof/>
        </w:rPr>
        <w:t>:</w:t>
      </w:r>
    </w:p>
    <w:p w14:paraId="5640009D" w14:textId="77777777" w:rsidR="00C778BA" w:rsidRPr="00C20A01" w:rsidRDefault="00C778BA" w:rsidP="00A00C17">
      <w:pPr>
        <w:pStyle w:val="bullettext"/>
        <w:numPr>
          <w:ilvl w:val="0"/>
          <w:numId w:val="47"/>
        </w:numPr>
        <w:jc w:val="left"/>
        <w:rPr>
          <w:rFonts w:ascii="Times New Roman" w:hAnsi="Times New Roman"/>
          <w:szCs w:val="22"/>
        </w:rPr>
      </w:pPr>
      <w:r w:rsidRPr="00C20A01">
        <w:rPr>
          <w:rFonts w:ascii="Times New Roman" w:hAnsi="Times New Roman"/>
          <w:szCs w:val="22"/>
        </w:rPr>
        <w:t>Basic 5G: 0.069 kWh per GB</w:t>
      </w:r>
    </w:p>
    <w:p w14:paraId="706473AE" w14:textId="77777777" w:rsidR="00C778BA" w:rsidRPr="00C20A01" w:rsidRDefault="00C778BA" w:rsidP="00A00C17">
      <w:pPr>
        <w:pStyle w:val="bullettext"/>
        <w:numPr>
          <w:ilvl w:val="0"/>
          <w:numId w:val="47"/>
        </w:numPr>
        <w:spacing w:after="240"/>
        <w:jc w:val="left"/>
        <w:rPr>
          <w:rFonts w:ascii="Times New Roman" w:hAnsi="Times New Roman"/>
          <w:szCs w:val="22"/>
        </w:rPr>
      </w:pPr>
      <w:r w:rsidRPr="00C20A01">
        <w:rPr>
          <w:rFonts w:ascii="Times New Roman" w:hAnsi="Times New Roman"/>
          <w:szCs w:val="22"/>
        </w:rPr>
        <w:t>Full 5G: 0.025 kWh per GB</w:t>
      </w:r>
    </w:p>
    <w:p w14:paraId="58B6C296" w14:textId="699EE8EA" w:rsidR="00C778BA" w:rsidRPr="00D86314" w:rsidRDefault="00970E6B" w:rsidP="00C778BA">
      <w:pPr>
        <w:rPr>
          <w:noProof/>
        </w:rPr>
      </w:pPr>
      <w:r w:rsidRPr="00D86314">
        <w:rPr>
          <w:noProof/>
        </w:rPr>
        <w:t xml:space="preserve">The analysis </w:t>
      </w:r>
      <w:r w:rsidR="00C778BA" w:rsidRPr="00D86314">
        <w:rPr>
          <w:noProof/>
        </w:rPr>
        <w:t>also account</w:t>
      </w:r>
      <w:r w:rsidRPr="00D86314">
        <w:rPr>
          <w:noProof/>
        </w:rPr>
        <w:t>s</w:t>
      </w:r>
      <w:r w:rsidR="00C778BA" w:rsidRPr="00D86314">
        <w:rPr>
          <w:noProof/>
        </w:rPr>
        <w:t xml:space="preserve"> for the shift in electricity generation in the EU from fossil fuels to renewables. This </w:t>
      </w:r>
      <w:r w:rsidR="00F24F0E" w:rsidRPr="00D86314">
        <w:rPr>
          <w:noProof/>
        </w:rPr>
        <w:t>is</w:t>
      </w:r>
      <w:r w:rsidR="00C778BA" w:rsidRPr="00D86314">
        <w:rPr>
          <w:noProof/>
        </w:rPr>
        <w:t xml:space="preserve"> based on calculations made by enerdata</w:t>
      </w:r>
      <w:r w:rsidR="00C778BA" w:rsidRPr="00D86314">
        <w:rPr>
          <w:rStyle w:val="FootnoteReference"/>
          <w:noProof/>
        </w:rPr>
        <w:footnoteReference w:id="125"/>
      </w:r>
      <w:r w:rsidR="00C778BA" w:rsidRPr="00D86314">
        <w:rPr>
          <w:noProof/>
        </w:rPr>
        <w:t xml:space="preserve"> showing decrease from 0.161 kg CO</w:t>
      </w:r>
      <w:r w:rsidR="00C778BA" w:rsidRPr="00D86314">
        <w:rPr>
          <w:noProof/>
          <w:vertAlign w:val="subscript"/>
        </w:rPr>
        <w:t>2</w:t>
      </w:r>
      <w:r w:rsidR="00C778BA" w:rsidRPr="00D86314">
        <w:rPr>
          <w:noProof/>
        </w:rPr>
        <w:t>e per kWh in 2025 to 0.046 kg CO</w:t>
      </w:r>
      <w:r w:rsidR="00C778BA" w:rsidRPr="00D86314">
        <w:rPr>
          <w:noProof/>
          <w:vertAlign w:val="subscript"/>
        </w:rPr>
        <w:t>2</w:t>
      </w:r>
      <w:r w:rsidR="00C778BA" w:rsidRPr="00D86314">
        <w:rPr>
          <w:noProof/>
        </w:rPr>
        <w:t>e per kWh in 2035.</w:t>
      </w:r>
    </w:p>
    <w:p w14:paraId="7653CF61" w14:textId="29A9DD02" w:rsidR="00C778BA" w:rsidRPr="00D86314" w:rsidRDefault="00C26490" w:rsidP="00C778BA">
      <w:pPr>
        <w:rPr>
          <w:noProof/>
        </w:rPr>
      </w:pPr>
      <w:r>
        <w:rPr>
          <w:noProof/>
        </w:rPr>
        <w:t>Figure</w:t>
      </w:r>
      <w:r w:rsidR="00413EF6" w:rsidRPr="00D86314">
        <w:rPr>
          <w:noProof/>
        </w:rPr>
        <w:t xml:space="preserve"> </w:t>
      </w:r>
      <w:r w:rsidR="000B0918">
        <w:rPr>
          <w:noProof/>
        </w:rPr>
        <w:t>A4-</w:t>
      </w:r>
      <w:r w:rsidR="00413EF6" w:rsidRPr="00D86314">
        <w:rPr>
          <w:noProof/>
        </w:rPr>
        <w:t>2-2</w:t>
      </w:r>
      <w:r w:rsidR="000B0918">
        <w:rPr>
          <w:noProof/>
        </w:rPr>
        <w:t>0</w:t>
      </w:r>
      <w:r w:rsidR="00C778BA" w:rsidRPr="00D86314">
        <w:rPr>
          <w:noProof/>
        </w:rPr>
        <w:t xml:space="preserve"> shows the results in terms of the development for the different options.</w:t>
      </w:r>
    </w:p>
    <w:p w14:paraId="3F3B1915" w14:textId="74906E10" w:rsidR="00C778BA" w:rsidRPr="00D86314" w:rsidRDefault="001161C3" w:rsidP="00284939">
      <w:pPr>
        <w:keepNext/>
        <w:keepLines/>
        <w:rPr>
          <w:i/>
          <w:noProof/>
          <w:sz w:val="22"/>
          <w:szCs w:val="22"/>
        </w:rPr>
      </w:pPr>
      <w:bookmarkStart w:id="164" w:name="_Ref213856206"/>
      <w:r w:rsidRPr="00D86314">
        <w:rPr>
          <w:i/>
          <w:noProof/>
          <w:sz w:val="22"/>
          <w:szCs w:val="22"/>
        </w:rPr>
        <w:t>Figure A4 2</w:t>
      </w:r>
      <w:r w:rsidR="00413EF6" w:rsidRPr="00D86314">
        <w:rPr>
          <w:i/>
          <w:iCs/>
          <w:noProof/>
          <w:sz w:val="22"/>
          <w:szCs w:val="22"/>
        </w:rPr>
        <w:t>-</w:t>
      </w:r>
      <w:r w:rsidR="00F269E9" w:rsidRPr="00D86314">
        <w:rPr>
          <w:i/>
          <w:noProof/>
          <w:sz w:val="22"/>
          <w:szCs w:val="22"/>
        </w:rPr>
        <w:t>2</w:t>
      </w:r>
      <w:r w:rsidR="000B0918">
        <w:rPr>
          <w:i/>
          <w:noProof/>
          <w:sz w:val="22"/>
          <w:szCs w:val="22"/>
        </w:rPr>
        <w:t>1</w:t>
      </w:r>
      <w:r w:rsidR="00C778BA" w:rsidRPr="00D86314">
        <w:rPr>
          <w:i/>
          <w:noProof/>
          <w:sz w:val="22"/>
          <w:szCs w:val="22"/>
        </w:rPr>
        <w:t>: Development of GHG emissions</w:t>
      </w:r>
      <w:bookmarkEnd w:id="164"/>
    </w:p>
    <w:p w14:paraId="593E0E19" w14:textId="77777777" w:rsidR="00C778BA" w:rsidRPr="00D86314" w:rsidRDefault="00C778BA" w:rsidP="00C778BA">
      <w:pPr>
        <w:rPr>
          <w:noProof/>
        </w:rPr>
      </w:pPr>
      <w:r w:rsidRPr="00E46BC9">
        <w:rPr>
          <w:noProof/>
          <w:lang w:eastAsia="en-GB"/>
        </w:rPr>
        <w:drawing>
          <wp:inline distT="0" distB="0" distL="0" distR="0" wp14:anchorId="6E43D176" wp14:editId="3AC77FD2">
            <wp:extent cx="5440045" cy="2668270"/>
            <wp:effectExtent l="0" t="0" r="8255" b="0"/>
            <wp:docPr id="891997223" name="Grafik 1" descr="Ein Bild, das Text, Reihe, Diagramm,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97223" name="Grafik 1" descr="Ein Bild, das Text, Reihe, Diagramm, Screenshot enthält.&#10;&#10;KI-generierte Inhalte können fehlerhaft sein."/>
                    <pic:cNvPicPr/>
                  </pic:nvPicPr>
                  <pic:blipFill>
                    <a:blip r:embed="rId107"/>
                    <a:stretch>
                      <a:fillRect/>
                    </a:stretch>
                  </pic:blipFill>
                  <pic:spPr>
                    <a:xfrm>
                      <a:off x="0" y="0"/>
                      <a:ext cx="5440045" cy="2668270"/>
                    </a:xfrm>
                    <a:prstGeom prst="rect">
                      <a:avLst/>
                    </a:prstGeom>
                  </pic:spPr>
                </pic:pic>
              </a:graphicData>
            </a:graphic>
          </wp:inline>
        </w:drawing>
      </w:r>
    </w:p>
    <w:p w14:paraId="3CD60E63" w14:textId="105A5877" w:rsidR="00C778BA" w:rsidRPr="00D86314" w:rsidRDefault="00C778BA" w:rsidP="00C778BA">
      <w:pPr>
        <w:rPr>
          <w:noProof/>
        </w:rPr>
      </w:pPr>
      <w:r w:rsidRPr="00D86314">
        <w:rPr>
          <w:noProof/>
        </w:rPr>
        <w:t xml:space="preserve">In this analysis, increased data traffic is considered (based on projections). Network densification is not explicitly modelled, but may be reflected indirectly in </w:t>
      </w:r>
      <w:r w:rsidR="00A91505" w:rsidRPr="00D86314">
        <w:rPr>
          <w:noProof/>
        </w:rPr>
        <w:t xml:space="preserve">the </w:t>
      </w:r>
      <w:r w:rsidRPr="00D86314">
        <w:rPr>
          <w:noProof/>
        </w:rPr>
        <w:t>estimates</w:t>
      </w:r>
      <w:r w:rsidR="00A91505" w:rsidRPr="00D86314">
        <w:rPr>
          <w:noProof/>
        </w:rPr>
        <w:t>,</w:t>
      </w:r>
      <w:r w:rsidRPr="00D86314">
        <w:rPr>
          <w:noProof/>
        </w:rPr>
        <w:t xml:space="preserve"> as the energy efficiency associated with the operation of “full” (mid-band) 5G is likely to be affected by densification that often (although not always) takes place in order to meet increasing bandwidth demand. In this context, it is relevant to note that per individual base station, mid band can transmit more data simultaneously (higher efficiency per station) – but the energy consumption per MB across the same area might be higher, due to the increased infrastructure that is required. Concerns have been raised in several studies in this regard</w:t>
      </w:r>
      <w:r w:rsidRPr="00D86314">
        <w:rPr>
          <w:rStyle w:val="FootnoteReference"/>
          <w:noProof/>
        </w:rPr>
        <w:footnoteReference w:id="126"/>
      </w:r>
      <w:r w:rsidRPr="00D86314">
        <w:rPr>
          <w:noProof/>
        </w:rPr>
        <w:t xml:space="preserve"> that increased use of mid-band spectrum with densification could reduce the energy efficiency associated with mobile broadband provision.</w:t>
      </w:r>
    </w:p>
    <w:p w14:paraId="7AF2C0B5" w14:textId="77777777" w:rsidR="00C778BA" w:rsidRPr="00D86314" w:rsidRDefault="00C778BA" w:rsidP="00C778BA">
      <w:pPr>
        <w:rPr>
          <w:noProof/>
        </w:rPr>
      </w:pPr>
      <w:r w:rsidRPr="00D86314">
        <w:rPr>
          <w:noProof/>
        </w:rPr>
        <w:t>The main environmental impacts are expected in the operation phase. Studies from mobile equipment manufacturers suggest that the environmental impact of new generations of mobile communications at the deployment phase is likely to be limited compared with impacts associated with network operation.</w:t>
      </w:r>
      <w:r w:rsidRPr="00D86314">
        <w:rPr>
          <w:rStyle w:val="FootnoteReference"/>
          <w:noProof/>
        </w:rPr>
        <w:footnoteReference w:id="127"/>
      </w:r>
      <w:r w:rsidRPr="00D86314">
        <w:rPr>
          <w:noProof/>
        </w:rPr>
        <w:t xml:space="preserve"> </w:t>
      </w:r>
    </w:p>
    <w:p w14:paraId="6A78D133" w14:textId="77777777" w:rsidR="00C778BA" w:rsidRPr="00D86314" w:rsidRDefault="00C778BA" w:rsidP="00284939">
      <w:pPr>
        <w:pStyle w:val="Heading2"/>
        <w:spacing w:before="120"/>
        <w:ind w:left="578" w:hanging="578"/>
        <w:rPr>
          <w:noProof/>
        </w:rPr>
      </w:pPr>
      <w:bookmarkStart w:id="165" w:name="_Toc219718380"/>
      <w:r w:rsidRPr="00D86314">
        <w:rPr>
          <w:noProof/>
        </w:rPr>
        <w:t>Findings</w:t>
      </w:r>
      <w:bookmarkEnd w:id="165"/>
    </w:p>
    <w:p w14:paraId="37FE7A94" w14:textId="2BCABB84" w:rsidR="00C778BA" w:rsidRPr="00D86314" w:rsidRDefault="00C778BA" w:rsidP="00C778BA">
      <w:pPr>
        <w:rPr>
          <w:noProof/>
        </w:rPr>
      </w:pPr>
      <w:r w:rsidRPr="00D86314">
        <w:rPr>
          <w:noProof/>
        </w:rPr>
        <w:t>The table presents greenhouse gas (GHG) emissions projections across four options for the years 2025 to 2035. In general, the emissions decrease progressively each year for all options, with Option 0 starting at the highest emissions in 2025 and reducing to the lowest in 2035. The total emissions in Option 0 are 5</w:t>
      </w:r>
      <w:r w:rsidR="00225802">
        <w:rPr>
          <w:noProof/>
        </w:rPr>
        <w:t>,</w:t>
      </w:r>
      <w:r w:rsidRPr="00D86314">
        <w:rPr>
          <w:noProof/>
        </w:rPr>
        <w:t>257</w:t>
      </w:r>
      <w:r w:rsidR="00225802">
        <w:rPr>
          <w:noProof/>
        </w:rPr>
        <w:t>,</w:t>
      </w:r>
      <w:r w:rsidRPr="00D86314">
        <w:rPr>
          <w:noProof/>
        </w:rPr>
        <w:t>074, while Options 1, 2, and 3 show a slight reduction, with differences of -4</w:t>
      </w:r>
      <w:r w:rsidR="009A53EF">
        <w:rPr>
          <w:noProof/>
        </w:rPr>
        <w:t>,</w:t>
      </w:r>
      <w:r w:rsidRPr="00D86314">
        <w:rPr>
          <w:noProof/>
        </w:rPr>
        <w:t>584, -6</w:t>
      </w:r>
      <w:r w:rsidR="009A53EF">
        <w:rPr>
          <w:noProof/>
        </w:rPr>
        <w:t>,</w:t>
      </w:r>
      <w:r w:rsidRPr="00D86314">
        <w:rPr>
          <w:noProof/>
        </w:rPr>
        <w:t>670, and -6</w:t>
      </w:r>
      <w:r w:rsidR="009A53EF">
        <w:rPr>
          <w:noProof/>
        </w:rPr>
        <w:t>,</w:t>
      </w:r>
      <w:r w:rsidRPr="00D86314">
        <w:rPr>
          <w:noProof/>
        </w:rPr>
        <w:t>877, respectively. These small differences translate into negligible percentage changes, with the percentages of difference between the options ranging from -0.09% to -0.13%. This indicates that the variations in GHG emissions across the four options are minimal, suggesting similar strategies for emissions reductions in the given time frame. Overall, the slight differences in the totals demonstrate that the options lead to similar results in terms of GHG reduction.</w:t>
      </w:r>
    </w:p>
    <w:p w14:paraId="223A2C72" w14:textId="42256EA3" w:rsidR="003C5B46" w:rsidRPr="00D86314" w:rsidRDefault="003C5B46" w:rsidP="00C778BA">
      <w:pPr>
        <w:rPr>
          <w:noProof/>
        </w:rPr>
      </w:pPr>
      <w:r w:rsidRPr="00D86314">
        <w:rPr>
          <w:noProof/>
        </w:rPr>
        <w:t xml:space="preserve">For completeness, greenhouse gas emissions are also </w:t>
      </w:r>
      <w:r w:rsidRPr="00D86314">
        <w:rPr>
          <w:b/>
          <w:bCs/>
          <w:noProof/>
        </w:rPr>
        <w:t>monetised</w:t>
      </w:r>
      <w:r w:rsidRPr="00D86314">
        <w:rPr>
          <w:noProof/>
        </w:rPr>
        <w:t xml:space="preserve"> using a fixed damage cost per tonne of CO₂e. Applying a damage cost of EUR</w:t>
      </w:r>
      <w:r w:rsidR="00A40619" w:rsidRPr="00D86314">
        <w:rPr>
          <w:noProof/>
        </w:rPr>
        <w:t> </w:t>
      </w:r>
      <w:r w:rsidRPr="00D86314">
        <w:rPr>
          <w:noProof/>
        </w:rPr>
        <w:t>800 per tonne of CO₂e, the resulting climate-related damage costs attributable to mobile telecommunications amount to approximately EUR</w:t>
      </w:r>
      <w:r w:rsidR="00244B93" w:rsidRPr="00D86314">
        <w:rPr>
          <w:noProof/>
        </w:rPr>
        <w:t> </w:t>
      </w:r>
      <w:r w:rsidRPr="00D86314">
        <w:rPr>
          <w:noProof/>
        </w:rPr>
        <w:t>4.63 billion under the baseline and around EUR</w:t>
      </w:r>
      <w:r w:rsidR="00244B93" w:rsidRPr="00D86314">
        <w:rPr>
          <w:noProof/>
        </w:rPr>
        <w:t> </w:t>
      </w:r>
      <w:r w:rsidRPr="00D86314">
        <w:rPr>
          <w:noProof/>
        </w:rPr>
        <w:t>4.62 billion under Options 1, 2 and 3.</w:t>
      </w:r>
      <w:r w:rsidR="00A45EB5" w:rsidRPr="00D86314">
        <w:rPr>
          <w:rStyle w:val="FootnoteReference"/>
          <w:noProof/>
        </w:rPr>
        <w:footnoteReference w:id="128"/>
      </w:r>
      <w:r w:rsidRPr="00D86314">
        <w:rPr>
          <w:noProof/>
        </w:rPr>
        <w:t xml:space="preserve"> Consistent with the emissions results, differences in monetised environmental impacts across options are negligible.</w:t>
      </w:r>
    </w:p>
    <w:p w14:paraId="38B14C91" w14:textId="3866CEC5" w:rsidR="00C778BA" w:rsidRPr="00D86314" w:rsidRDefault="00C778BA" w:rsidP="00C778BA">
      <w:pPr>
        <w:rPr>
          <w:noProof/>
        </w:rPr>
      </w:pPr>
      <w:r w:rsidRPr="00D86314">
        <w:rPr>
          <w:noProof/>
        </w:rPr>
        <w:t>Policy option 2 will further accelerate deployment of future mobile generations like 6G that are being designed with energy efficiency and renewable energy integration as core principles and will therefore favourably impact energy efficiency</w:t>
      </w:r>
    </w:p>
    <w:p w14:paraId="04D3377D" w14:textId="77777777" w:rsidR="00C778BA" w:rsidRPr="00D86314" w:rsidRDefault="00C778BA" w:rsidP="009C0CB1">
      <w:pPr>
        <w:pStyle w:val="CommentText"/>
        <w:rPr>
          <w:noProof/>
          <w:sz w:val="22"/>
        </w:rPr>
      </w:pPr>
      <w:r w:rsidRPr="00D86314">
        <w:rPr>
          <w:noProof/>
          <w:sz w:val="24"/>
          <w:szCs w:val="24"/>
        </w:rPr>
        <w:t>The reported CO₂ values should not be interpreted as measurements with high numerical precision but rather as outputs of a scenario-based estimation model. These results represent the outcome of a defined set of assumptions. The actual uncertainty range around these values is broader and depends on the sensitivity of key parameters</w:t>
      </w:r>
      <w:r w:rsidRPr="00D86314">
        <w:rPr>
          <w:noProof/>
          <w:sz w:val="22"/>
        </w:rPr>
        <w:t>.</w:t>
      </w:r>
    </w:p>
    <w:p w14:paraId="36045D99" w14:textId="2807F28E" w:rsidR="00C778BA" w:rsidRPr="00D86314" w:rsidRDefault="00C778BA" w:rsidP="00C778BA">
      <w:pPr>
        <w:rPr>
          <w:noProof/>
        </w:rPr>
      </w:pPr>
      <w:r w:rsidRPr="00D86314">
        <w:rPr>
          <w:noProof/>
        </w:rPr>
        <w:t xml:space="preserve">A sensitivity analysis with respect to the total data consumption is not conducted insofar as the model assumes a linear relationship, i.e., a 10% increase in data volume would lead to a 10% rise in GHG emissions when the assumed technology mix stays the same. For this reason, a sensitivity analysis is conducted for the energy-efficiency factor, which is set at 22% per year in the base model. Variations in this factor accordingly affect the different options. </w:t>
      </w:r>
      <w:r w:rsidRPr="00D86314">
        <w:rPr>
          <w:noProof/>
        </w:rPr>
        <w:fldChar w:fldCharType="begin"/>
      </w:r>
      <w:r w:rsidRPr="00D86314">
        <w:rPr>
          <w:noProof/>
        </w:rPr>
        <w:instrText xml:space="preserve"> REF _Ref202474906 \h  \* MERGEFORMAT </w:instrText>
      </w:r>
      <w:r w:rsidRPr="00D86314">
        <w:rPr>
          <w:noProof/>
        </w:rPr>
      </w:r>
      <w:r w:rsidRPr="00D86314">
        <w:rPr>
          <w:noProof/>
        </w:rPr>
        <w:fldChar w:fldCharType="separate"/>
      </w:r>
      <w:r w:rsidR="00870CA9" w:rsidRPr="00D86314">
        <w:rPr>
          <w:noProof/>
        </w:rPr>
        <w:t xml:space="preserve">Table A4 </w:t>
      </w:r>
      <w:r w:rsidR="00807207">
        <w:rPr>
          <w:noProof/>
        </w:rPr>
        <w:t>2</w:t>
      </w:r>
      <w:r w:rsidR="00870CA9" w:rsidRPr="00D86314">
        <w:rPr>
          <w:noProof/>
        </w:rPr>
        <w:noBreakHyphen/>
      </w:r>
      <w:r w:rsidR="00807207">
        <w:rPr>
          <w:noProof/>
        </w:rPr>
        <w:t>6</w:t>
      </w:r>
      <w:r w:rsidRPr="00D86314">
        <w:rPr>
          <w:noProof/>
        </w:rPr>
        <w:fldChar w:fldCharType="end"/>
      </w:r>
      <w:r w:rsidRPr="00D86314">
        <w:rPr>
          <w:noProof/>
        </w:rPr>
        <w:t xml:space="preserve"> shows the results.</w:t>
      </w:r>
    </w:p>
    <w:p w14:paraId="60879058" w14:textId="53F10654" w:rsidR="00C778BA" w:rsidRPr="00D86314" w:rsidRDefault="006F0D5B" w:rsidP="00271373">
      <w:pPr>
        <w:keepNext/>
        <w:spacing w:before="240"/>
        <w:rPr>
          <w:rFonts w:eastAsiaTheme="minorEastAsia"/>
          <w:noProof/>
          <w:sz w:val="22"/>
          <w:szCs w:val="22"/>
        </w:rPr>
      </w:pPr>
      <w:r w:rsidRPr="00D86314">
        <w:rPr>
          <w:noProof/>
          <w:sz w:val="22"/>
          <w:szCs w:val="22"/>
        </w:rPr>
        <w:t>Table A4 2</w:t>
      </w:r>
      <w:r w:rsidRPr="00D86314">
        <w:rPr>
          <w:noProof/>
          <w:sz w:val="22"/>
          <w:szCs w:val="22"/>
        </w:rPr>
        <w:noBreakHyphen/>
      </w:r>
      <w:r w:rsidRPr="00D86314">
        <w:rPr>
          <w:noProof/>
          <w:sz w:val="22"/>
          <w:szCs w:val="22"/>
        </w:rPr>
        <w:fldChar w:fldCharType="begin"/>
      </w:r>
      <w:r w:rsidRPr="00D86314">
        <w:rPr>
          <w:noProof/>
          <w:sz w:val="22"/>
          <w:szCs w:val="22"/>
        </w:rPr>
        <w:instrText xml:space="preserve"> SEQ Table \* ARABIC \s 1 </w:instrText>
      </w:r>
      <w:r w:rsidRPr="00D86314">
        <w:rPr>
          <w:noProof/>
          <w:sz w:val="22"/>
          <w:szCs w:val="22"/>
        </w:rPr>
        <w:fldChar w:fldCharType="separate"/>
      </w:r>
      <w:r w:rsidR="00870CA9" w:rsidRPr="00C20A01">
        <w:rPr>
          <w:noProof/>
          <w:sz w:val="22"/>
          <w:szCs w:val="22"/>
        </w:rPr>
        <w:t>6</w:t>
      </w:r>
      <w:r w:rsidRPr="00D86314">
        <w:rPr>
          <w:noProof/>
          <w:sz w:val="22"/>
          <w:szCs w:val="22"/>
        </w:rPr>
        <w:fldChar w:fldCharType="end"/>
      </w:r>
      <w:r w:rsidR="00C778BA" w:rsidRPr="00D86314">
        <w:rPr>
          <w:noProof/>
          <w:sz w:val="22"/>
          <w:szCs w:val="22"/>
        </w:rPr>
        <w:t xml:space="preserve">:Sensitivity analysis: Variations in </w:t>
      </w:r>
      <w:r w:rsidR="00C778BA" w:rsidRPr="00D86314">
        <w:rPr>
          <w:rFonts w:eastAsiaTheme="minorEastAsia"/>
          <w:noProof/>
          <w:sz w:val="22"/>
          <w:szCs w:val="22"/>
        </w:rPr>
        <w:t>energy-efficiency factor</w:t>
      </w:r>
    </w:p>
    <w:tbl>
      <w:tblPr>
        <w:tblStyle w:val="TableGrid"/>
        <w:tblW w:w="0" w:type="auto"/>
        <w:tblLook w:val="04A0" w:firstRow="1" w:lastRow="0" w:firstColumn="1" w:lastColumn="0" w:noHBand="0" w:noVBand="1"/>
      </w:tblPr>
      <w:tblGrid>
        <w:gridCol w:w="1360"/>
        <w:gridCol w:w="1200"/>
        <w:gridCol w:w="1248"/>
        <w:gridCol w:w="1248"/>
        <w:gridCol w:w="1256"/>
        <w:gridCol w:w="1256"/>
      </w:tblGrid>
      <w:tr w:rsidR="00C778BA" w:rsidRPr="00D86314" w14:paraId="56FBD380" w14:textId="77777777" w:rsidTr="007736E8">
        <w:trPr>
          <w:trHeight w:val="300"/>
        </w:trPr>
        <w:tc>
          <w:tcPr>
            <w:tcW w:w="1360" w:type="dxa"/>
            <w:tcBorders>
              <w:top w:val="nil"/>
              <w:left w:val="nil"/>
              <w:bottom w:val="nil"/>
              <w:right w:val="nil"/>
            </w:tcBorders>
            <w:noWrap/>
          </w:tcPr>
          <w:p w14:paraId="4BB97109" w14:textId="77777777" w:rsidR="00C778BA" w:rsidRPr="00D86314" w:rsidRDefault="00C778BA" w:rsidP="007736E8">
            <w:pPr>
              <w:rPr>
                <w:rFonts w:eastAsiaTheme="minorEastAsia" w:cstheme="minorHAnsi"/>
                <w:noProof/>
                <w:sz w:val="18"/>
                <w:szCs w:val="18"/>
              </w:rPr>
            </w:pPr>
          </w:p>
        </w:tc>
        <w:tc>
          <w:tcPr>
            <w:tcW w:w="1200" w:type="dxa"/>
            <w:tcBorders>
              <w:top w:val="nil"/>
              <w:left w:val="nil"/>
              <w:bottom w:val="nil"/>
              <w:right w:val="single" w:sz="4" w:space="0" w:color="auto"/>
            </w:tcBorders>
            <w:noWrap/>
          </w:tcPr>
          <w:p w14:paraId="243243C8" w14:textId="77777777" w:rsidR="00C778BA" w:rsidRPr="00D86314" w:rsidRDefault="00C778BA" w:rsidP="007736E8">
            <w:pPr>
              <w:rPr>
                <w:rFonts w:eastAsiaTheme="minorEastAsia" w:cstheme="minorHAnsi"/>
                <w:noProof/>
                <w:sz w:val="18"/>
                <w:szCs w:val="18"/>
              </w:rPr>
            </w:pPr>
          </w:p>
        </w:tc>
        <w:tc>
          <w:tcPr>
            <w:tcW w:w="5008" w:type="dxa"/>
            <w:gridSpan w:val="4"/>
            <w:tcBorders>
              <w:top w:val="single" w:sz="4" w:space="0" w:color="auto"/>
              <w:left w:val="single" w:sz="4" w:space="0" w:color="auto"/>
              <w:bottom w:val="single" w:sz="4" w:space="0" w:color="auto"/>
              <w:right w:val="single" w:sz="4" w:space="0" w:color="auto"/>
            </w:tcBorders>
            <w:noWrap/>
            <w:hideMark/>
          </w:tcPr>
          <w:p w14:paraId="375F1D82" w14:textId="77777777" w:rsidR="00C778BA" w:rsidRPr="00D86314" w:rsidRDefault="00C778BA" w:rsidP="007736E8">
            <w:pPr>
              <w:rPr>
                <w:rFonts w:eastAsiaTheme="minorEastAsia" w:cstheme="minorHAnsi"/>
                <w:noProof/>
                <w:sz w:val="18"/>
                <w:szCs w:val="18"/>
              </w:rPr>
            </w:pPr>
            <w:r w:rsidRPr="00D86314">
              <w:rPr>
                <w:rFonts w:eastAsiaTheme="minorEastAsia" w:cstheme="minorHAnsi"/>
                <w:b/>
                <w:bCs/>
                <w:noProof/>
                <w:sz w:val="18"/>
                <w:szCs w:val="18"/>
              </w:rPr>
              <w:t>Absolute GHG emissions</w:t>
            </w:r>
          </w:p>
        </w:tc>
      </w:tr>
      <w:tr w:rsidR="00C778BA" w:rsidRPr="00D86314" w14:paraId="1FFE65A5" w14:textId="77777777" w:rsidTr="007736E8">
        <w:trPr>
          <w:trHeight w:val="300"/>
        </w:trPr>
        <w:tc>
          <w:tcPr>
            <w:tcW w:w="1360" w:type="dxa"/>
            <w:tcBorders>
              <w:top w:val="nil"/>
              <w:left w:val="nil"/>
              <w:bottom w:val="single" w:sz="4" w:space="0" w:color="auto"/>
              <w:right w:val="nil"/>
            </w:tcBorders>
            <w:noWrap/>
          </w:tcPr>
          <w:p w14:paraId="15EDB616" w14:textId="77777777" w:rsidR="00C778BA" w:rsidRPr="00D86314" w:rsidRDefault="00C778BA" w:rsidP="007736E8">
            <w:pPr>
              <w:rPr>
                <w:rFonts w:eastAsiaTheme="minorEastAsia" w:cstheme="minorHAnsi"/>
                <w:noProof/>
                <w:sz w:val="18"/>
                <w:szCs w:val="18"/>
              </w:rPr>
            </w:pPr>
          </w:p>
        </w:tc>
        <w:tc>
          <w:tcPr>
            <w:tcW w:w="1200" w:type="dxa"/>
            <w:tcBorders>
              <w:top w:val="nil"/>
              <w:left w:val="nil"/>
              <w:bottom w:val="single" w:sz="4" w:space="0" w:color="auto"/>
              <w:right w:val="single" w:sz="4" w:space="0" w:color="auto"/>
            </w:tcBorders>
            <w:noWrap/>
          </w:tcPr>
          <w:p w14:paraId="5B6F22A3" w14:textId="77777777" w:rsidR="00C778BA" w:rsidRPr="00D86314" w:rsidRDefault="00C778BA" w:rsidP="007736E8">
            <w:pPr>
              <w:rPr>
                <w:rFonts w:eastAsiaTheme="minorEastAsia" w:cstheme="minorHAnsi"/>
                <w:noProof/>
                <w:sz w:val="18"/>
                <w:szCs w:val="18"/>
              </w:rPr>
            </w:pPr>
          </w:p>
        </w:tc>
        <w:tc>
          <w:tcPr>
            <w:tcW w:w="1248" w:type="dxa"/>
            <w:tcBorders>
              <w:top w:val="single" w:sz="4" w:space="0" w:color="auto"/>
              <w:left w:val="single" w:sz="4" w:space="0" w:color="auto"/>
              <w:bottom w:val="single" w:sz="4" w:space="0" w:color="auto"/>
              <w:right w:val="single" w:sz="4" w:space="0" w:color="auto"/>
            </w:tcBorders>
            <w:noWrap/>
            <w:hideMark/>
          </w:tcPr>
          <w:p w14:paraId="5190AD57" w14:textId="77777777" w:rsidR="00C778BA" w:rsidRPr="00D86314" w:rsidRDefault="00C778BA" w:rsidP="007736E8">
            <w:pPr>
              <w:rPr>
                <w:rFonts w:eastAsiaTheme="minorEastAsia" w:cstheme="minorHAnsi"/>
                <w:b/>
                <w:bCs/>
                <w:noProof/>
                <w:sz w:val="18"/>
                <w:szCs w:val="18"/>
              </w:rPr>
            </w:pPr>
            <w:r w:rsidRPr="00D86314">
              <w:rPr>
                <w:rFonts w:eastAsiaTheme="minorEastAsia" w:cstheme="minorHAnsi"/>
                <w:b/>
                <w:bCs/>
                <w:noProof/>
                <w:sz w:val="18"/>
                <w:szCs w:val="18"/>
              </w:rPr>
              <w:t>Option 0</w:t>
            </w:r>
          </w:p>
        </w:tc>
        <w:tc>
          <w:tcPr>
            <w:tcW w:w="1248" w:type="dxa"/>
            <w:tcBorders>
              <w:top w:val="single" w:sz="4" w:space="0" w:color="auto"/>
              <w:left w:val="single" w:sz="4" w:space="0" w:color="auto"/>
              <w:bottom w:val="single" w:sz="4" w:space="0" w:color="auto"/>
              <w:right w:val="single" w:sz="4" w:space="0" w:color="auto"/>
            </w:tcBorders>
            <w:noWrap/>
            <w:hideMark/>
          </w:tcPr>
          <w:p w14:paraId="3656D28D" w14:textId="77777777" w:rsidR="00C778BA" w:rsidRPr="00D86314" w:rsidRDefault="00C778BA" w:rsidP="007736E8">
            <w:pPr>
              <w:rPr>
                <w:rFonts w:eastAsiaTheme="minorEastAsia" w:cstheme="minorHAnsi"/>
                <w:b/>
                <w:bCs/>
                <w:noProof/>
                <w:sz w:val="18"/>
                <w:szCs w:val="18"/>
              </w:rPr>
            </w:pPr>
            <w:r w:rsidRPr="00D86314">
              <w:rPr>
                <w:rFonts w:eastAsiaTheme="minorEastAsia" w:cstheme="minorHAnsi"/>
                <w:b/>
                <w:bCs/>
                <w:noProof/>
                <w:sz w:val="18"/>
                <w:szCs w:val="18"/>
              </w:rPr>
              <w:t>Option 1</w:t>
            </w:r>
          </w:p>
        </w:tc>
        <w:tc>
          <w:tcPr>
            <w:tcW w:w="1256" w:type="dxa"/>
            <w:tcBorders>
              <w:top w:val="single" w:sz="4" w:space="0" w:color="auto"/>
              <w:left w:val="single" w:sz="4" w:space="0" w:color="auto"/>
              <w:bottom w:val="single" w:sz="4" w:space="0" w:color="auto"/>
              <w:right w:val="single" w:sz="4" w:space="0" w:color="auto"/>
            </w:tcBorders>
            <w:noWrap/>
            <w:hideMark/>
          </w:tcPr>
          <w:p w14:paraId="3BD82CEF" w14:textId="77777777" w:rsidR="00C778BA" w:rsidRPr="00D86314" w:rsidRDefault="00C778BA" w:rsidP="007736E8">
            <w:pPr>
              <w:rPr>
                <w:rFonts w:eastAsiaTheme="minorEastAsia" w:cstheme="minorHAnsi"/>
                <w:b/>
                <w:bCs/>
                <w:noProof/>
                <w:sz w:val="18"/>
                <w:szCs w:val="18"/>
              </w:rPr>
            </w:pPr>
            <w:r w:rsidRPr="00D86314">
              <w:rPr>
                <w:rFonts w:eastAsiaTheme="minorEastAsia" w:cstheme="minorHAnsi"/>
                <w:b/>
                <w:bCs/>
                <w:noProof/>
                <w:sz w:val="18"/>
                <w:szCs w:val="18"/>
              </w:rPr>
              <w:t>Option 2</w:t>
            </w:r>
          </w:p>
        </w:tc>
        <w:tc>
          <w:tcPr>
            <w:tcW w:w="1256" w:type="dxa"/>
            <w:tcBorders>
              <w:top w:val="single" w:sz="4" w:space="0" w:color="auto"/>
              <w:left w:val="single" w:sz="4" w:space="0" w:color="auto"/>
              <w:bottom w:val="single" w:sz="4" w:space="0" w:color="auto"/>
              <w:right w:val="single" w:sz="4" w:space="0" w:color="auto"/>
            </w:tcBorders>
            <w:noWrap/>
            <w:hideMark/>
          </w:tcPr>
          <w:p w14:paraId="6F40B220" w14:textId="77777777" w:rsidR="00C778BA" w:rsidRPr="00D86314" w:rsidRDefault="00C778BA" w:rsidP="007736E8">
            <w:pPr>
              <w:rPr>
                <w:rFonts w:eastAsiaTheme="minorEastAsia" w:cstheme="minorHAnsi"/>
                <w:b/>
                <w:bCs/>
                <w:noProof/>
                <w:sz w:val="18"/>
                <w:szCs w:val="18"/>
              </w:rPr>
            </w:pPr>
            <w:r w:rsidRPr="00D86314">
              <w:rPr>
                <w:rFonts w:eastAsiaTheme="minorEastAsia" w:cstheme="minorHAnsi"/>
                <w:b/>
                <w:bCs/>
                <w:noProof/>
                <w:sz w:val="18"/>
                <w:szCs w:val="18"/>
              </w:rPr>
              <w:t>Option 3</w:t>
            </w:r>
          </w:p>
        </w:tc>
      </w:tr>
      <w:tr w:rsidR="00C778BA" w:rsidRPr="00D86314" w14:paraId="6DD59F14" w14:textId="77777777" w:rsidTr="007736E8">
        <w:trPr>
          <w:trHeight w:val="300"/>
        </w:trPr>
        <w:tc>
          <w:tcPr>
            <w:tcW w:w="1360" w:type="dxa"/>
            <w:vMerge w:val="restart"/>
            <w:tcBorders>
              <w:top w:val="single" w:sz="4" w:space="0" w:color="auto"/>
              <w:left w:val="single" w:sz="4" w:space="0" w:color="auto"/>
              <w:bottom w:val="single" w:sz="4" w:space="0" w:color="auto"/>
              <w:right w:val="single" w:sz="4" w:space="0" w:color="auto"/>
            </w:tcBorders>
            <w:hideMark/>
          </w:tcPr>
          <w:p w14:paraId="7D8E33B1"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Energy efficiency improvement factor</w:t>
            </w:r>
          </w:p>
        </w:tc>
        <w:tc>
          <w:tcPr>
            <w:tcW w:w="1200" w:type="dxa"/>
            <w:tcBorders>
              <w:top w:val="single" w:sz="4" w:space="0" w:color="auto"/>
              <w:left w:val="single" w:sz="4" w:space="0" w:color="auto"/>
              <w:bottom w:val="single" w:sz="4" w:space="0" w:color="auto"/>
              <w:right w:val="single" w:sz="4" w:space="0" w:color="auto"/>
            </w:tcBorders>
            <w:noWrap/>
            <w:hideMark/>
          </w:tcPr>
          <w:p w14:paraId="53621BD0"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p>
        </w:tc>
        <w:tc>
          <w:tcPr>
            <w:tcW w:w="1248" w:type="dxa"/>
            <w:tcBorders>
              <w:top w:val="single" w:sz="4" w:space="0" w:color="auto"/>
              <w:left w:val="single" w:sz="4" w:space="0" w:color="auto"/>
              <w:bottom w:val="single" w:sz="4" w:space="0" w:color="auto"/>
              <w:right w:val="single" w:sz="4" w:space="0" w:color="auto"/>
            </w:tcBorders>
            <w:noWrap/>
            <w:hideMark/>
          </w:tcPr>
          <w:p w14:paraId="75D1E6FB" w14:textId="3D1E4898"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C64EB1">
              <w:rPr>
                <w:rFonts w:eastAsiaTheme="minorEastAsia" w:cstheme="minorHAnsi"/>
                <w:noProof/>
                <w:sz w:val="18"/>
                <w:szCs w:val="18"/>
              </w:rPr>
              <w:t>,</w:t>
            </w:r>
            <w:r w:rsidRPr="00D86314">
              <w:rPr>
                <w:rFonts w:eastAsiaTheme="minorEastAsia" w:cstheme="minorHAnsi"/>
                <w:noProof/>
                <w:sz w:val="18"/>
                <w:szCs w:val="18"/>
              </w:rPr>
              <w:t>689</w:t>
            </w:r>
            <w:r w:rsidR="00C64EB1">
              <w:rPr>
                <w:rFonts w:eastAsiaTheme="minorEastAsia" w:cstheme="minorHAnsi"/>
                <w:noProof/>
                <w:sz w:val="18"/>
                <w:szCs w:val="18"/>
              </w:rPr>
              <w:t>,</w:t>
            </w:r>
            <w:r w:rsidRPr="00D86314">
              <w:rPr>
                <w:rFonts w:eastAsiaTheme="minorEastAsia" w:cstheme="minorHAnsi"/>
                <w:noProof/>
                <w:sz w:val="18"/>
                <w:szCs w:val="18"/>
              </w:rPr>
              <w:t>509</w:t>
            </w:r>
          </w:p>
        </w:tc>
        <w:tc>
          <w:tcPr>
            <w:tcW w:w="1248" w:type="dxa"/>
            <w:tcBorders>
              <w:top w:val="single" w:sz="4" w:space="0" w:color="auto"/>
              <w:left w:val="single" w:sz="4" w:space="0" w:color="auto"/>
              <w:bottom w:val="single" w:sz="4" w:space="0" w:color="auto"/>
              <w:right w:val="single" w:sz="4" w:space="0" w:color="auto"/>
            </w:tcBorders>
            <w:noWrap/>
            <w:hideMark/>
          </w:tcPr>
          <w:p w14:paraId="10972505" w14:textId="50CB31ED"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C64EB1">
              <w:rPr>
                <w:rFonts w:eastAsiaTheme="minorEastAsia" w:cstheme="minorHAnsi"/>
                <w:noProof/>
                <w:sz w:val="18"/>
                <w:szCs w:val="18"/>
              </w:rPr>
              <w:t>,</w:t>
            </w:r>
            <w:r w:rsidRPr="00D86314">
              <w:rPr>
                <w:rFonts w:eastAsiaTheme="minorEastAsia" w:cstheme="minorHAnsi"/>
                <w:noProof/>
                <w:sz w:val="18"/>
                <w:szCs w:val="18"/>
              </w:rPr>
              <w:t>682</w:t>
            </w:r>
            <w:r w:rsidR="00582F29">
              <w:rPr>
                <w:rFonts w:eastAsiaTheme="minorEastAsia" w:cstheme="minorHAnsi"/>
                <w:noProof/>
                <w:sz w:val="18"/>
                <w:szCs w:val="18"/>
              </w:rPr>
              <w:t>,</w:t>
            </w:r>
            <w:r w:rsidRPr="00D86314">
              <w:rPr>
                <w:rFonts w:eastAsiaTheme="minorEastAsia" w:cstheme="minorHAnsi"/>
                <w:noProof/>
                <w:sz w:val="18"/>
                <w:szCs w:val="18"/>
              </w:rPr>
              <w:t>062</w:t>
            </w:r>
          </w:p>
        </w:tc>
        <w:tc>
          <w:tcPr>
            <w:tcW w:w="1256" w:type="dxa"/>
            <w:tcBorders>
              <w:top w:val="single" w:sz="4" w:space="0" w:color="auto"/>
              <w:left w:val="single" w:sz="4" w:space="0" w:color="auto"/>
              <w:bottom w:val="single" w:sz="4" w:space="0" w:color="auto"/>
              <w:right w:val="single" w:sz="4" w:space="0" w:color="auto"/>
            </w:tcBorders>
            <w:noWrap/>
            <w:hideMark/>
          </w:tcPr>
          <w:p w14:paraId="1173F1C8" w14:textId="27000A2E"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582F29">
              <w:rPr>
                <w:rFonts w:eastAsiaTheme="minorEastAsia" w:cstheme="minorHAnsi"/>
                <w:noProof/>
                <w:sz w:val="18"/>
                <w:szCs w:val="18"/>
              </w:rPr>
              <w:t>,</w:t>
            </w:r>
            <w:r w:rsidRPr="00D86314">
              <w:rPr>
                <w:rFonts w:eastAsiaTheme="minorEastAsia" w:cstheme="minorHAnsi"/>
                <w:noProof/>
                <w:sz w:val="18"/>
                <w:szCs w:val="18"/>
              </w:rPr>
              <w:t>678</w:t>
            </w:r>
            <w:r w:rsidR="00AB516C">
              <w:rPr>
                <w:rFonts w:eastAsiaTheme="minorEastAsia" w:cstheme="minorHAnsi"/>
                <w:noProof/>
                <w:sz w:val="18"/>
                <w:szCs w:val="18"/>
              </w:rPr>
              <w:t>,</w:t>
            </w:r>
            <w:r w:rsidRPr="00D86314">
              <w:rPr>
                <w:rFonts w:eastAsiaTheme="minorEastAsia" w:cstheme="minorHAnsi"/>
                <w:noProof/>
                <w:sz w:val="18"/>
                <w:szCs w:val="18"/>
              </w:rPr>
              <w:t>545</w:t>
            </w:r>
          </w:p>
        </w:tc>
        <w:tc>
          <w:tcPr>
            <w:tcW w:w="1256" w:type="dxa"/>
            <w:tcBorders>
              <w:top w:val="single" w:sz="4" w:space="0" w:color="auto"/>
              <w:left w:val="single" w:sz="4" w:space="0" w:color="auto"/>
              <w:bottom w:val="single" w:sz="4" w:space="0" w:color="auto"/>
              <w:right w:val="single" w:sz="4" w:space="0" w:color="auto"/>
            </w:tcBorders>
            <w:noWrap/>
            <w:hideMark/>
          </w:tcPr>
          <w:p w14:paraId="280F4BA4" w14:textId="7993BE3E"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678</w:t>
            </w:r>
            <w:r w:rsidR="00DD020D">
              <w:rPr>
                <w:rFonts w:eastAsiaTheme="minorEastAsia" w:cstheme="minorHAnsi"/>
                <w:noProof/>
                <w:sz w:val="18"/>
                <w:szCs w:val="18"/>
              </w:rPr>
              <w:t>,</w:t>
            </w:r>
            <w:r w:rsidRPr="00D86314">
              <w:rPr>
                <w:rFonts w:eastAsiaTheme="minorEastAsia" w:cstheme="minorHAnsi"/>
                <w:noProof/>
                <w:sz w:val="18"/>
                <w:szCs w:val="18"/>
              </w:rPr>
              <w:t>338</w:t>
            </w:r>
          </w:p>
        </w:tc>
      </w:tr>
      <w:tr w:rsidR="00C778BA" w:rsidRPr="00D86314" w14:paraId="74461AF1"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3744AD90"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60C34B59"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10%</w:t>
            </w:r>
          </w:p>
        </w:tc>
        <w:tc>
          <w:tcPr>
            <w:tcW w:w="1248" w:type="dxa"/>
            <w:tcBorders>
              <w:top w:val="single" w:sz="4" w:space="0" w:color="auto"/>
              <w:left w:val="single" w:sz="4" w:space="0" w:color="auto"/>
              <w:bottom w:val="single" w:sz="4" w:space="0" w:color="auto"/>
              <w:right w:val="single" w:sz="4" w:space="0" w:color="auto"/>
            </w:tcBorders>
            <w:noWrap/>
            <w:hideMark/>
          </w:tcPr>
          <w:p w14:paraId="3F2E6D99" w14:textId="3426FAB8"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542</w:t>
            </w:r>
            <w:r w:rsidR="00DD020D">
              <w:rPr>
                <w:rFonts w:eastAsiaTheme="minorEastAsia" w:cstheme="minorHAnsi"/>
                <w:noProof/>
                <w:sz w:val="18"/>
                <w:szCs w:val="18"/>
              </w:rPr>
              <w:t>,</w:t>
            </w:r>
            <w:r w:rsidRPr="00D86314">
              <w:rPr>
                <w:rFonts w:eastAsiaTheme="minorEastAsia" w:cstheme="minorHAnsi"/>
                <w:noProof/>
                <w:sz w:val="18"/>
                <w:szCs w:val="18"/>
              </w:rPr>
              <w:t>002</w:t>
            </w:r>
          </w:p>
        </w:tc>
        <w:tc>
          <w:tcPr>
            <w:tcW w:w="1248" w:type="dxa"/>
            <w:tcBorders>
              <w:top w:val="single" w:sz="4" w:space="0" w:color="auto"/>
              <w:left w:val="single" w:sz="4" w:space="0" w:color="auto"/>
              <w:bottom w:val="single" w:sz="4" w:space="0" w:color="auto"/>
              <w:right w:val="single" w:sz="4" w:space="0" w:color="auto"/>
            </w:tcBorders>
            <w:noWrap/>
            <w:hideMark/>
          </w:tcPr>
          <w:p w14:paraId="732F5F5F" w14:textId="56323F94"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535</w:t>
            </w:r>
            <w:r w:rsidR="00DD020D">
              <w:rPr>
                <w:rFonts w:eastAsiaTheme="minorEastAsia" w:cstheme="minorHAnsi"/>
                <w:noProof/>
                <w:sz w:val="18"/>
                <w:szCs w:val="18"/>
              </w:rPr>
              <w:t>,</w:t>
            </w:r>
            <w:r w:rsidRPr="00D86314">
              <w:rPr>
                <w:rFonts w:eastAsiaTheme="minorEastAsia" w:cstheme="minorHAnsi"/>
                <w:noProof/>
                <w:sz w:val="18"/>
                <w:szCs w:val="18"/>
              </w:rPr>
              <w:t>594</w:t>
            </w:r>
          </w:p>
        </w:tc>
        <w:tc>
          <w:tcPr>
            <w:tcW w:w="1256" w:type="dxa"/>
            <w:tcBorders>
              <w:top w:val="single" w:sz="4" w:space="0" w:color="auto"/>
              <w:left w:val="single" w:sz="4" w:space="0" w:color="auto"/>
              <w:bottom w:val="single" w:sz="4" w:space="0" w:color="auto"/>
              <w:right w:val="single" w:sz="4" w:space="0" w:color="auto"/>
            </w:tcBorders>
            <w:noWrap/>
            <w:hideMark/>
          </w:tcPr>
          <w:p w14:paraId="7B6AA2B7" w14:textId="6CA1A391"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532</w:t>
            </w:r>
            <w:r w:rsidR="00DD020D">
              <w:rPr>
                <w:rFonts w:eastAsiaTheme="minorEastAsia" w:cstheme="minorHAnsi"/>
                <w:noProof/>
                <w:sz w:val="18"/>
                <w:szCs w:val="18"/>
              </w:rPr>
              <w:t>,</w:t>
            </w:r>
            <w:r w:rsidRPr="00D86314">
              <w:rPr>
                <w:rFonts w:eastAsiaTheme="minorEastAsia" w:cstheme="minorHAnsi"/>
                <w:noProof/>
                <w:sz w:val="18"/>
                <w:szCs w:val="18"/>
              </w:rPr>
              <w:t>596</w:t>
            </w:r>
          </w:p>
        </w:tc>
        <w:tc>
          <w:tcPr>
            <w:tcW w:w="1256" w:type="dxa"/>
            <w:tcBorders>
              <w:top w:val="single" w:sz="4" w:space="0" w:color="auto"/>
              <w:left w:val="single" w:sz="4" w:space="0" w:color="auto"/>
              <w:bottom w:val="single" w:sz="4" w:space="0" w:color="auto"/>
              <w:right w:val="single" w:sz="4" w:space="0" w:color="auto"/>
            </w:tcBorders>
            <w:noWrap/>
            <w:hideMark/>
          </w:tcPr>
          <w:p w14:paraId="44F13334" w14:textId="4AF3374C"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532</w:t>
            </w:r>
            <w:r w:rsidR="00DD020D">
              <w:rPr>
                <w:rFonts w:eastAsiaTheme="minorEastAsia" w:cstheme="minorHAnsi"/>
                <w:noProof/>
                <w:sz w:val="18"/>
                <w:szCs w:val="18"/>
              </w:rPr>
              <w:t>,</w:t>
            </w:r>
            <w:r w:rsidRPr="00D86314">
              <w:rPr>
                <w:rFonts w:eastAsiaTheme="minorEastAsia" w:cstheme="minorHAnsi"/>
                <w:noProof/>
                <w:sz w:val="18"/>
                <w:szCs w:val="18"/>
              </w:rPr>
              <w:t>390</w:t>
            </w:r>
          </w:p>
        </w:tc>
      </w:tr>
      <w:tr w:rsidR="00C778BA" w:rsidRPr="00D86314" w14:paraId="3EC5AFDC"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40849393"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391E4A57"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20%</w:t>
            </w:r>
          </w:p>
        </w:tc>
        <w:tc>
          <w:tcPr>
            <w:tcW w:w="1248" w:type="dxa"/>
            <w:tcBorders>
              <w:top w:val="single" w:sz="4" w:space="0" w:color="auto"/>
              <w:left w:val="single" w:sz="4" w:space="0" w:color="auto"/>
              <w:bottom w:val="single" w:sz="4" w:space="0" w:color="auto"/>
              <w:right w:val="single" w:sz="4" w:space="0" w:color="auto"/>
            </w:tcBorders>
            <w:noWrap/>
            <w:hideMark/>
          </w:tcPr>
          <w:p w14:paraId="5A16C093" w14:textId="439A0CF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298</w:t>
            </w:r>
            <w:r w:rsidR="00DD020D">
              <w:rPr>
                <w:rFonts w:eastAsiaTheme="minorEastAsia" w:cstheme="minorHAnsi"/>
                <w:noProof/>
                <w:sz w:val="18"/>
                <w:szCs w:val="18"/>
              </w:rPr>
              <w:t>,</w:t>
            </w:r>
            <w:r w:rsidRPr="00D86314">
              <w:rPr>
                <w:rFonts w:eastAsiaTheme="minorEastAsia" w:cstheme="minorHAnsi"/>
                <w:noProof/>
                <w:sz w:val="18"/>
                <w:szCs w:val="18"/>
              </w:rPr>
              <w:t>659</w:t>
            </w:r>
          </w:p>
        </w:tc>
        <w:tc>
          <w:tcPr>
            <w:tcW w:w="1248" w:type="dxa"/>
            <w:tcBorders>
              <w:top w:val="single" w:sz="4" w:space="0" w:color="auto"/>
              <w:left w:val="single" w:sz="4" w:space="0" w:color="auto"/>
              <w:bottom w:val="single" w:sz="4" w:space="0" w:color="auto"/>
              <w:right w:val="single" w:sz="4" w:space="0" w:color="auto"/>
            </w:tcBorders>
            <w:noWrap/>
            <w:hideMark/>
          </w:tcPr>
          <w:p w14:paraId="35E6A07E" w14:textId="3DA818C3"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293</w:t>
            </w:r>
            <w:r w:rsidR="00DD020D">
              <w:rPr>
                <w:rFonts w:eastAsiaTheme="minorEastAsia" w:cstheme="minorHAnsi"/>
                <w:noProof/>
                <w:sz w:val="18"/>
                <w:szCs w:val="18"/>
              </w:rPr>
              <w:t>,</w:t>
            </w:r>
            <w:r w:rsidRPr="00D86314">
              <w:rPr>
                <w:rFonts w:eastAsiaTheme="minorEastAsia" w:cstheme="minorHAnsi"/>
                <w:noProof/>
                <w:sz w:val="18"/>
                <w:szCs w:val="18"/>
              </w:rPr>
              <w:t>826</w:t>
            </w:r>
          </w:p>
        </w:tc>
        <w:tc>
          <w:tcPr>
            <w:tcW w:w="1256" w:type="dxa"/>
            <w:tcBorders>
              <w:top w:val="single" w:sz="4" w:space="0" w:color="auto"/>
              <w:left w:val="single" w:sz="4" w:space="0" w:color="auto"/>
              <w:bottom w:val="single" w:sz="4" w:space="0" w:color="auto"/>
              <w:right w:val="single" w:sz="4" w:space="0" w:color="auto"/>
            </w:tcBorders>
            <w:noWrap/>
            <w:hideMark/>
          </w:tcPr>
          <w:p w14:paraId="6BA7DA7C" w14:textId="001A159C"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291</w:t>
            </w:r>
            <w:r w:rsidR="00DD020D">
              <w:rPr>
                <w:rFonts w:eastAsiaTheme="minorEastAsia" w:cstheme="minorHAnsi"/>
                <w:noProof/>
                <w:sz w:val="18"/>
                <w:szCs w:val="18"/>
              </w:rPr>
              <w:t>,</w:t>
            </w:r>
            <w:r w:rsidRPr="00D86314">
              <w:rPr>
                <w:rFonts w:eastAsiaTheme="minorEastAsia" w:cstheme="minorHAnsi"/>
                <w:noProof/>
                <w:sz w:val="18"/>
                <w:szCs w:val="18"/>
              </w:rPr>
              <w:t>616</w:t>
            </w:r>
          </w:p>
        </w:tc>
        <w:tc>
          <w:tcPr>
            <w:tcW w:w="1256" w:type="dxa"/>
            <w:tcBorders>
              <w:top w:val="single" w:sz="4" w:space="0" w:color="auto"/>
              <w:left w:val="single" w:sz="4" w:space="0" w:color="auto"/>
              <w:bottom w:val="single" w:sz="4" w:space="0" w:color="auto"/>
              <w:right w:val="single" w:sz="4" w:space="0" w:color="auto"/>
            </w:tcBorders>
            <w:noWrap/>
            <w:hideMark/>
          </w:tcPr>
          <w:p w14:paraId="2175C9A6" w14:textId="7B2B4F5C"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291</w:t>
            </w:r>
            <w:r w:rsidR="00DD020D">
              <w:rPr>
                <w:rFonts w:eastAsiaTheme="minorEastAsia" w:cstheme="minorHAnsi"/>
                <w:noProof/>
                <w:sz w:val="18"/>
                <w:szCs w:val="18"/>
              </w:rPr>
              <w:t>,</w:t>
            </w:r>
            <w:r w:rsidRPr="00D86314">
              <w:rPr>
                <w:rFonts w:eastAsiaTheme="minorEastAsia" w:cstheme="minorHAnsi"/>
                <w:noProof/>
                <w:sz w:val="18"/>
                <w:szCs w:val="18"/>
              </w:rPr>
              <w:t>410</w:t>
            </w:r>
          </w:p>
        </w:tc>
      </w:tr>
      <w:tr w:rsidR="00C778BA" w:rsidRPr="00D86314" w14:paraId="35277A21"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40F85A7F"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12B4903B" w14:textId="77777777" w:rsidR="00C778BA" w:rsidRPr="00D86314" w:rsidRDefault="00C778BA" w:rsidP="007736E8">
            <w:pPr>
              <w:rPr>
                <w:rFonts w:eastAsiaTheme="minorEastAsia" w:cstheme="minorHAnsi"/>
                <w:b/>
                <w:bCs/>
                <w:noProof/>
                <w:sz w:val="18"/>
                <w:szCs w:val="18"/>
              </w:rPr>
            </w:pPr>
            <w:r w:rsidRPr="00D86314">
              <w:rPr>
                <w:rFonts w:eastAsiaTheme="minorEastAsia" w:cstheme="minorHAnsi"/>
                <w:b/>
                <w:bCs/>
                <w:noProof/>
                <w:sz w:val="18"/>
                <w:szCs w:val="18"/>
              </w:rPr>
              <w:t>22%</w:t>
            </w:r>
          </w:p>
        </w:tc>
        <w:tc>
          <w:tcPr>
            <w:tcW w:w="1248" w:type="dxa"/>
            <w:tcBorders>
              <w:top w:val="single" w:sz="4" w:space="0" w:color="auto"/>
              <w:left w:val="single" w:sz="4" w:space="0" w:color="auto"/>
              <w:bottom w:val="single" w:sz="4" w:space="0" w:color="auto"/>
              <w:right w:val="single" w:sz="4" w:space="0" w:color="auto"/>
            </w:tcBorders>
            <w:noWrap/>
            <w:hideMark/>
          </w:tcPr>
          <w:p w14:paraId="340DF5F6" w14:textId="02F40E53"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257</w:t>
            </w:r>
            <w:r w:rsidR="00DD020D">
              <w:rPr>
                <w:rFonts w:eastAsiaTheme="minorEastAsia" w:cstheme="minorHAnsi"/>
                <w:noProof/>
                <w:sz w:val="18"/>
                <w:szCs w:val="18"/>
              </w:rPr>
              <w:t>,</w:t>
            </w:r>
            <w:r w:rsidRPr="00D86314">
              <w:rPr>
                <w:rFonts w:eastAsiaTheme="minorEastAsia" w:cstheme="minorHAnsi"/>
                <w:noProof/>
                <w:sz w:val="18"/>
                <w:szCs w:val="18"/>
              </w:rPr>
              <w:t>074</w:t>
            </w:r>
          </w:p>
        </w:tc>
        <w:tc>
          <w:tcPr>
            <w:tcW w:w="1248" w:type="dxa"/>
            <w:tcBorders>
              <w:top w:val="single" w:sz="4" w:space="0" w:color="auto"/>
              <w:left w:val="single" w:sz="4" w:space="0" w:color="auto"/>
              <w:bottom w:val="single" w:sz="4" w:space="0" w:color="auto"/>
              <w:right w:val="single" w:sz="4" w:space="0" w:color="auto"/>
            </w:tcBorders>
            <w:noWrap/>
            <w:hideMark/>
          </w:tcPr>
          <w:p w14:paraId="16A19FA2" w14:textId="0F95A0E0"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252</w:t>
            </w:r>
            <w:r w:rsidR="00DD020D">
              <w:rPr>
                <w:rFonts w:eastAsiaTheme="minorEastAsia" w:cstheme="minorHAnsi"/>
                <w:noProof/>
                <w:sz w:val="18"/>
                <w:szCs w:val="18"/>
              </w:rPr>
              <w:t>,</w:t>
            </w:r>
            <w:r w:rsidRPr="00D86314">
              <w:rPr>
                <w:rFonts w:eastAsiaTheme="minorEastAsia" w:cstheme="minorHAnsi"/>
                <w:noProof/>
                <w:sz w:val="18"/>
                <w:szCs w:val="18"/>
              </w:rPr>
              <w:t>490</w:t>
            </w:r>
          </w:p>
        </w:tc>
        <w:tc>
          <w:tcPr>
            <w:tcW w:w="1256" w:type="dxa"/>
            <w:tcBorders>
              <w:top w:val="single" w:sz="4" w:space="0" w:color="auto"/>
              <w:left w:val="single" w:sz="4" w:space="0" w:color="auto"/>
              <w:bottom w:val="single" w:sz="4" w:space="0" w:color="auto"/>
              <w:right w:val="single" w:sz="4" w:space="0" w:color="auto"/>
            </w:tcBorders>
            <w:noWrap/>
            <w:hideMark/>
          </w:tcPr>
          <w:p w14:paraId="5175C558" w14:textId="1F859F79"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250</w:t>
            </w:r>
            <w:r w:rsidR="00DD020D">
              <w:rPr>
                <w:rFonts w:eastAsiaTheme="minorEastAsia" w:cstheme="minorHAnsi"/>
                <w:noProof/>
                <w:sz w:val="18"/>
                <w:szCs w:val="18"/>
              </w:rPr>
              <w:t>,</w:t>
            </w:r>
            <w:r w:rsidRPr="00D86314">
              <w:rPr>
                <w:rFonts w:eastAsiaTheme="minorEastAsia" w:cstheme="minorHAnsi"/>
                <w:noProof/>
                <w:sz w:val="18"/>
                <w:szCs w:val="18"/>
              </w:rPr>
              <w:t>404</w:t>
            </w:r>
          </w:p>
        </w:tc>
        <w:tc>
          <w:tcPr>
            <w:tcW w:w="1256" w:type="dxa"/>
            <w:tcBorders>
              <w:top w:val="single" w:sz="4" w:space="0" w:color="auto"/>
              <w:left w:val="single" w:sz="4" w:space="0" w:color="auto"/>
              <w:bottom w:val="single" w:sz="4" w:space="0" w:color="auto"/>
              <w:right w:val="single" w:sz="4" w:space="0" w:color="auto"/>
            </w:tcBorders>
            <w:noWrap/>
            <w:hideMark/>
          </w:tcPr>
          <w:p w14:paraId="2E20A35A" w14:textId="725CB459"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250</w:t>
            </w:r>
            <w:r w:rsidR="00DD020D">
              <w:rPr>
                <w:rFonts w:eastAsiaTheme="minorEastAsia" w:cstheme="minorHAnsi"/>
                <w:noProof/>
                <w:sz w:val="18"/>
                <w:szCs w:val="18"/>
              </w:rPr>
              <w:t>,</w:t>
            </w:r>
            <w:r w:rsidRPr="00D86314">
              <w:rPr>
                <w:rFonts w:eastAsiaTheme="minorEastAsia" w:cstheme="minorHAnsi"/>
                <w:noProof/>
                <w:sz w:val="18"/>
                <w:szCs w:val="18"/>
              </w:rPr>
              <w:t>198</w:t>
            </w:r>
          </w:p>
        </w:tc>
      </w:tr>
      <w:tr w:rsidR="00C778BA" w:rsidRPr="00D86314" w14:paraId="32CC6DC4"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468513F0"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7A5AB0C1"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30%</w:t>
            </w:r>
          </w:p>
        </w:tc>
        <w:tc>
          <w:tcPr>
            <w:tcW w:w="1248" w:type="dxa"/>
            <w:tcBorders>
              <w:top w:val="single" w:sz="4" w:space="0" w:color="auto"/>
              <w:left w:val="single" w:sz="4" w:space="0" w:color="auto"/>
              <w:bottom w:val="single" w:sz="4" w:space="0" w:color="auto"/>
              <w:right w:val="single" w:sz="4" w:space="0" w:color="auto"/>
            </w:tcBorders>
            <w:noWrap/>
            <w:hideMark/>
          </w:tcPr>
          <w:p w14:paraId="043BE2C3" w14:textId="7DB83174"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110</w:t>
            </w:r>
            <w:r w:rsidR="00DD020D">
              <w:rPr>
                <w:rFonts w:eastAsiaTheme="minorEastAsia" w:cstheme="minorHAnsi"/>
                <w:noProof/>
                <w:sz w:val="18"/>
                <w:szCs w:val="18"/>
              </w:rPr>
              <w:t>,</w:t>
            </w:r>
            <w:r w:rsidRPr="00D86314">
              <w:rPr>
                <w:rFonts w:eastAsiaTheme="minorEastAsia" w:cstheme="minorHAnsi"/>
                <w:noProof/>
                <w:sz w:val="18"/>
                <w:szCs w:val="18"/>
              </w:rPr>
              <w:t>378</w:t>
            </w:r>
          </w:p>
        </w:tc>
        <w:tc>
          <w:tcPr>
            <w:tcW w:w="1248" w:type="dxa"/>
            <w:tcBorders>
              <w:top w:val="single" w:sz="4" w:space="0" w:color="auto"/>
              <w:left w:val="single" w:sz="4" w:space="0" w:color="auto"/>
              <w:bottom w:val="single" w:sz="4" w:space="0" w:color="auto"/>
              <w:right w:val="single" w:sz="4" w:space="0" w:color="auto"/>
            </w:tcBorders>
            <w:noWrap/>
            <w:hideMark/>
          </w:tcPr>
          <w:p w14:paraId="0877160E" w14:textId="5AF20B2D"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106</w:t>
            </w:r>
            <w:r w:rsidR="00DD020D">
              <w:rPr>
                <w:rFonts w:eastAsiaTheme="minorEastAsia" w:cstheme="minorHAnsi"/>
                <w:noProof/>
                <w:sz w:val="18"/>
                <w:szCs w:val="18"/>
              </w:rPr>
              <w:t>,</w:t>
            </w:r>
            <w:r w:rsidRPr="00D86314">
              <w:rPr>
                <w:rFonts w:eastAsiaTheme="minorEastAsia" w:cstheme="minorHAnsi"/>
                <w:noProof/>
                <w:sz w:val="18"/>
                <w:szCs w:val="18"/>
              </w:rPr>
              <w:t>615</w:t>
            </w:r>
          </w:p>
        </w:tc>
        <w:tc>
          <w:tcPr>
            <w:tcW w:w="1256" w:type="dxa"/>
            <w:tcBorders>
              <w:top w:val="single" w:sz="4" w:space="0" w:color="auto"/>
              <w:left w:val="single" w:sz="4" w:space="0" w:color="auto"/>
              <w:bottom w:val="single" w:sz="4" w:space="0" w:color="auto"/>
              <w:right w:val="single" w:sz="4" w:space="0" w:color="auto"/>
            </w:tcBorders>
            <w:noWrap/>
            <w:hideMark/>
          </w:tcPr>
          <w:p w14:paraId="5B95C7F0" w14:textId="02F459AE"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104</w:t>
            </w:r>
            <w:r w:rsidR="00DD020D">
              <w:rPr>
                <w:rFonts w:eastAsiaTheme="minorEastAsia" w:cstheme="minorHAnsi"/>
                <w:noProof/>
                <w:sz w:val="18"/>
                <w:szCs w:val="18"/>
              </w:rPr>
              <w:t>,</w:t>
            </w:r>
            <w:r w:rsidRPr="00D86314">
              <w:rPr>
                <w:rFonts w:eastAsiaTheme="minorEastAsia" w:cstheme="minorHAnsi"/>
                <w:noProof/>
                <w:sz w:val="18"/>
                <w:szCs w:val="18"/>
              </w:rPr>
              <w:t>940</w:t>
            </w:r>
          </w:p>
        </w:tc>
        <w:tc>
          <w:tcPr>
            <w:tcW w:w="1256" w:type="dxa"/>
            <w:tcBorders>
              <w:top w:val="single" w:sz="4" w:space="0" w:color="auto"/>
              <w:left w:val="single" w:sz="4" w:space="0" w:color="auto"/>
              <w:bottom w:val="single" w:sz="4" w:space="0" w:color="auto"/>
              <w:right w:val="single" w:sz="4" w:space="0" w:color="auto"/>
            </w:tcBorders>
            <w:noWrap/>
            <w:hideMark/>
          </w:tcPr>
          <w:p w14:paraId="1C242C83" w14:textId="518882AA"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104</w:t>
            </w:r>
            <w:r w:rsidR="00DD020D">
              <w:rPr>
                <w:rFonts w:eastAsiaTheme="minorEastAsia" w:cstheme="minorHAnsi"/>
                <w:noProof/>
                <w:sz w:val="18"/>
                <w:szCs w:val="18"/>
              </w:rPr>
              <w:t>,</w:t>
            </w:r>
            <w:r w:rsidRPr="00D86314">
              <w:rPr>
                <w:rFonts w:eastAsiaTheme="minorEastAsia" w:cstheme="minorHAnsi"/>
                <w:noProof/>
                <w:sz w:val="18"/>
                <w:szCs w:val="18"/>
              </w:rPr>
              <w:t>733</w:t>
            </w:r>
          </w:p>
        </w:tc>
      </w:tr>
      <w:tr w:rsidR="00C778BA" w:rsidRPr="00D86314" w14:paraId="2B979710" w14:textId="77777777" w:rsidTr="007736E8">
        <w:trPr>
          <w:trHeight w:val="300"/>
        </w:trPr>
        <w:tc>
          <w:tcPr>
            <w:tcW w:w="1360" w:type="dxa"/>
            <w:tcBorders>
              <w:top w:val="single" w:sz="4" w:space="0" w:color="auto"/>
              <w:left w:val="single" w:sz="4" w:space="0" w:color="auto"/>
              <w:bottom w:val="single" w:sz="4" w:space="0" w:color="auto"/>
              <w:right w:val="single" w:sz="4" w:space="0" w:color="auto"/>
            </w:tcBorders>
            <w:noWrap/>
            <w:hideMark/>
          </w:tcPr>
          <w:p w14:paraId="679BB950"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5C212C58" w14:textId="77777777" w:rsidR="00C778BA" w:rsidRPr="00D86314" w:rsidRDefault="00C778BA" w:rsidP="007736E8">
            <w:pPr>
              <w:rPr>
                <w:rFonts w:eastAsiaTheme="minorEastAsia" w:cstheme="minorHAnsi"/>
                <w:noProof/>
                <w:sz w:val="18"/>
                <w:szCs w:val="18"/>
              </w:rPr>
            </w:pPr>
          </w:p>
        </w:tc>
        <w:tc>
          <w:tcPr>
            <w:tcW w:w="3752" w:type="dxa"/>
            <w:gridSpan w:val="3"/>
            <w:tcBorders>
              <w:top w:val="single" w:sz="4" w:space="0" w:color="auto"/>
              <w:left w:val="single" w:sz="4" w:space="0" w:color="auto"/>
              <w:bottom w:val="single" w:sz="4" w:space="0" w:color="auto"/>
              <w:right w:val="single" w:sz="4" w:space="0" w:color="auto"/>
            </w:tcBorders>
            <w:noWrap/>
            <w:hideMark/>
          </w:tcPr>
          <w:p w14:paraId="7FAF1697" w14:textId="77777777" w:rsidR="00C778BA" w:rsidRPr="00D86314" w:rsidRDefault="00C778BA" w:rsidP="007736E8">
            <w:pPr>
              <w:rPr>
                <w:rFonts w:eastAsiaTheme="minorEastAsia" w:cstheme="minorHAnsi"/>
                <w:b/>
                <w:bCs/>
                <w:noProof/>
                <w:sz w:val="18"/>
                <w:szCs w:val="18"/>
              </w:rPr>
            </w:pPr>
            <w:r w:rsidRPr="00D86314">
              <w:rPr>
                <w:rFonts w:eastAsiaTheme="minorEastAsia" w:cstheme="minorHAnsi"/>
                <w:b/>
                <w:bCs/>
                <w:noProof/>
                <w:sz w:val="18"/>
                <w:szCs w:val="18"/>
              </w:rPr>
              <w:t xml:space="preserve">Deviation from initial value </w:t>
            </w:r>
          </w:p>
        </w:tc>
        <w:tc>
          <w:tcPr>
            <w:tcW w:w="1256" w:type="dxa"/>
            <w:tcBorders>
              <w:top w:val="single" w:sz="4" w:space="0" w:color="auto"/>
              <w:left w:val="single" w:sz="4" w:space="0" w:color="auto"/>
              <w:bottom w:val="single" w:sz="4" w:space="0" w:color="auto"/>
              <w:right w:val="single" w:sz="4" w:space="0" w:color="auto"/>
            </w:tcBorders>
            <w:noWrap/>
            <w:hideMark/>
          </w:tcPr>
          <w:p w14:paraId="7B028AE6" w14:textId="77777777" w:rsidR="00C778BA" w:rsidRPr="00D86314" w:rsidRDefault="00C778BA" w:rsidP="007736E8">
            <w:pPr>
              <w:rPr>
                <w:rFonts w:eastAsiaTheme="minorEastAsia" w:cstheme="minorHAnsi"/>
                <w:b/>
                <w:bCs/>
                <w:noProof/>
                <w:sz w:val="18"/>
                <w:szCs w:val="18"/>
              </w:rPr>
            </w:pPr>
          </w:p>
        </w:tc>
      </w:tr>
      <w:tr w:rsidR="00C778BA" w:rsidRPr="00D86314" w14:paraId="2641162F" w14:textId="77777777" w:rsidTr="007736E8">
        <w:trPr>
          <w:trHeight w:val="300"/>
        </w:trPr>
        <w:tc>
          <w:tcPr>
            <w:tcW w:w="1360" w:type="dxa"/>
            <w:vMerge w:val="restart"/>
            <w:tcBorders>
              <w:top w:val="single" w:sz="4" w:space="0" w:color="auto"/>
              <w:left w:val="single" w:sz="4" w:space="0" w:color="auto"/>
              <w:bottom w:val="single" w:sz="4" w:space="0" w:color="auto"/>
              <w:right w:val="single" w:sz="4" w:space="0" w:color="auto"/>
            </w:tcBorders>
            <w:hideMark/>
          </w:tcPr>
          <w:p w14:paraId="718AFDE0"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Energy efficiency improvement factor</w:t>
            </w:r>
          </w:p>
        </w:tc>
        <w:tc>
          <w:tcPr>
            <w:tcW w:w="1200" w:type="dxa"/>
            <w:tcBorders>
              <w:top w:val="single" w:sz="4" w:space="0" w:color="auto"/>
              <w:left w:val="single" w:sz="4" w:space="0" w:color="auto"/>
              <w:bottom w:val="single" w:sz="4" w:space="0" w:color="auto"/>
              <w:right w:val="single" w:sz="4" w:space="0" w:color="auto"/>
            </w:tcBorders>
            <w:noWrap/>
            <w:hideMark/>
          </w:tcPr>
          <w:p w14:paraId="7C3A7BFF"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p>
        </w:tc>
        <w:tc>
          <w:tcPr>
            <w:tcW w:w="1248" w:type="dxa"/>
            <w:tcBorders>
              <w:top w:val="single" w:sz="4" w:space="0" w:color="auto"/>
              <w:left w:val="single" w:sz="4" w:space="0" w:color="auto"/>
              <w:bottom w:val="single" w:sz="4" w:space="0" w:color="auto"/>
              <w:right w:val="single" w:sz="4" w:space="0" w:color="auto"/>
            </w:tcBorders>
            <w:noWrap/>
            <w:hideMark/>
          </w:tcPr>
          <w:p w14:paraId="6AB3EF21" w14:textId="75921555"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8</w:t>
            </w:r>
            <w:r w:rsidR="00DD020D">
              <w:rPr>
                <w:rFonts w:eastAsiaTheme="minorEastAsia" w:cstheme="minorHAnsi"/>
                <w:noProof/>
                <w:sz w:val="18"/>
                <w:szCs w:val="18"/>
              </w:rPr>
              <w:t>,</w:t>
            </w:r>
            <w:r w:rsidRPr="00D86314">
              <w:rPr>
                <w:rFonts w:eastAsiaTheme="minorEastAsia" w:cstheme="minorHAnsi"/>
                <w:noProof/>
                <w:sz w:val="18"/>
                <w:szCs w:val="18"/>
              </w:rPr>
              <w:t>23%</w:t>
            </w:r>
          </w:p>
        </w:tc>
        <w:tc>
          <w:tcPr>
            <w:tcW w:w="1248" w:type="dxa"/>
            <w:tcBorders>
              <w:top w:val="single" w:sz="4" w:space="0" w:color="auto"/>
              <w:left w:val="single" w:sz="4" w:space="0" w:color="auto"/>
              <w:bottom w:val="single" w:sz="4" w:space="0" w:color="auto"/>
              <w:right w:val="single" w:sz="4" w:space="0" w:color="auto"/>
            </w:tcBorders>
            <w:noWrap/>
            <w:hideMark/>
          </w:tcPr>
          <w:p w14:paraId="13E9AAD2" w14:textId="19941E6A"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8</w:t>
            </w:r>
            <w:r w:rsidR="00DD020D">
              <w:rPr>
                <w:rFonts w:eastAsiaTheme="minorEastAsia" w:cstheme="minorHAnsi"/>
                <w:noProof/>
                <w:sz w:val="18"/>
                <w:szCs w:val="18"/>
              </w:rPr>
              <w:t>,</w:t>
            </w:r>
            <w:r w:rsidRPr="00D86314">
              <w:rPr>
                <w:rFonts w:eastAsiaTheme="minorEastAsia" w:cstheme="minorHAnsi"/>
                <w:noProof/>
                <w:sz w:val="18"/>
                <w:szCs w:val="18"/>
              </w:rPr>
              <w:t>18%</w:t>
            </w:r>
          </w:p>
        </w:tc>
        <w:tc>
          <w:tcPr>
            <w:tcW w:w="1256" w:type="dxa"/>
            <w:tcBorders>
              <w:top w:val="single" w:sz="4" w:space="0" w:color="auto"/>
              <w:left w:val="single" w:sz="4" w:space="0" w:color="auto"/>
              <w:bottom w:val="single" w:sz="4" w:space="0" w:color="auto"/>
              <w:right w:val="single" w:sz="4" w:space="0" w:color="auto"/>
            </w:tcBorders>
            <w:noWrap/>
            <w:hideMark/>
          </w:tcPr>
          <w:p w14:paraId="064AE800" w14:textId="044F70A6"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8</w:t>
            </w:r>
            <w:r w:rsidR="00DD020D">
              <w:rPr>
                <w:rFonts w:eastAsiaTheme="minorEastAsia" w:cstheme="minorHAnsi"/>
                <w:noProof/>
                <w:sz w:val="18"/>
                <w:szCs w:val="18"/>
              </w:rPr>
              <w:t>,</w:t>
            </w:r>
            <w:r w:rsidRPr="00D86314">
              <w:rPr>
                <w:rFonts w:eastAsiaTheme="minorEastAsia" w:cstheme="minorHAnsi"/>
                <w:noProof/>
                <w:sz w:val="18"/>
                <w:szCs w:val="18"/>
              </w:rPr>
              <w:t>15%</w:t>
            </w:r>
          </w:p>
        </w:tc>
        <w:tc>
          <w:tcPr>
            <w:tcW w:w="1256" w:type="dxa"/>
            <w:tcBorders>
              <w:top w:val="single" w:sz="4" w:space="0" w:color="auto"/>
              <w:left w:val="single" w:sz="4" w:space="0" w:color="auto"/>
              <w:bottom w:val="single" w:sz="4" w:space="0" w:color="auto"/>
              <w:right w:val="single" w:sz="4" w:space="0" w:color="auto"/>
            </w:tcBorders>
            <w:noWrap/>
            <w:hideMark/>
          </w:tcPr>
          <w:p w14:paraId="02B2F3D6" w14:textId="2652C311"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8</w:t>
            </w:r>
            <w:r w:rsidR="00DD020D">
              <w:rPr>
                <w:rFonts w:eastAsiaTheme="minorEastAsia" w:cstheme="minorHAnsi"/>
                <w:noProof/>
                <w:sz w:val="18"/>
                <w:szCs w:val="18"/>
              </w:rPr>
              <w:t>,</w:t>
            </w:r>
            <w:r w:rsidRPr="00D86314">
              <w:rPr>
                <w:rFonts w:eastAsiaTheme="minorEastAsia" w:cstheme="minorHAnsi"/>
                <w:noProof/>
                <w:sz w:val="18"/>
                <w:szCs w:val="18"/>
              </w:rPr>
              <w:t>15%</w:t>
            </w:r>
          </w:p>
        </w:tc>
      </w:tr>
      <w:tr w:rsidR="00C778BA" w:rsidRPr="00D86314" w14:paraId="75D2890C"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29FCE0D2"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6549974D"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10%</w:t>
            </w:r>
          </w:p>
        </w:tc>
        <w:tc>
          <w:tcPr>
            <w:tcW w:w="1248" w:type="dxa"/>
            <w:tcBorders>
              <w:top w:val="single" w:sz="4" w:space="0" w:color="auto"/>
              <w:left w:val="single" w:sz="4" w:space="0" w:color="auto"/>
              <w:bottom w:val="single" w:sz="4" w:space="0" w:color="auto"/>
              <w:right w:val="single" w:sz="4" w:space="0" w:color="auto"/>
            </w:tcBorders>
            <w:noWrap/>
            <w:hideMark/>
          </w:tcPr>
          <w:p w14:paraId="533E5BF5" w14:textId="65E11DF4"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42%</w:t>
            </w:r>
          </w:p>
        </w:tc>
        <w:tc>
          <w:tcPr>
            <w:tcW w:w="1248" w:type="dxa"/>
            <w:tcBorders>
              <w:top w:val="single" w:sz="4" w:space="0" w:color="auto"/>
              <w:left w:val="single" w:sz="4" w:space="0" w:color="auto"/>
              <w:bottom w:val="single" w:sz="4" w:space="0" w:color="auto"/>
              <w:right w:val="single" w:sz="4" w:space="0" w:color="auto"/>
            </w:tcBorders>
            <w:noWrap/>
            <w:hideMark/>
          </w:tcPr>
          <w:p w14:paraId="1A5AB0EE" w14:textId="25D7BD45"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39%</w:t>
            </w:r>
          </w:p>
        </w:tc>
        <w:tc>
          <w:tcPr>
            <w:tcW w:w="1256" w:type="dxa"/>
            <w:tcBorders>
              <w:top w:val="single" w:sz="4" w:space="0" w:color="auto"/>
              <w:left w:val="single" w:sz="4" w:space="0" w:color="auto"/>
              <w:bottom w:val="single" w:sz="4" w:space="0" w:color="auto"/>
              <w:right w:val="single" w:sz="4" w:space="0" w:color="auto"/>
            </w:tcBorders>
            <w:noWrap/>
            <w:hideMark/>
          </w:tcPr>
          <w:p w14:paraId="244255A8" w14:textId="616984D1"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37%</w:t>
            </w:r>
          </w:p>
        </w:tc>
        <w:tc>
          <w:tcPr>
            <w:tcW w:w="1256" w:type="dxa"/>
            <w:tcBorders>
              <w:top w:val="single" w:sz="4" w:space="0" w:color="auto"/>
              <w:left w:val="single" w:sz="4" w:space="0" w:color="auto"/>
              <w:bottom w:val="single" w:sz="4" w:space="0" w:color="auto"/>
              <w:right w:val="single" w:sz="4" w:space="0" w:color="auto"/>
            </w:tcBorders>
            <w:noWrap/>
            <w:hideMark/>
          </w:tcPr>
          <w:p w14:paraId="1FDCD48B" w14:textId="699C1493"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5</w:t>
            </w:r>
            <w:r w:rsidR="00DD020D">
              <w:rPr>
                <w:rFonts w:eastAsiaTheme="minorEastAsia" w:cstheme="minorHAnsi"/>
                <w:noProof/>
                <w:sz w:val="18"/>
                <w:szCs w:val="18"/>
              </w:rPr>
              <w:t>,</w:t>
            </w:r>
            <w:r w:rsidRPr="00D86314">
              <w:rPr>
                <w:rFonts w:eastAsiaTheme="minorEastAsia" w:cstheme="minorHAnsi"/>
                <w:noProof/>
                <w:sz w:val="18"/>
                <w:szCs w:val="18"/>
              </w:rPr>
              <w:t>37%</w:t>
            </w:r>
          </w:p>
        </w:tc>
      </w:tr>
      <w:tr w:rsidR="00C778BA" w:rsidRPr="00D86314" w14:paraId="33EA6ABD"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28E0862D"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488826B7"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20%</w:t>
            </w:r>
          </w:p>
        </w:tc>
        <w:tc>
          <w:tcPr>
            <w:tcW w:w="1248" w:type="dxa"/>
            <w:tcBorders>
              <w:top w:val="single" w:sz="4" w:space="0" w:color="auto"/>
              <w:left w:val="single" w:sz="4" w:space="0" w:color="auto"/>
              <w:bottom w:val="single" w:sz="4" w:space="0" w:color="auto"/>
              <w:right w:val="single" w:sz="4" w:space="0" w:color="auto"/>
            </w:tcBorders>
            <w:noWrap/>
            <w:hideMark/>
          </w:tcPr>
          <w:p w14:paraId="2A42276E" w14:textId="3C2BCB80"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79%</w:t>
            </w:r>
          </w:p>
        </w:tc>
        <w:tc>
          <w:tcPr>
            <w:tcW w:w="1248" w:type="dxa"/>
            <w:tcBorders>
              <w:top w:val="single" w:sz="4" w:space="0" w:color="auto"/>
              <w:left w:val="single" w:sz="4" w:space="0" w:color="auto"/>
              <w:bottom w:val="single" w:sz="4" w:space="0" w:color="auto"/>
              <w:right w:val="single" w:sz="4" w:space="0" w:color="auto"/>
            </w:tcBorders>
            <w:noWrap/>
            <w:hideMark/>
          </w:tcPr>
          <w:p w14:paraId="46EF5E7C" w14:textId="3BD58CD1"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79%</w:t>
            </w:r>
          </w:p>
        </w:tc>
        <w:tc>
          <w:tcPr>
            <w:tcW w:w="1256" w:type="dxa"/>
            <w:tcBorders>
              <w:top w:val="single" w:sz="4" w:space="0" w:color="auto"/>
              <w:left w:val="single" w:sz="4" w:space="0" w:color="auto"/>
              <w:bottom w:val="single" w:sz="4" w:space="0" w:color="auto"/>
              <w:right w:val="single" w:sz="4" w:space="0" w:color="auto"/>
            </w:tcBorders>
            <w:noWrap/>
            <w:hideMark/>
          </w:tcPr>
          <w:p w14:paraId="68088560" w14:textId="1F9EBBE1"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78%</w:t>
            </w:r>
          </w:p>
        </w:tc>
        <w:tc>
          <w:tcPr>
            <w:tcW w:w="1256" w:type="dxa"/>
            <w:tcBorders>
              <w:top w:val="single" w:sz="4" w:space="0" w:color="auto"/>
              <w:left w:val="single" w:sz="4" w:space="0" w:color="auto"/>
              <w:bottom w:val="single" w:sz="4" w:space="0" w:color="auto"/>
              <w:right w:val="single" w:sz="4" w:space="0" w:color="auto"/>
            </w:tcBorders>
            <w:noWrap/>
            <w:hideMark/>
          </w:tcPr>
          <w:p w14:paraId="29F194E9" w14:textId="6772826D"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78%</w:t>
            </w:r>
          </w:p>
        </w:tc>
      </w:tr>
      <w:tr w:rsidR="00C778BA" w:rsidRPr="00D86314" w14:paraId="3248C94F"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430DA210"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7D0F0BA3" w14:textId="77777777" w:rsidR="00C778BA" w:rsidRPr="00D86314" w:rsidRDefault="00C778BA" w:rsidP="007736E8">
            <w:pPr>
              <w:rPr>
                <w:rFonts w:eastAsiaTheme="minorEastAsia" w:cstheme="minorHAnsi"/>
                <w:b/>
                <w:bCs/>
                <w:noProof/>
                <w:sz w:val="18"/>
                <w:szCs w:val="18"/>
              </w:rPr>
            </w:pPr>
            <w:r w:rsidRPr="00D86314">
              <w:rPr>
                <w:rFonts w:eastAsiaTheme="minorEastAsia" w:cstheme="minorHAnsi"/>
                <w:b/>
                <w:bCs/>
                <w:noProof/>
                <w:sz w:val="18"/>
                <w:szCs w:val="18"/>
              </w:rPr>
              <w:t>22%</w:t>
            </w:r>
          </w:p>
        </w:tc>
        <w:tc>
          <w:tcPr>
            <w:tcW w:w="1248" w:type="dxa"/>
            <w:tcBorders>
              <w:top w:val="single" w:sz="4" w:space="0" w:color="auto"/>
              <w:left w:val="single" w:sz="4" w:space="0" w:color="auto"/>
              <w:bottom w:val="single" w:sz="4" w:space="0" w:color="auto"/>
              <w:right w:val="single" w:sz="4" w:space="0" w:color="auto"/>
            </w:tcBorders>
            <w:noWrap/>
            <w:hideMark/>
          </w:tcPr>
          <w:p w14:paraId="453E6586" w14:textId="0E371576"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00%</w:t>
            </w:r>
          </w:p>
        </w:tc>
        <w:tc>
          <w:tcPr>
            <w:tcW w:w="1248" w:type="dxa"/>
            <w:tcBorders>
              <w:top w:val="single" w:sz="4" w:space="0" w:color="auto"/>
              <w:left w:val="single" w:sz="4" w:space="0" w:color="auto"/>
              <w:bottom w:val="single" w:sz="4" w:space="0" w:color="auto"/>
              <w:right w:val="single" w:sz="4" w:space="0" w:color="auto"/>
            </w:tcBorders>
            <w:noWrap/>
            <w:hideMark/>
          </w:tcPr>
          <w:p w14:paraId="05C9A285" w14:textId="777E4C7B"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00%</w:t>
            </w:r>
          </w:p>
        </w:tc>
        <w:tc>
          <w:tcPr>
            <w:tcW w:w="1256" w:type="dxa"/>
            <w:tcBorders>
              <w:top w:val="single" w:sz="4" w:space="0" w:color="auto"/>
              <w:left w:val="single" w:sz="4" w:space="0" w:color="auto"/>
              <w:bottom w:val="single" w:sz="4" w:space="0" w:color="auto"/>
              <w:right w:val="single" w:sz="4" w:space="0" w:color="auto"/>
            </w:tcBorders>
            <w:noWrap/>
            <w:hideMark/>
          </w:tcPr>
          <w:p w14:paraId="236C7DD1" w14:textId="63927F74"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00%</w:t>
            </w:r>
          </w:p>
        </w:tc>
        <w:tc>
          <w:tcPr>
            <w:tcW w:w="1256" w:type="dxa"/>
            <w:tcBorders>
              <w:top w:val="single" w:sz="4" w:space="0" w:color="auto"/>
              <w:left w:val="single" w:sz="4" w:space="0" w:color="auto"/>
              <w:bottom w:val="single" w:sz="4" w:space="0" w:color="auto"/>
              <w:right w:val="single" w:sz="4" w:space="0" w:color="auto"/>
            </w:tcBorders>
            <w:noWrap/>
            <w:hideMark/>
          </w:tcPr>
          <w:p w14:paraId="142388EE" w14:textId="09C9A893"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0</w:t>
            </w:r>
            <w:r w:rsidR="00DD020D">
              <w:rPr>
                <w:rFonts w:eastAsiaTheme="minorEastAsia" w:cstheme="minorHAnsi"/>
                <w:noProof/>
                <w:sz w:val="18"/>
                <w:szCs w:val="18"/>
              </w:rPr>
              <w:t>,</w:t>
            </w:r>
            <w:r w:rsidRPr="00D86314">
              <w:rPr>
                <w:rFonts w:eastAsiaTheme="minorEastAsia" w:cstheme="minorHAnsi"/>
                <w:noProof/>
                <w:sz w:val="18"/>
                <w:szCs w:val="18"/>
              </w:rPr>
              <w:t>00%</w:t>
            </w:r>
          </w:p>
        </w:tc>
      </w:tr>
      <w:tr w:rsidR="00C778BA" w:rsidRPr="00D86314" w14:paraId="08BEDFA3" w14:textId="77777777" w:rsidTr="007736E8">
        <w:trPr>
          <w:trHeight w:val="300"/>
        </w:trPr>
        <w:tc>
          <w:tcPr>
            <w:tcW w:w="1360" w:type="dxa"/>
            <w:vMerge/>
            <w:tcBorders>
              <w:top w:val="single" w:sz="4" w:space="0" w:color="auto"/>
              <w:left w:val="single" w:sz="4" w:space="0" w:color="auto"/>
              <w:bottom w:val="single" w:sz="4" w:space="0" w:color="auto"/>
              <w:right w:val="single" w:sz="4" w:space="0" w:color="auto"/>
            </w:tcBorders>
            <w:hideMark/>
          </w:tcPr>
          <w:p w14:paraId="2D5FB40B" w14:textId="77777777" w:rsidR="00C778BA" w:rsidRPr="00D86314" w:rsidRDefault="00C778BA" w:rsidP="007736E8">
            <w:pPr>
              <w:rPr>
                <w:rFonts w:eastAsiaTheme="minorEastAsia" w:cstheme="minorHAnsi"/>
                <w:noProof/>
                <w:sz w:val="18"/>
                <w:szCs w:val="18"/>
              </w:rPr>
            </w:pPr>
          </w:p>
        </w:tc>
        <w:tc>
          <w:tcPr>
            <w:tcW w:w="1200" w:type="dxa"/>
            <w:tcBorders>
              <w:top w:val="single" w:sz="4" w:space="0" w:color="auto"/>
              <w:left w:val="single" w:sz="4" w:space="0" w:color="auto"/>
              <w:bottom w:val="single" w:sz="4" w:space="0" w:color="auto"/>
              <w:right w:val="single" w:sz="4" w:space="0" w:color="auto"/>
            </w:tcBorders>
            <w:noWrap/>
            <w:hideMark/>
          </w:tcPr>
          <w:p w14:paraId="4B8AC364" w14:textId="77777777"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30%</w:t>
            </w:r>
          </w:p>
        </w:tc>
        <w:tc>
          <w:tcPr>
            <w:tcW w:w="1248" w:type="dxa"/>
            <w:tcBorders>
              <w:top w:val="single" w:sz="4" w:space="0" w:color="auto"/>
              <w:left w:val="single" w:sz="4" w:space="0" w:color="auto"/>
              <w:bottom w:val="single" w:sz="4" w:space="0" w:color="auto"/>
              <w:right w:val="single" w:sz="4" w:space="0" w:color="auto"/>
            </w:tcBorders>
            <w:noWrap/>
            <w:hideMark/>
          </w:tcPr>
          <w:p w14:paraId="2576B26A" w14:textId="0585F1C5"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-2</w:t>
            </w:r>
            <w:r w:rsidR="00DD020D">
              <w:rPr>
                <w:rFonts w:eastAsiaTheme="minorEastAsia" w:cstheme="minorHAnsi"/>
                <w:noProof/>
                <w:sz w:val="18"/>
                <w:szCs w:val="18"/>
              </w:rPr>
              <w:t>,</w:t>
            </w:r>
            <w:r w:rsidRPr="00D86314">
              <w:rPr>
                <w:rFonts w:eastAsiaTheme="minorEastAsia" w:cstheme="minorHAnsi"/>
                <w:noProof/>
                <w:sz w:val="18"/>
                <w:szCs w:val="18"/>
              </w:rPr>
              <w:t>79%</w:t>
            </w:r>
          </w:p>
        </w:tc>
        <w:tc>
          <w:tcPr>
            <w:tcW w:w="1248" w:type="dxa"/>
            <w:tcBorders>
              <w:top w:val="single" w:sz="4" w:space="0" w:color="auto"/>
              <w:left w:val="single" w:sz="4" w:space="0" w:color="auto"/>
              <w:bottom w:val="single" w:sz="4" w:space="0" w:color="auto"/>
              <w:right w:val="single" w:sz="4" w:space="0" w:color="auto"/>
            </w:tcBorders>
            <w:noWrap/>
            <w:hideMark/>
          </w:tcPr>
          <w:p w14:paraId="55A7533D" w14:textId="45710B7D"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-2</w:t>
            </w:r>
            <w:r w:rsidR="00DD020D">
              <w:rPr>
                <w:rFonts w:eastAsiaTheme="minorEastAsia" w:cstheme="minorHAnsi"/>
                <w:noProof/>
                <w:sz w:val="18"/>
                <w:szCs w:val="18"/>
              </w:rPr>
              <w:t>,</w:t>
            </w:r>
            <w:r w:rsidRPr="00D86314">
              <w:rPr>
                <w:rFonts w:eastAsiaTheme="minorEastAsia" w:cstheme="minorHAnsi"/>
                <w:noProof/>
                <w:sz w:val="18"/>
                <w:szCs w:val="18"/>
              </w:rPr>
              <w:t>78%</w:t>
            </w:r>
          </w:p>
        </w:tc>
        <w:tc>
          <w:tcPr>
            <w:tcW w:w="1256" w:type="dxa"/>
            <w:tcBorders>
              <w:top w:val="single" w:sz="4" w:space="0" w:color="auto"/>
              <w:left w:val="single" w:sz="4" w:space="0" w:color="auto"/>
              <w:bottom w:val="single" w:sz="4" w:space="0" w:color="auto"/>
              <w:right w:val="single" w:sz="4" w:space="0" w:color="auto"/>
            </w:tcBorders>
            <w:noWrap/>
            <w:hideMark/>
          </w:tcPr>
          <w:p w14:paraId="0F3136FC" w14:textId="548B788F"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-2</w:t>
            </w:r>
            <w:r w:rsidR="00DD020D">
              <w:rPr>
                <w:rFonts w:eastAsiaTheme="minorEastAsia" w:cstheme="minorHAnsi"/>
                <w:noProof/>
                <w:sz w:val="18"/>
                <w:szCs w:val="18"/>
              </w:rPr>
              <w:t>,</w:t>
            </w:r>
            <w:r w:rsidRPr="00D86314">
              <w:rPr>
                <w:rFonts w:eastAsiaTheme="minorEastAsia" w:cstheme="minorHAnsi"/>
                <w:noProof/>
                <w:sz w:val="18"/>
                <w:szCs w:val="18"/>
              </w:rPr>
              <w:t>77%</w:t>
            </w:r>
          </w:p>
        </w:tc>
        <w:tc>
          <w:tcPr>
            <w:tcW w:w="1256" w:type="dxa"/>
            <w:tcBorders>
              <w:top w:val="single" w:sz="4" w:space="0" w:color="auto"/>
              <w:left w:val="single" w:sz="4" w:space="0" w:color="auto"/>
              <w:bottom w:val="single" w:sz="4" w:space="0" w:color="auto"/>
              <w:right w:val="single" w:sz="4" w:space="0" w:color="auto"/>
            </w:tcBorders>
            <w:noWrap/>
            <w:hideMark/>
          </w:tcPr>
          <w:p w14:paraId="6E1723A2" w14:textId="7207EE99" w:rsidR="00C778BA" w:rsidRPr="00D86314" w:rsidRDefault="00C778BA" w:rsidP="007736E8">
            <w:pPr>
              <w:rPr>
                <w:rFonts w:eastAsiaTheme="minorEastAsia" w:cstheme="minorHAnsi"/>
                <w:noProof/>
                <w:sz w:val="18"/>
                <w:szCs w:val="18"/>
              </w:rPr>
            </w:pPr>
            <w:r w:rsidRPr="00D86314">
              <w:rPr>
                <w:rFonts w:eastAsiaTheme="minorEastAsia" w:cstheme="minorHAnsi"/>
                <w:noProof/>
                <w:sz w:val="18"/>
                <w:szCs w:val="18"/>
              </w:rPr>
              <w:t>-2</w:t>
            </w:r>
            <w:r w:rsidR="00DD020D">
              <w:rPr>
                <w:rFonts w:eastAsiaTheme="minorEastAsia" w:cstheme="minorHAnsi"/>
                <w:noProof/>
                <w:sz w:val="18"/>
                <w:szCs w:val="18"/>
              </w:rPr>
              <w:t>,</w:t>
            </w:r>
            <w:r w:rsidRPr="00D86314">
              <w:rPr>
                <w:rFonts w:eastAsiaTheme="minorEastAsia" w:cstheme="minorHAnsi"/>
                <w:noProof/>
                <w:sz w:val="18"/>
                <w:szCs w:val="18"/>
              </w:rPr>
              <w:t>77%</w:t>
            </w:r>
          </w:p>
        </w:tc>
      </w:tr>
    </w:tbl>
    <w:p w14:paraId="1D962557" w14:textId="77777777" w:rsidR="00C778BA" w:rsidRPr="00D86314" w:rsidRDefault="00C778BA" w:rsidP="00C778BA">
      <w:pPr>
        <w:rPr>
          <w:rFonts w:eastAsiaTheme="minorEastAsia"/>
          <w:noProof/>
        </w:rPr>
      </w:pPr>
    </w:p>
    <w:p w14:paraId="24234C21" w14:textId="0B598A14" w:rsidR="00C778BA" w:rsidRPr="00D86314" w:rsidRDefault="00C778BA" w:rsidP="00C778BA">
      <w:pPr>
        <w:rPr>
          <w:rFonts w:eastAsiaTheme="minorEastAsia"/>
          <w:noProof/>
        </w:rPr>
      </w:pPr>
      <w:r w:rsidRPr="00D86314">
        <w:rPr>
          <w:rFonts w:eastAsiaTheme="minorEastAsia"/>
          <w:noProof/>
        </w:rPr>
        <w:t>The ranking is stable across all scenarios: Option 3 always performs best, followed by Options 2, 1, and 0. However, the differences between options are very small, around 0.1–0.2% (e.g., baseline 22%: 5</w:t>
      </w:r>
      <w:r w:rsidR="00C64EB1">
        <w:rPr>
          <w:rFonts w:eastAsiaTheme="minorEastAsia"/>
          <w:noProof/>
        </w:rPr>
        <w:t>,</w:t>
      </w:r>
      <w:r w:rsidRPr="00D86314">
        <w:rPr>
          <w:rFonts w:eastAsiaTheme="minorEastAsia"/>
          <w:noProof/>
        </w:rPr>
        <w:t>257</w:t>
      </w:r>
      <w:r w:rsidR="00C64EB1">
        <w:rPr>
          <w:rFonts w:eastAsiaTheme="minorEastAsia"/>
          <w:noProof/>
        </w:rPr>
        <w:t>,</w:t>
      </w:r>
      <w:r w:rsidRPr="00D86314">
        <w:rPr>
          <w:rFonts w:eastAsiaTheme="minorEastAsia"/>
          <w:noProof/>
        </w:rPr>
        <w:t>074 vs. 5</w:t>
      </w:r>
      <w:r w:rsidR="00C64EB1">
        <w:rPr>
          <w:rFonts w:eastAsiaTheme="minorEastAsia"/>
          <w:noProof/>
        </w:rPr>
        <w:t>,</w:t>
      </w:r>
      <w:r w:rsidRPr="00D86314">
        <w:rPr>
          <w:rFonts w:eastAsiaTheme="minorEastAsia"/>
          <w:noProof/>
        </w:rPr>
        <w:t>250</w:t>
      </w:r>
      <w:r w:rsidR="00C64EB1">
        <w:rPr>
          <w:rFonts w:eastAsiaTheme="minorEastAsia"/>
          <w:noProof/>
        </w:rPr>
        <w:t>,</w:t>
      </w:r>
      <w:r w:rsidRPr="00D86314">
        <w:rPr>
          <w:rFonts w:eastAsiaTheme="minorEastAsia"/>
          <w:noProof/>
        </w:rPr>
        <w:t>198 for Option 0 vs. 3).</w:t>
      </w:r>
    </w:p>
    <w:p w14:paraId="792C5970" w14:textId="77777777" w:rsidR="00C778BA" w:rsidRPr="00D86314" w:rsidRDefault="00C778BA" w:rsidP="00C778BA">
      <w:pPr>
        <w:rPr>
          <w:rFonts w:eastAsiaTheme="minorEastAsia"/>
          <w:noProof/>
        </w:rPr>
      </w:pPr>
      <w:r w:rsidRPr="00D86314">
        <w:rPr>
          <w:rFonts w:eastAsiaTheme="minorEastAsia"/>
          <w:noProof/>
        </w:rPr>
        <w:t>Around the baseline, absolute emissions decline almost linearly by several tens of thousands of units per additional efficiency percentage point, with slightly diminishing marginal returns. Prioritizing an increase in the efficiency factor delivers meaningful GHG reductions, while the choice among Options 0–3 yields only marginal gains.</w:t>
      </w:r>
    </w:p>
    <w:p w14:paraId="35701A85" w14:textId="5F005FC5" w:rsidR="00C778BA" w:rsidRPr="00D86314" w:rsidRDefault="00C778BA" w:rsidP="00C778BA">
      <w:pPr>
        <w:rPr>
          <w:noProof/>
        </w:rPr>
      </w:pPr>
      <w:r w:rsidRPr="00D86314">
        <w:rPr>
          <w:noProof/>
        </w:rPr>
        <w:t>The additional energy-saving effect of 6G has not been included in this model. Nevertheless, it is likely to be significant, given that future mobile generations such as 6G are being designed with energy efficiency and renewable-energy integration as core principles. In this context, spectrum measures that enable the swift assignment of 6G frequencies are expected to yield further benefits, not captured here, in terms of absolute energy savings and the speed at which those savings materialize. In parallel, the deployment of edge computing and AI-driven energy optimi</w:t>
      </w:r>
      <w:r w:rsidR="00B54C53" w:rsidRPr="00D86314">
        <w:rPr>
          <w:noProof/>
        </w:rPr>
        <w:t>s</w:t>
      </w:r>
      <w:r w:rsidRPr="00D86314">
        <w:rPr>
          <w:noProof/>
        </w:rPr>
        <w:t>ation (e.g., adaptive sleep modes, intelligent traffic steering, and predictive maintenance) will further enhance the sustainability of mobile networks.</w:t>
      </w:r>
    </w:p>
    <w:p w14:paraId="28B62B79" w14:textId="77777777" w:rsidR="00C778BA" w:rsidRPr="00D86314" w:rsidRDefault="00C778BA" w:rsidP="00C778BA">
      <w:pPr>
        <w:spacing w:after="120"/>
        <w:rPr>
          <w:noProof/>
        </w:rPr>
      </w:pPr>
      <w:r w:rsidRPr="00D86314">
        <w:rPr>
          <w:noProof/>
        </w:rPr>
        <w:t>At the same time, 6G is expected to improve energy efficiency at the network and service levels. While AI can make processes more energy-efficient, it may also increase electricity demand due to the greater computing capacity required. Any comprehensive assessment should therefore weigh AI-enabled efficiency gains against the incremental power needs of expanded compute infrastructure.</w:t>
      </w:r>
    </w:p>
    <w:p w14:paraId="13C6ABB7" w14:textId="0AB10459" w:rsidR="00C778BA" w:rsidRPr="00D86314" w:rsidRDefault="00C778BA" w:rsidP="005F5206">
      <w:pPr>
        <w:pStyle w:val="Heading1"/>
        <w:spacing w:before="360"/>
        <w:ind w:left="431" w:hanging="431"/>
        <w:rPr>
          <w:noProof/>
          <w:lang w:val="en-GB"/>
        </w:rPr>
      </w:pPr>
      <w:bookmarkStart w:id="166" w:name="_Toc218864742"/>
      <w:bookmarkStart w:id="167" w:name="_Toc218864884"/>
      <w:bookmarkStart w:id="168" w:name="_Toc219718381"/>
      <w:bookmarkEnd w:id="166"/>
      <w:bookmarkEnd w:id="167"/>
      <w:r w:rsidRPr="00D86314">
        <w:rPr>
          <w:noProof/>
          <w:lang w:val="en-GB"/>
        </w:rPr>
        <w:t>Methodology for the analysis o</w:t>
      </w:r>
      <w:r w:rsidR="00046611" w:rsidRPr="00D86314">
        <w:rPr>
          <w:noProof/>
          <w:lang w:val="en-GB"/>
        </w:rPr>
        <w:t>f</w:t>
      </w:r>
      <w:r w:rsidRPr="00D86314">
        <w:rPr>
          <w:noProof/>
          <w:lang w:val="en-GB"/>
        </w:rPr>
        <w:t xml:space="preserve"> </w:t>
      </w:r>
      <w:r w:rsidR="00B2229E" w:rsidRPr="00D86314">
        <w:rPr>
          <w:noProof/>
          <w:lang w:val="en-GB"/>
        </w:rPr>
        <w:t xml:space="preserve">spectrum-auction </w:t>
      </w:r>
      <w:r w:rsidR="009E3FCE" w:rsidRPr="00D86314">
        <w:rPr>
          <w:noProof/>
          <w:lang w:val="en-GB"/>
        </w:rPr>
        <w:t>regulatory approaches</w:t>
      </w:r>
      <w:r w:rsidR="00B2229E" w:rsidRPr="00D86314">
        <w:rPr>
          <w:noProof/>
          <w:lang w:val="en-GB"/>
        </w:rPr>
        <w:t xml:space="preserve"> and market outcomes</w:t>
      </w:r>
      <w:bookmarkEnd w:id="168"/>
    </w:p>
    <w:p w14:paraId="218CA2BC" w14:textId="3CD40B5A" w:rsidR="00C778BA" w:rsidRPr="00D86314" w:rsidRDefault="4CC88F77" w:rsidP="00703057">
      <w:pPr>
        <w:pStyle w:val="Heading2"/>
        <w:rPr>
          <w:rFonts w:eastAsia="Aptos Display"/>
          <w:noProof/>
        </w:rPr>
      </w:pPr>
      <w:bookmarkStart w:id="169" w:name="_Toc219718382"/>
      <w:r w:rsidRPr="00D86314">
        <w:rPr>
          <w:rFonts w:eastAsia="Aptos Display"/>
          <w:noProof/>
        </w:rPr>
        <w:t>Introduction</w:t>
      </w:r>
      <w:bookmarkEnd w:id="169"/>
    </w:p>
    <w:p w14:paraId="2532565C" w14:textId="028AC13F" w:rsidR="00C778BA" w:rsidRPr="00D86314" w:rsidRDefault="4CC88F77" w:rsidP="008A6A62">
      <w:pPr>
        <w:rPr>
          <w:noProof/>
        </w:rPr>
      </w:pPr>
      <w:r w:rsidRPr="00D86314">
        <w:rPr>
          <w:noProof/>
        </w:rPr>
        <w:t xml:space="preserve">This annex sets out the methodology used to analyse the </w:t>
      </w:r>
      <w:r w:rsidR="001C40D7" w:rsidRPr="00D86314">
        <w:rPr>
          <w:noProof/>
        </w:rPr>
        <w:t xml:space="preserve">possible </w:t>
      </w:r>
      <w:r w:rsidRPr="00D86314">
        <w:rPr>
          <w:noProof/>
        </w:rPr>
        <w:t xml:space="preserve">relationship between regulatory approaches applied in recent 5G spectrum awards and the resulting market outcomes across Member States. The objective of this exercise is to </w:t>
      </w:r>
      <w:r w:rsidR="00BE0E53" w:rsidRPr="00D86314">
        <w:rPr>
          <w:noProof/>
        </w:rPr>
        <w:t xml:space="preserve">present market outcomes and to </w:t>
      </w:r>
      <w:r w:rsidRPr="00D86314">
        <w:rPr>
          <w:noProof/>
        </w:rPr>
        <w:t>assess whether, and to what extent, specific elements of auction and award design may influence investment incentives, market performance and user experience in mobile broadband markets.</w:t>
      </w:r>
    </w:p>
    <w:p w14:paraId="0FB584E6" w14:textId="42F26153" w:rsidR="00C778BA" w:rsidRPr="00D86314" w:rsidRDefault="4CC88F77" w:rsidP="008A6A62">
      <w:pPr>
        <w:rPr>
          <w:noProof/>
        </w:rPr>
      </w:pPr>
      <w:r w:rsidRPr="00D86314">
        <w:rPr>
          <w:noProof/>
        </w:rPr>
        <w:t>To this end, the analysis considers the most relevant indicators of market outcomes and regulatory design for the 3.4–3.8 GHz and 700 MHz bands. Given the substantial heterogeneity observed across Member States in both market outcomes and regulatory approaches, the assessment proceeds in two steps. First, composite indicators of market outcomes as well as regulatory design were constructed to provide initial visual insights into potential relationships. These simplified representations help to identify broad patterns but are not intended to constitute statistical evidence. Building on these initial observations, the second step consists of a multiple regression analysis examining the associations between individual regulatory instruments and the various market-outcome indicators, while controlling for key non-regulatory factors.</w:t>
      </w:r>
    </w:p>
    <w:p w14:paraId="76F3BBFA" w14:textId="3D7FB7DD" w:rsidR="00C778BA" w:rsidRPr="00D86314" w:rsidRDefault="4CC88F77" w:rsidP="003B5FD9">
      <w:pPr>
        <w:spacing w:after="160"/>
        <w:rPr>
          <w:noProof/>
        </w:rPr>
      </w:pPr>
      <w:r w:rsidRPr="00D86314">
        <w:rPr>
          <w:noProof/>
        </w:rPr>
        <w:t>The following sections of this annex describe the data sources used, the approach for quantifying and scoring regulatory design and market outcomes, the construction of the composite indicators, as well as the methodology applied in the multiple regression analysis.</w:t>
      </w:r>
    </w:p>
    <w:p w14:paraId="77478258" w14:textId="07C2A091" w:rsidR="00C778BA" w:rsidRPr="00D86314" w:rsidRDefault="4CC88F77" w:rsidP="00703057">
      <w:pPr>
        <w:pStyle w:val="Heading2"/>
        <w:rPr>
          <w:rFonts w:eastAsia="Aptos Display"/>
          <w:noProof/>
        </w:rPr>
      </w:pPr>
      <w:bookmarkStart w:id="170" w:name="_Toc219718383"/>
      <w:r w:rsidRPr="00D86314">
        <w:rPr>
          <w:rFonts w:eastAsia="Aptos Display"/>
          <w:noProof/>
        </w:rPr>
        <w:t>Fragmented Market Outcomes</w:t>
      </w:r>
      <w:bookmarkEnd w:id="170"/>
    </w:p>
    <w:p w14:paraId="18A29767" w14:textId="5B85853E" w:rsidR="00C778BA" w:rsidRPr="00D86314" w:rsidRDefault="4CC88F77" w:rsidP="00703057">
      <w:pPr>
        <w:pStyle w:val="Heading3"/>
        <w:rPr>
          <w:rFonts w:eastAsia="Aptos Display"/>
          <w:noProof/>
        </w:rPr>
      </w:pPr>
      <w:bookmarkStart w:id="171" w:name="_Toc219718384"/>
      <w:r w:rsidRPr="00D86314">
        <w:rPr>
          <w:rFonts w:eastAsia="Aptos Display"/>
          <w:noProof/>
        </w:rPr>
        <w:t>Selection of market-outcome indicators</w:t>
      </w:r>
      <w:bookmarkEnd w:id="171"/>
    </w:p>
    <w:p w14:paraId="2C25F2A6" w14:textId="3DB40114" w:rsidR="00C778BA" w:rsidRPr="00D86314" w:rsidRDefault="4CC88F77" w:rsidP="003B5FD9">
      <w:pPr>
        <w:spacing w:after="160"/>
        <w:rPr>
          <w:noProof/>
        </w:rPr>
      </w:pPr>
      <w:r w:rsidRPr="00D86314">
        <w:rPr>
          <w:noProof/>
        </w:rPr>
        <w:t xml:space="preserve">To assess how 5G markets perform across Member States, the analysis focuses on three core dimensions of </w:t>
      </w:r>
      <w:r w:rsidRPr="00D86314">
        <w:rPr>
          <w:b/>
          <w:noProof/>
        </w:rPr>
        <w:t>market outcomes:</w:t>
      </w:r>
      <w:r w:rsidRPr="00D86314">
        <w:rPr>
          <w:noProof/>
        </w:rPr>
        <w:t xml:space="preserve"> coverage, quality of service and consumer prices. These dimensions capture, respectively, the geographic reach of 5G networks, the performance experienced by end-users, and the affordability of mobile broadband services.</w:t>
      </w:r>
    </w:p>
    <w:p w14:paraId="41580950" w14:textId="2E38D121" w:rsidR="00C778BA" w:rsidRPr="00D86314" w:rsidRDefault="4CC88F77" w:rsidP="003B5FD9">
      <w:pPr>
        <w:spacing w:after="160"/>
        <w:rPr>
          <w:noProof/>
        </w:rPr>
      </w:pPr>
      <w:r w:rsidRPr="00D86314">
        <w:rPr>
          <w:noProof/>
        </w:rPr>
        <w:t xml:space="preserve">For </w:t>
      </w:r>
      <w:r w:rsidRPr="00D86314">
        <w:rPr>
          <w:b/>
          <w:noProof/>
        </w:rPr>
        <w:t>coverage</w:t>
      </w:r>
      <w:r w:rsidRPr="00D86314">
        <w:rPr>
          <w:noProof/>
        </w:rPr>
        <w:t>, the analysis considers both overall 5G population coverage and 5G coverage in the 3.4–3.8 GHz band. Mid-band 5G coverage is particularly relevant for this initiative, as it reflects the availability of high-quality 5G services in the key pioneer band targeted by recent spectrum awards. At the same time, overall 5G coverage is included to provide a more complete picture of the extent to which 5G networks are available, in particular when analysing outcomes associated with the 700 MHz band.</w:t>
      </w:r>
    </w:p>
    <w:p w14:paraId="117B81EB" w14:textId="3B572702" w:rsidR="00C778BA" w:rsidRPr="00D86314" w:rsidRDefault="4CC88F77" w:rsidP="003B5FD9">
      <w:pPr>
        <w:spacing w:after="160"/>
        <w:rPr>
          <w:noProof/>
        </w:rPr>
      </w:pPr>
      <w:r w:rsidRPr="00D86314">
        <w:rPr>
          <w:noProof/>
        </w:rPr>
        <w:t xml:space="preserve">For </w:t>
      </w:r>
      <w:r w:rsidRPr="00D86314">
        <w:rPr>
          <w:b/>
          <w:noProof/>
        </w:rPr>
        <w:t>quality of service</w:t>
      </w:r>
      <w:r w:rsidRPr="00D86314">
        <w:rPr>
          <w:noProof/>
        </w:rPr>
        <w:t>, the indicators used comprise average download speeds, 5G-specific download speeds, upload speeds and latency. Download speeds, and especially 5G download speeds, are central to end-user experience and the support of data-intensive applications, while upload speeds and latency are particularly relevant for business users and advanced use cases that rely on real-time communication or upstream data flows.</w:t>
      </w:r>
    </w:p>
    <w:p w14:paraId="3D7670BD" w14:textId="7244A10E" w:rsidR="00C778BA" w:rsidRPr="00D86314" w:rsidRDefault="4CC88F77" w:rsidP="003B5FD9">
      <w:pPr>
        <w:spacing w:after="160"/>
        <w:rPr>
          <w:noProof/>
        </w:rPr>
      </w:pPr>
      <w:r w:rsidRPr="00D86314">
        <w:rPr>
          <w:noProof/>
        </w:rPr>
        <w:t xml:space="preserve">For </w:t>
      </w:r>
      <w:r w:rsidRPr="00D86314">
        <w:rPr>
          <w:b/>
          <w:noProof/>
        </w:rPr>
        <w:t>consumer prices</w:t>
      </w:r>
      <w:r w:rsidRPr="00D86314">
        <w:rPr>
          <w:noProof/>
        </w:rPr>
        <w:t>, the analysis relies on standardised usage baskets that reflect different types of mobile users. Three packages are considered: 50 GB with 100 calls, 20 GB with 30 calls, and 10 GB with no calls. These baskets are designed to be broadly representative of high, medium and lower-usage consumers and, as PPP-adjusted price indicators, allow for consistent comparisons across Member States.</w:t>
      </w:r>
    </w:p>
    <w:p w14:paraId="39C8C8B6" w14:textId="00A88B44" w:rsidR="00C778BA" w:rsidRPr="00D86314" w:rsidRDefault="4CC88F77" w:rsidP="00703057">
      <w:pPr>
        <w:pStyle w:val="Heading3"/>
        <w:rPr>
          <w:rFonts w:eastAsia="Aptos Display"/>
          <w:noProof/>
        </w:rPr>
      </w:pPr>
      <w:bookmarkStart w:id="172" w:name="_Toc219718385"/>
      <w:r w:rsidRPr="00D86314">
        <w:rPr>
          <w:rFonts w:eastAsia="Aptos Display"/>
          <w:noProof/>
        </w:rPr>
        <w:t>Data sources</w:t>
      </w:r>
      <w:bookmarkEnd w:id="172"/>
    </w:p>
    <w:p w14:paraId="354B1AC1" w14:textId="32393B78" w:rsidR="00B40D84" w:rsidRPr="00D86314" w:rsidRDefault="00B40D84" w:rsidP="003B5FD9">
      <w:pPr>
        <w:rPr>
          <w:noProof/>
        </w:rPr>
      </w:pPr>
      <w:r w:rsidRPr="00D86314">
        <w:rPr>
          <w:noProof/>
        </w:rPr>
        <w:t>The indicators used in this section are based on existing, harmonised data sources:</w:t>
      </w:r>
    </w:p>
    <w:p w14:paraId="0602449F" w14:textId="7E21B13C" w:rsidR="00405DB1" w:rsidRPr="00D86314" w:rsidRDefault="4CC88F77" w:rsidP="003B5FD9">
      <w:pPr>
        <w:pStyle w:val="ListParagraph"/>
        <w:numPr>
          <w:ilvl w:val="0"/>
          <w:numId w:val="81"/>
        </w:numPr>
        <w:spacing w:after="160"/>
        <w:rPr>
          <w:noProof/>
        </w:rPr>
      </w:pPr>
      <w:r w:rsidRPr="00D86314">
        <w:rPr>
          <w:b/>
          <w:noProof/>
        </w:rPr>
        <w:t>Coverage:</w:t>
      </w:r>
      <w:r w:rsidRPr="00D86314">
        <w:rPr>
          <w:noProof/>
        </w:rPr>
        <w:t xml:space="preserve"> 5G population coverage and 5G coverage in the 3.4–3.8 GHz band are taken from the Commission’s Digital Decade / DESI monitoring tool (DESI indicators, reference year 2024), as presented in the Digital Decade DESI visualisation environment.</w:t>
      </w:r>
    </w:p>
    <w:p w14:paraId="6C9A81C8" w14:textId="4C55B706" w:rsidR="00C15930" w:rsidRPr="00D86314" w:rsidRDefault="4CC88F77" w:rsidP="003B5FD9">
      <w:pPr>
        <w:pStyle w:val="ListParagraph"/>
        <w:numPr>
          <w:ilvl w:val="0"/>
          <w:numId w:val="81"/>
        </w:numPr>
        <w:spacing w:after="160"/>
        <w:rPr>
          <w:noProof/>
        </w:rPr>
      </w:pPr>
      <w:r w:rsidRPr="00D86314">
        <w:rPr>
          <w:b/>
          <w:bCs/>
          <w:noProof/>
        </w:rPr>
        <w:t>Quality of service:</w:t>
      </w:r>
      <w:r w:rsidRPr="00D86314">
        <w:rPr>
          <w:noProof/>
        </w:rPr>
        <w:t xml:space="preserve"> Average download speed, 5G download speed, average upload speed and latency </w:t>
      </w:r>
      <w:r w:rsidR="7C799EFF" w:rsidRPr="00D86314">
        <w:rPr>
          <w:noProof/>
        </w:rPr>
        <w:t>were provided by</w:t>
      </w:r>
      <w:r w:rsidRPr="00D86314">
        <w:rPr>
          <w:noProof/>
        </w:rPr>
        <w:t xml:space="preserve"> MedUX.</w:t>
      </w:r>
      <w:r w:rsidRPr="00D86314">
        <w:rPr>
          <w:rStyle w:val="FootnoteReference"/>
          <w:rFonts w:asciiTheme="minorHAnsi" w:eastAsiaTheme="minorEastAsia" w:hAnsiTheme="minorHAnsi" w:cstheme="minorBidi"/>
          <w:noProof/>
        </w:rPr>
        <w:footnoteReference w:id="129"/>
      </w:r>
    </w:p>
    <w:p w14:paraId="7D3640AA" w14:textId="6A2AAE60" w:rsidR="00C15930" w:rsidRPr="00D86314" w:rsidRDefault="4CC88F77" w:rsidP="003B5FD9">
      <w:pPr>
        <w:pStyle w:val="ListParagraph"/>
        <w:numPr>
          <w:ilvl w:val="0"/>
          <w:numId w:val="81"/>
        </w:numPr>
        <w:spacing w:after="160"/>
        <w:rPr>
          <w:noProof/>
        </w:rPr>
      </w:pPr>
      <w:r w:rsidRPr="00D86314">
        <w:rPr>
          <w:b/>
          <w:bCs/>
          <w:noProof/>
        </w:rPr>
        <w:t>Consumer prices:</w:t>
      </w:r>
      <w:r w:rsidRPr="00D86314">
        <w:rPr>
          <w:noProof/>
        </w:rPr>
        <w:t xml:space="preserve"> Price indicators for the three mobile usage baskets are drawn from the study “Mobile and Fixed Broadband Prices in Europe 2023”</w:t>
      </w:r>
      <w:r w:rsidR="0063465F" w:rsidRPr="00D86314">
        <w:rPr>
          <w:rStyle w:val="FootnoteReference"/>
          <w:noProof/>
        </w:rPr>
        <w:footnoteReference w:id="130"/>
      </w:r>
      <w:r w:rsidRPr="00D86314">
        <w:rPr>
          <w:noProof/>
        </w:rPr>
        <w:t>, which provides a PPP-adjusted comparison of retail prices across Member States.</w:t>
      </w:r>
    </w:p>
    <w:p w14:paraId="280C1F42" w14:textId="7A37A151" w:rsidR="00C778BA" w:rsidRPr="00D86314" w:rsidRDefault="0083705A" w:rsidP="00703057">
      <w:pPr>
        <w:pStyle w:val="Heading3"/>
        <w:rPr>
          <w:rFonts w:eastAsia="Aptos Display"/>
          <w:noProof/>
        </w:rPr>
      </w:pPr>
      <w:bookmarkStart w:id="173" w:name="_Toc219718386"/>
      <w:r w:rsidRPr="00D86314">
        <w:rPr>
          <w:rFonts w:eastAsia="Aptos Display"/>
          <w:noProof/>
        </w:rPr>
        <w:t>Mem</w:t>
      </w:r>
      <w:r w:rsidR="0079404A" w:rsidRPr="00D86314">
        <w:rPr>
          <w:rFonts w:eastAsia="Aptos Display"/>
          <w:noProof/>
        </w:rPr>
        <w:t>ber States</w:t>
      </w:r>
      <w:r w:rsidR="4CC88F77" w:rsidRPr="00D86314">
        <w:rPr>
          <w:rFonts w:eastAsia="Aptos Display"/>
          <w:noProof/>
        </w:rPr>
        <w:t xml:space="preserve"> </w:t>
      </w:r>
      <w:r w:rsidR="0079404A" w:rsidRPr="00D86314">
        <w:rPr>
          <w:rFonts w:eastAsia="Aptos Display"/>
          <w:noProof/>
        </w:rPr>
        <w:t>considered</w:t>
      </w:r>
      <w:r w:rsidR="4CC88F77" w:rsidRPr="00D86314">
        <w:rPr>
          <w:rFonts w:eastAsia="Aptos Display"/>
          <w:noProof/>
        </w:rPr>
        <w:t xml:space="preserve"> in the analysis</w:t>
      </w:r>
      <w:bookmarkEnd w:id="173"/>
    </w:p>
    <w:p w14:paraId="27F397A3" w14:textId="74E06A51" w:rsidR="00C778BA" w:rsidRPr="00D86314" w:rsidRDefault="00ED6140" w:rsidP="003B5FD9">
      <w:pPr>
        <w:spacing w:after="160"/>
        <w:rPr>
          <w:noProof/>
        </w:rPr>
      </w:pPr>
      <w:r w:rsidRPr="00D86314">
        <w:rPr>
          <w:rFonts w:eastAsia="Aptos"/>
          <w:noProof/>
        </w:rPr>
        <w:t xml:space="preserve">Data on market outcomes were collected for all Member States across the full set of performance indicators defined in </w:t>
      </w:r>
      <w:r w:rsidR="00753F6D">
        <w:rPr>
          <w:rFonts w:eastAsia="Aptos"/>
          <w:noProof/>
        </w:rPr>
        <w:t>S</w:t>
      </w:r>
      <w:r w:rsidR="000C07B9" w:rsidRPr="00D86314">
        <w:rPr>
          <w:rFonts w:eastAsia="Aptos"/>
          <w:noProof/>
        </w:rPr>
        <w:t xml:space="preserve">ection </w:t>
      </w:r>
      <w:r w:rsidRPr="00D86314">
        <w:rPr>
          <w:rFonts w:eastAsia="Aptos"/>
          <w:noProof/>
        </w:rPr>
        <w:t xml:space="preserve">3.2.2. However, it should be noted that the datasets used for the subsequent visual assessment in </w:t>
      </w:r>
      <w:r w:rsidR="00753F6D">
        <w:rPr>
          <w:rFonts w:eastAsia="Aptos"/>
          <w:noProof/>
        </w:rPr>
        <w:t>S</w:t>
      </w:r>
      <w:r w:rsidR="000C07B9" w:rsidRPr="00D86314">
        <w:rPr>
          <w:rFonts w:eastAsia="Aptos"/>
          <w:noProof/>
        </w:rPr>
        <w:t xml:space="preserve">ection </w:t>
      </w:r>
      <w:r w:rsidRPr="00D86314">
        <w:rPr>
          <w:rFonts w:eastAsia="Aptos"/>
          <w:noProof/>
        </w:rPr>
        <w:t xml:space="preserve">3.3.10 and for the regression analysis in </w:t>
      </w:r>
      <w:r w:rsidR="000C07B9">
        <w:rPr>
          <w:rFonts w:eastAsia="Aptos"/>
          <w:noProof/>
        </w:rPr>
        <w:t>s</w:t>
      </w:r>
      <w:r w:rsidR="000C07B9" w:rsidRPr="00D86314">
        <w:rPr>
          <w:rFonts w:eastAsia="Aptos"/>
          <w:noProof/>
        </w:rPr>
        <w:t xml:space="preserve">ection </w:t>
      </w:r>
      <w:r w:rsidRPr="00D86314">
        <w:rPr>
          <w:rFonts w:eastAsia="Aptos"/>
          <w:noProof/>
        </w:rPr>
        <w:t xml:space="preserve">3.4 cover a smaller group of Member States. This reflects limitations in the availability of information required to characterise regulatory approaches in recent 5G spectrum awards, as well as the absence of band-specific final auction prices in some Member States. Further details are provided in the corresponding sections. To provide a comprehensive picture of differences in mobile-connectivity performance across the EU, all Member States are nevertheless retained in the descriptive comparison of cross-country market-outcomes variation presented in </w:t>
      </w:r>
      <w:r w:rsidR="00753F6D">
        <w:rPr>
          <w:rFonts w:eastAsia="Aptos"/>
          <w:noProof/>
        </w:rPr>
        <w:t>S</w:t>
      </w:r>
      <w:r w:rsidR="000C07B9" w:rsidRPr="00D86314">
        <w:rPr>
          <w:rFonts w:eastAsia="Aptos"/>
          <w:noProof/>
        </w:rPr>
        <w:t xml:space="preserve">ection </w:t>
      </w:r>
      <w:r w:rsidRPr="00D86314">
        <w:rPr>
          <w:rFonts w:eastAsia="Aptos"/>
          <w:noProof/>
        </w:rPr>
        <w:t>3.2.4.</w:t>
      </w:r>
    </w:p>
    <w:p w14:paraId="2FEA0235" w14:textId="444BDD7B" w:rsidR="000C606E" w:rsidRPr="00D86314" w:rsidRDefault="000C606E" w:rsidP="000C606E">
      <w:pPr>
        <w:pStyle w:val="Heading3"/>
        <w:rPr>
          <w:rFonts w:eastAsia="Aptos Display"/>
          <w:noProof/>
        </w:rPr>
      </w:pPr>
      <w:bookmarkStart w:id="174" w:name="_Ref214548871"/>
      <w:bookmarkStart w:id="175" w:name="_Toc219718387"/>
      <w:r w:rsidRPr="00D86314">
        <w:rPr>
          <w:rFonts w:eastAsia="Aptos Display"/>
          <w:noProof/>
        </w:rPr>
        <w:t>Observed Variation in Market Outcomes across Member States</w:t>
      </w:r>
      <w:bookmarkEnd w:id="174"/>
      <w:bookmarkEnd w:id="175"/>
    </w:p>
    <w:p w14:paraId="77E01EC6" w14:textId="6C8FF5C0" w:rsidR="00C778BA" w:rsidRPr="00D86314" w:rsidRDefault="33F0EFAF" w:rsidP="003B5FD9">
      <w:pPr>
        <w:spacing w:after="160"/>
        <w:rPr>
          <w:noProof/>
        </w:rPr>
      </w:pPr>
      <w:r w:rsidRPr="00D86314">
        <w:rPr>
          <w:noProof/>
        </w:rPr>
        <w:t xml:space="preserve">The data for all Member States included in this analysis are presented in Table </w:t>
      </w:r>
      <w:r w:rsidR="004C5598" w:rsidRPr="00D86314">
        <w:rPr>
          <w:rFonts w:eastAsiaTheme="minorEastAsia"/>
          <w:noProof/>
        </w:rPr>
        <w:t>A4 3-1:</w:t>
      </w:r>
      <w:r w:rsidRPr="00D86314">
        <w:rPr>
          <w:noProof/>
        </w:rPr>
        <w:t xml:space="preserve"> covering the three dimensions of market outcomes: 5G coverage (both overall and in the 3.4–3.8 GHz band), quality-of-service indicators (average download speed, 5G download speed, upload speed and latency), and PPP-adjusted consumer prices for the three usage baskets. The figures illustrate a highly fragmented landscape, with substantial variation across Member States in each of the outcome variables.</w:t>
      </w:r>
    </w:p>
    <w:p w14:paraId="32075984" w14:textId="605BAC38" w:rsidR="00C778BA" w:rsidRPr="00D86314" w:rsidRDefault="33F0EFAF" w:rsidP="00623C8D">
      <w:pPr>
        <w:keepNext/>
        <w:spacing w:before="240" w:after="160" w:line="276" w:lineRule="auto"/>
        <w:rPr>
          <w:iCs/>
          <w:noProof/>
          <w:sz w:val="22"/>
          <w:szCs w:val="22"/>
        </w:rPr>
      </w:pPr>
      <w:r w:rsidRPr="00D86314">
        <w:rPr>
          <w:iCs/>
          <w:noProof/>
          <w:sz w:val="22"/>
          <w:szCs w:val="22"/>
        </w:rPr>
        <w:t xml:space="preserve">Table </w:t>
      </w:r>
      <w:r w:rsidR="001161C3" w:rsidRPr="00D86314">
        <w:rPr>
          <w:iCs/>
          <w:noProof/>
          <w:sz w:val="22"/>
          <w:szCs w:val="22"/>
        </w:rPr>
        <w:t>A4</w:t>
      </w:r>
      <w:r w:rsidR="0073152A">
        <w:rPr>
          <w:iCs/>
          <w:noProof/>
          <w:sz w:val="22"/>
          <w:szCs w:val="22"/>
        </w:rPr>
        <w:t>-</w:t>
      </w:r>
      <w:r w:rsidR="001161C3" w:rsidRPr="00D86314">
        <w:rPr>
          <w:iCs/>
          <w:noProof/>
          <w:sz w:val="22"/>
          <w:szCs w:val="22"/>
        </w:rPr>
        <w:t>3-1</w:t>
      </w:r>
      <w:r w:rsidRPr="00D86314">
        <w:rPr>
          <w:iCs/>
          <w:noProof/>
          <w:sz w:val="22"/>
          <w:szCs w:val="22"/>
        </w:rPr>
        <w:t>: Market-Outcome Indicators for the 21 Analysed Member States</w:t>
      </w:r>
    </w:p>
    <w:tbl>
      <w:tblPr>
        <w:tblW w:w="0" w:type="auto"/>
        <w:tblLayout w:type="fixed"/>
        <w:tblLook w:val="04A0" w:firstRow="1" w:lastRow="0" w:firstColumn="1" w:lastColumn="0" w:noHBand="0" w:noVBand="1"/>
      </w:tblPr>
      <w:tblGrid>
        <w:gridCol w:w="699"/>
        <w:gridCol w:w="992"/>
        <w:gridCol w:w="993"/>
        <w:gridCol w:w="850"/>
        <w:gridCol w:w="992"/>
        <w:gridCol w:w="851"/>
        <w:gridCol w:w="850"/>
        <w:gridCol w:w="993"/>
        <w:gridCol w:w="970"/>
        <w:gridCol w:w="1014"/>
      </w:tblGrid>
      <w:tr w:rsidR="009C3B48" w:rsidRPr="00D86314" w14:paraId="7EF502B3" w14:textId="77777777" w:rsidTr="005D688C">
        <w:trPr>
          <w:trHeight w:val="1304"/>
          <w:tblHeader/>
        </w:trPr>
        <w:tc>
          <w:tcPr>
            <w:tcW w:w="699" w:type="dxa"/>
            <w:tcBorders>
              <w:top w:val="single" w:sz="8" w:space="0" w:color="auto"/>
              <w:left w:val="single" w:sz="8" w:space="0" w:color="auto"/>
              <w:bottom w:val="single" w:sz="4" w:space="0" w:color="auto"/>
              <w:right w:val="nil"/>
            </w:tcBorders>
            <w:shd w:val="clear" w:color="auto" w:fill="000000" w:themeFill="text1"/>
            <w:tcMar>
              <w:left w:w="70" w:type="dxa"/>
              <w:right w:w="70" w:type="dxa"/>
            </w:tcMar>
            <w:vAlign w:val="center"/>
          </w:tcPr>
          <w:p w14:paraId="1B6542BC" w14:textId="04C8F7F2" w:rsidR="3FFC62C1" w:rsidRPr="00D86314" w:rsidRDefault="005C4950" w:rsidP="00703057">
            <w:pPr>
              <w:spacing w:after="160" w:line="276" w:lineRule="auto"/>
              <w:jc w:val="center"/>
              <w:rPr>
                <w:b/>
                <w:noProof/>
                <w:color w:val="FFFFFF" w:themeColor="background1"/>
                <w:sz w:val="22"/>
              </w:rPr>
            </w:pPr>
            <w:r w:rsidRPr="00D86314">
              <w:rPr>
                <w:b/>
                <w:noProof/>
                <w:color w:val="FFFFFF" w:themeColor="background1"/>
                <w:sz w:val="22"/>
              </w:rPr>
              <w:t>MS</w:t>
            </w:r>
          </w:p>
        </w:tc>
        <w:tc>
          <w:tcPr>
            <w:tcW w:w="992" w:type="dxa"/>
            <w:tcBorders>
              <w:top w:val="single" w:sz="8" w:space="0" w:color="auto"/>
              <w:left w:val="single" w:sz="8" w:space="0" w:color="auto"/>
              <w:bottom w:val="single" w:sz="4" w:space="0" w:color="auto"/>
              <w:right w:val="single" w:sz="8" w:space="0" w:color="auto"/>
            </w:tcBorders>
            <w:shd w:val="clear" w:color="auto" w:fill="61D6FF"/>
            <w:tcMar>
              <w:left w:w="70" w:type="dxa"/>
              <w:right w:w="70" w:type="dxa"/>
            </w:tcMar>
            <w:vAlign w:val="center"/>
          </w:tcPr>
          <w:p w14:paraId="2A537C79" w14:textId="4E44C34F" w:rsidR="3FFC62C1" w:rsidRPr="00D86314" w:rsidRDefault="3FFC62C1" w:rsidP="00703057">
            <w:pPr>
              <w:spacing w:after="160" w:line="276" w:lineRule="auto"/>
              <w:jc w:val="center"/>
              <w:rPr>
                <w:noProof/>
                <w:sz w:val="22"/>
              </w:rPr>
            </w:pPr>
            <w:r w:rsidRPr="00D86314">
              <w:rPr>
                <w:noProof/>
                <w:sz w:val="22"/>
              </w:rPr>
              <w:t>5G coverage</w:t>
            </w:r>
            <w:r w:rsidRPr="00D86314">
              <w:rPr>
                <w:noProof/>
                <w:sz w:val="22"/>
                <w:szCs w:val="22"/>
              </w:rPr>
              <w:br/>
            </w:r>
            <w:r w:rsidRPr="00D86314">
              <w:rPr>
                <w:noProof/>
                <w:sz w:val="22"/>
              </w:rPr>
              <w:t xml:space="preserve"> (%)</w:t>
            </w:r>
          </w:p>
        </w:tc>
        <w:tc>
          <w:tcPr>
            <w:tcW w:w="993" w:type="dxa"/>
            <w:tcBorders>
              <w:top w:val="single" w:sz="8" w:space="0" w:color="auto"/>
              <w:left w:val="single" w:sz="8" w:space="0" w:color="auto"/>
              <w:bottom w:val="single" w:sz="4" w:space="0" w:color="auto"/>
              <w:right w:val="single" w:sz="8" w:space="0" w:color="auto"/>
            </w:tcBorders>
            <w:shd w:val="clear" w:color="auto" w:fill="61D6FF"/>
            <w:tcMar>
              <w:left w:w="70" w:type="dxa"/>
              <w:right w:w="70" w:type="dxa"/>
            </w:tcMar>
            <w:vAlign w:val="center"/>
          </w:tcPr>
          <w:p w14:paraId="723FCCB4" w14:textId="6BB1A0BC" w:rsidR="3FFC62C1" w:rsidRPr="00D86314" w:rsidRDefault="3FFC62C1" w:rsidP="00703057">
            <w:pPr>
              <w:spacing w:after="160" w:line="276" w:lineRule="auto"/>
              <w:jc w:val="center"/>
              <w:rPr>
                <w:noProof/>
                <w:sz w:val="22"/>
              </w:rPr>
            </w:pPr>
            <w:r w:rsidRPr="00D86314">
              <w:rPr>
                <w:noProof/>
                <w:sz w:val="22"/>
              </w:rPr>
              <w:t xml:space="preserve">5G </w:t>
            </w:r>
            <w:r w:rsidRPr="00D86314">
              <w:rPr>
                <w:noProof/>
                <w:sz w:val="22"/>
                <w:szCs w:val="22"/>
              </w:rPr>
              <w:br/>
            </w:r>
            <w:r w:rsidR="00800176" w:rsidRPr="00D86314">
              <w:rPr>
                <w:noProof/>
                <w:sz w:val="22"/>
              </w:rPr>
              <w:t>3.6 GHz</w:t>
            </w:r>
            <w:r w:rsidRPr="00D86314">
              <w:rPr>
                <w:noProof/>
                <w:sz w:val="22"/>
              </w:rPr>
              <w:t xml:space="preserve"> coverage</w:t>
            </w:r>
            <w:r w:rsidRPr="00D86314">
              <w:rPr>
                <w:noProof/>
                <w:sz w:val="22"/>
                <w:szCs w:val="22"/>
              </w:rPr>
              <w:br/>
            </w:r>
            <w:r w:rsidRPr="00D86314">
              <w:rPr>
                <w:noProof/>
                <w:sz w:val="22"/>
              </w:rPr>
              <w:t xml:space="preserve"> (%)</w:t>
            </w:r>
          </w:p>
        </w:tc>
        <w:tc>
          <w:tcPr>
            <w:tcW w:w="850" w:type="dxa"/>
            <w:tcBorders>
              <w:top w:val="single" w:sz="8" w:space="0" w:color="auto"/>
              <w:left w:val="single" w:sz="8" w:space="0" w:color="auto"/>
              <w:bottom w:val="single" w:sz="4" w:space="0" w:color="auto"/>
              <w:right w:val="single" w:sz="8" w:space="0" w:color="auto"/>
            </w:tcBorders>
            <w:shd w:val="clear" w:color="auto" w:fill="92D050"/>
            <w:tcMar>
              <w:left w:w="70" w:type="dxa"/>
              <w:right w:w="70" w:type="dxa"/>
            </w:tcMar>
            <w:vAlign w:val="center"/>
          </w:tcPr>
          <w:p w14:paraId="1D953DFB" w14:textId="27891408" w:rsidR="3FFC62C1" w:rsidRPr="00D86314" w:rsidRDefault="3FFC62C1" w:rsidP="00703057">
            <w:pPr>
              <w:spacing w:after="160" w:line="276" w:lineRule="auto"/>
              <w:jc w:val="center"/>
              <w:rPr>
                <w:noProof/>
                <w:sz w:val="22"/>
              </w:rPr>
            </w:pPr>
            <w:r w:rsidRPr="00D86314">
              <w:rPr>
                <w:noProof/>
                <w:sz w:val="22"/>
              </w:rPr>
              <w:t xml:space="preserve">Avg. DL Speed </w:t>
            </w:r>
            <w:r w:rsidRPr="00D86314">
              <w:rPr>
                <w:noProof/>
                <w:sz w:val="22"/>
                <w:szCs w:val="22"/>
              </w:rPr>
              <w:br/>
            </w:r>
            <w:r w:rsidRPr="00D86314">
              <w:rPr>
                <w:noProof/>
                <w:sz w:val="22"/>
              </w:rPr>
              <w:t>(Mbps)</w:t>
            </w:r>
          </w:p>
        </w:tc>
        <w:tc>
          <w:tcPr>
            <w:tcW w:w="992" w:type="dxa"/>
            <w:tcBorders>
              <w:top w:val="single" w:sz="8" w:space="0" w:color="auto"/>
              <w:left w:val="single" w:sz="8" w:space="0" w:color="auto"/>
              <w:bottom w:val="single" w:sz="4" w:space="0" w:color="auto"/>
              <w:right w:val="nil"/>
            </w:tcBorders>
            <w:shd w:val="clear" w:color="auto" w:fill="92D050"/>
            <w:tcMar>
              <w:left w:w="70" w:type="dxa"/>
              <w:right w:w="70" w:type="dxa"/>
            </w:tcMar>
            <w:vAlign w:val="center"/>
          </w:tcPr>
          <w:p w14:paraId="542D4284" w14:textId="18703786" w:rsidR="3FFC62C1" w:rsidRPr="00D86314" w:rsidRDefault="3FFC62C1" w:rsidP="000E7E60">
            <w:pPr>
              <w:spacing w:after="160" w:line="276" w:lineRule="auto"/>
              <w:jc w:val="center"/>
              <w:rPr>
                <w:noProof/>
                <w:sz w:val="22"/>
              </w:rPr>
            </w:pPr>
            <w:r w:rsidRPr="00D86314">
              <w:rPr>
                <w:noProof/>
                <w:sz w:val="22"/>
              </w:rPr>
              <w:t>Avg. 5G DL Speed (Mbps)</w:t>
            </w:r>
          </w:p>
        </w:tc>
        <w:tc>
          <w:tcPr>
            <w:tcW w:w="851" w:type="dxa"/>
            <w:tcBorders>
              <w:top w:val="single" w:sz="8" w:space="0" w:color="auto"/>
              <w:left w:val="single" w:sz="8" w:space="0" w:color="auto"/>
              <w:bottom w:val="single" w:sz="4" w:space="0" w:color="auto"/>
              <w:right w:val="single" w:sz="8" w:space="0" w:color="auto"/>
            </w:tcBorders>
            <w:shd w:val="clear" w:color="auto" w:fill="92D050"/>
            <w:tcMar>
              <w:left w:w="70" w:type="dxa"/>
              <w:right w:w="70" w:type="dxa"/>
            </w:tcMar>
            <w:vAlign w:val="center"/>
          </w:tcPr>
          <w:p w14:paraId="64094751" w14:textId="240EC076" w:rsidR="3FFC62C1" w:rsidRPr="00D86314" w:rsidRDefault="3FFC62C1" w:rsidP="00703057">
            <w:pPr>
              <w:spacing w:after="160" w:line="276" w:lineRule="auto"/>
              <w:jc w:val="center"/>
              <w:rPr>
                <w:noProof/>
                <w:sz w:val="22"/>
              </w:rPr>
            </w:pPr>
            <w:r w:rsidRPr="00D86314">
              <w:rPr>
                <w:noProof/>
                <w:sz w:val="22"/>
              </w:rPr>
              <w:t>Avg. UL Speed</w:t>
            </w:r>
            <w:r w:rsidRPr="00D86314">
              <w:rPr>
                <w:noProof/>
                <w:sz w:val="22"/>
                <w:szCs w:val="22"/>
              </w:rPr>
              <w:br/>
            </w:r>
            <w:r w:rsidRPr="00D86314">
              <w:rPr>
                <w:noProof/>
                <w:sz w:val="22"/>
              </w:rPr>
              <w:t xml:space="preserve"> (Mbps)</w:t>
            </w:r>
          </w:p>
        </w:tc>
        <w:tc>
          <w:tcPr>
            <w:tcW w:w="850" w:type="dxa"/>
            <w:tcBorders>
              <w:top w:val="single" w:sz="8" w:space="0" w:color="auto"/>
              <w:left w:val="single" w:sz="8" w:space="0" w:color="auto"/>
              <w:bottom w:val="single" w:sz="4" w:space="0" w:color="auto"/>
              <w:right w:val="single" w:sz="8" w:space="0" w:color="auto"/>
            </w:tcBorders>
            <w:shd w:val="clear" w:color="auto" w:fill="92D050"/>
            <w:tcMar>
              <w:left w:w="70" w:type="dxa"/>
              <w:right w:w="70" w:type="dxa"/>
            </w:tcMar>
            <w:vAlign w:val="center"/>
          </w:tcPr>
          <w:p w14:paraId="1F8C1198" w14:textId="3D2057ED" w:rsidR="3FFC62C1" w:rsidRPr="00D86314" w:rsidRDefault="3FFC62C1" w:rsidP="00703057">
            <w:pPr>
              <w:spacing w:after="160" w:line="276" w:lineRule="auto"/>
              <w:jc w:val="center"/>
              <w:rPr>
                <w:noProof/>
                <w:sz w:val="22"/>
              </w:rPr>
            </w:pPr>
            <w:r w:rsidRPr="00D86314">
              <w:rPr>
                <w:noProof/>
                <w:sz w:val="22"/>
              </w:rPr>
              <w:t>Avg. Latency</w:t>
            </w:r>
            <w:r w:rsidRPr="00D86314">
              <w:rPr>
                <w:noProof/>
                <w:sz w:val="22"/>
                <w:szCs w:val="22"/>
              </w:rPr>
              <w:br/>
            </w:r>
            <w:r w:rsidRPr="00D86314">
              <w:rPr>
                <w:noProof/>
                <w:sz w:val="22"/>
              </w:rPr>
              <w:t xml:space="preserve"> (Ms)</w:t>
            </w:r>
          </w:p>
        </w:tc>
        <w:tc>
          <w:tcPr>
            <w:tcW w:w="993" w:type="dxa"/>
            <w:tcBorders>
              <w:top w:val="single" w:sz="8" w:space="0" w:color="auto"/>
              <w:left w:val="single" w:sz="8" w:space="0" w:color="auto"/>
              <w:bottom w:val="single" w:sz="4" w:space="0" w:color="auto"/>
              <w:right w:val="nil"/>
            </w:tcBorders>
            <w:shd w:val="clear" w:color="auto" w:fill="F9AB6B"/>
            <w:tcMar>
              <w:left w:w="70" w:type="dxa"/>
              <w:right w:w="70" w:type="dxa"/>
            </w:tcMar>
            <w:vAlign w:val="center"/>
          </w:tcPr>
          <w:p w14:paraId="045604CE" w14:textId="17C35101" w:rsidR="3FFC62C1" w:rsidRPr="00D86314" w:rsidRDefault="3FFC62C1" w:rsidP="00703057">
            <w:pPr>
              <w:spacing w:after="160" w:line="276" w:lineRule="auto"/>
              <w:jc w:val="center"/>
              <w:rPr>
                <w:noProof/>
                <w:sz w:val="22"/>
              </w:rPr>
            </w:pPr>
            <w:r w:rsidRPr="00D86314">
              <w:rPr>
                <w:noProof/>
                <w:sz w:val="22"/>
              </w:rPr>
              <w:t>Price for</w:t>
            </w:r>
            <w:r w:rsidRPr="00D86314">
              <w:rPr>
                <w:noProof/>
                <w:sz w:val="22"/>
                <w:szCs w:val="22"/>
              </w:rPr>
              <w:br/>
            </w:r>
            <w:r w:rsidRPr="00D86314">
              <w:rPr>
                <w:noProof/>
                <w:sz w:val="22"/>
              </w:rPr>
              <w:t xml:space="preserve"> 50 GB, </w:t>
            </w:r>
            <w:r w:rsidRPr="00D86314">
              <w:rPr>
                <w:noProof/>
                <w:sz w:val="22"/>
                <w:szCs w:val="22"/>
              </w:rPr>
              <w:br/>
            </w:r>
            <w:r w:rsidRPr="00D86314">
              <w:rPr>
                <w:noProof/>
                <w:sz w:val="22"/>
              </w:rPr>
              <w:t xml:space="preserve"> 100 calls</w:t>
            </w:r>
            <w:r w:rsidRPr="00D86314">
              <w:rPr>
                <w:noProof/>
                <w:sz w:val="22"/>
                <w:szCs w:val="22"/>
              </w:rPr>
              <w:br/>
            </w:r>
            <w:r w:rsidRPr="00D86314">
              <w:rPr>
                <w:noProof/>
                <w:sz w:val="22"/>
              </w:rPr>
              <w:t xml:space="preserve"> (</w:t>
            </w:r>
            <w:r w:rsidR="009111BE" w:rsidRPr="00D86314">
              <w:rPr>
                <w:noProof/>
                <w:sz w:val="22"/>
              </w:rPr>
              <w:t>EUR</w:t>
            </w:r>
            <w:r w:rsidRPr="00D86314">
              <w:rPr>
                <w:noProof/>
                <w:sz w:val="22"/>
              </w:rPr>
              <w:t>, PPP)</w:t>
            </w:r>
          </w:p>
        </w:tc>
        <w:tc>
          <w:tcPr>
            <w:tcW w:w="970" w:type="dxa"/>
            <w:tcBorders>
              <w:top w:val="single" w:sz="8" w:space="0" w:color="auto"/>
              <w:left w:val="single" w:sz="8" w:space="0" w:color="auto"/>
              <w:bottom w:val="single" w:sz="4" w:space="0" w:color="auto"/>
              <w:right w:val="single" w:sz="8" w:space="0" w:color="auto"/>
            </w:tcBorders>
            <w:shd w:val="clear" w:color="auto" w:fill="F9AB6B"/>
            <w:tcMar>
              <w:left w:w="70" w:type="dxa"/>
              <w:right w:w="70" w:type="dxa"/>
            </w:tcMar>
            <w:vAlign w:val="center"/>
          </w:tcPr>
          <w:p w14:paraId="1083D93B" w14:textId="3B074065" w:rsidR="3FFC62C1" w:rsidRPr="00D86314" w:rsidRDefault="3FFC62C1" w:rsidP="00703057">
            <w:pPr>
              <w:spacing w:after="160" w:line="276" w:lineRule="auto"/>
              <w:jc w:val="center"/>
              <w:rPr>
                <w:noProof/>
                <w:sz w:val="22"/>
              </w:rPr>
            </w:pPr>
            <w:r w:rsidRPr="00D86314">
              <w:rPr>
                <w:noProof/>
                <w:sz w:val="22"/>
              </w:rPr>
              <w:t>Price for</w:t>
            </w:r>
            <w:r w:rsidRPr="00D86314">
              <w:rPr>
                <w:noProof/>
                <w:sz w:val="22"/>
                <w:szCs w:val="22"/>
              </w:rPr>
              <w:br/>
            </w:r>
            <w:r w:rsidRPr="00D86314">
              <w:rPr>
                <w:noProof/>
                <w:sz w:val="22"/>
              </w:rPr>
              <w:t xml:space="preserve"> 20 GB, </w:t>
            </w:r>
            <w:r w:rsidRPr="00D86314">
              <w:rPr>
                <w:noProof/>
                <w:sz w:val="22"/>
                <w:szCs w:val="22"/>
              </w:rPr>
              <w:br/>
            </w:r>
            <w:r w:rsidRPr="00D86314">
              <w:rPr>
                <w:noProof/>
                <w:sz w:val="22"/>
              </w:rPr>
              <w:t>30 calls</w:t>
            </w:r>
            <w:r w:rsidRPr="00D86314">
              <w:rPr>
                <w:noProof/>
                <w:sz w:val="22"/>
                <w:szCs w:val="22"/>
              </w:rPr>
              <w:br/>
            </w:r>
            <w:r w:rsidRPr="00D86314">
              <w:rPr>
                <w:noProof/>
                <w:sz w:val="22"/>
              </w:rPr>
              <w:t xml:space="preserve"> (</w:t>
            </w:r>
            <w:r w:rsidR="009111BE" w:rsidRPr="00D86314">
              <w:rPr>
                <w:noProof/>
                <w:sz w:val="22"/>
              </w:rPr>
              <w:t>EUR</w:t>
            </w:r>
            <w:r w:rsidRPr="00D86314">
              <w:rPr>
                <w:noProof/>
                <w:sz w:val="22"/>
              </w:rPr>
              <w:t>, PPP)</w:t>
            </w:r>
          </w:p>
        </w:tc>
        <w:tc>
          <w:tcPr>
            <w:tcW w:w="1014" w:type="dxa"/>
            <w:tcBorders>
              <w:top w:val="single" w:sz="8" w:space="0" w:color="auto"/>
              <w:left w:val="single" w:sz="8" w:space="0" w:color="auto"/>
              <w:bottom w:val="single" w:sz="4" w:space="0" w:color="auto"/>
              <w:right w:val="single" w:sz="8" w:space="0" w:color="auto"/>
            </w:tcBorders>
            <w:shd w:val="clear" w:color="auto" w:fill="F9AB6B"/>
            <w:tcMar>
              <w:left w:w="70" w:type="dxa"/>
              <w:right w:w="70" w:type="dxa"/>
            </w:tcMar>
            <w:vAlign w:val="center"/>
          </w:tcPr>
          <w:p w14:paraId="1F6BC3DD" w14:textId="7E8B30B1" w:rsidR="3FFC62C1" w:rsidRPr="00D86314" w:rsidRDefault="3FFC62C1" w:rsidP="00703057">
            <w:pPr>
              <w:spacing w:after="160" w:line="276" w:lineRule="auto"/>
              <w:jc w:val="center"/>
              <w:rPr>
                <w:noProof/>
                <w:sz w:val="22"/>
              </w:rPr>
            </w:pPr>
            <w:r w:rsidRPr="00D86314">
              <w:rPr>
                <w:noProof/>
                <w:sz w:val="22"/>
              </w:rPr>
              <w:t xml:space="preserve">Price for </w:t>
            </w:r>
            <w:r w:rsidRPr="00D86314">
              <w:rPr>
                <w:noProof/>
                <w:sz w:val="22"/>
                <w:szCs w:val="22"/>
              </w:rPr>
              <w:br/>
            </w:r>
            <w:r w:rsidRPr="00D86314">
              <w:rPr>
                <w:noProof/>
                <w:sz w:val="22"/>
              </w:rPr>
              <w:t>10 GB,</w:t>
            </w:r>
            <w:r w:rsidRPr="00D86314">
              <w:rPr>
                <w:noProof/>
                <w:sz w:val="22"/>
                <w:szCs w:val="22"/>
              </w:rPr>
              <w:br/>
            </w:r>
            <w:r w:rsidRPr="00D86314">
              <w:rPr>
                <w:noProof/>
                <w:sz w:val="22"/>
              </w:rPr>
              <w:t xml:space="preserve"> 0 calls</w:t>
            </w:r>
            <w:r w:rsidRPr="00D86314">
              <w:rPr>
                <w:noProof/>
                <w:sz w:val="22"/>
                <w:szCs w:val="22"/>
              </w:rPr>
              <w:br/>
            </w:r>
            <w:r w:rsidRPr="00D86314">
              <w:rPr>
                <w:noProof/>
                <w:sz w:val="22"/>
              </w:rPr>
              <w:t xml:space="preserve"> (</w:t>
            </w:r>
            <w:r w:rsidR="009111BE" w:rsidRPr="00D86314">
              <w:rPr>
                <w:noProof/>
                <w:sz w:val="22"/>
              </w:rPr>
              <w:t>EUR</w:t>
            </w:r>
            <w:r w:rsidRPr="00D86314">
              <w:rPr>
                <w:noProof/>
                <w:sz w:val="22"/>
              </w:rPr>
              <w:t>, PPP)</w:t>
            </w:r>
          </w:p>
        </w:tc>
      </w:tr>
      <w:tr w:rsidR="00C15C39" w:rsidRPr="00D86314" w14:paraId="1EF89D66"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0D3E94B3" w14:textId="5172BA69" w:rsidR="00C15C39" w:rsidRPr="00D86314" w:rsidRDefault="00C15C39" w:rsidP="00C15C39">
            <w:pPr>
              <w:spacing w:after="160" w:line="276" w:lineRule="auto"/>
              <w:jc w:val="center"/>
              <w:rPr>
                <w:noProof/>
                <w:sz w:val="22"/>
              </w:rPr>
            </w:pPr>
            <w:r w:rsidRPr="00D86314">
              <w:rPr>
                <w:noProof/>
                <w:sz w:val="22"/>
              </w:rPr>
              <w:t>AT</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F0429D9" w14:textId="71923B7A" w:rsidR="00C15C39" w:rsidRPr="00D86314" w:rsidRDefault="00C15C39" w:rsidP="00C15C39">
            <w:pPr>
              <w:spacing w:after="160" w:line="276" w:lineRule="auto"/>
              <w:jc w:val="center"/>
              <w:rPr>
                <w:noProof/>
                <w:sz w:val="22"/>
              </w:rPr>
            </w:pPr>
            <w:r w:rsidRPr="00F87B9B">
              <w:rPr>
                <w:noProof/>
                <w:sz w:val="22"/>
              </w:rPr>
              <w:t>99,5%</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3ABDA37" w14:textId="7B865577" w:rsidR="00C15C39" w:rsidRPr="00D86314" w:rsidRDefault="00C15C39" w:rsidP="00C15C39">
            <w:pPr>
              <w:spacing w:after="160" w:line="276" w:lineRule="auto"/>
              <w:jc w:val="center"/>
              <w:rPr>
                <w:noProof/>
                <w:sz w:val="22"/>
              </w:rPr>
            </w:pPr>
            <w:r w:rsidRPr="00F87B9B">
              <w:rPr>
                <w:noProof/>
                <w:sz w:val="22"/>
              </w:rPr>
              <w:t>84,0%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084F311" w14:textId="40CEDBDE" w:rsidR="00C15C39" w:rsidRPr="00D86314" w:rsidRDefault="00C15C39" w:rsidP="00C15C39">
            <w:pPr>
              <w:spacing w:after="160" w:line="276" w:lineRule="auto"/>
              <w:jc w:val="center"/>
              <w:rPr>
                <w:noProof/>
                <w:sz w:val="22"/>
              </w:rPr>
            </w:pPr>
            <w:r w:rsidRPr="00F87B9B">
              <w:rPr>
                <w:noProof/>
                <w:sz w:val="22"/>
              </w:rPr>
              <w:t>76,23</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D129C5E" w14:textId="33EE3A5B" w:rsidR="00C15C39" w:rsidRPr="00D86314" w:rsidRDefault="00C15C39" w:rsidP="00C15C39">
            <w:pPr>
              <w:spacing w:after="160" w:line="276" w:lineRule="auto"/>
              <w:jc w:val="center"/>
              <w:rPr>
                <w:noProof/>
                <w:sz w:val="22"/>
              </w:rPr>
            </w:pPr>
            <w:r w:rsidRPr="00F87B9B">
              <w:rPr>
                <w:noProof/>
                <w:sz w:val="22"/>
              </w:rPr>
              <w:t>125,05</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9188718" w14:textId="7C0AC30B" w:rsidR="00C15C39" w:rsidRPr="00D86314" w:rsidRDefault="00C15C39" w:rsidP="00C15C39">
            <w:pPr>
              <w:spacing w:after="160" w:line="276" w:lineRule="auto"/>
              <w:jc w:val="center"/>
              <w:rPr>
                <w:noProof/>
                <w:sz w:val="22"/>
              </w:rPr>
            </w:pPr>
            <w:r w:rsidRPr="00F87B9B">
              <w:rPr>
                <w:noProof/>
                <w:sz w:val="22"/>
              </w:rPr>
              <w:t>21,7</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D2CDBE2" w14:textId="48DEBF91" w:rsidR="00C15C39" w:rsidRPr="00D86314" w:rsidRDefault="00C15C39" w:rsidP="00C15C39">
            <w:pPr>
              <w:spacing w:after="160" w:line="276" w:lineRule="auto"/>
              <w:jc w:val="center"/>
              <w:rPr>
                <w:noProof/>
                <w:sz w:val="22"/>
              </w:rPr>
            </w:pPr>
            <w:r w:rsidRPr="00F87B9B">
              <w:rPr>
                <w:noProof/>
                <w:sz w:val="22"/>
              </w:rPr>
              <w:t>19,1</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3203304" w14:textId="09B228E7" w:rsidR="00C15C39" w:rsidRPr="00D86314" w:rsidRDefault="00C15C39" w:rsidP="00C15C39">
            <w:pPr>
              <w:spacing w:after="160" w:line="276" w:lineRule="auto"/>
              <w:jc w:val="center"/>
              <w:rPr>
                <w:noProof/>
                <w:sz w:val="22"/>
              </w:rPr>
            </w:pPr>
            <w:r w:rsidRPr="00F87B9B">
              <w:rPr>
                <w:noProof/>
                <w:sz w:val="22"/>
              </w:rPr>
              <w:t>16,99</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395538E" w14:textId="5AF23803" w:rsidR="00C15C39" w:rsidRPr="00D86314" w:rsidRDefault="00C15C39" w:rsidP="00C15C39">
            <w:pPr>
              <w:spacing w:after="160" w:line="276" w:lineRule="auto"/>
              <w:jc w:val="center"/>
              <w:rPr>
                <w:noProof/>
                <w:sz w:val="22"/>
              </w:rPr>
            </w:pPr>
            <w:r w:rsidRPr="00F87B9B">
              <w:rPr>
                <w:noProof/>
                <w:sz w:val="22"/>
              </w:rPr>
              <w:t>8,82</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3DA2498" w14:textId="3CEC0D00" w:rsidR="00C15C39" w:rsidRPr="00D86314" w:rsidRDefault="00C15C39" w:rsidP="00C15C39">
            <w:pPr>
              <w:spacing w:after="160" w:line="276" w:lineRule="auto"/>
              <w:jc w:val="center"/>
              <w:rPr>
                <w:noProof/>
                <w:sz w:val="22"/>
              </w:rPr>
            </w:pPr>
            <w:r w:rsidRPr="00F87B9B">
              <w:rPr>
                <w:noProof/>
                <w:sz w:val="22"/>
              </w:rPr>
              <w:t>6,23</w:t>
            </w:r>
          </w:p>
        </w:tc>
      </w:tr>
      <w:tr w:rsidR="00B46669" w:rsidRPr="00D86314" w14:paraId="1A54252F"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2081186B" w14:textId="258FF266" w:rsidR="00B46669" w:rsidRPr="00D86314" w:rsidRDefault="00B46669" w:rsidP="00B46669">
            <w:pPr>
              <w:spacing w:after="160" w:line="276" w:lineRule="auto"/>
              <w:jc w:val="center"/>
              <w:rPr>
                <w:noProof/>
                <w:sz w:val="22"/>
              </w:rPr>
            </w:pPr>
            <w:r w:rsidRPr="00D86314">
              <w:rPr>
                <w:noProof/>
                <w:sz w:val="22"/>
              </w:rPr>
              <w:t>BE</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565AFBB" w14:textId="256F0701" w:rsidR="00B46669" w:rsidRPr="00D86314" w:rsidRDefault="00B46669" w:rsidP="00B46669">
            <w:pPr>
              <w:spacing w:after="160" w:line="276" w:lineRule="auto"/>
              <w:jc w:val="center"/>
              <w:rPr>
                <w:noProof/>
                <w:sz w:val="22"/>
              </w:rPr>
            </w:pPr>
            <w:r w:rsidRPr="00F87B9B">
              <w:rPr>
                <w:noProof/>
                <w:sz w:val="22"/>
              </w:rPr>
              <w:t>96,9%</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9CC9DA3" w14:textId="65E1D534" w:rsidR="00B46669" w:rsidRPr="00D86314" w:rsidRDefault="00B46669" w:rsidP="00B46669">
            <w:pPr>
              <w:spacing w:after="160" w:line="276" w:lineRule="auto"/>
              <w:jc w:val="center"/>
              <w:rPr>
                <w:noProof/>
                <w:sz w:val="22"/>
              </w:rPr>
            </w:pPr>
            <w:r w:rsidRPr="00F87B9B">
              <w:rPr>
                <w:noProof/>
                <w:sz w:val="22"/>
              </w:rPr>
              <w:t>49,3%</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F3C8EE2" w14:textId="4184ED08" w:rsidR="00B46669" w:rsidRPr="00D86314" w:rsidRDefault="00B46669" w:rsidP="00B46669">
            <w:pPr>
              <w:spacing w:after="160" w:line="276" w:lineRule="auto"/>
              <w:jc w:val="center"/>
              <w:rPr>
                <w:noProof/>
                <w:sz w:val="22"/>
              </w:rPr>
            </w:pPr>
            <w:r w:rsidRPr="00F87B9B">
              <w:rPr>
                <w:noProof/>
                <w:sz w:val="22"/>
              </w:rPr>
              <w:t>83,96</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358EAF2" w14:textId="0B64445A" w:rsidR="00B46669" w:rsidRPr="00D86314" w:rsidRDefault="00B46669" w:rsidP="00B46669">
            <w:pPr>
              <w:spacing w:after="160" w:line="276" w:lineRule="auto"/>
              <w:jc w:val="center"/>
              <w:rPr>
                <w:noProof/>
                <w:sz w:val="22"/>
              </w:rPr>
            </w:pPr>
            <w:r w:rsidRPr="00F87B9B">
              <w:rPr>
                <w:noProof/>
                <w:sz w:val="22"/>
              </w:rPr>
              <w:t>134,59</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2B0ECD2" w14:textId="1D34F9F2" w:rsidR="00B46669" w:rsidRPr="00D86314" w:rsidRDefault="00B46669" w:rsidP="00B46669">
            <w:pPr>
              <w:spacing w:after="160" w:line="276" w:lineRule="auto"/>
              <w:jc w:val="center"/>
              <w:rPr>
                <w:noProof/>
                <w:sz w:val="22"/>
              </w:rPr>
            </w:pPr>
            <w:r w:rsidRPr="00F87B9B">
              <w:rPr>
                <w:noProof/>
                <w:sz w:val="22"/>
              </w:rPr>
              <w:t>19,3</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8A0DE60" w14:textId="3FA3AB03" w:rsidR="00B46669" w:rsidRPr="00D86314" w:rsidRDefault="00B46669" w:rsidP="00B46669">
            <w:pPr>
              <w:spacing w:after="160" w:line="276" w:lineRule="auto"/>
              <w:jc w:val="center"/>
              <w:rPr>
                <w:noProof/>
                <w:sz w:val="22"/>
              </w:rPr>
            </w:pPr>
            <w:r w:rsidRPr="00F87B9B">
              <w:rPr>
                <w:noProof/>
                <w:sz w:val="22"/>
              </w:rPr>
              <w:t>22,5</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9ABEA78" w14:textId="0F0879BF" w:rsidR="00B46669" w:rsidRPr="00D86314" w:rsidRDefault="00B46669" w:rsidP="00B46669">
            <w:pPr>
              <w:spacing w:after="160" w:line="276" w:lineRule="auto"/>
              <w:jc w:val="center"/>
              <w:rPr>
                <w:noProof/>
                <w:sz w:val="22"/>
              </w:rPr>
            </w:pPr>
            <w:r w:rsidRPr="00F87B9B">
              <w:rPr>
                <w:noProof/>
                <w:sz w:val="22"/>
              </w:rPr>
              <w:t>22,34</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7726187" w14:textId="076B625B" w:rsidR="00B46669" w:rsidRPr="00D86314" w:rsidRDefault="00B46669" w:rsidP="00B46669">
            <w:pPr>
              <w:spacing w:after="160" w:line="276" w:lineRule="auto"/>
              <w:jc w:val="center"/>
              <w:rPr>
                <w:noProof/>
                <w:sz w:val="22"/>
              </w:rPr>
            </w:pPr>
            <w:r w:rsidRPr="00F87B9B">
              <w:rPr>
                <w:noProof/>
                <w:sz w:val="22"/>
              </w:rPr>
              <w:t>18,76</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35A4411" w14:textId="0847BBF3" w:rsidR="00B46669" w:rsidRPr="00D86314" w:rsidRDefault="00B46669" w:rsidP="00B46669">
            <w:pPr>
              <w:spacing w:after="160" w:line="276" w:lineRule="auto"/>
              <w:jc w:val="center"/>
              <w:rPr>
                <w:noProof/>
                <w:sz w:val="22"/>
              </w:rPr>
            </w:pPr>
            <w:r w:rsidRPr="00F87B9B">
              <w:rPr>
                <w:noProof/>
                <w:sz w:val="22"/>
              </w:rPr>
              <w:t>13,40</w:t>
            </w:r>
          </w:p>
        </w:tc>
      </w:tr>
      <w:tr w:rsidR="00B46669" w:rsidRPr="00D86314" w14:paraId="135386F4"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17DF18D3" w14:textId="33962D06" w:rsidR="00B46669" w:rsidRPr="00D86314" w:rsidRDefault="00B46669" w:rsidP="00B46669">
            <w:pPr>
              <w:spacing w:after="160" w:line="276" w:lineRule="auto"/>
              <w:jc w:val="center"/>
              <w:rPr>
                <w:noProof/>
                <w:sz w:val="22"/>
              </w:rPr>
            </w:pPr>
            <w:r w:rsidRPr="00D86314">
              <w:rPr>
                <w:noProof/>
                <w:sz w:val="22"/>
              </w:rPr>
              <w:t>BG</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19BE4BB" w14:textId="096F10DF" w:rsidR="00B46669" w:rsidRPr="00D86314" w:rsidRDefault="00B46669" w:rsidP="00B46669">
            <w:pPr>
              <w:spacing w:after="160" w:line="276" w:lineRule="auto"/>
              <w:jc w:val="center"/>
              <w:rPr>
                <w:noProof/>
                <w:sz w:val="22"/>
              </w:rPr>
            </w:pPr>
            <w:r w:rsidRPr="00F87B9B">
              <w:rPr>
                <w:noProof/>
                <w:sz w:val="22"/>
              </w:rPr>
              <w:t>81,3%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C2D60EF" w14:textId="30EE423D" w:rsidR="00B46669" w:rsidRPr="00D86314" w:rsidRDefault="00B46669" w:rsidP="00B46669">
            <w:pPr>
              <w:spacing w:after="160" w:line="276" w:lineRule="auto"/>
              <w:jc w:val="center"/>
              <w:rPr>
                <w:noProof/>
                <w:sz w:val="22"/>
              </w:rPr>
            </w:pPr>
            <w:r w:rsidRPr="00F87B9B">
              <w:rPr>
                <w:noProof/>
                <w:sz w:val="22"/>
              </w:rPr>
              <w:t>81,3%</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7DEFDA0" w14:textId="437404EA" w:rsidR="00B46669" w:rsidRPr="00D86314" w:rsidRDefault="00B46669" w:rsidP="00B46669">
            <w:pPr>
              <w:spacing w:after="160" w:line="276" w:lineRule="auto"/>
              <w:jc w:val="center"/>
              <w:rPr>
                <w:noProof/>
                <w:sz w:val="22"/>
              </w:rPr>
            </w:pPr>
            <w:r w:rsidRPr="00F87B9B">
              <w:rPr>
                <w:noProof/>
                <w:sz w:val="22"/>
              </w:rPr>
              <w:t>94,67</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2E372CA" w14:textId="383B6D71" w:rsidR="00B46669" w:rsidRPr="00D86314" w:rsidRDefault="00B46669" w:rsidP="00B46669">
            <w:pPr>
              <w:spacing w:after="160" w:line="276" w:lineRule="auto"/>
              <w:jc w:val="center"/>
              <w:rPr>
                <w:noProof/>
                <w:sz w:val="22"/>
              </w:rPr>
            </w:pPr>
            <w:r w:rsidRPr="00F87B9B">
              <w:rPr>
                <w:noProof/>
                <w:sz w:val="22"/>
              </w:rPr>
              <w:t>170,51</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983F268" w14:textId="50D59FC8" w:rsidR="00B46669" w:rsidRPr="00D86314" w:rsidRDefault="00B46669" w:rsidP="00B46669">
            <w:pPr>
              <w:spacing w:after="160" w:line="276" w:lineRule="auto"/>
              <w:jc w:val="center"/>
              <w:rPr>
                <w:noProof/>
                <w:sz w:val="22"/>
              </w:rPr>
            </w:pPr>
            <w:r w:rsidRPr="00F87B9B">
              <w:rPr>
                <w:noProof/>
                <w:sz w:val="22"/>
              </w:rPr>
              <w:t>19,6</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C9D06E2" w14:textId="0FC30201" w:rsidR="00B46669" w:rsidRPr="00D86314" w:rsidRDefault="00B46669" w:rsidP="00B46669">
            <w:pPr>
              <w:spacing w:after="160" w:line="276" w:lineRule="auto"/>
              <w:jc w:val="center"/>
              <w:rPr>
                <w:noProof/>
                <w:sz w:val="22"/>
              </w:rPr>
            </w:pPr>
            <w:r w:rsidRPr="00F87B9B">
              <w:rPr>
                <w:noProof/>
                <w:sz w:val="22"/>
              </w:rPr>
              <w:t>23,7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E3E4818" w14:textId="6CDD0DAC" w:rsidR="00B46669" w:rsidRPr="00D86314" w:rsidRDefault="00B46669" w:rsidP="00B46669">
            <w:pPr>
              <w:spacing w:after="160" w:line="276" w:lineRule="auto"/>
              <w:jc w:val="center"/>
              <w:rPr>
                <w:noProof/>
                <w:sz w:val="22"/>
              </w:rPr>
            </w:pPr>
            <w:r w:rsidRPr="00F87B9B">
              <w:rPr>
                <w:noProof/>
                <w:sz w:val="22"/>
              </w:rPr>
              <w:t>10,11</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A33AB92" w14:textId="46256ADF" w:rsidR="00B46669" w:rsidRPr="00D86314" w:rsidRDefault="00B46669" w:rsidP="00B46669">
            <w:pPr>
              <w:spacing w:after="160" w:line="276" w:lineRule="auto"/>
              <w:jc w:val="center"/>
              <w:rPr>
                <w:noProof/>
                <w:sz w:val="22"/>
              </w:rPr>
            </w:pPr>
            <w:r w:rsidRPr="00F87B9B">
              <w:rPr>
                <w:noProof/>
                <w:sz w:val="22"/>
              </w:rPr>
              <w:t>10,11</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DA67B43" w14:textId="13699337" w:rsidR="00B46669" w:rsidRPr="00D86314" w:rsidRDefault="00B46669" w:rsidP="00B46669">
            <w:pPr>
              <w:spacing w:after="160" w:line="276" w:lineRule="auto"/>
              <w:jc w:val="center"/>
              <w:rPr>
                <w:noProof/>
                <w:sz w:val="22"/>
              </w:rPr>
            </w:pPr>
            <w:r w:rsidRPr="00F87B9B">
              <w:rPr>
                <w:noProof/>
                <w:sz w:val="22"/>
              </w:rPr>
              <w:t>10,11</w:t>
            </w:r>
          </w:p>
        </w:tc>
      </w:tr>
      <w:tr w:rsidR="00B46669" w:rsidRPr="00D86314" w14:paraId="3270CF63"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4BC6A78A" w14:textId="1389FD5C" w:rsidR="00B46669" w:rsidRPr="00D86314" w:rsidRDefault="00B46669" w:rsidP="00B46669">
            <w:pPr>
              <w:spacing w:after="160" w:line="276" w:lineRule="auto"/>
              <w:jc w:val="center"/>
              <w:rPr>
                <w:noProof/>
                <w:sz w:val="22"/>
              </w:rPr>
            </w:pPr>
            <w:r w:rsidRPr="00D86314">
              <w:rPr>
                <w:noProof/>
                <w:sz w:val="22"/>
              </w:rPr>
              <w:t>HR</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16F4B9A" w14:textId="7941048F" w:rsidR="00B46669" w:rsidRPr="00D86314" w:rsidRDefault="00B46669" w:rsidP="00B46669">
            <w:pPr>
              <w:spacing w:after="160" w:line="276" w:lineRule="auto"/>
              <w:jc w:val="center"/>
              <w:rPr>
                <w:noProof/>
                <w:sz w:val="22"/>
              </w:rPr>
            </w:pPr>
            <w:r w:rsidRPr="00F87B9B">
              <w:rPr>
                <w:noProof/>
                <w:sz w:val="22"/>
              </w:rPr>
              <w:t>94,2%</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3C991C0" w14:textId="4570EB46" w:rsidR="00B46669" w:rsidRPr="00D86314" w:rsidRDefault="00B46669" w:rsidP="00B46669">
            <w:pPr>
              <w:spacing w:after="160" w:line="276" w:lineRule="auto"/>
              <w:jc w:val="center"/>
              <w:rPr>
                <w:noProof/>
                <w:sz w:val="22"/>
              </w:rPr>
            </w:pPr>
            <w:r w:rsidRPr="00F87B9B">
              <w:rPr>
                <w:noProof/>
                <w:sz w:val="22"/>
              </w:rPr>
              <w:t>45,2%</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620C38D" w14:textId="23DB6B8C" w:rsidR="00B46669" w:rsidRPr="00D86314" w:rsidRDefault="00B46669" w:rsidP="00B46669">
            <w:pPr>
              <w:spacing w:after="160" w:line="276" w:lineRule="auto"/>
              <w:jc w:val="center"/>
              <w:rPr>
                <w:noProof/>
                <w:sz w:val="22"/>
              </w:rPr>
            </w:pPr>
            <w:r w:rsidRPr="00F87B9B">
              <w:rPr>
                <w:noProof/>
                <w:sz w:val="22"/>
              </w:rPr>
              <w:t>86,79</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0CAAB0A" w14:textId="4A018DDA" w:rsidR="00B46669" w:rsidRPr="00D86314" w:rsidRDefault="00B46669" w:rsidP="00B46669">
            <w:pPr>
              <w:spacing w:after="160" w:line="276" w:lineRule="auto"/>
              <w:jc w:val="center"/>
              <w:rPr>
                <w:noProof/>
                <w:sz w:val="22"/>
              </w:rPr>
            </w:pPr>
            <w:r w:rsidRPr="00F87B9B">
              <w:rPr>
                <w:noProof/>
                <w:sz w:val="22"/>
              </w:rPr>
              <w:t>146,09</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B0B11A8" w14:textId="4A7FD1F2" w:rsidR="00B46669" w:rsidRPr="00D86314" w:rsidRDefault="00B46669" w:rsidP="00B46669">
            <w:pPr>
              <w:spacing w:after="160" w:line="276" w:lineRule="auto"/>
              <w:jc w:val="center"/>
              <w:rPr>
                <w:noProof/>
                <w:sz w:val="22"/>
              </w:rPr>
            </w:pPr>
            <w:r w:rsidRPr="00F87B9B">
              <w:rPr>
                <w:noProof/>
                <w:sz w:val="22"/>
              </w:rPr>
              <w:t>18,3</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BC6FFCA" w14:textId="33B9AD60" w:rsidR="00B46669" w:rsidRPr="00D86314" w:rsidRDefault="00B46669" w:rsidP="00B46669">
            <w:pPr>
              <w:spacing w:after="160" w:line="276" w:lineRule="auto"/>
              <w:jc w:val="center"/>
              <w:rPr>
                <w:noProof/>
                <w:sz w:val="22"/>
              </w:rPr>
            </w:pPr>
            <w:r w:rsidRPr="00F87B9B">
              <w:rPr>
                <w:noProof/>
                <w:sz w:val="22"/>
              </w:rPr>
              <w:t>27,3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700C2FA" w14:textId="68323944" w:rsidR="00B46669" w:rsidRPr="00D86314" w:rsidRDefault="00B46669" w:rsidP="00B46669">
            <w:pPr>
              <w:spacing w:after="160" w:line="276" w:lineRule="auto"/>
              <w:jc w:val="center"/>
              <w:rPr>
                <w:noProof/>
                <w:sz w:val="22"/>
              </w:rPr>
            </w:pPr>
            <w:r w:rsidRPr="00F87B9B">
              <w:rPr>
                <w:noProof/>
                <w:sz w:val="22"/>
              </w:rPr>
              <w:t>28,78</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7D96EAD" w14:textId="11F66292" w:rsidR="00B46669" w:rsidRPr="00D86314" w:rsidRDefault="00B46669" w:rsidP="00B46669">
            <w:pPr>
              <w:spacing w:after="160" w:line="276" w:lineRule="auto"/>
              <w:jc w:val="center"/>
              <w:rPr>
                <w:noProof/>
                <w:sz w:val="22"/>
              </w:rPr>
            </w:pPr>
            <w:r w:rsidRPr="00F87B9B">
              <w:rPr>
                <w:noProof/>
                <w:sz w:val="22"/>
              </w:rPr>
              <w:t>9,65</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5C99557" w14:textId="6763F634" w:rsidR="00B46669" w:rsidRPr="00D86314" w:rsidRDefault="00B46669" w:rsidP="00B46669">
            <w:pPr>
              <w:spacing w:after="160" w:line="276" w:lineRule="auto"/>
              <w:jc w:val="center"/>
              <w:rPr>
                <w:noProof/>
                <w:sz w:val="22"/>
              </w:rPr>
            </w:pPr>
            <w:r w:rsidRPr="00F87B9B">
              <w:rPr>
                <w:noProof/>
                <w:sz w:val="22"/>
              </w:rPr>
              <w:t>9,65</w:t>
            </w:r>
          </w:p>
        </w:tc>
      </w:tr>
      <w:tr w:rsidR="00B46669" w:rsidRPr="00D86314" w14:paraId="5A5BC523" w14:textId="77777777" w:rsidTr="00F332D3">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2389779A" w14:textId="338B7E1E" w:rsidR="00B46669" w:rsidRPr="00D86314" w:rsidRDefault="00B46669" w:rsidP="00B46669">
            <w:pPr>
              <w:spacing w:after="160" w:line="276" w:lineRule="auto"/>
              <w:jc w:val="center"/>
              <w:rPr>
                <w:rFonts w:eastAsiaTheme="minorEastAsia"/>
                <w:noProof/>
                <w:sz w:val="22"/>
                <w:szCs w:val="22"/>
              </w:rPr>
            </w:pPr>
            <w:r w:rsidRPr="00D86314">
              <w:rPr>
                <w:rFonts w:eastAsiaTheme="minorEastAsia"/>
                <w:noProof/>
                <w:sz w:val="22"/>
                <w:szCs w:val="22"/>
              </w:rPr>
              <w:t>CY</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BBE2350" w14:textId="3033D21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100,0%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85DA221" w14:textId="6A481C41"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35,0%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B21C5BF" w14:textId="443732B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51,15</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9AC10AC" w14:textId="47B52C0F"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73,65</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908599E" w14:textId="68E0F899"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13,9</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062F902" w14:textId="420FBCC2"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38,5</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FF7B03E" w14:textId="217B0CD1"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21,85</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C3137A7" w14:textId="05BA8F53"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10,88</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730E8B1" w14:textId="61D82D0F"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10,88</w:t>
            </w:r>
          </w:p>
        </w:tc>
      </w:tr>
      <w:tr w:rsidR="00B46669" w:rsidRPr="00D86314" w14:paraId="3A501E3C"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7C28C86D" w14:textId="714118E0" w:rsidR="00B46669" w:rsidRPr="00D86314" w:rsidRDefault="00B46669" w:rsidP="00B46669">
            <w:pPr>
              <w:spacing w:after="160" w:line="276" w:lineRule="auto"/>
              <w:jc w:val="center"/>
              <w:rPr>
                <w:noProof/>
                <w:sz w:val="22"/>
              </w:rPr>
            </w:pPr>
            <w:r w:rsidRPr="00D86314">
              <w:rPr>
                <w:noProof/>
                <w:sz w:val="22"/>
              </w:rPr>
              <w:t>CZ</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B361BE7" w14:textId="5C1937C2" w:rsidR="00B46669" w:rsidRPr="00D86314" w:rsidRDefault="00B46669" w:rsidP="00B46669">
            <w:pPr>
              <w:spacing w:after="160" w:line="276" w:lineRule="auto"/>
              <w:jc w:val="center"/>
              <w:rPr>
                <w:noProof/>
                <w:sz w:val="22"/>
              </w:rPr>
            </w:pPr>
            <w:r w:rsidRPr="00F87B9B">
              <w:rPr>
                <w:noProof/>
                <w:sz w:val="22"/>
              </w:rPr>
              <w:t>99,1%</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E66BBC1" w14:textId="393E5B57" w:rsidR="00B46669" w:rsidRPr="00D86314" w:rsidRDefault="00B46669" w:rsidP="00B46669">
            <w:pPr>
              <w:spacing w:after="160" w:line="276" w:lineRule="auto"/>
              <w:jc w:val="center"/>
              <w:rPr>
                <w:noProof/>
                <w:sz w:val="22"/>
              </w:rPr>
            </w:pPr>
            <w:r w:rsidRPr="00F87B9B">
              <w:rPr>
                <w:noProof/>
                <w:sz w:val="22"/>
              </w:rPr>
              <w:t>42,4%</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40CC00F" w14:textId="08D353A0" w:rsidR="00B46669" w:rsidRPr="00D86314" w:rsidRDefault="00B46669" w:rsidP="00B46669">
            <w:pPr>
              <w:spacing w:after="160" w:line="276" w:lineRule="auto"/>
              <w:jc w:val="center"/>
              <w:rPr>
                <w:noProof/>
                <w:sz w:val="22"/>
              </w:rPr>
            </w:pPr>
            <w:r w:rsidRPr="00F87B9B">
              <w:rPr>
                <w:noProof/>
                <w:sz w:val="22"/>
              </w:rPr>
              <w:t>45,87</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B5CB0AB" w14:textId="0F6EACFD" w:rsidR="00B46669" w:rsidRPr="00D86314" w:rsidRDefault="00B46669" w:rsidP="00B46669">
            <w:pPr>
              <w:spacing w:after="160" w:line="276" w:lineRule="auto"/>
              <w:jc w:val="center"/>
              <w:rPr>
                <w:noProof/>
                <w:sz w:val="22"/>
              </w:rPr>
            </w:pPr>
            <w:r w:rsidRPr="00F87B9B">
              <w:rPr>
                <w:noProof/>
                <w:sz w:val="22"/>
              </w:rPr>
              <w:t>66,41</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DDF09A2" w14:textId="66068B94" w:rsidR="00B46669" w:rsidRPr="00D86314" w:rsidRDefault="00B46669" w:rsidP="00B46669">
            <w:pPr>
              <w:spacing w:after="160" w:line="276" w:lineRule="auto"/>
              <w:jc w:val="center"/>
              <w:rPr>
                <w:noProof/>
                <w:sz w:val="22"/>
              </w:rPr>
            </w:pPr>
            <w:r w:rsidRPr="00F87B9B">
              <w:rPr>
                <w:noProof/>
                <w:sz w:val="22"/>
              </w:rPr>
              <w:t>14,4</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04487E9" w14:textId="5226A360" w:rsidR="00B46669" w:rsidRPr="00D86314" w:rsidRDefault="00B46669" w:rsidP="00B46669">
            <w:pPr>
              <w:spacing w:after="160" w:line="276" w:lineRule="auto"/>
              <w:jc w:val="center"/>
              <w:rPr>
                <w:noProof/>
                <w:sz w:val="22"/>
              </w:rPr>
            </w:pPr>
            <w:r w:rsidRPr="00F87B9B">
              <w:rPr>
                <w:noProof/>
                <w:sz w:val="22"/>
              </w:rPr>
              <w:t>20,0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EC289B3" w14:textId="24647483" w:rsidR="00B46669" w:rsidRPr="00D86314" w:rsidRDefault="00B46669" w:rsidP="00B46669">
            <w:pPr>
              <w:spacing w:after="160" w:line="276" w:lineRule="auto"/>
              <w:jc w:val="center"/>
              <w:rPr>
                <w:noProof/>
                <w:sz w:val="22"/>
              </w:rPr>
            </w:pPr>
            <w:r w:rsidRPr="00F87B9B">
              <w:rPr>
                <w:noProof/>
                <w:sz w:val="22"/>
              </w:rPr>
              <w:t>35,17</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016552C" w14:textId="35C46CDD" w:rsidR="00B46669" w:rsidRPr="00D86314" w:rsidRDefault="00B46669" w:rsidP="00B46669">
            <w:pPr>
              <w:spacing w:after="160" w:line="276" w:lineRule="auto"/>
              <w:jc w:val="center"/>
              <w:rPr>
                <w:noProof/>
                <w:sz w:val="22"/>
              </w:rPr>
            </w:pPr>
            <w:r w:rsidRPr="00F87B9B">
              <w:rPr>
                <w:noProof/>
                <w:sz w:val="22"/>
              </w:rPr>
              <w:t>35,17</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227182F" w14:textId="26F35429" w:rsidR="00B46669" w:rsidRPr="00D86314" w:rsidRDefault="00B46669" w:rsidP="00B46669">
            <w:pPr>
              <w:spacing w:after="160" w:line="276" w:lineRule="auto"/>
              <w:jc w:val="center"/>
              <w:rPr>
                <w:noProof/>
                <w:sz w:val="22"/>
              </w:rPr>
            </w:pPr>
            <w:r w:rsidRPr="00F87B9B">
              <w:rPr>
                <w:noProof/>
                <w:sz w:val="22"/>
              </w:rPr>
              <w:t>16,06</w:t>
            </w:r>
          </w:p>
        </w:tc>
      </w:tr>
      <w:tr w:rsidR="00B46669" w:rsidRPr="00D86314" w14:paraId="3AF7891B"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0E0D3C01" w14:textId="16FBBF41" w:rsidR="00B46669" w:rsidRPr="00D86314" w:rsidRDefault="00B46669" w:rsidP="00B46669">
            <w:pPr>
              <w:spacing w:after="160" w:line="276" w:lineRule="auto"/>
              <w:jc w:val="center"/>
              <w:rPr>
                <w:noProof/>
                <w:sz w:val="22"/>
              </w:rPr>
            </w:pPr>
            <w:r w:rsidRPr="00D86314">
              <w:rPr>
                <w:noProof/>
                <w:sz w:val="22"/>
              </w:rPr>
              <w:t>DK</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43A4083" w14:textId="76C43C35" w:rsidR="00B46669" w:rsidRPr="00D86314" w:rsidRDefault="00B46669" w:rsidP="00B46669">
            <w:pPr>
              <w:spacing w:after="160" w:line="276" w:lineRule="auto"/>
              <w:jc w:val="center"/>
              <w:rPr>
                <w:noProof/>
                <w:sz w:val="22"/>
              </w:rPr>
            </w:pPr>
            <w:r w:rsidRPr="00F87B9B">
              <w:rPr>
                <w:noProof/>
                <w:sz w:val="22"/>
              </w:rPr>
              <w:t>100,0%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55C5B8B" w14:textId="0823363A" w:rsidR="00B46669" w:rsidRPr="00D86314" w:rsidRDefault="00B46669" w:rsidP="00B46669">
            <w:pPr>
              <w:spacing w:after="160" w:line="276" w:lineRule="auto"/>
              <w:jc w:val="center"/>
              <w:rPr>
                <w:noProof/>
                <w:sz w:val="22"/>
              </w:rPr>
            </w:pPr>
            <w:r w:rsidRPr="00F87B9B">
              <w:rPr>
                <w:noProof/>
                <w:sz w:val="22"/>
              </w:rPr>
              <w:t>87,5%</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AB04880" w14:textId="26667DAF" w:rsidR="00B46669" w:rsidRPr="00D86314" w:rsidRDefault="00B46669" w:rsidP="00B46669">
            <w:pPr>
              <w:spacing w:after="160" w:line="276" w:lineRule="auto"/>
              <w:jc w:val="center"/>
              <w:rPr>
                <w:noProof/>
                <w:sz w:val="22"/>
              </w:rPr>
            </w:pPr>
            <w:r w:rsidRPr="00F87B9B">
              <w:rPr>
                <w:noProof/>
                <w:sz w:val="22"/>
              </w:rPr>
              <w:t>155,59</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086EE8C" w14:textId="2189F16A" w:rsidR="00B46669" w:rsidRPr="00D86314" w:rsidRDefault="00B46669" w:rsidP="00B46669">
            <w:pPr>
              <w:spacing w:after="160" w:line="276" w:lineRule="auto"/>
              <w:jc w:val="center"/>
              <w:rPr>
                <w:noProof/>
                <w:sz w:val="22"/>
              </w:rPr>
            </w:pPr>
            <w:r w:rsidRPr="00F87B9B">
              <w:rPr>
                <w:noProof/>
                <w:sz w:val="22"/>
              </w:rPr>
              <w:t>206,08</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5AED29E" w14:textId="39411C55" w:rsidR="00B46669" w:rsidRPr="00D86314" w:rsidRDefault="00B46669" w:rsidP="00B46669">
            <w:pPr>
              <w:spacing w:after="160" w:line="276" w:lineRule="auto"/>
              <w:jc w:val="center"/>
              <w:rPr>
                <w:noProof/>
                <w:sz w:val="22"/>
              </w:rPr>
            </w:pPr>
            <w:r w:rsidRPr="00F87B9B">
              <w:rPr>
                <w:noProof/>
                <w:sz w:val="22"/>
              </w:rPr>
              <w:t>27,2</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7335FDC" w14:textId="5D739C44" w:rsidR="00B46669" w:rsidRPr="00D86314" w:rsidRDefault="00B46669" w:rsidP="00B46669">
            <w:pPr>
              <w:spacing w:after="160" w:line="276" w:lineRule="auto"/>
              <w:jc w:val="center"/>
              <w:rPr>
                <w:noProof/>
                <w:sz w:val="22"/>
              </w:rPr>
            </w:pPr>
            <w:r w:rsidRPr="00F87B9B">
              <w:rPr>
                <w:noProof/>
                <w:sz w:val="22"/>
              </w:rPr>
              <w:t>21,4</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A9E308A" w14:textId="6B0F0A95" w:rsidR="00B46669" w:rsidRPr="00D86314" w:rsidRDefault="00B46669" w:rsidP="00B46669">
            <w:pPr>
              <w:spacing w:after="160" w:line="276" w:lineRule="auto"/>
              <w:jc w:val="center"/>
              <w:rPr>
                <w:noProof/>
                <w:sz w:val="22"/>
              </w:rPr>
            </w:pPr>
            <w:r w:rsidRPr="00F87B9B">
              <w:rPr>
                <w:noProof/>
                <w:sz w:val="22"/>
              </w:rPr>
              <w:t>10,32</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79CDFED" w14:textId="6418451F" w:rsidR="00B46669" w:rsidRPr="00D86314" w:rsidRDefault="00B46669" w:rsidP="00B46669">
            <w:pPr>
              <w:spacing w:after="160" w:line="276" w:lineRule="auto"/>
              <w:jc w:val="center"/>
              <w:rPr>
                <w:noProof/>
                <w:sz w:val="22"/>
              </w:rPr>
            </w:pPr>
            <w:r w:rsidRPr="00F87B9B">
              <w:rPr>
                <w:noProof/>
                <w:sz w:val="22"/>
              </w:rPr>
              <w:t>5,61</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8803A61" w14:textId="6F34578D" w:rsidR="00B46669" w:rsidRPr="00D86314" w:rsidRDefault="00B46669" w:rsidP="00B46669">
            <w:pPr>
              <w:spacing w:after="160" w:line="276" w:lineRule="auto"/>
              <w:jc w:val="center"/>
              <w:rPr>
                <w:noProof/>
                <w:sz w:val="22"/>
              </w:rPr>
            </w:pPr>
            <w:r w:rsidRPr="00F87B9B">
              <w:rPr>
                <w:noProof/>
                <w:sz w:val="22"/>
              </w:rPr>
              <w:t>4,94</w:t>
            </w:r>
          </w:p>
        </w:tc>
      </w:tr>
      <w:tr w:rsidR="00B46669" w:rsidRPr="00D86314" w14:paraId="30106B52"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25AB86FF" w14:textId="44A0F7A5" w:rsidR="00B46669" w:rsidRPr="00D86314" w:rsidRDefault="00B46669" w:rsidP="00B46669">
            <w:pPr>
              <w:spacing w:after="160" w:line="276" w:lineRule="auto"/>
              <w:jc w:val="center"/>
              <w:rPr>
                <w:rFonts w:eastAsiaTheme="minorEastAsia"/>
                <w:noProof/>
                <w:sz w:val="22"/>
                <w:szCs w:val="22"/>
              </w:rPr>
            </w:pPr>
            <w:r w:rsidRPr="00D86314">
              <w:rPr>
                <w:rFonts w:eastAsiaTheme="minorEastAsia"/>
                <w:noProof/>
                <w:sz w:val="22"/>
                <w:szCs w:val="22"/>
              </w:rPr>
              <w:t>EE</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0669ACF" w14:textId="3AC8FFA7"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91,5%</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B4DDD8D" w14:textId="1E4C63E9"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69,5%</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53948B5" w14:textId="28270418"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85,36</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1A72377" w14:textId="205A6AFB"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195,00</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40872A9" w14:textId="4E148B2D"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18,9</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3237C8F" w14:textId="2F613190"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23,0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36E5882" w14:textId="7AD4AC70"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29,98</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B4655E7" w14:textId="4208B97C"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20,06</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45A8796" w14:textId="092094A9"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9,05</w:t>
            </w:r>
          </w:p>
        </w:tc>
      </w:tr>
      <w:tr w:rsidR="00B46669" w:rsidRPr="00D86314" w14:paraId="3D1EEFFA"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36B8B1B0" w14:textId="48D28175" w:rsidR="00B46669" w:rsidRPr="00D86314" w:rsidRDefault="00B46669" w:rsidP="00B46669">
            <w:pPr>
              <w:spacing w:after="160" w:line="276" w:lineRule="auto"/>
              <w:jc w:val="center"/>
              <w:rPr>
                <w:noProof/>
                <w:sz w:val="22"/>
              </w:rPr>
            </w:pPr>
            <w:r w:rsidRPr="00D86314">
              <w:rPr>
                <w:noProof/>
                <w:sz w:val="22"/>
              </w:rPr>
              <w:t>FI</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E6BAE60" w14:textId="5FF4EF9F" w:rsidR="00B46669" w:rsidRPr="00D86314" w:rsidRDefault="00B46669" w:rsidP="00B46669">
            <w:pPr>
              <w:spacing w:after="160" w:line="276" w:lineRule="auto"/>
              <w:jc w:val="center"/>
              <w:rPr>
                <w:noProof/>
                <w:sz w:val="22"/>
              </w:rPr>
            </w:pPr>
            <w:r w:rsidRPr="00F87B9B">
              <w:rPr>
                <w:noProof/>
                <w:sz w:val="22"/>
              </w:rPr>
              <w:t>99,5%</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2C39917" w14:textId="78586C09" w:rsidR="00B46669" w:rsidRPr="00D86314" w:rsidRDefault="00B46669" w:rsidP="00B46669">
            <w:pPr>
              <w:spacing w:after="160" w:line="276" w:lineRule="auto"/>
              <w:jc w:val="center"/>
              <w:rPr>
                <w:noProof/>
                <w:sz w:val="22"/>
              </w:rPr>
            </w:pPr>
            <w:r w:rsidRPr="00F87B9B">
              <w:rPr>
                <w:noProof/>
                <w:sz w:val="22"/>
              </w:rPr>
              <w:t>91,9%</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06091D1" w14:textId="4058E5F4" w:rsidR="00B46669" w:rsidRPr="00D86314" w:rsidRDefault="00B46669" w:rsidP="00B46669">
            <w:pPr>
              <w:spacing w:after="160" w:line="276" w:lineRule="auto"/>
              <w:jc w:val="center"/>
              <w:rPr>
                <w:noProof/>
                <w:sz w:val="22"/>
              </w:rPr>
            </w:pPr>
            <w:r w:rsidRPr="00F87B9B">
              <w:rPr>
                <w:noProof/>
                <w:sz w:val="22"/>
              </w:rPr>
              <w:t>99,01</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22817FB" w14:textId="17AA2ADD" w:rsidR="00B46669" w:rsidRPr="00D86314" w:rsidRDefault="00B46669" w:rsidP="00B46669">
            <w:pPr>
              <w:spacing w:after="160" w:line="276" w:lineRule="auto"/>
              <w:jc w:val="center"/>
              <w:rPr>
                <w:noProof/>
                <w:sz w:val="22"/>
              </w:rPr>
            </w:pPr>
            <w:r w:rsidRPr="00F87B9B">
              <w:rPr>
                <w:noProof/>
                <w:sz w:val="22"/>
              </w:rPr>
              <w:t>179,71</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6075033" w14:textId="5731EC31" w:rsidR="00B46669" w:rsidRPr="00D86314" w:rsidRDefault="00B46669" w:rsidP="00B46669">
            <w:pPr>
              <w:spacing w:after="160" w:line="276" w:lineRule="auto"/>
              <w:jc w:val="center"/>
              <w:rPr>
                <w:noProof/>
                <w:sz w:val="22"/>
              </w:rPr>
            </w:pPr>
            <w:r w:rsidRPr="00F87B9B">
              <w:rPr>
                <w:noProof/>
                <w:sz w:val="22"/>
              </w:rPr>
              <w:t>18,3</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61286FD" w14:textId="5B147D91" w:rsidR="00B46669" w:rsidRPr="00D86314" w:rsidRDefault="00B46669" w:rsidP="00B46669">
            <w:pPr>
              <w:spacing w:after="160" w:line="276" w:lineRule="auto"/>
              <w:jc w:val="center"/>
              <w:rPr>
                <w:noProof/>
                <w:sz w:val="22"/>
              </w:rPr>
            </w:pPr>
            <w:r w:rsidRPr="00F87B9B">
              <w:rPr>
                <w:noProof/>
                <w:sz w:val="22"/>
              </w:rPr>
              <w:t>24,3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4AEF726" w14:textId="00E38B19" w:rsidR="00B46669" w:rsidRPr="00D86314" w:rsidRDefault="00B46669" w:rsidP="00B46669">
            <w:pPr>
              <w:spacing w:after="160" w:line="276" w:lineRule="auto"/>
              <w:jc w:val="center"/>
              <w:rPr>
                <w:noProof/>
                <w:sz w:val="22"/>
              </w:rPr>
            </w:pPr>
            <w:r w:rsidRPr="00F87B9B">
              <w:rPr>
                <w:noProof/>
                <w:sz w:val="22"/>
              </w:rPr>
              <w:t>21,69</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4BC60EE" w14:textId="0DB60B69" w:rsidR="00B46669" w:rsidRPr="00D86314" w:rsidRDefault="00B46669" w:rsidP="00B46669">
            <w:pPr>
              <w:spacing w:after="160" w:line="276" w:lineRule="auto"/>
              <w:jc w:val="center"/>
              <w:rPr>
                <w:noProof/>
                <w:sz w:val="22"/>
              </w:rPr>
            </w:pPr>
            <w:r w:rsidRPr="00F87B9B">
              <w:rPr>
                <w:noProof/>
                <w:sz w:val="22"/>
              </w:rPr>
              <w:t>17,17</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CABC073" w14:textId="7C21C02C" w:rsidR="00B46669" w:rsidRPr="00D86314" w:rsidRDefault="00B46669" w:rsidP="00B46669">
            <w:pPr>
              <w:spacing w:after="160" w:line="276" w:lineRule="auto"/>
              <w:jc w:val="center"/>
              <w:rPr>
                <w:noProof/>
                <w:sz w:val="22"/>
              </w:rPr>
            </w:pPr>
            <w:r w:rsidRPr="00F87B9B">
              <w:rPr>
                <w:noProof/>
                <w:sz w:val="22"/>
              </w:rPr>
              <w:t>12,57</w:t>
            </w:r>
          </w:p>
        </w:tc>
      </w:tr>
      <w:tr w:rsidR="00B46669" w:rsidRPr="00D86314" w14:paraId="4A4A5B9A"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24B59052" w14:textId="041AB4F0" w:rsidR="00B46669" w:rsidRPr="00D86314" w:rsidRDefault="00B46669" w:rsidP="00B46669">
            <w:pPr>
              <w:spacing w:after="160" w:line="276" w:lineRule="auto"/>
              <w:jc w:val="center"/>
              <w:rPr>
                <w:noProof/>
                <w:sz w:val="22"/>
              </w:rPr>
            </w:pPr>
            <w:r w:rsidRPr="00D86314">
              <w:rPr>
                <w:noProof/>
                <w:sz w:val="22"/>
              </w:rPr>
              <w:t>FR</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5BE68AE" w14:textId="5CB638A7" w:rsidR="00B46669" w:rsidRPr="00D86314" w:rsidRDefault="00B46669" w:rsidP="00B46669">
            <w:pPr>
              <w:spacing w:after="160" w:line="276" w:lineRule="auto"/>
              <w:jc w:val="center"/>
              <w:rPr>
                <w:noProof/>
                <w:sz w:val="22"/>
              </w:rPr>
            </w:pPr>
            <w:r w:rsidRPr="00F87B9B">
              <w:rPr>
                <w:noProof/>
                <w:sz w:val="22"/>
              </w:rPr>
              <w:t>94,3%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BE8CBE6" w14:textId="67249F05" w:rsidR="00B46669" w:rsidRPr="00D86314" w:rsidRDefault="00B46669" w:rsidP="00B46669">
            <w:pPr>
              <w:spacing w:after="160" w:line="276" w:lineRule="auto"/>
              <w:jc w:val="center"/>
              <w:rPr>
                <w:noProof/>
                <w:sz w:val="22"/>
              </w:rPr>
            </w:pPr>
            <w:r w:rsidRPr="00F87B9B">
              <w:rPr>
                <w:noProof/>
                <w:sz w:val="22"/>
              </w:rPr>
              <w:t>74,0%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D620C4C" w14:textId="65B98210" w:rsidR="00B46669" w:rsidRPr="00D86314" w:rsidRDefault="00B46669" w:rsidP="00B46669">
            <w:pPr>
              <w:spacing w:after="160" w:line="276" w:lineRule="auto"/>
              <w:jc w:val="center"/>
              <w:rPr>
                <w:noProof/>
                <w:sz w:val="22"/>
              </w:rPr>
            </w:pPr>
            <w:r w:rsidRPr="00F87B9B">
              <w:rPr>
                <w:noProof/>
                <w:sz w:val="22"/>
              </w:rPr>
              <w:t>85,33</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4D32D1A" w14:textId="568FFDB4" w:rsidR="00B46669" w:rsidRPr="00D86314" w:rsidRDefault="00B46669" w:rsidP="00B46669">
            <w:pPr>
              <w:spacing w:after="160" w:line="276" w:lineRule="auto"/>
              <w:jc w:val="center"/>
              <w:rPr>
                <w:noProof/>
                <w:sz w:val="22"/>
              </w:rPr>
            </w:pPr>
            <w:r w:rsidRPr="00F87B9B">
              <w:rPr>
                <w:noProof/>
                <w:sz w:val="22"/>
              </w:rPr>
              <w:t>163,58</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659A833" w14:textId="1DFD29AC" w:rsidR="00B46669" w:rsidRPr="00D86314" w:rsidRDefault="00B46669" w:rsidP="00B46669">
            <w:pPr>
              <w:spacing w:after="160" w:line="276" w:lineRule="auto"/>
              <w:jc w:val="center"/>
              <w:rPr>
                <w:noProof/>
                <w:sz w:val="22"/>
              </w:rPr>
            </w:pPr>
            <w:r w:rsidRPr="00F87B9B">
              <w:rPr>
                <w:noProof/>
                <w:sz w:val="22"/>
              </w:rPr>
              <w:t>17,5</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EB385F4" w14:textId="3F3BEE54" w:rsidR="00B46669" w:rsidRPr="00D86314" w:rsidRDefault="00B46669" w:rsidP="00B46669">
            <w:pPr>
              <w:spacing w:after="160" w:line="276" w:lineRule="auto"/>
              <w:jc w:val="center"/>
              <w:rPr>
                <w:noProof/>
                <w:sz w:val="22"/>
              </w:rPr>
            </w:pPr>
            <w:r w:rsidRPr="00F87B9B">
              <w:rPr>
                <w:noProof/>
                <w:sz w:val="22"/>
              </w:rPr>
              <w:t>27,3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5B616DF" w14:textId="7EA7F1E8" w:rsidR="00B46669" w:rsidRPr="00D86314" w:rsidRDefault="00B46669" w:rsidP="00B46669">
            <w:pPr>
              <w:spacing w:after="160" w:line="276" w:lineRule="auto"/>
              <w:jc w:val="center"/>
              <w:rPr>
                <w:noProof/>
                <w:sz w:val="22"/>
              </w:rPr>
            </w:pPr>
            <w:r w:rsidRPr="00F87B9B">
              <w:rPr>
                <w:noProof/>
                <w:sz w:val="22"/>
              </w:rPr>
              <w:t>12,92</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011F378" w14:textId="04855FC7" w:rsidR="00B46669" w:rsidRPr="00D86314" w:rsidRDefault="00B46669" w:rsidP="00B46669">
            <w:pPr>
              <w:spacing w:after="160" w:line="276" w:lineRule="auto"/>
              <w:jc w:val="center"/>
              <w:rPr>
                <w:noProof/>
                <w:sz w:val="22"/>
              </w:rPr>
            </w:pPr>
            <w:r w:rsidRPr="00F87B9B">
              <w:rPr>
                <w:noProof/>
                <w:sz w:val="22"/>
              </w:rPr>
              <w:t>9,24</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A31FF77" w14:textId="56050382" w:rsidR="00B46669" w:rsidRPr="00D86314" w:rsidRDefault="00B46669" w:rsidP="00B46669">
            <w:pPr>
              <w:spacing w:after="160" w:line="276" w:lineRule="auto"/>
              <w:jc w:val="center"/>
              <w:rPr>
                <w:noProof/>
                <w:sz w:val="22"/>
              </w:rPr>
            </w:pPr>
            <w:r w:rsidRPr="00F87B9B">
              <w:rPr>
                <w:noProof/>
                <w:sz w:val="22"/>
              </w:rPr>
              <w:t>9,24</w:t>
            </w:r>
          </w:p>
        </w:tc>
      </w:tr>
      <w:tr w:rsidR="00B46669" w:rsidRPr="00D86314" w14:paraId="7369ABA5"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5F8A3769" w14:textId="40CBB45E" w:rsidR="00B46669" w:rsidRPr="00D86314" w:rsidRDefault="00B46669" w:rsidP="00B46669">
            <w:pPr>
              <w:spacing w:after="160" w:line="276" w:lineRule="auto"/>
              <w:jc w:val="center"/>
              <w:rPr>
                <w:noProof/>
                <w:sz w:val="22"/>
              </w:rPr>
            </w:pPr>
            <w:r w:rsidRPr="00D86314">
              <w:rPr>
                <w:noProof/>
                <w:sz w:val="22"/>
              </w:rPr>
              <w:t>DE</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493133B" w14:textId="742FDD07" w:rsidR="00B46669" w:rsidRPr="00D86314" w:rsidRDefault="00B46669" w:rsidP="00B46669">
            <w:pPr>
              <w:spacing w:after="160" w:line="276" w:lineRule="auto"/>
              <w:jc w:val="center"/>
              <w:rPr>
                <w:noProof/>
                <w:sz w:val="22"/>
              </w:rPr>
            </w:pPr>
            <w:r w:rsidRPr="00F87B9B">
              <w:rPr>
                <w:noProof/>
                <w:sz w:val="22"/>
              </w:rPr>
              <w:t>99,1%</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D437CB0" w14:textId="7F79DEB8" w:rsidR="00B46669" w:rsidRPr="00D86314" w:rsidRDefault="00B46669" w:rsidP="00B46669">
            <w:pPr>
              <w:spacing w:after="160" w:line="276" w:lineRule="auto"/>
              <w:jc w:val="center"/>
              <w:rPr>
                <w:noProof/>
                <w:sz w:val="22"/>
              </w:rPr>
            </w:pPr>
            <w:r w:rsidRPr="00F87B9B">
              <w:rPr>
                <w:noProof/>
                <w:sz w:val="22"/>
              </w:rPr>
              <w:t>49,5%</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49D9664" w14:textId="3A9DA388" w:rsidR="00B46669" w:rsidRPr="00D86314" w:rsidRDefault="00B46669" w:rsidP="00B46669">
            <w:pPr>
              <w:spacing w:after="160" w:line="276" w:lineRule="auto"/>
              <w:jc w:val="center"/>
              <w:rPr>
                <w:noProof/>
                <w:sz w:val="22"/>
              </w:rPr>
            </w:pPr>
            <w:r w:rsidRPr="00F87B9B">
              <w:rPr>
                <w:noProof/>
                <w:sz w:val="22"/>
              </w:rPr>
              <w:t>58,87</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7E2D2F6" w14:textId="08F4FE55" w:rsidR="00B46669" w:rsidRPr="00D86314" w:rsidRDefault="00B46669" w:rsidP="00B46669">
            <w:pPr>
              <w:spacing w:after="160" w:line="276" w:lineRule="auto"/>
              <w:jc w:val="center"/>
              <w:rPr>
                <w:noProof/>
                <w:sz w:val="22"/>
              </w:rPr>
            </w:pPr>
            <w:r w:rsidRPr="00F87B9B">
              <w:rPr>
                <w:noProof/>
                <w:sz w:val="22"/>
              </w:rPr>
              <w:t>91,43</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236B922" w14:textId="02664790" w:rsidR="00B46669" w:rsidRPr="00D86314" w:rsidRDefault="00B46669" w:rsidP="00B46669">
            <w:pPr>
              <w:spacing w:after="160" w:line="276" w:lineRule="auto"/>
              <w:jc w:val="center"/>
              <w:rPr>
                <w:noProof/>
                <w:sz w:val="22"/>
              </w:rPr>
            </w:pPr>
            <w:r w:rsidRPr="00F87B9B">
              <w:rPr>
                <w:noProof/>
                <w:sz w:val="22"/>
              </w:rPr>
              <w:t>17,2</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92228EC" w14:textId="13EF409D" w:rsidR="00B46669" w:rsidRPr="00D86314" w:rsidRDefault="00B46669" w:rsidP="00B46669">
            <w:pPr>
              <w:spacing w:after="160" w:line="276" w:lineRule="auto"/>
              <w:jc w:val="center"/>
              <w:rPr>
                <w:noProof/>
                <w:sz w:val="22"/>
              </w:rPr>
            </w:pPr>
            <w:r w:rsidRPr="00F87B9B">
              <w:rPr>
                <w:noProof/>
                <w:sz w:val="22"/>
              </w:rPr>
              <w:t>23,0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4B969B6" w14:textId="7B32258C" w:rsidR="00B46669" w:rsidRPr="00D86314" w:rsidRDefault="00B46669" w:rsidP="00B46669">
            <w:pPr>
              <w:spacing w:after="160" w:line="276" w:lineRule="auto"/>
              <w:jc w:val="center"/>
              <w:rPr>
                <w:noProof/>
                <w:sz w:val="22"/>
              </w:rPr>
            </w:pPr>
            <w:r w:rsidRPr="00F87B9B">
              <w:rPr>
                <w:noProof/>
                <w:sz w:val="22"/>
              </w:rPr>
              <w:t>22,04</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4A42C78" w14:textId="2BF4FC73" w:rsidR="00B46669" w:rsidRPr="00D86314" w:rsidRDefault="00B46669" w:rsidP="00B46669">
            <w:pPr>
              <w:spacing w:after="160" w:line="276" w:lineRule="auto"/>
              <w:jc w:val="center"/>
              <w:rPr>
                <w:noProof/>
                <w:sz w:val="22"/>
              </w:rPr>
            </w:pPr>
            <w:r w:rsidRPr="00F87B9B">
              <w:rPr>
                <w:noProof/>
                <w:sz w:val="22"/>
              </w:rPr>
              <w:t>20,64</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A6F640D" w14:textId="7C7DA5F3" w:rsidR="00B46669" w:rsidRPr="00D86314" w:rsidRDefault="00B46669" w:rsidP="00B46669">
            <w:pPr>
              <w:spacing w:after="160" w:line="276" w:lineRule="auto"/>
              <w:jc w:val="center"/>
              <w:rPr>
                <w:noProof/>
                <w:sz w:val="22"/>
              </w:rPr>
            </w:pPr>
            <w:r w:rsidRPr="00F87B9B">
              <w:rPr>
                <w:noProof/>
                <w:sz w:val="22"/>
              </w:rPr>
              <w:t>9,53</w:t>
            </w:r>
          </w:p>
        </w:tc>
      </w:tr>
      <w:tr w:rsidR="00B46669" w:rsidRPr="00D86314" w14:paraId="69895CAB"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2619D5C4" w14:textId="6CC4BFCD" w:rsidR="00B46669" w:rsidRPr="00D86314" w:rsidRDefault="00B46669" w:rsidP="00B46669">
            <w:pPr>
              <w:spacing w:after="160" w:line="276" w:lineRule="auto"/>
              <w:jc w:val="center"/>
              <w:rPr>
                <w:noProof/>
                <w:sz w:val="22"/>
              </w:rPr>
            </w:pPr>
            <w:r w:rsidRPr="00D86314">
              <w:rPr>
                <w:noProof/>
                <w:sz w:val="22"/>
              </w:rPr>
              <w:t>EL</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B5A6E51" w14:textId="541A285C" w:rsidR="00B46669" w:rsidRPr="00D86314" w:rsidRDefault="00B46669" w:rsidP="00B46669">
            <w:pPr>
              <w:spacing w:after="160" w:line="276" w:lineRule="auto"/>
              <w:jc w:val="center"/>
              <w:rPr>
                <w:noProof/>
                <w:sz w:val="22"/>
              </w:rPr>
            </w:pPr>
            <w:r w:rsidRPr="00F87B9B">
              <w:rPr>
                <w:noProof/>
                <w:sz w:val="22"/>
              </w:rPr>
              <w:t>99,8%</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3D09898" w14:textId="2E9113DA" w:rsidR="00B46669" w:rsidRPr="00D86314" w:rsidRDefault="00B46669" w:rsidP="00B46669">
            <w:pPr>
              <w:spacing w:after="160" w:line="276" w:lineRule="auto"/>
              <w:jc w:val="center"/>
              <w:rPr>
                <w:noProof/>
                <w:sz w:val="22"/>
              </w:rPr>
            </w:pPr>
            <w:r w:rsidRPr="00F87B9B">
              <w:rPr>
                <w:noProof/>
                <w:sz w:val="22"/>
              </w:rPr>
              <w:t>72,9%</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7264003" w14:textId="62C309AD" w:rsidR="00B46669" w:rsidRPr="00D86314" w:rsidRDefault="00B46669" w:rsidP="00B46669">
            <w:pPr>
              <w:spacing w:after="160" w:line="276" w:lineRule="auto"/>
              <w:jc w:val="center"/>
              <w:rPr>
                <w:noProof/>
                <w:sz w:val="22"/>
              </w:rPr>
            </w:pPr>
            <w:r w:rsidRPr="00F87B9B">
              <w:rPr>
                <w:noProof/>
                <w:sz w:val="22"/>
              </w:rPr>
              <w:t>67,2</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10A85C8" w14:textId="6DB3C4D8" w:rsidR="00B46669" w:rsidRPr="00D86314" w:rsidRDefault="00B46669" w:rsidP="00B46669">
            <w:pPr>
              <w:spacing w:after="160" w:line="276" w:lineRule="auto"/>
              <w:jc w:val="center"/>
              <w:rPr>
                <w:noProof/>
                <w:sz w:val="22"/>
              </w:rPr>
            </w:pPr>
            <w:r w:rsidRPr="00F87B9B">
              <w:rPr>
                <w:noProof/>
                <w:sz w:val="22"/>
              </w:rPr>
              <w:t>121,71</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87E3A30" w14:textId="2DD24BFB" w:rsidR="00B46669" w:rsidRPr="00D86314" w:rsidRDefault="00B46669" w:rsidP="00B46669">
            <w:pPr>
              <w:spacing w:after="160" w:line="276" w:lineRule="auto"/>
              <w:jc w:val="center"/>
              <w:rPr>
                <w:noProof/>
                <w:sz w:val="22"/>
              </w:rPr>
            </w:pPr>
            <w:r w:rsidRPr="00F87B9B">
              <w:rPr>
                <w:noProof/>
                <w:sz w:val="22"/>
              </w:rPr>
              <w:t>14,7</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8B2D327" w14:textId="553CAB7A" w:rsidR="00B46669" w:rsidRPr="00D86314" w:rsidRDefault="00B46669" w:rsidP="00B46669">
            <w:pPr>
              <w:spacing w:after="160" w:line="276" w:lineRule="auto"/>
              <w:jc w:val="center"/>
              <w:rPr>
                <w:noProof/>
                <w:sz w:val="22"/>
              </w:rPr>
            </w:pPr>
            <w:r w:rsidRPr="00F87B9B">
              <w:rPr>
                <w:noProof/>
                <w:sz w:val="22"/>
              </w:rPr>
              <w:t>20,6</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02C4925" w14:textId="2834DB91" w:rsidR="00B46669" w:rsidRPr="00D86314" w:rsidRDefault="00B46669" w:rsidP="00B46669">
            <w:pPr>
              <w:spacing w:after="160" w:line="276" w:lineRule="auto"/>
              <w:jc w:val="center"/>
              <w:rPr>
                <w:noProof/>
                <w:sz w:val="22"/>
              </w:rPr>
            </w:pPr>
            <w:r w:rsidRPr="00F87B9B">
              <w:rPr>
                <w:noProof/>
                <w:sz w:val="22"/>
              </w:rPr>
              <w:t>36,21</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427C26F" w14:textId="6D0308DE" w:rsidR="00B46669" w:rsidRPr="00D86314" w:rsidRDefault="00B46669" w:rsidP="00B46669">
            <w:pPr>
              <w:spacing w:after="160" w:line="276" w:lineRule="auto"/>
              <w:jc w:val="center"/>
              <w:rPr>
                <w:noProof/>
                <w:sz w:val="22"/>
              </w:rPr>
            </w:pPr>
            <w:r w:rsidRPr="00F87B9B">
              <w:rPr>
                <w:noProof/>
                <w:sz w:val="22"/>
              </w:rPr>
              <w:t>26,03</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12EC4B7" w14:textId="7A523BDD" w:rsidR="00B46669" w:rsidRPr="00D86314" w:rsidRDefault="00B46669" w:rsidP="00B46669">
            <w:pPr>
              <w:spacing w:after="160" w:line="276" w:lineRule="auto"/>
              <w:jc w:val="center"/>
              <w:rPr>
                <w:noProof/>
                <w:sz w:val="22"/>
              </w:rPr>
            </w:pPr>
            <w:r w:rsidRPr="00F87B9B">
              <w:rPr>
                <w:noProof/>
                <w:sz w:val="22"/>
              </w:rPr>
              <w:t>10,87</w:t>
            </w:r>
          </w:p>
        </w:tc>
      </w:tr>
      <w:tr w:rsidR="00B46669" w:rsidRPr="00D86314" w14:paraId="26B7D31E"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3A6C1C30" w14:textId="1A3B8A29" w:rsidR="00B46669" w:rsidRPr="00D86314" w:rsidRDefault="00B46669" w:rsidP="00B46669">
            <w:pPr>
              <w:spacing w:after="160" w:line="276" w:lineRule="auto"/>
              <w:jc w:val="center"/>
              <w:rPr>
                <w:noProof/>
                <w:sz w:val="22"/>
              </w:rPr>
            </w:pPr>
            <w:r w:rsidRPr="00D86314">
              <w:rPr>
                <w:noProof/>
                <w:sz w:val="22"/>
              </w:rPr>
              <w:t>HU</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2D7A108" w14:textId="05C14CF9" w:rsidR="00B46669" w:rsidRPr="00D86314" w:rsidRDefault="00B46669" w:rsidP="00B46669">
            <w:pPr>
              <w:spacing w:after="160" w:line="276" w:lineRule="auto"/>
              <w:jc w:val="center"/>
              <w:rPr>
                <w:noProof/>
                <w:sz w:val="22"/>
              </w:rPr>
            </w:pPr>
            <w:r w:rsidRPr="00F87B9B">
              <w:rPr>
                <w:noProof/>
                <w:sz w:val="22"/>
              </w:rPr>
              <w:t>85,6%</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F55A6E6" w14:textId="772E55F8" w:rsidR="00B46669" w:rsidRPr="00D86314" w:rsidRDefault="00B46669" w:rsidP="00B46669">
            <w:pPr>
              <w:spacing w:after="160" w:line="276" w:lineRule="auto"/>
              <w:jc w:val="center"/>
              <w:rPr>
                <w:noProof/>
                <w:sz w:val="22"/>
              </w:rPr>
            </w:pPr>
            <w:r w:rsidRPr="00F87B9B">
              <w:rPr>
                <w:noProof/>
                <w:sz w:val="22"/>
              </w:rPr>
              <w:t>53,4%</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81CDF4C" w14:textId="65B8ABAD" w:rsidR="00B46669" w:rsidRPr="00D86314" w:rsidRDefault="00B46669" w:rsidP="00B46669">
            <w:pPr>
              <w:spacing w:after="160" w:line="276" w:lineRule="auto"/>
              <w:jc w:val="center"/>
              <w:rPr>
                <w:noProof/>
                <w:sz w:val="22"/>
              </w:rPr>
            </w:pPr>
            <w:r w:rsidRPr="00F87B9B">
              <w:rPr>
                <w:noProof/>
                <w:sz w:val="22"/>
              </w:rPr>
              <w:t>47,3</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D71AD35" w14:textId="47A2C3B9" w:rsidR="00B46669" w:rsidRPr="00D86314" w:rsidRDefault="00B46669" w:rsidP="00B46669">
            <w:pPr>
              <w:spacing w:after="160" w:line="276" w:lineRule="auto"/>
              <w:jc w:val="center"/>
              <w:rPr>
                <w:noProof/>
                <w:sz w:val="22"/>
              </w:rPr>
            </w:pPr>
            <w:r w:rsidRPr="00F87B9B">
              <w:rPr>
                <w:noProof/>
                <w:sz w:val="22"/>
              </w:rPr>
              <w:t>91,21</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ED45A10" w14:textId="2110758B" w:rsidR="00B46669" w:rsidRPr="00D86314" w:rsidRDefault="00B46669" w:rsidP="00B46669">
            <w:pPr>
              <w:spacing w:after="160" w:line="276" w:lineRule="auto"/>
              <w:jc w:val="center"/>
              <w:rPr>
                <w:noProof/>
                <w:sz w:val="22"/>
              </w:rPr>
            </w:pPr>
            <w:r w:rsidRPr="00F87B9B">
              <w:rPr>
                <w:noProof/>
                <w:sz w:val="22"/>
              </w:rPr>
              <w:t>15,4</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D8C8B2A" w14:textId="3974AE82" w:rsidR="00B46669" w:rsidRPr="00D86314" w:rsidRDefault="00B46669" w:rsidP="00B46669">
            <w:pPr>
              <w:spacing w:after="160" w:line="276" w:lineRule="auto"/>
              <w:jc w:val="center"/>
              <w:rPr>
                <w:noProof/>
                <w:sz w:val="22"/>
              </w:rPr>
            </w:pPr>
            <w:r w:rsidRPr="00F87B9B">
              <w:rPr>
                <w:noProof/>
                <w:sz w:val="22"/>
              </w:rPr>
              <w:t>23,9</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A05DCF9" w14:textId="187EAACE" w:rsidR="00B46669" w:rsidRPr="00D86314" w:rsidRDefault="00B46669" w:rsidP="00B46669">
            <w:pPr>
              <w:spacing w:after="160" w:line="276" w:lineRule="auto"/>
              <w:jc w:val="center"/>
              <w:rPr>
                <w:noProof/>
                <w:sz w:val="22"/>
              </w:rPr>
            </w:pPr>
            <w:r w:rsidRPr="00F87B9B">
              <w:rPr>
                <w:noProof/>
                <w:sz w:val="22"/>
              </w:rPr>
              <w:t>47,42</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2AA8DE0" w14:textId="58479587" w:rsidR="00B46669" w:rsidRPr="00D86314" w:rsidRDefault="00B46669" w:rsidP="00B46669">
            <w:pPr>
              <w:spacing w:after="160" w:line="276" w:lineRule="auto"/>
              <w:jc w:val="center"/>
              <w:rPr>
                <w:noProof/>
                <w:sz w:val="22"/>
              </w:rPr>
            </w:pPr>
            <w:r w:rsidRPr="00F87B9B">
              <w:rPr>
                <w:noProof/>
                <w:sz w:val="22"/>
              </w:rPr>
              <w:t>23,11</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367420B" w14:textId="73103D7C" w:rsidR="00B46669" w:rsidRPr="00D86314" w:rsidRDefault="00B46669" w:rsidP="00B46669">
            <w:pPr>
              <w:spacing w:after="160" w:line="276" w:lineRule="auto"/>
              <w:jc w:val="center"/>
              <w:rPr>
                <w:noProof/>
                <w:sz w:val="22"/>
              </w:rPr>
            </w:pPr>
            <w:r w:rsidRPr="00F87B9B">
              <w:rPr>
                <w:noProof/>
                <w:sz w:val="22"/>
              </w:rPr>
              <w:t>19,73</w:t>
            </w:r>
          </w:p>
        </w:tc>
      </w:tr>
      <w:tr w:rsidR="00B46669" w:rsidRPr="00D86314" w14:paraId="55C68E17"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234BE54B" w14:textId="46DF83BB" w:rsidR="00B46669" w:rsidRPr="00D86314" w:rsidRDefault="00B46669" w:rsidP="00B46669">
            <w:pPr>
              <w:spacing w:after="160" w:line="276" w:lineRule="auto"/>
              <w:jc w:val="center"/>
              <w:rPr>
                <w:rFonts w:eastAsiaTheme="minorEastAsia"/>
                <w:noProof/>
                <w:sz w:val="22"/>
                <w:szCs w:val="22"/>
              </w:rPr>
            </w:pPr>
            <w:r w:rsidRPr="00D86314">
              <w:rPr>
                <w:rFonts w:eastAsiaTheme="minorEastAsia"/>
                <w:noProof/>
                <w:sz w:val="22"/>
                <w:szCs w:val="22"/>
              </w:rPr>
              <w:t>IE</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1A83E6C" w14:textId="3DD860CE"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89,9%</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E6F7659" w14:textId="53E38782"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58,8%</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51C0841" w14:textId="0CE6AB40"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52,83</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F7569E0" w14:textId="6583E8EF"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90,77</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66B7C0F" w14:textId="2340F47B"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16,1</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4832272" w14:textId="12CC0195"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23,1</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5CD1E78" w14:textId="7F568406"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12,61</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916BE22" w14:textId="5C08D4E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12,61</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888DE58" w14:textId="283F9953"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10,93</w:t>
            </w:r>
          </w:p>
        </w:tc>
      </w:tr>
      <w:tr w:rsidR="00B46669" w:rsidRPr="00D86314" w14:paraId="5A4F3AEB"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0CF51D37" w14:textId="2F0964D6" w:rsidR="00B46669" w:rsidRPr="00D86314" w:rsidRDefault="00B46669" w:rsidP="00B46669">
            <w:pPr>
              <w:spacing w:after="160" w:line="276" w:lineRule="auto"/>
              <w:jc w:val="center"/>
              <w:rPr>
                <w:noProof/>
                <w:sz w:val="22"/>
              </w:rPr>
            </w:pPr>
            <w:r w:rsidRPr="00D86314">
              <w:rPr>
                <w:noProof/>
                <w:sz w:val="22"/>
              </w:rPr>
              <w:t>IT</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16679F7" w14:textId="39DE0691" w:rsidR="00B46669" w:rsidRPr="00D86314" w:rsidRDefault="00B46669" w:rsidP="00B46669">
            <w:pPr>
              <w:spacing w:after="160" w:line="276" w:lineRule="auto"/>
              <w:jc w:val="center"/>
              <w:rPr>
                <w:noProof/>
                <w:sz w:val="22"/>
              </w:rPr>
            </w:pPr>
            <w:r w:rsidRPr="00F87B9B">
              <w:rPr>
                <w:noProof/>
                <w:sz w:val="22"/>
              </w:rPr>
              <w:t>99,5%</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C675145" w14:textId="5EB1BCCD" w:rsidR="00B46669" w:rsidRPr="00D86314" w:rsidRDefault="00B46669" w:rsidP="00B46669">
            <w:pPr>
              <w:spacing w:after="160" w:line="276" w:lineRule="auto"/>
              <w:jc w:val="center"/>
              <w:rPr>
                <w:noProof/>
                <w:sz w:val="22"/>
              </w:rPr>
            </w:pPr>
            <w:r w:rsidRPr="00F87B9B">
              <w:rPr>
                <w:noProof/>
                <w:sz w:val="22"/>
              </w:rPr>
              <w:t>93,3%</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CB8D7EF" w14:textId="3FB3B9F1" w:rsidR="00B46669" w:rsidRPr="00D86314" w:rsidRDefault="00B46669" w:rsidP="00B46669">
            <w:pPr>
              <w:spacing w:after="160" w:line="276" w:lineRule="auto"/>
              <w:jc w:val="center"/>
              <w:rPr>
                <w:noProof/>
                <w:sz w:val="22"/>
              </w:rPr>
            </w:pPr>
            <w:r w:rsidRPr="00F87B9B">
              <w:rPr>
                <w:noProof/>
                <w:sz w:val="22"/>
              </w:rPr>
              <w:t>51,25</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A5AAADC" w14:textId="542627AB" w:rsidR="00B46669" w:rsidRPr="00D86314" w:rsidRDefault="00B46669" w:rsidP="00B46669">
            <w:pPr>
              <w:spacing w:after="160" w:line="276" w:lineRule="auto"/>
              <w:jc w:val="center"/>
              <w:rPr>
                <w:noProof/>
                <w:sz w:val="22"/>
              </w:rPr>
            </w:pPr>
            <w:r w:rsidRPr="00F87B9B">
              <w:rPr>
                <w:noProof/>
                <w:sz w:val="22"/>
              </w:rPr>
              <w:t>110,95</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A824420" w14:textId="53F211B7" w:rsidR="00B46669" w:rsidRPr="00D86314" w:rsidRDefault="00B46669" w:rsidP="00B46669">
            <w:pPr>
              <w:spacing w:after="160" w:line="276" w:lineRule="auto"/>
              <w:jc w:val="center"/>
              <w:rPr>
                <w:noProof/>
                <w:sz w:val="22"/>
              </w:rPr>
            </w:pPr>
            <w:r w:rsidRPr="00F87B9B">
              <w:rPr>
                <w:noProof/>
                <w:sz w:val="22"/>
              </w:rPr>
              <w:t>12,8</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70B319D" w14:textId="48A6A5A9" w:rsidR="00B46669" w:rsidRPr="00D86314" w:rsidRDefault="00B46669" w:rsidP="00B46669">
            <w:pPr>
              <w:spacing w:after="160" w:line="276" w:lineRule="auto"/>
              <w:jc w:val="center"/>
              <w:rPr>
                <w:noProof/>
                <w:sz w:val="22"/>
              </w:rPr>
            </w:pPr>
            <w:r w:rsidRPr="00F87B9B">
              <w:rPr>
                <w:noProof/>
                <w:sz w:val="22"/>
              </w:rPr>
              <w:t>38,1</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805EFF1" w14:textId="3D7B31E5" w:rsidR="00B46669" w:rsidRPr="00D86314" w:rsidRDefault="00B46669" w:rsidP="00B46669">
            <w:pPr>
              <w:spacing w:after="160" w:line="276" w:lineRule="auto"/>
              <w:jc w:val="center"/>
              <w:rPr>
                <w:noProof/>
                <w:sz w:val="22"/>
              </w:rPr>
            </w:pPr>
            <w:r w:rsidRPr="00F87B9B">
              <w:rPr>
                <w:noProof/>
                <w:sz w:val="22"/>
              </w:rPr>
              <w:t>13,54</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493F4BD" w14:textId="289959A1" w:rsidR="00B46669" w:rsidRPr="00D86314" w:rsidRDefault="00B46669" w:rsidP="00B46669">
            <w:pPr>
              <w:spacing w:after="160" w:line="276" w:lineRule="auto"/>
              <w:jc w:val="center"/>
              <w:rPr>
                <w:noProof/>
                <w:sz w:val="22"/>
              </w:rPr>
            </w:pPr>
            <w:r w:rsidRPr="00F87B9B">
              <w:rPr>
                <w:noProof/>
                <w:sz w:val="22"/>
              </w:rPr>
              <w:t>13,54</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DD03A94" w14:textId="0244D534" w:rsidR="00B46669" w:rsidRPr="00D86314" w:rsidRDefault="00B46669" w:rsidP="00B46669">
            <w:pPr>
              <w:spacing w:after="160" w:line="276" w:lineRule="auto"/>
              <w:jc w:val="center"/>
              <w:rPr>
                <w:noProof/>
                <w:sz w:val="22"/>
              </w:rPr>
            </w:pPr>
            <w:r w:rsidRPr="00F87B9B">
              <w:rPr>
                <w:noProof/>
                <w:sz w:val="22"/>
              </w:rPr>
              <w:t>9,98</w:t>
            </w:r>
          </w:p>
        </w:tc>
      </w:tr>
      <w:tr w:rsidR="00B46669" w:rsidRPr="00D86314" w14:paraId="71F34E56"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1B92BB07" w14:textId="5F286A5D" w:rsidR="00B46669" w:rsidRPr="00D86314" w:rsidRDefault="00B46669" w:rsidP="00B46669">
            <w:pPr>
              <w:spacing w:after="160" w:line="276" w:lineRule="auto"/>
              <w:jc w:val="center"/>
              <w:rPr>
                <w:rFonts w:eastAsiaTheme="minorEastAsia"/>
                <w:noProof/>
                <w:sz w:val="22"/>
                <w:szCs w:val="22"/>
              </w:rPr>
            </w:pPr>
            <w:r w:rsidRPr="00D86314">
              <w:rPr>
                <w:rFonts w:eastAsiaTheme="minorEastAsia"/>
                <w:noProof/>
                <w:sz w:val="22"/>
                <w:szCs w:val="22"/>
              </w:rPr>
              <w:t>LV</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71DBB01" w14:textId="708A6864"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71,1%</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A9C0FCB" w14:textId="0D2C5217"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52,2%</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016D74E" w14:textId="38D5EFE5"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73,2</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74EAF38" w14:textId="099DEF04"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137,69</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0A4AFB1" w14:textId="39AA1969"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20,1</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8F4E38F" w14:textId="122D5B0D"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25,9</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5CA98A7" w14:textId="69F1E782"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32,79</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84EFEE2" w14:textId="323EEA9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27,16</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994F121" w14:textId="68632D6E"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17,48</w:t>
            </w:r>
          </w:p>
        </w:tc>
      </w:tr>
      <w:tr w:rsidR="00B46669" w:rsidRPr="00D86314" w14:paraId="6D2FFE04"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7FC64B5C" w14:textId="3986169F" w:rsidR="00B46669" w:rsidRPr="00D86314" w:rsidRDefault="00B46669" w:rsidP="00B46669">
            <w:pPr>
              <w:spacing w:after="160" w:line="276" w:lineRule="auto"/>
              <w:jc w:val="center"/>
              <w:rPr>
                <w:noProof/>
                <w:sz w:val="22"/>
              </w:rPr>
            </w:pPr>
            <w:r w:rsidRPr="00D86314">
              <w:rPr>
                <w:noProof/>
                <w:sz w:val="22"/>
              </w:rPr>
              <w:t>LT</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EFAFFAD" w14:textId="4D0B318C" w:rsidR="00B46669" w:rsidRPr="00D86314" w:rsidRDefault="00B46669" w:rsidP="00B46669">
            <w:pPr>
              <w:spacing w:after="160" w:line="276" w:lineRule="auto"/>
              <w:jc w:val="center"/>
              <w:rPr>
                <w:noProof/>
                <w:sz w:val="22"/>
              </w:rPr>
            </w:pPr>
            <w:r w:rsidRPr="00F87B9B">
              <w:rPr>
                <w:noProof/>
                <w:sz w:val="22"/>
              </w:rPr>
              <w:t>99,7%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128FB09" w14:textId="785373E2" w:rsidR="00B46669" w:rsidRPr="00D86314" w:rsidRDefault="00B46669" w:rsidP="00B46669">
            <w:pPr>
              <w:spacing w:after="160" w:line="276" w:lineRule="auto"/>
              <w:jc w:val="center"/>
              <w:rPr>
                <w:noProof/>
                <w:sz w:val="22"/>
              </w:rPr>
            </w:pPr>
            <w:r w:rsidRPr="00F87B9B">
              <w:rPr>
                <w:noProof/>
                <w:sz w:val="22"/>
              </w:rPr>
              <w:t>75,1%</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DDA1064" w14:textId="61108426" w:rsidR="00B46669" w:rsidRPr="00D86314" w:rsidRDefault="00B46669" w:rsidP="00B46669">
            <w:pPr>
              <w:spacing w:after="160" w:line="276" w:lineRule="auto"/>
              <w:jc w:val="center"/>
              <w:rPr>
                <w:noProof/>
                <w:sz w:val="22"/>
              </w:rPr>
            </w:pPr>
            <w:r w:rsidRPr="00F87B9B">
              <w:rPr>
                <w:noProof/>
                <w:sz w:val="22"/>
              </w:rPr>
              <w:t>71,92</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5BB7164" w14:textId="29E8BDE8" w:rsidR="00B46669" w:rsidRPr="00D86314" w:rsidRDefault="00B46669" w:rsidP="00B46669">
            <w:pPr>
              <w:spacing w:after="160" w:line="276" w:lineRule="auto"/>
              <w:jc w:val="center"/>
              <w:rPr>
                <w:noProof/>
                <w:sz w:val="22"/>
              </w:rPr>
            </w:pPr>
            <w:r w:rsidRPr="00F87B9B">
              <w:rPr>
                <w:noProof/>
                <w:sz w:val="22"/>
              </w:rPr>
              <w:t>150,99</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5E02E12" w14:textId="4A829782" w:rsidR="00B46669" w:rsidRPr="00D86314" w:rsidRDefault="00B46669" w:rsidP="00B46669">
            <w:pPr>
              <w:spacing w:after="160" w:line="276" w:lineRule="auto"/>
              <w:jc w:val="center"/>
              <w:rPr>
                <w:noProof/>
                <w:sz w:val="22"/>
              </w:rPr>
            </w:pPr>
            <w:r w:rsidRPr="00F87B9B">
              <w:rPr>
                <w:noProof/>
                <w:sz w:val="22"/>
              </w:rPr>
              <w:t>16,0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0E469FA" w14:textId="4A8913AB" w:rsidR="00B46669" w:rsidRPr="00D86314" w:rsidRDefault="00B46669" w:rsidP="00B46669">
            <w:pPr>
              <w:spacing w:after="160" w:line="276" w:lineRule="auto"/>
              <w:jc w:val="center"/>
              <w:rPr>
                <w:noProof/>
                <w:sz w:val="22"/>
              </w:rPr>
            </w:pPr>
            <w:r w:rsidRPr="00F87B9B">
              <w:rPr>
                <w:noProof/>
                <w:sz w:val="22"/>
              </w:rPr>
              <w:t>31,0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4596160" w14:textId="746BCD2A" w:rsidR="00B46669" w:rsidRPr="00D86314" w:rsidRDefault="00B46669" w:rsidP="00B46669">
            <w:pPr>
              <w:spacing w:after="160" w:line="276" w:lineRule="auto"/>
              <w:jc w:val="center"/>
              <w:rPr>
                <w:noProof/>
                <w:sz w:val="22"/>
              </w:rPr>
            </w:pPr>
            <w:r w:rsidRPr="00F87B9B">
              <w:rPr>
                <w:noProof/>
                <w:sz w:val="22"/>
              </w:rPr>
              <w:t>19,92</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9D08A24" w14:textId="0AF06C0B" w:rsidR="00B46669" w:rsidRPr="00D86314" w:rsidRDefault="00B46669" w:rsidP="00B46669">
            <w:pPr>
              <w:spacing w:after="160" w:line="276" w:lineRule="auto"/>
              <w:jc w:val="center"/>
              <w:rPr>
                <w:noProof/>
                <w:sz w:val="22"/>
              </w:rPr>
            </w:pPr>
            <w:r w:rsidRPr="00F87B9B">
              <w:rPr>
                <w:noProof/>
                <w:sz w:val="22"/>
              </w:rPr>
              <w:t>17,27</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75A97E7" w14:textId="3DE6DC21" w:rsidR="00B46669" w:rsidRPr="00D86314" w:rsidRDefault="00B46669" w:rsidP="00B46669">
            <w:pPr>
              <w:spacing w:after="160" w:line="276" w:lineRule="auto"/>
              <w:jc w:val="center"/>
              <w:rPr>
                <w:noProof/>
                <w:sz w:val="22"/>
              </w:rPr>
            </w:pPr>
            <w:r w:rsidRPr="00F87B9B">
              <w:rPr>
                <w:noProof/>
                <w:sz w:val="22"/>
              </w:rPr>
              <w:t>11,83</w:t>
            </w:r>
          </w:p>
        </w:tc>
      </w:tr>
      <w:tr w:rsidR="00B46669" w:rsidRPr="00D86314" w14:paraId="2B1D30B4"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7EAFA0F6" w14:textId="2D18C633" w:rsidR="00B46669" w:rsidRPr="00D86314" w:rsidRDefault="00B46669" w:rsidP="00B46669">
            <w:pPr>
              <w:spacing w:after="160" w:line="276" w:lineRule="auto"/>
              <w:jc w:val="center"/>
              <w:rPr>
                <w:rFonts w:eastAsiaTheme="minorEastAsia"/>
                <w:noProof/>
                <w:sz w:val="22"/>
                <w:szCs w:val="22"/>
              </w:rPr>
            </w:pPr>
            <w:r w:rsidRPr="00D86314">
              <w:rPr>
                <w:rFonts w:eastAsiaTheme="minorEastAsia"/>
                <w:noProof/>
                <w:sz w:val="22"/>
                <w:szCs w:val="22"/>
              </w:rPr>
              <w:t>LU</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2BEE90A" w14:textId="08366088"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99,6%</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0FEFF38" w14:textId="10F33A4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70,6%</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191F856" w14:textId="1E0CEDEB"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132,16</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7F0D1C9" w14:textId="3D0E4E59"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192,45</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CACDDFD" w14:textId="276A46B6"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22,2</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ECD282D" w14:textId="7892D0A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20,3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F8B0429" w14:textId="0875132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34,26</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32B937A" w14:textId="344BA6EA"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22,81</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9C58F73" w14:textId="2618B694"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13,66</w:t>
            </w:r>
          </w:p>
        </w:tc>
      </w:tr>
      <w:tr w:rsidR="00B46669" w:rsidRPr="00D86314" w14:paraId="3871B726"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2D165E01" w14:textId="57799372" w:rsidR="00B46669" w:rsidRPr="00D86314" w:rsidRDefault="00B46669" w:rsidP="00B46669">
            <w:pPr>
              <w:spacing w:after="160" w:line="276" w:lineRule="auto"/>
              <w:jc w:val="center"/>
              <w:rPr>
                <w:rFonts w:eastAsiaTheme="minorEastAsia"/>
                <w:noProof/>
                <w:sz w:val="22"/>
                <w:szCs w:val="22"/>
              </w:rPr>
            </w:pPr>
            <w:r w:rsidRPr="00D86314">
              <w:rPr>
                <w:rFonts w:eastAsiaTheme="minorEastAsia"/>
                <w:noProof/>
                <w:sz w:val="22"/>
                <w:szCs w:val="22"/>
              </w:rPr>
              <w:t>MT</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E2122E8" w14:textId="18B13A87"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100,0%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844F040" w14:textId="666E891C"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40,0%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7C1BC83" w14:textId="4DA0582D"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52,8</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E69D1B2" w14:textId="2C8DE236"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69,90</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C9E66EA" w14:textId="2F50ADE5"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12,3</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3DF0343" w14:textId="097547E4"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43,6</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D8CFC87" w14:textId="6D8507E6"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25,22</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4C0A30F" w14:textId="04B786AE"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16,82</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D3C2C05" w14:textId="108DBDF2" w:rsidR="00B46669" w:rsidRPr="00D86314" w:rsidRDefault="00B46669" w:rsidP="00B46669">
            <w:pPr>
              <w:spacing w:after="160" w:line="276" w:lineRule="auto"/>
              <w:jc w:val="center"/>
              <w:rPr>
                <w:rFonts w:eastAsiaTheme="minorEastAsia"/>
                <w:noProof/>
                <w:sz w:val="22"/>
                <w:szCs w:val="22"/>
              </w:rPr>
            </w:pPr>
            <w:r w:rsidRPr="00F87B9B">
              <w:rPr>
                <w:rFonts w:eastAsiaTheme="minorEastAsia"/>
                <w:noProof/>
                <w:sz w:val="22"/>
                <w:szCs w:val="22"/>
              </w:rPr>
              <w:t>10,30</w:t>
            </w:r>
          </w:p>
        </w:tc>
      </w:tr>
      <w:tr w:rsidR="00B46669" w:rsidRPr="00D86314" w14:paraId="25535B7F"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1B643707" w14:textId="1550FDB0" w:rsidR="00B46669" w:rsidRPr="00D86314" w:rsidRDefault="00B46669" w:rsidP="00B46669">
            <w:pPr>
              <w:spacing w:after="160" w:line="276" w:lineRule="auto"/>
              <w:jc w:val="center"/>
              <w:rPr>
                <w:noProof/>
                <w:sz w:val="22"/>
              </w:rPr>
            </w:pPr>
            <w:r w:rsidRPr="00D86314">
              <w:rPr>
                <w:noProof/>
                <w:sz w:val="22"/>
              </w:rPr>
              <w:t>NL</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FCF1D23" w14:textId="568698B7" w:rsidR="00B46669" w:rsidRPr="00D86314" w:rsidRDefault="00B46669" w:rsidP="00B46669">
            <w:pPr>
              <w:spacing w:after="160" w:line="276" w:lineRule="auto"/>
              <w:jc w:val="center"/>
              <w:rPr>
                <w:noProof/>
                <w:sz w:val="22"/>
              </w:rPr>
            </w:pPr>
            <w:r w:rsidRPr="00F87B9B">
              <w:rPr>
                <w:noProof/>
                <w:sz w:val="22"/>
              </w:rPr>
              <w:t>100,0%</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F3C9CA4" w14:textId="0EFA5EDB" w:rsidR="00B46669" w:rsidRPr="00D86314" w:rsidRDefault="00B46669" w:rsidP="00B46669">
            <w:pPr>
              <w:spacing w:after="160" w:line="276" w:lineRule="auto"/>
              <w:jc w:val="center"/>
              <w:rPr>
                <w:noProof/>
                <w:sz w:val="22"/>
              </w:rPr>
            </w:pPr>
            <w:r w:rsidRPr="00F87B9B">
              <w:rPr>
                <w:noProof/>
                <w:sz w:val="22"/>
              </w:rPr>
              <w:t>99,4%</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6932E42" w14:textId="3273DEDD" w:rsidR="00B46669" w:rsidRPr="00D86314" w:rsidRDefault="00B46669" w:rsidP="00B46669">
            <w:pPr>
              <w:spacing w:after="160" w:line="276" w:lineRule="auto"/>
              <w:jc w:val="center"/>
              <w:rPr>
                <w:noProof/>
                <w:sz w:val="22"/>
              </w:rPr>
            </w:pPr>
            <w:r w:rsidRPr="00F87B9B">
              <w:rPr>
                <w:noProof/>
                <w:sz w:val="22"/>
              </w:rPr>
              <w:t>122,13</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AFA77A5" w14:textId="282A258C" w:rsidR="00B46669" w:rsidRPr="00D86314" w:rsidRDefault="00B46669" w:rsidP="00B46669">
            <w:pPr>
              <w:spacing w:after="160" w:line="276" w:lineRule="auto"/>
              <w:jc w:val="center"/>
              <w:rPr>
                <w:noProof/>
                <w:sz w:val="22"/>
              </w:rPr>
            </w:pPr>
            <w:r w:rsidRPr="00F87B9B">
              <w:rPr>
                <w:noProof/>
                <w:sz w:val="22"/>
              </w:rPr>
              <w:t>154,02</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CBAFA5B" w14:textId="7EC78841" w:rsidR="00B46669" w:rsidRPr="00D86314" w:rsidRDefault="00B46669" w:rsidP="00B46669">
            <w:pPr>
              <w:spacing w:after="160" w:line="276" w:lineRule="auto"/>
              <w:jc w:val="center"/>
              <w:rPr>
                <w:noProof/>
                <w:sz w:val="22"/>
              </w:rPr>
            </w:pPr>
            <w:r w:rsidRPr="00F87B9B">
              <w:rPr>
                <w:noProof/>
                <w:sz w:val="22"/>
              </w:rPr>
              <w:t>31,5</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E0C11C9" w14:textId="443F2B52" w:rsidR="00B46669" w:rsidRPr="00D86314" w:rsidRDefault="00B46669" w:rsidP="00B46669">
            <w:pPr>
              <w:spacing w:after="160" w:line="276" w:lineRule="auto"/>
              <w:jc w:val="center"/>
              <w:rPr>
                <w:noProof/>
                <w:sz w:val="22"/>
              </w:rPr>
            </w:pPr>
            <w:r w:rsidRPr="00F87B9B">
              <w:rPr>
                <w:noProof/>
                <w:sz w:val="22"/>
              </w:rPr>
              <w:t>18,3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0B09235" w14:textId="005BC84F" w:rsidR="00B46669" w:rsidRPr="00D86314" w:rsidRDefault="00B46669" w:rsidP="00B46669">
            <w:pPr>
              <w:spacing w:after="160" w:line="276" w:lineRule="auto"/>
              <w:jc w:val="center"/>
              <w:rPr>
                <w:noProof/>
                <w:sz w:val="22"/>
              </w:rPr>
            </w:pPr>
            <w:r w:rsidRPr="00F87B9B">
              <w:rPr>
                <w:noProof/>
                <w:sz w:val="22"/>
              </w:rPr>
              <w:t>13,24</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3227B74" w14:textId="7589A499" w:rsidR="00B46669" w:rsidRPr="00D86314" w:rsidRDefault="00B46669" w:rsidP="00B46669">
            <w:pPr>
              <w:spacing w:after="160" w:line="276" w:lineRule="auto"/>
              <w:jc w:val="center"/>
              <w:rPr>
                <w:noProof/>
                <w:sz w:val="22"/>
              </w:rPr>
            </w:pPr>
            <w:r w:rsidRPr="00F87B9B">
              <w:rPr>
                <w:noProof/>
                <w:sz w:val="22"/>
              </w:rPr>
              <w:t>10,67</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8AB067D" w14:textId="1987C9A3" w:rsidR="00B46669" w:rsidRPr="00D86314" w:rsidRDefault="00B46669" w:rsidP="00B46669">
            <w:pPr>
              <w:spacing w:after="160" w:line="276" w:lineRule="auto"/>
              <w:jc w:val="center"/>
              <w:rPr>
                <w:noProof/>
                <w:sz w:val="22"/>
              </w:rPr>
            </w:pPr>
            <w:r w:rsidRPr="00F87B9B">
              <w:rPr>
                <w:noProof/>
                <w:sz w:val="22"/>
              </w:rPr>
              <w:t>6,41</w:t>
            </w:r>
          </w:p>
        </w:tc>
      </w:tr>
      <w:tr w:rsidR="00F67945" w:rsidRPr="00D86314" w14:paraId="21D2A517"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46758BD9" w14:textId="2EDDEC1D" w:rsidR="00F67945" w:rsidRPr="00D86314" w:rsidRDefault="00F67945" w:rsidP="00F67945">
            <w:pPr>
              <w:spacing w:after="160" w:line="276" w:lineRule="auto"/>
              <w:jc w:val="center"/>
              <w:rPr>
                <w:noProof/>
                <w:sz w:val="22"/>
              </w:rPr>
            </w:pPr>
            <w:r w:rsidRPr="00D86314">
              <w:rPr>
                <w:noProof/>
                <w:sz w:val="22"/>
              </w:rPr>
              <w:t>PL</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1B88CD7" w14:textId="0281C191" w:rsidR="00F67945" w:rsidRPr="00D86314" w:rsidRDefault="00F67945" w:rsidP="00F67945">
            <w:pPr>
              <w:spacing w:after="160" w:line="276" w:lineRule="auto"/>
              <w:jc w:val="center"/>
              <w:rPr>
                <w:noProof/>
                <w:sz w:val="22"/>
              </w:rPr>
            </w:pPr>
            <w:r w:rsidRPr="00F87B9B">
              <w:rPr>
                <w:noProof/>
                <w:sz w:val="22"/>
              </w:rPr>
              <w:t>89,3%</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0C2734E" w14:textId="0D090A0E" w:rsidR="00F67945" w:rsidRPr="00D86314" w:rsidRDefault="00F67945" w:rsidP="00F67945">
            <w:pPr>
              <w:spacing w:after="160" w:line="276" w:lineRule="auto"/>
              <w:jc w:val="center"/>
              <w:rPr>
                <w:noProof/>
                <w:sz w:val="22"/>
              </w:rPr>
            </w:pPr>
            <w:r w:rsidRPr="00F87B9B">
              <w:rPr>
                <w:noProof/>
                <w:sz w:val="22"/>
              </w:rPr>
              <w:t>60,2%</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0600C4F" w14:textId="525579DD" w:rsidR="00F67945" w:rsidRPr="00D86314" w:rsidRDefault="00F67945" w:rsidP="00F67945">
            <w:pPr>
              <w:spacing w:after="160" w:line="276" w:lineRule="auto"/>
              <w:jc w:val="center"/>
              <w:rPr>
                <w:noProof/>
                <w:sz w:val="22"/>
              </w:rPr>
            </w:pPr>
            <w:r w:rsidRPr="00F87B9B">
              <w:rPr>
                <w:noProof/>
                <w:sz w:val="22"/>
              </w:rPr>
              <w:t>63,78</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9E359EE" w14:textId="4855F3DC" w:rsidR="00F67945" w:rsidRPr="00D86314" w:rsidRDefault="00F67945" w:rsidP="00F67945">
            <w:pPr>
              <w:spacing w:after="160" w:line="276" w:lineRule="auto"/>
              <w:jc w:val="center"/>
              <w:rPr>
                <w:noProof/>
                <w:sz w:val="22"/>
              </w:rPr>
            </w:pPr>
            <w:r w:rsidRPr="00F87B9B">
              <w:rPr>
                <w:noProof/>
                <w:sz w:val="22"/>
              </w:rPr>
              <w:t>148,63</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7ECB977" w14:textId="1697078D" w:rsidR="00F67945" w:rsidRPr="00D86314" w:rsidRDefault="00F67945" w:rsidP="00F67945">
            <w:pPr>
              <w:spacing w:after="160" w:line="276" w:lineRule="auto"/>
              <w:jc w:val="center"/>
              <w:rPr>
                <w:noProof/>
                <w:sz w:val="22"/>
              </w:rPr>
            </w:pPr>
            <w:r w:rsidRPr="00F87B9B">
              <w:rPr>
                <w:noProof/>
                <w:sz w:val="22"/>
              </w:rPr>
              <w:t>13,9</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C8BA558" w14:textId="557C4F32" w:rsidR="00F67945" w:rsidRPr="00D86314" w:rsidRDefault="00F67945" w:rsidP="00F67945">
            <w:pPr>
              <w:spacing w:after="160" w:line="276" w:lineRule="auto"/>
              <w:jc w:val="center"/>
              <w:rPr>
                <w:noProof/>
                <w:sz w:val="22"/>
              </w:rPr>
            </w:pPr>
            <w:r w:rsidRPr="00F87B9B">
              <w:rPr>
                <w:noProof/>
                <w:sz w:val="22"/>
              </w:rPr>
              <w:t>35,9</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DFD4778" w14:textId="478FA337" w:rsidR="00F67945" w:rsidRPr="00D86314" w:rsidRDefault="00F67945" w:rsidP="00F67945">
            <w:pPr>
              <w:spacing w:after="160" w:line="276" w:lineRule="auto"/>
              <w:jc w:val="center"/>
              <w:rPr>
                <w:noProof/>
                <w:sz w:val="22"/>
              </w:rPr>
            </w:pPr>
            <w:r w:rsidRPr="00F87B9B">
              <w:rPr>
                <w:noProof/>
                <w:sz w:val="22"/>
              </w:rPr>
              <w:t>12,15</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F666EC1" w14:textId="444B789B" w:rsidR="00F67945" w:rsidRPr="00D86314" w:rsidRDefault="00F67945" w:rsidP="00F67945">
            <w:pPr>
              <w:spacing w:after="160" w:line="276" w:lineRule="auto"/>
              <w:jc w:val="center"/>
              <w:rPr>
                <w:noProof/>
                <w:sz w:val="22"/>
              </w:rPr>
            </w:pPr>
            <w:r w:rsidRPr="00F87B9B">
              <w:rPr>
                <w:noProof/>
                <w:sz w:val="22"/>
              </w:rPr>
              <w:t>10,42</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85AE314" w14:textId="2D9DF338" w:rsidR="00F67945" w:rsidRPr="00D86314" w:rsidRDefault="00F67945" w:rsidP="00F67945">
            <w:pPr>
              <w:spacing w:after="160" w:line="276" w:lineRule="auto"/>
              <w:jc w:val="center"/>
              <w:rPr>
                <w:noProof/>
                <w:sz w:val="22"/>
              </w:rPr>
            </w:pPr>
            <w:r w:rsidRPr="00F87B9B">
              <w:rPr>
                <w:noProof/>
                <w:sz w:val="22"/>
              </w:rPr>
              <w:t>10,42</w:t>
            </w:r>
          </w:p>
        </w:tc>
      </w:tr>
      <w:tr w:rsidR="00F67945" w:rsidRPr="00D86314" w14:paraId="2332A1D4"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593616A2" w14:textId="40AE7213" w:rsidR="00F67945" w:rsidRPr="00D86314" w:rsidRDefault="00F67945" w:rsidP="00F67945">
            <w:pPr>
              <w:spacing w:after="160" w:line="276" w:lineRule="auto"/>
              <w:jc w:val="center"/>
              <w:rPr>
                <w:noProof/>
                <w:sz w:val="22"/>
              </w:rPr>
            </w:pPr>
            <w:r w:rsidRPr="00D86314">
              <w:rPr>
                <w:noProof/>
                <w:sz w:val="22"/>
              </w:rPr>
              <w:t>PT</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B0397EB" w14:textId="692B0D36" w:rsidR="00F67945" w:rsidRPr="00D86314" w:rsidRDefault="00F67945" w:rsidP="00F67945">
            <w:pPr>
              <w:spacing w:after="160" w:line="276" w:lineRule="auto"/>
              <w:jc w:val="center"/>
              <w:rPr>
                <w:noProof/>
                <w:sz w:val="22"/>
              </w:rPr>
            </w:pPr>
            <w:r w:rsidRPr="00F87B9B">
              <w:rPr>
                <w:noProof/>
                <w:sz w:val="22"/>
              </w:rPr>
              <w:t>98,7%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75AEB59" w14:textId="161AB7FA" w:rsidR="00F67945" w:rsidRPr="00D86314" w:rsidRDefault="00F67945" w:rsidP="00F67945">
            <w:pPr>
              <w:spacing w:after="160" w:line="276" w:lineRule="auto"/>
              <w:jc w:val="center"/>
              <w:rPr>
                <w:noProof/>
                <w:sz w:val="22"/>
              </w:rPr>
            </w:pPr>
            <w:r w:rsidRPr="00F87B9B">
              <w:rPr>
                <w:noProof/>
                <w:sz w:val="22"/>
              </w:rPr>
              <w:t>71,4%</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40BF6A8" w14:textId="6014F99B" w:rsidR="00F67945" w:rsidRPr="00D86314" w:rsidRDefault="00F67945" w:rsidP="00F67945">
            <w:pPr>
              <w:spacing w:after="160" w:line="276" w:lineRule="auto"/>
              <w:jc w:val="center"/>
              <w:rPr>
                <w:noProof/>
                <w:sz w:val="22"/>
              </w:rPr>
            </w:pPr>
            <w:r w:rsidRPr="00F87B9B">
              <w:rPr>
                <w:noProof/>
                <w:sz w:val="22"/>
              </w:rPr>
              <w:t>83,23</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12BFA51" w14:textId="006D7CE7" w:rsidR="00F67945" w:rsidRPr="00D86314" w:rsidRDefault="00F67945" w:rsidP="00F67945">
            <w:pPr>
              <w:spacing w:after="160" w:line="276" w:lineRule="auto"/>
              <w:jc w:val="center"/>
              <w:rPr>
                <w:noProof/>
                <w:sz w:val="22"/>
              </w:rPr>
            </w:pPr>
            <w:r w:rsidRPr="00F87B9B">
              <w:rPr>
                <w:noProof/>
                <w:sz w:val="22"/>
              </w:rPr>
              <w:t>186,24</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5F7CB9C" w14:textId="0F526091" w:rsidR="00F67945" w:rsidRPr="00D86314" w:rsidRDefault="00F67945" w:rsidP="00F67945">
            <w:pPr>
              <w:spacing w:after="160" w:line="276" w:lineRule="auto"/>
              <w:jc w:val="center"/>
              <w:rPr>
                <w:noProof/>
                <w:sz w:val="22"/>
              </w:rPr>
            </w:pPr>
            <w:r w:rsidRPr="00F87B9B">
              <w:rPr>
                <w:noProof/>
                <w:sz w:val="22"/>
              </w:rPr>
              <w:t>16,9</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942D5C1" w14:textId="4A5EB2A6" w:rsidR="00F67945" w:rsidRPr="00D86314" w:rsidRDefault="00F67945" w:rsidP="00F67945">
            <w:pPr>
              <w:spacing w:after="160" w:line="276" w:lineRule="auto"/>
              <w:jc w:val="center"/>
              <w:rPr>
                <w:noProof/>
                <w:sz w:val="22"/>
              </w:rPr>
            </w:pPr>
            <w:r w:rsidRPr="00F87B9B">
              <w:rPr>
                <w:noProof/>
                <w:sz w:val="22"/>
              </w:rPr>
              <w:t>20,7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AE03ECF" w14:textId="1B49A8DC" w:rsidR="00F67945" w:rsidRPr="00D86314" w:rsidRDefault="00F67945" w:rsidP="00F67945">
            <w:pPr>
              <w:spacing w:after="160" w:line="276" w:lineRule="auto"/>
              <w:jc w:val="center"/>
              <w:rPr>
                <w:noProof/>
                <w:sz w:val="22"/>
              </w:rPr>
            </w:pPr>
            <w:r w:rsidRPr="00F87B9B">
              <w:rPr>
                <w:noProof/>
                <w:sz w:val="22"/>
              </w:rPr>
              <w:t>33,09</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F46DEAE" w14:textId="6A7EFAAD" w:rsidR="00F67945" w:rsidRPr="00D86314" w:rsidRDefault="00F67945" w:rsidP="00F67945">
            <w:pPr>
              <w:spacing w:after="160" w:line="276" w:lineRule="auto"/>
              <w:jc w:val="center"/>
              <w:rPr>
                <w:noProof/>
                <w:sz w:val="22"/>
              </w:rPr>
            </w:pPr>
            <w:r w:rsidRPr="00F87B9B">
              <w:rPr>
                <w:noProof/>
                <w:sz w:val="22"/>
              </w:rPr>
              <w:t>17,05</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6E837EE" w14:textId="1F67110E" w:rsidR="00F67945" w:rsidRPr="00D86314" w:rsidRDefault="00F67945" w:rsidP="00F67945">
            <w:pPr>
              <w:spacing w:after="160" w:line="276" w:lineRule="auto"/>
              <w:jc w:val="center"/>
              <w:rPr>
                <w:noProof/>
                <w:sz w:val="22"/>
              </w:rPr>
            </w:pPr>
            <w:r w:rsidRPr="00F87B9B">
              <w:rPr>
                <w:noProof/>
                <w:sz w:val="22"/>
              </w:rPr>
              <w:t>11,37</w:t>
            </w:r>
          </w:p>
        </w:tc>
      </w:tr>
      <w:tr w:rsidR="00F67945" w:rsidRPr="00D86314" w14:paraId="5D6F694C"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0270C7DF" w14:textId="511FC64C" w:rsidR="00F67945" w:rsidRPr="00D86314" w:rsidRDefault="00F67945" w:rsidP="00F67945">
            <w:pPr>
              <w:spacing w:after="160" w:line="276" w:lineRule="auto"/>
              <w:jc w:val="center"/>
              <w:rPr>
                <w:noProof/>
                <w:sz w:val="22"/>
              </w:rPr>
            </w:pPr>
            <w:r w:rsidRPr="00D86314">
              <w:rPr>
                <w:noProof/>
                <w:sz w:val="22"/>
              </w:rPr>
              <w:t>RO</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775AC1A" w14:textId="6A6B63D2" w:rsidR="00F67945" w:rsidRPr="00D86314" w:rsidRDefault="00F67945" w:rsidP="00F67945">
            <w:pPr>
              <w:spacing w:after="160" w:line="276" w:lineRule="auto"/>
              <w:jc w:val="center"/>
              <w:rPr>
                <w:noProof/>
                <w:sz w:val="22"/>
              </w:rPr>
            </w:pPr>
            <w:r w:rsidRPr="00F87B9B">
              <w:rPr>
                <w:noProof/>
                <w:sz w:val="22"/>
              </w:rPr>
              <w:t>46,8%</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71F19F6" w14:textId="291A901E" w:rsidR="00F67945" w:rsidRPr="00D86314" w:rsidRDefault="00F67945" w:rsidP="00F67945">
            <w:pPr>
              <w:spacing w:after="160" w:line="276" w:lineRule="auto"/>
              <w:jc w:val="center"/>
              <w:rPr>
                <w:noProof/>
                <w:sz w:val="22"/>
              </w:rPr>
            </w:pPr>
            <w:r w:rsidRPr="00F87B9B">
              <w:rPr>
                <w:noProof/>
                <w:sz w:val="22"/>
              </w:rPr>
              <w:t>32,8%</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12B2D77" w14:textId="196CD5DA" w:rsidR="00F67945" w:rsidRPr="00D86314" w:rsidRDefault="00F67945" w:rsidP="00F67945">
            <w:pPr>
              <w:spacing w:after="160" w:line="276" w:lineRule="auto"/>
              <w:jc w:val="center"/>
              <w:rPr>
                <w:noProof/>
                <w:sz w:val="22"/>
              </w:rPr>
            </w:pPr>
            <w:r w:rsidRPr="00F87B9B">
              <w:rPr>
                <w:noProof/>
                <w:sz w:val="22"/>
              </w:rPr>
              <w:t>46,46</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9772D0A" w14:textId="7F095BEB" w:rsidR="00F67945" w:rsidRPr="00D86314" w:rsidRDefault="00F67945" w:rsidP="00F67945">
            <w:pPr>
              <w:spacing w:after="160" w:line="276" w:lineRule="auto"/>
              <w:jc w:val="center"/>
              <w:rPr>
                <w:noProof/>
                <w:sz w:val="22"/>
              </w:rPr>
            </w:pPr>
            <w:r w:rsidRPr="00F87B9B">
              <w:rPr>
                <w:noProof/>
                <w:sz w:val="22"/>
              </w:rPr>
              <w:t>100,16</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4BB0FC1" w14:textId="59390270" w:rsidR="00F67945" w:rsidRPr="00D86314" w:rsidRDefault="00F67945" w:rsidP="00F67945">
            <w:pPr>
              <w:spacing w:after="160" w:line="276" w:lineRule="auto"/>
              <w:jc w:val="center"/>
              <w:rPr>
                <w:noProof/>
                <w:sz w:val="22"/>
              </w:rPr>
            </w:pPr>
            <w:r w:rsidRPr="00F87B9B">
              <w:rPr>
                <w:noProof/>
                <w:sz w:val="22"/>
              </w:rPr>
              <w:t>17,2</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319AE7B" w14:textId="2B16CB66" w:rsidR="00F67945" w:rsidRPr="00D86314" w:rsidRDefault="00F67945" w:rsidP="00F67945">
            <w:pPr>
              <w:spacing w:after="160" w:line="276" w:lineRule="auto"/>
              <w:jc w:val="center"/>
              <w:rPr>
                <w:noProof/>
                <w:sz w:val="22"/>
              </w:rPr>
            </w:pPr>
            <w:r w:rsidRPr="00F87B9B">
              <w:rPr>
                <w:noProof/>
                <w:sz w:val="22"/>
              </w:rPr>
              <w:t>27,6</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D6EEE1D" w14:textId="4A8F1209" w:rsidR="00F67945" w:rsidRPr="00D86314" w:rsidRDefault="00F67945" w:rsidP="00F67945">
            <w:pPr>
              <w:spacing w:after="160" w:line="276" w:lineRule="auto"/>
              <w:jc w:val="center"/>
              <w:rPr>
                <w:noProof/>
                <w:sz w:val="22"/>
              </w:rPr>
            </w:pPr>
            <w:r w:rsidRPr="00F87B9B">
              <w:rPr>
                <w:noProof/>
                <w:sz w:val="22"/>
              </w:rPr>
              <w:t>3,57</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69F1173" w14:textId="5E0A2BC3" w:rsidR="00F67945" w:rsidRPr="00D86314" w:rsidRDefault="00F67945" w:rsidP="00F67945">
            <w:pPr>
              <w:spacing w:after="160" w:line="276" w:lineRule="auto"/>
              <w:jc w:val="center"/>
              <w:rPr>
                <w:noProof/>
                <w:sz w:val="22"/>
              </w:rPr>
            </w:pPr>
            <w:r w:rsidRPr="00F87B9B">
              <w:rPr>
                <w:noProof/>
                <w:sz w:val="22"/>
              </w:rPr>
              <w:t>3,57</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5ABEF65" w14:textId="611D366D" w:rsidR="00F67945" w:rsidRPr="00D86314" w:rsidRDefault="00F67945" w:rsidP="00F67945">
            <w:pPr>
              <w:spacing w:after="160" w:line="276" w:lineRule="auto"/>
              <w:jc w:val="center"/>
              <w:rPr>
                <w:noProof/>
                <w:sz w:val="22"/>
              </w:rPr>
            </w:pPr>
            <w:r w:rsidRPr="00F87B9B">
              <w:rPr>
                <w:noProof/>
                <w:sz w:val="22"/>
              </w:rPr>
              <w:t>3,23</w:t>
            </w:r>
          </w:p>
        </w:tc>
      </w:tr>
      <w:tr w:rsidR="00F67945" w:rsidRPr="00D86314" w14:paraId="16985ACE"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617E4E7C" w14:textId="1AAF4AC2" w:rsidR="00F67945" w:rsidRPr="00D86314" w:rsidRDefault="00F67945" w:rsidP="00F67945">
            <w:pPr>
              <w:spacing w:after="160" w:line="276" w:lineRule="auto"/>
              <w:jc w:val="center"/>
              <w:rPr>
                <w:noProof/>
                <w:sz w:val="22"/>
              </w:rPr>
            </w:pPr>
            <w:r w:rsidRPr="00D86314">
              <w:rPr>
                <w:noProof/>
                <w:sz w:val="22"/>
              </w:rPr>
              <w:t>SK</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26C4A72" w14:textId="0B348E64" w:rsidR="00F67945" w:rsidRPr="00D86314" w:rsidRDefault="00F67945" w:rsidP="00F67945">
            <w:pPr>
              <w:spacing w:after="160" w:line="276" w:lineRule="auto"/>
              <w:jc w:val="center"/>
              <w:rPr>
                <w:noProof/>
                <w:sz w:val="22"/>
              </w:rPr>
            </w:pPr>
            <w:r w:rsidRPr="00F87B9B">
              <w:rPr>
                <w:noProof/>
                <w:sz w:val="22"/>
              </w:rPr>
              <w:t>87,9%</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EFD0BA9" w14:textId="7B7E1373" w:rsidR="00F67945" w:rsidRPr="00D86314" w:rsidRDefault="00F67945" w:rsidP="00F67945">
            <w:pPr>
              <w:spacing w:after="160" w:line="276" w:lineRule="auto"/>
              <w:jc w:val="center"/>
              <w:rPr>
                <w:noProof/>
                <w:sz w:val="22"/>
              </w:rPr>
            </w:pPr>
            <w:r w:rsidRPr="00F87B9B">
              <w:rPr>
                <w:noProof/>
                <w:sz w:val="22"/>
              </w:rPr>
              <w:t>70,6%</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8DD631E" w14:textId="17945E4E" w:rsidR="00F67945" w:rsidRPr="00D86314" w:rsidRDefault="00F67945" w:rsidP="00F67945">
            <w:pPr>
              <w:spacing w:after="160" w:line="276" w:lineRule="auto"/>
              <w:jc w:val="center"/>
              <w:rPr>
                <w:noProof/>
                <w:sz w:val="22"/>
              </w:rPr>
            </w:pPr>
            <w:r w:rsidRPr="00F87B9B">
              <w:rPr>
                <w:noProof/>
                <w:sz w:val="22"/>
              </w:rPr>
              <w:t>67,39</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39239D9" w14:textId="74F42E39" w:rsidR="00F67945" w:rsidRPr="00D86314" w:rsidRDefault="00F67945" w:rsidP="00F67945">
            <w:pPr>
              <w:spacing w:after="160" w:line="276" w:lineRule="auto"/>
              <w:jc w:val="center"/>
              <w:rPr>
                <w:noProof/>
                <w:sz w:val="22"/>
              </w:rPr>
            </w:pPr>
            <w:r w:rsidRPr="00F87B9B">
              <w:rPr>
                <w:noProof/>
                <w:sz w:val="22"/>
              </w:rPr>
              <w:t>106,04</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B92B62D" w14:textId="1762ECAA" w:rsidR="00F67945" w:rsidRPr="00D86314" w:rsidRDefault="00F67945" w:rsidP="00F67945">
            <w:pPr>
              <w:spacing w:after="160" w:line="276" w:lineRule="auto"/>
              <w:jc w:val="center"/>
              <w:rPr>
                <w:noProof/>
                <w:sz w:val="22"/>
              </w:rPr>
            </w:pPr>
            <w:r w:rsidRPr="00F87B9B">
              <w:rPr>
                <w:noProof/>
                <w:sz w:val="22"/>
              </w:rPr>
              <w:t>19,7</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07BF1D3" w14:textId="1EA12085" w:rsidR="00F67945" w:rsidRPr="00D86314" w:rsidRDefault="00F67945" w:rsidP="00F67945">
            <w:pPr>
              <w:spacing w:after="160" w:line="276" w:lineRule="auto"/>
              <w:jc w:val="center"/>
              <w:rPr>
                <w:noProof/>
                <w:sz w:val="22"/>
              </w:rPr>
            </w:pPr>
            <w:r w:rsidRPr="00F87B9B">
              <w:rPr>
                <w:noProof/>
                <w:sz w:val="22"/>
              </w:rPr>
              <w:t>24,7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3D17F16" w14:textId="05A6BCE4" w:rsidR="00F67945" w:rsidRPr="00D86314" w:rsidRDefault="00F67945" w:rsidP="00F67945">
            <w:pPr>
              <w:spacing w:after="160" w:line="276" w:lineRule="auto"/>
              <w:jc w:val="center"/>
              <w:rPr>
                <w:noProof/>
                <w:sz w:val="22"/>
              </w:rPr>
            </w:pPr>
            <w:r w:rsidRPr="00F87B9B">
              <w:rPr>
                <w:noProof/>
                <w:sz w:val="22"/>
              </w:rPr>
              <w:t>25,22</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FE74489" w14:textId="59DF681C" w:rsidR="00F67945" w:rsidRPr="00D86314" w:rsidRDefault="00F67945" w:rsidP="00F67945">
            <w:pPr>
              <w:spacing w:after="160" w:line="276" w:lineRule="auto"/>
              <w:jc w:val="center"/>
              <w:rPr>
                <w:noProof/>
                <w:sz w:val="22"/>
              </w:rPr>
            </w:pPr>
            <w:r w:rsidRPr="00F87B9B">
              <w:rPr>
                <w:noProof/>
                <w:sz w:val="22"/>
              </w:rPr>
              <w:t>22,58</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A762EA8" w14:textId="58EBF331" w:rsidR="00F67945" w:rsidRPr="00D86314" w:rsidRDefault="00F67945" w:rsidP="00F67945">
            <w:pPr>
              <w:spacing w:after="160" w:line="276" w:lineRule="auto"/>
              <w:jc w:val="center"/>
              <w:rPr>
                <w:noProof/>
                <w:sz w:val="22"/>
              </w:rPr>
            </w:pPr>
            <w:r w:rsidRPr="00F87B9B">
              <w:rPr>
                <w:noProof/>
                <w:sz w:val="22"/>
              </w:rPr>
              <w:t>12,61</w:t>
            </w:r>
          </w:p>
        </w:tc>
      </w:tr>
      <w:tr w:rsidR="00F67945" w:rsidRPr="00D86314" w14:paraId="0B9B179F"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17F4E764" w14:textId="03028EB5" w:rsidR="00F67945" w:rsidRPr="00D86314" w:rsidRDefault="00F67945" w:rsidP="00F67945">
            <w:pPr>
              <w:spacing w:after="160" w:line="276" w:lineRule="auto"/>
              <w:jc w:val="center"/>
              <w:rPr>
                <w:noProof/>
                <w:sz w:val="22"/>
              </w:rPr>
            </w:pPr>
            <w:r w:rsidRPr="00D86314">
              <w:rPr>
                <w:noProof/>
                <w:sz w:val="22"/>
              </w:rPr>
              <w:t>SI</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ABF9277" w14:textId="74CB495B" w:rsidR="00F67945" w:rsidRPr="00D86314" w:rsidRDefault="00F67945" w:rsidP="00F67945">
            <w:pPr>
              <w:spacing w:after="160" w:line="276" w:lineRule="auto"/>
              <w:jc w:val="center"/>
              <w:rPr>
                <w:noProof/>
                <w:sz w:val="22"/>
              </w:rPr>
            </w:pPr>
            <w:r w:rsidRPr="00F87B9B">
              <w:rPr>
                <w:noProof/>
                <w:sz w:val="22"/>
              </w:rPr>
              <w:t>96,7%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DD32C40" w14:textId="2AE5F1C2" w:rsidR="00F67945" w:rsidRPr="00D86314" w:rsidRDefault="00F67945" w:rsidP="00F67945">
            <w:pPr>
              <w:spacing w:after="160" w:line="276" w:lineRule="auto"/>
              <w:jc w:val="center"/>
              <w:rPr>
                <w:noProof/>
                <w:sz w:val="22"/>
              </w:rPr>
            </w:pPr>
            <w:r w:rsidRPr="00F87B9B">
              <w:rPr>
                <w:noProof/>
                <w:sz w:val="22"/>
              </w:rPr>
              <w:t>92,9%</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04B9B40" w14:textId="230D2D2E" w:rsidR="00F67945" w:rsidRPr="00D86314" w:rsidRDefault="00F67945" w:rsidP="00F67945">
            <w:pPr>
              <w:spacing w:after="160" w:line="276" w:lineRule="auto"/>
              <w:jc w:val="center"/>
              <w:rPr>
                <w:noProof/>
                <w:sz w:val="22"/>
              </w:rPr>
            </w:pPr>
            <w:r w:rsidRPr="00F87B9B">
              <w:rPr>
                <w:noProof/>
                <w:sz w:val="22"/>
              </w:rPr>
              <w:t>78,64</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B0828C6" w14:textId="06E7A602" w:rsidR="00F67945" w:rsidRPr="00D86314" w:rsidRDefault="00F67945" w:rsidP="00F67945">
            <w:pPr>
              <w:spacing w:after="160" w:line="276" w:lineRule="auto"/>
              <w:jc w:val="center"/>
              <w:rPr>
                <w:noProof/>
                <w:sz w:val="22"/>
              </w:rPr>
            </w:pPr>
            <w:r w:rsidRPr="00F87B9B">
              <w:rPr>
                <w:noProof/>
                <w:sz w:val="22"/>
              </w:rPr>
              <w:t>120,62</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ECD8DD9" w14:textId="0644E6EB" w:rsidR="00F67945" w:rsidRPr="00D86314" w:rsidRDefault="00F67945" w:rsidP="00F67945">
            <w:pPr>
              <w:spacing w:after="160" w:line="276" w:lineRule="auto"/>
              <w:jc w:val="center"/>
              <w:rPr>
                <w:noProof/>
                <w:sz w:val="22"/>
              </w:rPr>
            </w:pPr>
            <w:r w:rsidRPr="00F87B9B">
              <w:rPr>
                <w:noProof/>
                <w:sz w:val="22"/>
              </w:rPr>
              <w:t>18,0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7A4783F" w14:textId="25E892BF" w:rsidR="00F67945" w:rsidRPr="00D86314" w:rsidRDefault="00F67945" w:rsidP="00F67945">
            <w:pPr>
              <w:spacing w:after="160" w:line="276" w:lineRule="auto"/>
              <w:jc w:val="center"/>
              <w:rPr>
                <w:noProof/>
                <w:sz w:val="22"/>
              </w:rPr>
            </w:pPr>
            <w:r w:rsidRPr="00F87B9B">
              <w:rPr>
                <w:noProof/>
                <w:sz w:val="22"/>
              </w:rPr>
              <w:t>25,7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19A4658" w14:textId="552A62C8" w:rsidR="00F67945" w:rsidRPr="00D86314" w:rsidRDefault="00F67945" w:rsidP="00F67945">
            <w:pPr>
              <w:spacing w:after="160" w:line="276" w:lineRule="auto"/>
              <w:jc w:val="center"/>
              <w:rPr>
                <w:noProof/>
                <w:sz w:val="22"/>
              </w:rPr>
            </w:pPr>
            <w:r w:rsidRPr="00F87B9B">
              <w:rPr>
                <w:noProof/>
                <w:sz w:val="22"/>
              </w:rPr>
              <w:t>16,97</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111BC05" w14:textId="31FEDB6E" w:rsidR="00F67945" w:rsidRPr="00D86314" w:rsidRDefault="00F67945" w:rsidP="00F67945">
            <w:pPr>
              <w:spacing w:after="160" w:line="276" w:lineRule="auto"/>
              <w:jc w:val="center"/>
              <w:rPr>
                <w:noProof/>
                <w:sz w:val="22"/>
              </w:rPr>
            </w:pPr>
            <w:r w:rsidRPr="00F87B9B">
              <w:rPr>
                <w:noProof/>
                <w:sz w:val="22"/>
              </w:rPr>
              <w:t>13,43</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27906C5" w14:textId="2614E0EE" w:rsidR="00F67945" w:rsidRPr="00D86314" w:rsidRDefault="00F67945" w:rsidP="00F67945">
            <w:pPr>
              <w:spacing w:after="160" w:line="276" w:lineRule="auto"/>
              <w:jc w:val="center"/>
              <w:rPr>
                <w:noProof/>
                <w:sz w:val="22"/>
              </w:rPr>
            </w:pPr>
            <w:r w:rsidRPr="00F87B9B">
              <w:rPr>
                <w:noProof/>
                <w:sz w:val="22"/>
              </w:rPr>
              <w:t>8,14</w:t>
            </w:r>
          </w:p>
        </w:tc>
      </w:tr>
      <w:tr w:rsidR="00F67945" w:rsidRPr="00D86314" w14:paraId="457699A6" w14:textId="77777777" w:rsidTr="00AB2DF5">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40A7BD79" w14:textId="65D65CA4" w:rsidR="00F67945" w:rsidRPr="00D86314" w:rsidRDefault="00F67945" w:rsidP="00F67945">
            <w:pPr>
              <w:spacing w:after="160" w:line="276" w:lineRule="auto"/>
              <w:jc w:val="center"/>
              <w:rPr>
                <w:noProof/>
                <w:sz w:val="22"/>
              </w:rPr>
            </w:pPr>
            <w:r w:rsidRPr="00D86314">
              <w:rPr>
                <w:noProof/>
                <w:sz w:val="22"/>
              </w:rPr>
              <w:t>ES</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5D5F44DB" w14:textId="61426FBC" w:rsidR="00F67945" w:rsidRPr="00D86314" w:rsidRDefault="00F67945" w:rsidP="00F67945">
            <w:pPr>
              <w:spacing w:after="160" w:line="276" w:lineRule="auto"/>
              <w:jc w:val="center"/>
              <w:rPr>
                <w:noProof/>
                <w:sz w:val="22"/>
              </w:rPr>
            </w:pPr>
            <w:r w:rsidRPr="00F87B9B">
              <w:rPr>
                <w:noProof/>
                <w:sz w:val="22"/>
              </w:rPr>
              <w:t>95,7%</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38D793A" w14:textId="6B391A6E" w:rsidR="00F67945" w:rsidRPr="00D86314" w:rsidRDefault="00F67945" w:rsidP="00F67945">
            <w:pPr>
              <w:spacing w:after="160" w:line="276" w:lineRule="auto"/>
              <w:jc w:val="center"/>
              <w:rPr>
                <w:noProof/>
                <w:sz w:val="22"/>
              </w:rPr>
            </w:pPr>
            <w:r w:rsidRPr="00F87B9B">
              <w:rPr>
                <w:noProof/>
                <w:sz w:val="22"/>
              </w:rPr>
              <w:t>74,0%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C071EE5" w14:textId="1E14F31D" w:rsidR="00F67945" w:rsidRPr="00D86314" w:rsidRDefault="00F67945" w:rsidP="00F67945">
            <w:pPr>
              <w:spacing w:after="160" w:line="276" w:lineRule="auto"/>
              <w:jc w:val="center"/>
              <w:rPr>
                <w:noProof/>
                <w:sz w:val="22"/>
              </w:rPr>
            </w:pPr>
            <w:r w:rsidRPr="00F87B9B">
              <w:rPr>
                <w:noProof/>
                <w:sz w:val="22"/>
              </w:rPr>
              <w:t>62,47</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764BB61" w14:textId="6BF15E86" w:rsidR="00F67945" w:rsidRPr="00D86314" w:rsidRDefault="00F67945" w:rsidP="00F67945">
            <w:pPr>
              <w:spacing w:after="160" w:line="276" w:lineRule="auto"/>
              <w:jc w:val="center"/>
              <w:rPr>
                <w:noProof/>
                <w:sz w:val="22"/>
              </w:rPr>
            </w:pPr>
            <w:r w:rsidRPr="00F87B9B">
              <w:rPr>
                <w:noProof/>
                <w:sz w:val="22"/>
              </w:rPr>
              <w:t>133,23</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B2B3756" w14:textId="2FEA4768" w:rsidR="00F67945" w:rsidRPr="00D86314" w:rsidRDefault="00F67945" w:rsidP="00F67945">
            <w:pPr>
              <w:spacing w:after="160" w:line="276" w:lineRule="auto"/>
              <w:jc w:val="center"/>
              <w:rPr>
                <w:noProof/>
                <w:sz w:val="22"/>
              </w:rPr>
            </w:pPr>
            <w:r w:rsidRPr="00F87B9B">
              <w:rPr>
                <w:noProof/>
                <w:sz w:val="22"/>
              </w:rPr>
              <w:t>15,7</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21DB4576" w14:textId="4BB7C843" w:rsidR="00F67945" w:rsidRPr="00D86314" w:rsidRDefault="00F67945" w:rsidP="00F67945">
            <w:pPr>
              <w:spacing w:after="160" w:line="276" w:lineRule="auto"/>
              <w:jc w:val="center"/>
              <w:rPr>
                <w:noProof/>
                <w:sz w:val="22"/>
              </w:rPr>
            </w:pPr>
            <w:r w:rsidRPr="00F87B9B">
              <w:rPr>
                <w:noProof/>
                <w:sz w:val="22"/>
              </w:rPr>
              <w:t>30,8</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67B0EC9" w14:textId="087FADC3" w:rsidR="00F67945" w:rsidRPr="00D86314" w:rsidRDefault="00F67945" w:rsidP="00F67945">
            <w:pPr>
              <w:spacing w:after="160" w:line="276" w:lineRule="auto"/>
              <w:jc w:val="center"/>
              <w:rPr>
                <w:noProof/>
                <w:sz w:val="22"/>
              </w:rPr>
            </w:pPr>
            <w:r w:rsidRPr="00F87B9B">
              <w:rPr>
                <w:noProof/>
                <w:sz w:val="22"/>
              </w:rPr>
              <w:t>16,03</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6DACB22" w14:textId="2B09AF3F" w:rsidR="00F67945" w:rsidRPr="00D86314" w:rsidRDefault="00F67945" w:rsidP="00F67945">
            <w:pPr>
              <w:spacing w:after="160" w:line="276" w:lineRule="auto"/>
              <w:jc w:val="center"/>
              <w:rPr>
                <w:noProof/>
                <w:sz w:val="22"/>
              </w:rPr>
            </w:pPr>
            <w:r w:rsidRPr="00F87B9B">
              <w:rPr>
                <w:noProof/>
                <w:sz w:val="22"/>
              </w:rPr>
              <w:t>7,94</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F640261" w14:textId="32E774C5" w:rsidR="00F67945" w:rsidRPr="00D86314" w:rsidRDefault="00F67945" w:rsidP="00F67945">
            <w:pPr>
              <w:spacing w:after="160" w:line="276" w:lineRule="auto"/>
              <w:jc w:val="center"/>
              <w:rPr>
                <w:noProof/>
                <w:sz w:val="22"/>
              </w:rPr>
            </w:pPr>
            <w:r w:rsidRPr="00F87B9B">
              <w:rPr>
                <w:noProof/>
                <w:sz w:val="22"/>
              </w:rPr>
              <w:t>7,94</w:t>
            </w:r>
          </w:p>
        </w:tc>
      </w:tr>
      <w:tr w:rsidR="00F67945" w:rsidRPr="00D86314" w14:paraId="1E8B107D"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vAlign w:val="bottom"/>
          </w:tcPr>
          <w:p w14:paraId="158B4B70" w14:textId="3BCA4454" w:rsidR="00F67945" w:rsidRPr="00D86314" w:rsidRDefault="00F67945" w:rsidP="00F67945">
            <w:pPr>
              <w:spacing w:after="160" w:line="276" w:lineRule="auto"/>
              <w:jc w:val="center"/>
              <w:rPr>
                <w:noProof/>
                <w:sz w:val="22"/>
              </w:rPr>
            </w:pPr>
            <w:r w:rsidRPr="00D86314">
              <w:rPr>
                <w:noProof/>
                <w:sz w:val="22"/>
              </w:rPr>
              <w:t>SE</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AA4DDE6" w14:textId="6912A6ED" w:rsidR="00F67945" w:rsidRPr="00D86314" w:rsidRDefault="00F67945" w:rsidP="00F67945">
            <w:pPr>
              <w:spacing w:after="160" w:line="276" w:lineRule="auto"/>
              <w:jc w:val="center"/>
              <w:rPr>
                <w:noProof/>
                <w:sz w:val="22"/>
              </w:rPr>
            </w:pPr>
            <w:r w:rsidRPr="00F87B9B">
              <w:rPr>
                <w:noProof/>
                <w:sz w:val="22"/>
              </w:rPr>
              <w:t>98,6%</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9439388" w14:textId="209D112F" w:rsidR="00F67945" w:rsidRPr="00D86314" w:rsidRDefault="00F67945" w:rsidP="00F67945">
            <w:pPr>
              <w:spacing w:after="160" w:line="276" w:lineRule="auto"/>
              <w:jc w:val="center"/>
              <w:rPr>
                <w:noProof/>
                <w:sz w:val="22"/>
              </w:rPr>
            </w:pPr>
            <w:r w:rsidRPr="00F87B9B">
              <w:rPr>
                <w:noProof/>
                <w:sz w:val="22"/>
              </w:rPr>
              <w:t>74,0%</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D5156E7" w14:textId="2FFA92D8" w:rsidR="00F67945" w:rsidRPr="00D86314" w:rsidRDefault="00F67945" w:rsidP="00F67945">
            <w:pPr>
              <w:spacing w:after="160" w:line="276" w:lineRule="auto"/>
              <w:jc w:val="center"/>
              <w:rPr>
                <w:noProof/>
                <w:sz w:val="22"/>
              </w:rPr>
            </w:pPr>
            <w:r w:rsidRPr="00F87B9B">
              <w:rPr>
                <w:noProof/>
                <w:sz w:val="22"/>
              </w:rPr>
              <w:t>98,57</w:t>
            </w:r>
          </w:p>
        </w:tc>
        <w:tc>
          <w:tcPr>
            <w:tcW w:w="992"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03B4F489" w14:textId="67C7631A" w:rsidR="00F67945" w:rsidRPr="00D86314" w:rsidRDefault="00F67945" w:rsidP="00F67945">
            <w:pPr>
              <w:spacing w:after="160" w:line="276" w:lineRule="auto"/>
              <w:jc w:val="center"/>
              <w:rPr>
                <w:noProof/>
                <w:sz w:val="22"/>
              </w:rPr>
            </w:pPr>
            <w:r w:rsidRPr="00F87B9B">
              <w:rPr>
                <w:noProof/>
                <w:sz w:val="22"/>
              </w:rPr>
              <w:t>130,41</w:t>
            </w:r>
          </w:p>
        </w:tc>
        <w:tc>
          <w:tcPr>
            <w:tcW w:w="851"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678A5206" w14:textId="13F87C2C" w:rsidR="00F67945" w:rsidRPr="00D86314" w:rsidRDefault="00F67945" w:rsidP="00F67945">
            <w:pPr>
              <w:spacing w:after="160" w:line="276" w:lineRule="auto"/>
              <w:jc w:val="center"/>
              <w:rPr>
                <w:noProof/>
                <w:sz w:val="22"/>
              </w:rPr>
            </w:pPr>
            <w:r w:rsidRPr="00F87B9B">
              <w:rPr>
                <w:noProof/>
                <w:sz w:val="22"/>
              </w:rPr>
              <w:t>22,1</w:t>
            </w:r>
          </w:p>
        </w:tc>
        <w:tc>
          <w:tcPr>
            <w:tcW w:w="85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49B1D6A5" w14:textId="2DC6AA39" w:rsidR="00F67945" w:rsidRPr="00D86314" w:rsidRDefault="00F67945" w:rsidP="00F67945">
            <w:pPr>
              <w:spacing w:after="160" w:line="276" w:lineRule="auto"/>
              <w:jc w:val="center"/>
              <w:rPr>
                <w:noProof/>
                <w:sz w:val="22"/>
              </w:rPr>
            </w:pPr>
            <w:r w:rsidRPr="00F87B9B">
              <w:rPr>
                <w:noProof/>
                <w:sz w:val="22"/>
              </w:rPr>
              <w:t>32,5</w:t>
            </w:r>
          </w:p>
        </w:tc>
        <w:tc>
          <w:tcPr>
            <w:tcW w:w="993"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7DCDACF0" w14:textId="70C0C413" w:rsidR="00F67945" w:rsidRPr="00D86314" w:rsidRDefault="00F67945" w:rsidP="00F67945">
            <w:pPr>
              <w:spacing w:after="160" w:line="276" w:lineRule="auto"/>
              <w:jc w:val="center"/>
              <w:rPr>
                <w:noProof/>
                <w:sz w:val="22"/>
              </w:rPr>
            </w:pPr>
            <w:r w:rsidRPr="00F87B9B">
              <w:rPr>
                <w:noProof/>
                <w:sz w:val="22"/>
              </w:rPr>
              <w:t>25,9</w:t>
            </w:r>
          </w:p>
        </w:tc>
        <w:tc>
          <w:tcPr>
            <w:tcW w:w="970"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1354102C" w14:textId="41B95D2A" w:rsidR="00F67945" w:rsidRPr="00D86314" w:rsidRDefault="00F67945" w:rsidP="00F67945">
            <w:pPr>
              <w:spacing w:after="160" w:line="276" w:lineRule="auto"/>
              <w:jc w:val="center"/>
              <w:rPr>
                <w:noProof/>
                <w:sz w:val="22"/>
              </w:rPr>
            </w:pPr>
            <w:r w:rsidRPr="00F87B9B">
              <w:rPr>
                <w:noProof/>
                <w:sz w:val="22"/>
              </w:rPr>
              <w:t>18,48</w:t>
            </w:r>
          </w:p>
        </w:tc>
        <w:tc>
          <w:tcPr>
            <w:tcW w:w="1014" w:type="dxa"/>
            <w:tcBorders>
              <w:top w:val="single" w:sz="4" w:space="0" w:color="auto"/>
              <w:left w:val="single" w:sz="4" w:space="0" w:color="auto"/>
              <w:bottom w:val="single" w:sz="4" w:space="0" w:color="auto"/>
              <w:right w:val="single" w:sz="4" w:space="0" w:color="auto"/>
            </w:tcBorders>
            <w:tcMar>
              <w:left w:w="70" w:type="dxa"/>
              <w:right w:w="70" w:type="dxa"/>
            </w:tcMar>
            <w:vAlign w:val="bottom"/>
          </w:tcPr>
          <w:p w14:paraId="30E1068A" w14:textId="3B50E346" w:rsidR="00F67945" w:rsidRPr="00D86314" w:rsidRDefault="00F67945" w:rsidP="00F67945">
            <w:pPr>
              <w:spacing w:after="160" w:line="276" w:lineRule="auto"/>
              <w:jc w:val="center"/>
              <w:rPr>
                <w:noProof/>
                <w:sz w:val="22"/>
              </w:rPr>
            </w:pPr>
            <w:r w:rsidRPr="00F87B9B">
              <w:rPr>
                <w:noProof/>
                <w:sz w:val="22"/>
              </w:rPr>
              <w:t>12,99</w:t>
            </w:r>
          </w:p>
        </w:tc>
      </w:tr>
      <w:tr w:rsidR="006D7BFE" w:rsidRPr="00D86314" w14:paraId="2D8B4368" w14:textId="77777777" w:rsidTr="00D3205C">
        <w:trPr>
          <w:trHeight w:hRule="exact" w:val="369"/>
        </w:trPr>
        <w:tc>
          <w:tcPr>
            <w:tcW w:w="699" w:type="dxa"/>
            <w:tcBorders>
              <w:top w:val="single" w:sz="4" w:space="0" w:color="auto"/>
              <w:left w:val="single" w:sz="4" w:space="0" w:color="auto"/>
              <w:bottom w:val="single" w:sz="4" w:space="0" w:color="auto"/>
              <w:right w:val="single" w:sz="4" w:space="0" w:color="auto"/>
            </w:tcBorders>
            <w:shd w:val="clear" w:color="auto" w:fill="000000" w:themeFill="text1"/>
            <w:tcMar>
              <w:left w:w="70" w:type="dxa"/>
              <w:right w:w="70" w:type="dxa"/>
            </w:tcMar>
            <w:vAlign w:val="bottom"/>
          </w:tcPr>
          <w:p w14:paraId="2F48D58E" w14:textId="34DBF5CE" w:rsidR="006D7BFE" w:rsidRPr="00D86314" w:rsidRDefault="006D7BFE" w:rsidP="006D7BFE">
            <w:pPr>
              <w:spacing w:after="160" w:line="276" w:lineRule="auto"/>
              <w:jc w:val="center"/>
              <w:rPr>
                <w:rFonts w:eastAsiaTheme="minorEastAsia"/>
                <w:b/>
                <w:noProof/>
                <w:color w:val="008080"/>
                <w:sz w:val="22"/>
                <w:szCs w:val="22"/>
                <w:u w:val="single"/>
              </w:rPr>
            </w:pPr>
            <w:r w:rsidRPr="00D86314">
              <w:rPr>
                <w:rFonts w:eastAsiaTheme="minorEastAsia"/>
                <w:b/>
                <w:noProof/>
                <w:color w:val="FFFFFF" w:themeColor="background1"/>
                <w:sz w:val="22"/>
                <w:szCs w:val="22"/>
                <w:u w:val="single"/>
              </w:rPr>
              <w:t>CV*</w:t>
            </w:r>
          </w:p>
        </w:tc>
        <w:tc>
          <w:tcPr>
            <w:tcW w:w="992" w:type="dxa"/>
            <w:tcBorders>
              <w:top w:val="single" w:sz="4" w:space="0" w:color="auto"/>
              <w:left w:val="single" w:sz="4" w:space="0" w:color="auto"/>
              <w:bottom w:val="single" w:sz="4" w:space="0" w:color="auto"/>
              <w:right w:val="single" w:sz="4" w:space="0" w:color="auto"/>
            </w:tcBorders>
            <w:shd w:val="clear" w:color="auto" w:fill="61D6FF"/>
            <w:tcMar>
              <w:left w:w="70" w:type="dxa"/>
              <w:right w:w="70" w:type="dxa"/>
            </w:tcMar>
            <w:vAlign w:val="bottom"/>
          </w:tcPr>
          <w:p w14:paraId="18357AC9" w14:textId="0F855BEB"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12,4%</w:t>
            </w:r>
          </w:p>
        </w:tc>
        <w:tc>
          <w:tcPr>
            <w:tcW w:w="993" w:type="dxa"/>
            <w:tcBorders>
              <w:top w:val="single" w:sz="4" w:space="0" w:color="auto"/>
              <w:left w:val="single" w:sz="4" w:space="0" w:color="auto"/>
              <w:bottom w:val="single" w:sz="4" w:space="0" w:color="auto"/>
              <w:right w:val="single" w:sz="4" w:space="0" w:color="auto"/>
            </w:tcBorders>
            <w:shd w:val="clear" w:color="auto" w:fill="61D6FF"/>
            <w:tcMar>
              <w:left w:w="70" w:type="dxa"/>
              <w:right w:w="70" w:type="dxa"/>
            </w:tcMar>
            <w:vAlign w:val="bottom"/>
          </w:tcPr>
          <w:p w14:paraId="56B42E76" w14:textId="42A19980"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28,5%</w:t>
            </w:r>
          </w:p>
        </w:tc>
        <w:tc>
          <w:tcPr>
            <w:tcW w:w="850" w:type="dxa"/>
            <w:tcBorders>
              <w:top w:val="single" w:sz="4" w:space="0" w:color="auto"/>
              <w:left w:val="single" w:sz="4" w:space="0" w:color="auto"/>
              <w:bottom w:val="single" w:sz="4" w:space="0" w:color="auto"/>
              <w:right w:val="single" w:sz="4" w:space="0" w:color="auto"/>
            </w:tcBorders>
            <w:shd w:val="clear" w:color="auto" w:fill="92D050"/>
            <w:tcMar>
              <w:left w:w="70" w:type="dxa"/>
              <w:right w:w="70" w:type="dxa"/>
            </w:tcMar>
            <w:vAlign w:val="bottom"/>
          </w:tcPr>
          <w:p w14:paraId="59673C9B" w14:textId="69E65960"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34,9%</w:t>
            </w:r>
          </w:p>
        </w:tc>
        <w:tc>
          <w:tcPr>
            <w:tcW w:w="992" w:type="dxa"/>
            <w:tcBorders>
              <w:top w:val="single" w:sz="4" w:space="0" w:color="auto"/>
              <w:left w:val="single" w:sz="4" w:space="0" w:color="auto"/>
              <w:bottom w:val="single" w:sz="4" w:space="0" w:color="auto"/>
              <w:right w:val="single" w:sz="4" w:space="0" w:color="auto"/>
            </w:tcBorders>
            <w:shd w:val="clear" w:color="auto" w:fill="92D050"/>
            <w:tcMar>
              <w:left w:w="70" w:type="dxa"/>
              <w:right w:w="70" w:type="dxa"/>
            </w:tcMar>
            <w:vAlign w:val="bottom"/>
          </w:tcPr>
          <w:p w14:paraId="688CFB0B" w14:textId="00D34853"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29,9%</w:t>
            </w:r>
          </w:p>
        </w:tc>
        <w:tc>
          <w:tcPr>
            <w:tcW w:w="851" w:type="dxa"/>
            <w:tcBorders>
              <w:top w:val="single" w:sz="4" w:space="0" w:color="auto"/>
              <w:left w:val="single" w:sz="4" w:space="0" w:color="auto"/>
              <w:bottom w:val="single" w:sz="4" w:space="0" w:color="auto"/>
              <w:right w:val="single" w:sz="4" w:space="0" w:color="auto"/>
            </w:tcBorders>
            <w:shd w:val="clear" w:color="auto" w:fill="92D050"/>
            <w:tcMar>
              <w:left w:w="70" w:type="dxa"/>
              <w:right w:w="70" w:type="dxa"/>
            </w:tcMar>
            <w:vAlign w:val="bottom"/>
          </w:tcPr>
          <w:p w14:paraId="0387D50D" w14:textId="015A7876"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23,3%</w:t>
            </w:r>
          </w:p>
        </w:tc>
        <w:tc>
          <w:tcPr>
            <w:tcW w:w="850" w:type="dxa"/>
            <w:tcBorders>
              <w:top w:val="single" w:sz="4" w:space="0" w:color="auto"/>
              <w:left w:val="single" w:sz="4" w:space="0" w:color="auto"/>
              <w:bottom w:val="single" w:sz="4" w:space="0" w:color="auto"/>
              <w:right w:val="single" w:sz="4" w:space="0" w:color="auto"/>
            </w:tcBorders>
            <w:shd w:val="clear" w:color="auto" w:fill="92D050"/>
            <w:tcMar>
              <w:left w:w="70" w:type="dxa"/>
              <w:right w:w="70" w:type="dxa"/>
            </w:tcMar>
            <w:vAlign w:val="bottom"/>
          </w:tcPr>
          <w:p w14:paraId="0D051776" w14:textId="457D20A4"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24,7%</w:t>
            </w:r>
          </w:p>
        </w:tc>
        <w:tc>
          <w:tcPr>
            <w:tcW w:w="993" w:type="dxa"/>
            <w:tcBorders>
              <w:top w:val="single" w:sz="4" w:space="0" w:color="auto"/>
              <w:left w:val="single" w:sz="4" w:space="0" w:color="auto"/>
              <w:bottom w:val="single" w:sz="4" w:space="0" w:color="auto"/>
              <w:right w:val="single" w:sz="4" w:space="0" w:color="auto"/>
            </w:tcBorders>
            <w:shd w:val="clear" w:color="auto" w:fill="F9AB6B"/>
            <w:tcMar>
              <w:left w:w="70" w:type="dxa"/>
              <w:right w:w="70" w:type="dxa"/>
            </w:tcMar>
            <w:vAlign w:val="bottom"/>
          </w:tcPr>
          <w:p w14:paraId="1761C523" w14:textId="4364A671"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45,7%</w:t>
            </w:r>
          </w:p>
        </w:tc>
        <w:tc>
          <w:tcPr>
            <w:tcW w:w="970" w:type="dxa"/>
            <w:tcBorders>
              <w:top w:val="single" w:sz="4" w:space="0" w:color="auto"/>
              <w:left w:val="single" w:sz="4" w:space="0" w:color="auto"/>
              <w:bottom w:val="single" w:sz="4" w:space="0" w:color="auto"/>
              <w:right w:val="single" w:sz="4" w:space="0" w:color="auto"/>
            </w:tcBorders>
            <w:shd w:val="clear" w:color="auto" w:fill="F9AB6B"/>
            <w:tcMar>
              <w:left w:w="70" w:type="dxa"/>
              <w:right w:w="70" w:type="dxa"/>
            </w:tcMar>
            <w:vAlign w:val="bottom"/>
          </w:tcPr>
          <w:p w14:paraId="1CD49D31" w14:textId="69A9D416"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46,1%</w:t>
            </w:r>
          </w:p>
        </w:tc>
        <w:tc>
          <w:tcPr>
            <w:tcW w:w="1014" w:type="dxa"/>
            <w:tcBorders>
              <w:top w:val="single" w:sz="4" w:space="0" w:color="auto"/>
              <w:left w:val="single" w:sz="4" w:space="0" w:color="auto"/>
              <w:bottom w:val="single" w:sz="4" w:space="0" w:color="auto"/>
              <w:right w:val="single" w:sz="4" w:space="0" w:color="auto"/>
            </w:tcBorders>
            <w:shd w:val="clear" w:color="auto" w:fill="F9AB6B"/>
            <w:tcMar>
              <w:left w:w="70" w:type="dxa"/>
              <w:right w:w="70" w:type="dxa"/>
            </w:tcMar>
            <w:vAlign w:val="bottom"/>
          </w:tcPr>
          <w:p w14:paraId="239F3399" w14:textId="06B9CFE3" w:rsidR="006D7BFE" w:rsidRPr="00D86314" w:rsidRDefault="006D7BFE" w:rsidP="006D7BFE">
            <w:pPr>
              <w:spacing w:after="160" w:line="276" w:lineRule="auto"/>
              <w:jc w:val="center"/>
              <w:rPr>
                <w:rFonts w:eastAsiaTheme="minorEastAsia"/>
                <w:b/>
                <w:noProof/>
                <w:sz w:val="22"/>
                <w:szCs w:val="22"/>
              </w:rPr>
            </w:pPr>
            <w:r w:rsidRPr="00F87B9B">
              <w:rPr>
                <w:rFonts w:eastAsiaTheme="minorEastAsia"/>
                <w:b/>
                <w:noProof/>
                <w:sz w:val="22"/>
                <w:szCs w:val="22"/>
              </w:rPr>
              <w:t>33,5%</w:t>
            </w:r>
          </w:p>
        </w:tc>
      </w:tr>
    </w:tbl>
    <w:p w14:paraId="20DE4CBF" w14:textId="15EF8C90" w:rsidR="00C778BA" w:rsidRPr="00D86314" w:rsidRDefault="00927389" w:rsidP="3FFC62C1">
      <w:pPr>
        <w:spacing w:after="160" w:line="276" w:lineRule="auto"/>
        <w:rPr>
          <w:i/>
          <w:noProof/>
          <w:sz w:val="20"/>
        </w:rPr>
      </w:pPr>
      <w:r w:rsidRPr="00D86314">
        <w:rPr>
          <w:rFonts w:eastAsiaTheme="minorEastAsia"/>
          <w:i/>
          <w:noProof/>
          <w:sz w:val="20"/>
          <w:szCs w:val="20"/>
        </w:rPr>
        <w:t xml:space="preserve">*CV = Coefficient of variation computed as </w:t>
      </w:r>
      <w:r w:rsidR="00E64C9F" w:rsidRPr="00D86314">
        <w:rPr>
          <w:rFonts w:eastAsiaTheme="minorEastAsia"/>
          <w:i/>
          <w:noProof/>
          <w:sz w:val="20"/>
          <w:szCs w:val="20"/>
        </w:rPr>
        <w:t xml:space="preserve">Standard deviation </w:t>
      </w:r>
      <w:r w:rsidR="006E4E9F" w:rsidRPr="00D86314">
        <w:rPr>
          <w:rFonts w:eastAsiaTheme="minorEastAsia"/>
          <w:i/>
          <w:noProof/>
          <w:sz w:val="20"/>
          <w:szCs w:val="20"/>
        </w:rPr>
        <w:t xml:space="preserve">divided by the </w:t>
      </w:r>
      <w:r w:rsidR="00A2144E" w:rsidRPr="00D86314">
        <w:rPr>
          <w:rFonts w:eastAsiaTheme="minorEastAsia"/>
          <w:i/>
          <w:noProof/>
          <w:sz w:val="20"/>
          <w:szCs w:val="20"/>
        </w:rPr>
        <w:t>M</w:t>
      </w:r>
      <w:r w:rsidR="006E4E9F" w:rsidRPr="00D86314">
        <w:rPr>
          <w:rFonts w:eastAsiaTheme="minorEastAsia"/>
          <w:i/>
          <w:noProof/>
          <w:sz w:val="20"/>
          <w:szCs w:val="20"/>
        </w:rPr>
        <w:t>ean</w:t>
      </w:r>
      <w:r w:rsidR="003E327D" w:rsidRPr="00D86314">
        <w:rPr>
          <w:rFonts w:eastAsiaTheme="minorEastAsia"/>
          <w:i/>
          <w:noProof/>
          <w:sz w:val="20"/>
          <w:szCs w:val="20"/>
        </w:rPr>
        <w:t>, indicating relative dispersion</w:t>
      </w:r>
      <w:r w:rsidR="002B4526" w:rsidRPr="00D86314">
        <w:rPr>
          <w:rFonts w:eastAsiaTheme="minorEastAsia"/>
          <w:i/>
          <w:noProof/>
          <w:sz w:val="20"/>
          <w:szCs w:val="20"/>
        </w:rPr>
        <w:t>.</w:t>
      </w:r>
    </w:p>
    <w:p w14:paraId="0F257B11" w14:textId="75EBC55B" w:rsidR="00C778BA" w:rsidRPr="00D86314" w:rsidRDefault="33F0EFAF" w:rsidP="003B5FD9">
      <w:pPr>
        <w:spacing w:after="160"/>
        <w:rPr>
          <w:noProof/>
        </w:rPr>
      </w:pPr>
      <w:r w:rsidRPr="00D86314">
        <w:rPr>
          <w:noProof/>
        </w:rPr>
        <w:t>Although consumer prices in most Member States are relatively low by international standards, the underlying data reveal pronounced differences within the EU, with some Member States displaying significantly higher retail prices across all usage baskets than others. A similarly diverse picture emerges for 5G mid-band coverage. While a number of Member States ha</w:t>
      </w:r>
      <w:r w:rsidR="70A2A7F4" w:rsidRPr="00D86314">
        <w:rPr>
          <w:noProof/>
        </w:rPr>
        <w:t>s</w:t>
      </w:r>
      <w:r w:rsidRPr="00D86314">
        <w:rPr>
          <w:noProof/>
        </w:rPr>
        <w:t xml:space="preserve"> already achieved extensive population coverage in the 3.4–3.8 GHz band, others lag considerably behind, resulting in uneven access to advanced 5G performance across the Union. Differences are likewise observed in overall 5G coverage, although the dispersion is generally less pronounced than in the mid-band</w:t>
      </w:r>
      <w:r w:rsidR="00F2134C" w:rsidRPr="00D86314">
        <w:rPr>
          <w:noProof/>
        </w:rPr>
        <w:t xml:space="preserve"> </w:t>
      </w:r>
      <w:r w:rsidR="00F2134C" w:rsidRPr="00D86314">
        <w:rPr>
          <w:rFonts w:eastAsiaTheme="minorEastAsia"/>
          <w:noProof/>
        </w:rPr>
        <w:t>and</w:t>
      </w:r>
      <w:r w:rsidR="003D6D1C" w:rsidRPr="00D86314">
        <w:rPr>
          <w:rFonts w:eastAsiaTheme="minorEastAsia"/>
          <w:noProof/>
        </w:rPr>
        <w:t xml:space="preserve"> more </w:t>
      </w:r>
      <w:r w:rsidR="005E7669" w:rsidRPr="00D86314">
        <w:rPr>
          <w:rFonts w:eastAsiaTheme="minorEastAsia"/>
          <w:noProof/>
        </w:rPr>
        <w:t xml:space="preserve">problematic only </w:t>
      </w:r>
      <w:r w:rsidR="003D6D1C" w:rsidRPr="00D86314">
        <w:rPr>
          <w:rFonts w:eastAsiaTheme="minorEastAsia"/>
          <w:noProof/>
        </w:rPr>
        <w:t>for a limited number</w:t>
      </w:r>
      <w:r w:rsidR="005E7669" w:rsidRPr="00D86314">
        <w:rPr>
          <w:rFonts w:eastAsiaTheme="minorEastAsia"/>
          <w:noProof/>
        </w:rPr>
        <w:t xml:space="preserve"> of</w:t>
      </w:r>
      <w:r w:rsidR="003D6D1C" w:rsidRPr="00D86314">
        <w:rPr>
          <w:rFonts w:eastAsiaTheme="minorEastAsia"/>
          <w:noProof/>
        </w:rPr>
        <w:t xml:space="preserve"> Member S</w:t>
      </w:r>
      <w:r w:rsidR="005E7669" w:rsidRPr="00D86314">
        <w:rPr>
          <w:rFonts w:eastAsiaTheme="minorEastAsia"/>
          <w:noProof/>
        </w:rPr>
        <w:t>t</w:t>
      </w:r>
      <w:r w:rsidR="003D6D1C" w:rsidRPr="00D86314">
        <w:rPr>
          <w:rFonts w:eastAsiaTheme="minorEastAsia"/>
          <w:noProof/>
        </w:rPr>
        <w:t>ates</w:t>
      </w:r>
      <w:r w:rsidRPr="00D86314">
        <w:rPr>
          <w:rFonts w:eastAsiaTheme="minorEastAsia"/>
          <w:noProof/>
        </w:rPr>
        <w:t>.</w:t>
      </w:r>
      <w:r w:rsidRPr="00D86314">
        <w:rPr>
          <w:noProof/>
        </w:rPr>
        <w:t xml:space="preserve"> The quality-of-service indicators show substantial disparities as well. Average and 5G-specific download speeds vary widely among Member States, and the same applies to upload speeds and latency. These differences translate directly into heterogeneous user experiences, particularly for data-intensive or latency-sensitive applications.</w:t>
      </w:r>
      <w:r w:rsidR="000457CC" w:rsidRPr="00D86314">
        <w:rPr>
          <w:noProof/>
        </w:rPr>
        <w:t xml:space="preserve"> </w:t>
      </w:r>
      <w:r w:rsidRPr="00D86314">
        <w:rPr>
          <w:noProof/>
        </w:rPr>
        <w:t>Taken together, the results indicate that market outcomes for 5G connectivity remain fragmented across the EU, with considerable variation in prices, mid-band 5G availability and network performance</w:t>
      </w:r>
      <w:r w:rsidR="00C60F3E" w:rsidRPr="00D86314">
        <w:rPr>
          <w:rFonts w:eastAsiaTheme="minorEastAsia"/>
          <w:noProof/>
        </w:rPr>
        <w:t>, as reflected in the dispersion measure presented in Table A4 3-1</w:t>
      </w:r>
      <w:r w:rsidRPr="00D86314">
        <w:rPr>
          <w:rFonts w:eastAsiaTheme="minorEastAsia"/>
          <w:noProof/>
        </w:rPr>
        <w:t>.</w:t>
      </w:r>
      <w:r w:rsidR="00C60F3E" w:rsidRPr="00D86314">
        <w:rPr>
          <w:rFonts w:eastAsiaTheme="minorEastAsia"/>
          <w:noProof/>
        </w:rPr>
        <w:t xml:space="preserve"> </w:t>
      </w:r>
      <w:r w:rsidRPr="00D86314">
        <w:rPr>
          <w:noProof/>
        </w:rPr>
        <w:t>This heterogeneity provides the basis for examining whether differences in regulatory approaches to spectrum assignment may, among other factors, contribute to the observed differences in market outcomes.</w:t>
      </w:r>
    </w:p>
    <w:p w14:paraId="711FDE57" w14:textId="67B3531E" w:rsidR="000457CC" w:rsidRPr="00D86314" w:rsidRDefault="007D0753" w:rsidP="00703057">
      <w:pPr>
        <w:pStyle w:val="Heading3"/>
        <w:rPr>
          <w:rFonts w:eastAsia="Aptos Display"/>
          <w:noProof/>
        </w:rPr>
      </w:pPr>
      <w:bookmarkStart w:id="176" w:name="_Ref214472874"/>
      <w:bookmarkStart w:id="177" w:name="_Toc219718388"/>
      <w:r w:rsidRPr="00D86314">
        <w:rPr>
          <w:rFonts w:eastAsia="Aptos Display"/>
          <w:noProof/>
        </w:rPr>
        <w:t xml:space="preserve">Composite </w:t>
      </w:r>
      <w:r w:rsidR="002D65FB" w:rsidRPr="00D86314">
        <w:rPr>
          <w:rFonts w:eastAsia="Aptos Display"/>
          <w:noProof/>
        </w:rPr>
        <w:t>Measure of Market Outcomes</w:t>
      </w:r>
      <w:bookmarkEnd w:id="176"/>
      <w:bookmarkEnd w:id="177"/>
    </w:p>
    <w:p w14:paraId="725E5E9B" w14:textId="3CDEE3A5" w:rsidR="00F81305" w:rsidRPr="00D86314" w:rsidRDefault="00F81305" w:rsidP="003B5FD9">
      <w:pPr>
        <w:spacing w:after="160"/>
        <w:rPr>
          <w:noProof/>
        </w:rPr>
      </w:pPr>
      <w:r w:rsidRPr="00D86314">
        <w:rPr>
          <w:noProof/>
        </w:rPr>
        <w:t xml:space="preserve">For the </w:t>
      </w:r>
      <w:r w:rsidR="00D70AEE" w:rsidRPr="00D86314">
        <w:rPr>
          <w:noProof/>
        </w:rPr>
        <w:t>statistical</w:t>
      </w:r>
      <w:r w:rsidRPr="00D86314">
        <w:rPr>
          <w:noProof/>
        </w:rPr>
        <w:t xml:space="preserve"> analysis presented in Section 4 of this annex, the individual values of each market-outcome indicator were used directly. However, to provide an initial visual overview of a potential relation between market outcomes and regulatory approaches, a composite indicator was constructed. This composite</w:t>
      </w:r>
      <w:r w:rsidR="00B9FF27" w:rsidRPr="00D86314">
        <w:rPr>
          <w:noProof/>
        </w:rPr>
        <w:t xml:space="preserve"> indicator</w:t>
      </w:r>
      <w:r w:rsidRPr="00D86314">
        <w:rPr>
          <w:noProof/>
        </w:rPr>
        <w:t xml:space="preserve"> serves exclusively for graphical illustration and does not enter the regression analysis.</w:t>
      </w:r>
    </w:p>
    <w:p w14:paraId="083588DD" w14:textId="71E85D44" w:rsidR="00941848" w:rsidRPr="00D86314" w:rsidRDefault="00F81305" w:rsidP="003B5FD9">
      <w:pPr>
        <w:spacing w:after="160"/>
        <w:rPr>
          <w:noProof/>
        </w:rPr>
      </w:pPr>
      <w:r w:rsidRPr="00D86314">
        <w:rPr>
          <w:noProof/>
        </w:rPr>
        <w:t xml:space="preserve">The composite indicator is constructed as a weighted average of the nine market-outcome variables, grouping coverage, quality of service and consumer-price indicators into a single measure of overall 5G performance. Before applying the weights, each variable was normalised to ensure comparability. For indicators where a higher value represents a better outcome (e.g. coverage or download speeds), each Member State’s value was rescaled relative to the best performance observed in the sample, while also reflecting its distance from the lowest performance possible. Conversely, for indicators where a lower value signals a better outcome (i.e. latency and consumer prices), the rescaling was inverted so that lower values receive higher normalised scores. This approach ensures that all indicators contribute on a uniform “higher-is-better” scale and that the relative position of each Member State reflects both how close it is to the sample leader and how far it is from the weakest outcome possible. </w:t>
      </w:r>
      <w:r w:rsidR="00EA5813" w:rsidRPr="00D86314">
        <w:rPr>
          <w:noProof/>
        </w:rPr>
        <w:t>The resulting normalised</w:t>
      </w:r>
      <w:r w:rsidRPr="00D86314">
        <w:rPr>
          <w:noProof/>
        </w:rPr>
        <w:t xml:space="preserve"> indicators were then aggregated using the following weighting structure</w:t>
      </w:r>
      <w:r w:rsidR="00381501" w:rsidRPr="00D86314">
        <w:rPr>
          <w:noProof/>
        </w:rPr>
        <w:t>:</w:t>
      </w:r>
    </w:p>
    <w:p w14:paraId="41E1B619" w14:textId="03CF013E" w:rsidR="00381501" w:rsidRPr="00D86314" w:rsidRDefault="00381501" w:rsidP="00271373">
      <w:pPr>
        <w:keepNext/>
        <w:spacing w:before="120" w:after="160" w:line="276" w:lineRule="auto"/>
        <w:rPr>
          <w:noProof/>
          <w:sz w:val="22"/>
          <w:szCs w:val="22"/>
        </w:rPr>
      </w:pPr>
      <w:r w:rsidRPr="00D86314">
        <w:rPr>
          <w:noProof/>
          <w:sz w:val="22"/>
          <w:szCs w:val="22"/>
        </w:rPr>
        <w:t>Table A4 3-2: Weighting Structure for the Composite Market-Outcome Indicator</w:t>
      </w:r>
    </w:p>
    <w:tbl>
      <w:tblPr>
        <w:tblStyle w:val="GridTable1Light1"/>
        <w:tblW w:w="0" w:type="auto"/>
        <w:tblLook w:val="04A0" w:firstRow="1" w:lastRow="0" w:firstColumn="1" w:lastColumn="0" w:noHBand="0" w:noVBand="1"/>
      </w:tblPr>
      <w:tblGrid>
        <w:gridCol w:w="1276"/>
        <w:gridCol w:w="889"/>
      </w:tblGrid>
      <w:tr w:rsidR="008237C2" w:rsidRPr="00D86314" w14:paraId="2E092B76" w14:textId="77777777" w:rsidTr="00E63F1D">
        <w:trPr>
          <w:cnfStyle w:val="100000000000" w:firstRow="1" w:lastRow="0" w:firstColumn="0" w:lastColumn="0" w:oddVBand="0" w:evenVBand="0" w:oddHBand="0" w:evenHBand="0" w:firstRowFirstColumn="0" w:firstRowLastColumn="0" w:lastRowFirstColumn="0" w:lastRowLastColumn="0"/>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single" w:sz="12" w:space="0" w:color="auto"/>
              <w:right w:val="single" w:sz="12" w:space="0" w:color="auto"/>
            </w:tcBorders>
          </w:tcPr>
          <w:p w14:paraId="5B312352" w14:textId="5CA3E466" w:rsidR="008237C2" w:rsidRPr="00D86314" w:rsidRDefault="00941848" w:rsidP="008237C2">
            <w:pPr>
              <w:spacing w:after="0"/>
              <w:rPr>
                <w:noProof/>
                <w:sz w:val="22"/>
              </w:rPr>
            </w:pPr>
            <w:r w:rsidRPr="00D86314">
              <w:rPr>
                <w:rFonts w:eastAsia="Aptos"/>
                <w:noProof/>
                <w:sz w:val="22"/>
                <w:szCs w:val="22"/>
              </w:rPr>
              <w:t>Criterion</w:t>
            </w:r>
          </w:p>
        </w:tc>
        <w:tc>
          <w:tcPr>
            <w:tcW w:w="889" w:type="dxa"/>
            <w:tcBorders>
              <w:top w:val="nil"/>
              <w:left w:val="single" w:sz="12" w:space="0" w:color="auto"/>
              <w:bottom w:val="single" w:sz="12" w:space="0" w:color="auto"/>
              <w:right w:val="nil"/>
            </w:tcBorders>
          </w:tcPr>
          <w:p w14:paraId="0724E8F1" w14:textId="77777777" w:rsidR="008237C2" w:rsidRPr="00D86314" w:rsidRDefault="008237C2" w:rsidP="008237C2">
            <w:pPr>
              <w:spacing w:after="0"/>
              <w:jc w:val="right"/>
              <w:cnfStyle w:val="100000000000" w:firstRow="1" w:lastRow="0" w:firstColumn="0" w:lastColumn="0" w:oddVBand="0" w:evenVBand="0" w:oddHBand="0" w:evenHBand="0" w:firstRowFirstColumn="0" w:firstRowLastColumn="0" w:lastRowFirstColumn="0" w:lastRowLastColumn="0"/>
              <w:rPr>
                <w:noProof/>
                <w:sz w:val="22"/>
              </w:rPr>
            </w:pPr>
            <w:r w:rsidRPr="00D86314">
              <w:rPr>
                <w:noProof/>
                <w:sz w:val="22"/>
              </w:rPr>
              <w:t>Weight</w:t>
            </w:r>
          </w:p>
        </w:tc>
      </w:tr>
      <w:tr w:rsidR="00C20C97" w:rsidRPr="00D86314" w14:paraId="7802429D"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auto"/>
              <w:left w:val="nil"/>
              <w:bottom w:val="nil"/>
              <w:right w:val="single" w:sz="12" w:space="0" w:color="auto"/>
            </w:tcBorders>
            <w:vAlign w:val="center"/>
          </w:tcPr>
          <w:p w14:paraId="30D51367" w14:textId="77777777" w:rsidR="008237C2" w:rsidRPr="00D86314" w:rsidRDefault="008237C2" w:rsidP="008237C2">
            <w:pPr>
              <w:spacing w:after="0"/>
              <w:rPr>
                <w:b w:val="0"/>
                <w:noProof/>
                <w:sz w:val="22"/>
              </w:rPr>
            </w:pPr>
            <w:r w:rsidRPr="00D86314">
              <w:rPr>
                <w:noProof/>
                <w:sz w:val="22"/>
              </w:rPr>
              <w:t>Overall 5G coverage</w:t>
            </w:r>
          </w:p>
        </w:tc>
        <w:tc>
          <w:tcPr>
            <w:tcW w:w="889" w:type="dxa"/>
            <w:tcBorders>
              <w:top w:val="single" w:sz="12" w:space="0" w:color="auto"/>
              <w:left w:val="single" w:sz="12" w:space="0" w:color="auto"/>
              <w:bottom w:val="nil"/>
              <w:right w:val="nil"/>
            </w:tcBorders>
            <w:vAlign w:val="center"/>
          </w:tcPr>
          <w:p w14:paraId="79561F78"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0.125</w:t>
            </w:r>
          </w:p>
        </w:tc>
      </w:tr>
      <w:tr w:rsidR="00C20C97" w:rsidRPr="00D86314" w14:paraId="462F8394"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single" w:sz="12" w:space="0" w:color="auto"/>
            </w:tcBorders>
            <w:vAlign w:val="center"/>
          </w:tcPr>
          <w:p w14:paraId="09C28357" w14:textId="77777777" w:rsidR="008237C2" w:rsidRPr="00D86314" w:rsidRDefault="008237C2" w:rsidP="008237C2">
            <w:pPr>
              <w:spacing w:after="0"/>
              <w:rPr>
                <w:b w:val="0"/>
                <w:noProof/>
                <w:sz w:val="22"/>
              </w:rPr>
            </w:pPr>
            <w:r w:rsidRPr="00D86314">
              <w:rPr>
                <w:noProof/>
                <w:sz w:val="22"/>
              </w:rPr>
              <w:t>5G coverage (3.6 GHz)</w:t>
            </w:r>
          </w:p>
        </w:tc>
        <w:tc>
          <w:tcPr>
            <w:tcW w:w="889" w:type="dxa"/>
            <w:tcBorders>
              <w:top w:val="nil"/>
              <w:left w:val="single" w:sz="12" w:space="0" w:color="auto"/>
              <w:bottom w:val="nil"/>
              <w:right w:val="nil"/>
            </w:tcBorders>
            <w:vAlign w:val="center"/>
          </w:tcPr>
          <w:p w14:paraId="06354F4A"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0.125</w:t>
            </w:r>
          </w:p>
        </w:tc>
      </w:tr>
      <w:tr w:rsidR="00C20C97" w:rsidRPr="00D86314" w14:paraId="039C8F3B"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single" w:sz="12" w:space="0" w:color="auto"/>
            </w:tcBorders>
            <w:vAlign w:val="center"/>
          </w:tcPr>
          <w:p w14:paraId="27D7995D" w14:textId="77777777" w:rsidR="008237C2" w:rsidRPr="00D86314" w:rsidRDefault="008237C2" w:rsidP="008237C2">
            <w:pPr>
              <w:spacing w:after="0"/>
              <w:rPr>
                <w:b w:val="0"/>
                <w:noProof/>
                <w:sz w:val="22"/>
              </w:rPr>
            </w:pPr>
            <w:r w:rsidRPr="00D86314">
              <w:rPr>
                <w:noProof/>
                <w:sz w:val="22"/>
              </w:rPr>
              <w:t>Download speed</w:t>
            </w:r>
          </w:p>
        </w:tc>
        <w:tc>
          <w:tcPr>
            <w:tcW w:w="889" w:type="dxa"/>
            <w:tcBorders>
              <w:top w:val="nil"/>
              <w:left w:val="single" w:sz="12" w:space="0" w:color="auto"/>
              <w:bottom w:val="nil"/>
              <w:right w:val="nil"/>
            </w:tcBorders>
            <w:vAlign w:val="center"/>
          </w:tcPr>
          <w:p w14:paraId="15233B09"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0.150</w:t>
            </w:r>
          </w:p>
        </w:tc>
      </w:tr>
      <w:tr w:rsidR="00C20C97" w:rsidRPr="00D86314" w14:paraId="74D7530C"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single" w:sz="12" w:space="0" w:color="auto"/>
            </w:tcBorders>
            <w:vAlign w:val="center"/>
          </w:tcPr>
          <w:p w14:paraId="282F7E70" w14:textId="77777777" w:rsidR="008237C2" w:rsidRPr="00D86314" w:rsidRDefault="008237C2" w:rsidP="008237C2">
            <w:pPr>
              <w:spacing w:after="0"/>
              <w:rPr>
                <w:b w:val="0"/>
                <w:noProof/>
                <w:sz w:val="22"/>
              </w:rPr>
            </w:pPr>
            <w:r w:rsidRPr="00D86314">
              <w:rPr>
                <w:noProof/>
                <w:sz w:val="22"/>
              </w:rPr>
              <w:t>5G download speed</w:t>
            </w:r>
          </w:p>
        </w:tc>
        <w:tc>
          <w:tcPr>
            <w:tcW w:w="889" w:type="dxa"/>
            <w:tcBorders>
              <w:top w:val="nil"/>
              <w:left w:val="single" w:sz="12" w:space="0" w:color="auto"/>
              <w:bottom w:val="nil"/>
              <w:right w:val="nil"/>
            </w:tcBorders>
            <w:vAlign w:val="center"/>
          </w:tcPr>
          <w:p w14:paraId="41124469"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0.100</w:t>
            </w:r>
          </w:p>
        </w:tc>
      </w:tr>
      <w:tr w:rsidR="00C20C97" w:rsidRPr="00D86314" w14:paraId="29F755EE"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single" w:sz="12" w:space="0" w:color="auto"/>
            </w:tcBorders>
            <w:vAlign w:val="center"/>
          </w:tcPr>
          <w:p w14:paraId="0399EA93" w14:textId="77777777" w:rsidR="008237C2" w:rsidRPr="00D86314" w:rsidRDefault="008237C2" w:rsidP="008237C2">
            <w:pPr>
              <w:spacing w:after="0"/>
              <w:rPr>
                <w:b w:val="0"/>
                <w:noProof/>
                <w:sz w:val="22"/>
              </w:rPr>
            </w:pPr>
            <w:r w:rsidRPr="00D86314">
              <w:rPr>
                <w:noProof/>
                <w:sz w:val="22"/>
              </w:rPr>
              <w:t>Upload speed</w:t>
            </w:r>
          </w:p>
        </w:tc>
        <w:tc>
          <w:tcPr>
            <w:tcW w:w="889" w:type="dxa"/>
            <w:tcBorders>
              <w:top w:val="nil"/>
              <w:left w:val="single" w:sz="12" w:space="0" w:color="auto"/>
              <w:bottom w:val="nil"/>
              <w:right w:val="nil"/>
            </w:tcBorders>
            <w:vAlign w:val="center"/>
          </w:tcPr>
          <w:p w14:paraId="42C8BC94"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0.100</w:t>
            </w:r>
          </w:p>
        </w:tc>
      </w:tr>
      <w:tr w:rsidR="00C20C97" w:rsidRPr="00D86314" w14:paraId="7451ABE9"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single" w:sz="12" w:space="0" w:color="auto"/>
            </w:tcBorders>
            <w:vAlign w:val="center"/>
          </w:tcPr>
          <w:p w14:paraId="10A84EF9" w14:textId="77777777" w:rsidR="008237C2" w:rsidRPr="00D86314" w:rsidRDefault="008237C2" w:rsidP="008237C2">
            <w:pPr>
              <w:spacing w:after="0"/>
              <w:rPr>
                <w:b w:val="0"/>
                <w:noProof/>
                <w:sz w:val="22"/>
              </w:rPr>
            </w:pPr>
            <w:r w:rsidRPr="00D86314">
              <w:rPr>
                <w:noProof/>
                <w:sz w:val="22"/>
              </w:rPr>
              <w:t>Latency</w:t>
            </w:r>
          </w:p>
        </w:tc>
        <w:tc>
          <w:tcPr>
            <w:tcW w:w="889" w:type="dxa"/>
            <w:tcBorders>
              <w:top w:val="nil"/>
              <w:left w:val="single" w:sz="12" w:space="0" w:color="auto"/>
              <w:bottom w:val="nil"/>
              <w:right w:val="nil"/>
            </w:tcBorders>
            <w:vAlign w:val="center"/>
          </w:tcPr>
          <w:p w14:paraId="23EA7330"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0.100</w:t>
            </w:r>
          </w:p>
        </w:tc>
      </w:tr>
      <w:tr w:rsidR="00C20C97" w:rsidRPr="00D86314" w14:paraId="13F826FD"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single" w:sz="12" w:space="0" w:color="auto"/>
            </w:tcBorders>
            <w:vAlign w:val="center"/>
          </w:tcPr>
          <w:p w14:paraId="7C3D01AD" w14:textId="77777777" w:rsidR="008237C2" w:rsidRPr="00D86314" w:rsidRDefault="008237C2" w:rsidP="008237C2">
            <w:pPr>
              <w:spacing w:after="0"/>
              <w:rPr>
                <w:b w:val="0"/>
                <w:noProof/>
                <w:sz w:val="22"/>
              </w:rPr>
            </w:pPr>
            <w:r w:rsidRPr="00D86314">
              <w:rPr>
                <w:noProof/>
                <w:sz w:val="22"/>
              </w:rPr>
              <w:t>Price: 50 GB / 100 calls</w:t>
            </w:r>
          </w:p>
        </w:tc>
        <w:tc>
          <w:tcPr>
            <w:tcW w:w="889" w:type="dxa"/>
            <w:tcBorders>
              <w:top w:val="nil"/>
              <w:left w:val="single" w:sz="12" w:space="0" w:color="auto"/>
              <w:bottom w:val="nil"/>
              <w:right w:val="nil"/>
            </w:tcBorders>
            <w:vAlign w:val="center"/>
          </w:tcPr>
          <w:p w14:paraId="4B7649C0"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0.100</w:t>
            </w:r>
          </w:p>
        </w:tc>
      </w:tr>
      <w:tr w:rsidR="00C20C97" w:rsidRPr="00D86314" w14:paraId="3C9AF10A"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single" w:sz="12" w:space="0" w:color="auto"/>
            </w:tcBorders>
            <w:vAlign w:val="center"/>
          </w:tcPr>
          <w:p w14:paraId="31FC8264" w14:textId="77777777" w:rsidR="008237C2" w:rsidRPr="00D86314" w:rsidRDefault="008237C2" w:rsidP="008237C2">
            <w:pPr>
              <w:spacing w:after="0"/>
              <w:rPr>
                <w:b w:val="0"/>
                <w:noProof/>
                <w:sz w:val="22"/>
              </w:rPr>
            </w:pPr>
            <w:r w:rsidRPr="00D86314">
              <w:rPr>
                <w:noProof/>
                <w:sz w:val="22"/>
              </w:rPr>
              <w:t>Price: 20 GB / 30 calls</w:t>
            </w:r>
          </w:p>
        </w:tc>
        <w:tc>
          <w:tcPr>
            <w:tcW w:w="889" w:type="dxa"/>
            <w:tcBorders>
              <w:top w:val="nil"/>
              <w:left w:val="single" w:sz="12" w:space="0" w:color="auto"/>
              <w:bottom w:val="nil"/>
              <w:right w:val="nil"/>
            </w:tcBorders>
            <w:vAlign w:val="center"/>
          </w:tcPr>
          <w:p w14:paraId="3F22FEEF"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0.100</w:t>
            </w:r>
          </w:p>
        </w:tc>
      </w:tr>
      <w:tr w:rsidR="00C20C97" w:rsidRPr="00D86314" w14:paraId="75D44FEE"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single" w:sz="12" w:space="0" w:color="auto"/>
              <w:right w:val="single" w:sz="12" w:space="0" w:color="auto"/>
            </w:tcBorders>
            <w:vAlign w:val="center"/>
          </w:tcPr>
          <w:p w14:paraId="1F1DDAC9" w14:textId="77777777" w:rsidR="008237C2" w:rsidRPr="00D86314" w:rsidRDefault="008237C2" w:rsidP="008237C2">
            <w:pPr>
              <w:spacing w:after="0"/>
              <w:rPr>
                <w:b w:val="0"/>
                <w:noProof/>
                <w:sz w:val="22"/>
              </w:rPr>
            </w:pPr>
            <w:r w:rsidRPr="00D86314">
              <w:rPr>
                <w:noProof/>
                <w:sz w:val="22"/>
              </w:rPr>
              <w:t>Price: 10 GB / 0 calls</w:t>
            </w:r>
          </w:p>
        </w:tc>
        <w:tc>
          <w:tcPr>
            <w:tcW w:w="889" w:type="dxa"/>
            <w:tcBorders>
              <w:top w:val="nil"/>
              <w:left w:val="single" w:sz="12" w:space="0" w:color="auto"/>
              <w:bottom w:val="single" w:sz="12" w:space="0" w:color="auto"/>
              <w:right w:val="nil"/>
            </w:tcBorders>
            <w:vAlign w:val="center"/>
          </w:tcPr>
          <w:p w14:paraId="575F15CD"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0.100</w:t>
            </w:r>
          </w:p>
        </w:tc>
      </w:tr>
      <w:tr w:rsidR="00C20C97" w:rsidRPr="00D86314" w14:paraId="623869B1" w14:textId="77777777" w:rsidTr="00E63F1D">
        <w:trPr>
          <w:trHeight w:hRule="exact" w:val="312"/>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auto"/>
              <w:left w:val="nil"/>
              <w:bottom w:val="nil"/>
              <w:right w:val="single" w:sz="12" w:space="0" w:color="auto"/>
            </w:tcBorders>
            <w:vAlign w:val="center"/>
          </w:tcPr>
          <w:p w14:paraId="6D0B6454" w14:textId="77777777" w:rsidR="008237C2" w:rsidRPr="00D86314" w:rsidRDefault="008237C2" w:rsidP="008237C2">
            <w:pPr>
              <w:spacing w:after="0"/>
              <w:rPr>
                <w:noProof/>
                <w:sz w:val="22"/>
              </w:rPr>
            </w:pPr>
            <w:r w:rsidRPr="00D86314">
              <w:rPr>
                <w:noProof/>
                <w:sz w:val="22"/>
              </w:rPr>
              <w:t>Total</w:t>
            </w:r>
          </w:p>
        </w:tc>
        <w:tc>
          <w:tcPr>
            <w:tcW w:w="889" w:type="dxa"/>
            <w:tcBorders>
              <w:top w:val="single" w:sz="12" w:space="0" w:color="auto"/>
              <w:left w:val="single" w:sz="12" w:space="0" w:color="auto"/>
              <w:bottom w:val="nil"/>
              <w:right w:val="nil"/>
            </w:tcBorders>
            <w:vAlign w:val="center"/>
          </w:tcPr>
          <w:p w14:paraId="6914E8EB" w14:textId="77777777" w:rsidR="008237C2" w:rsidRPr="00D86314" w:rsidRDefault="008237C2" w:rsidP="008237C2">
            <w:pPr>
              <w:spacing w:after="0"/>
              <w:jc w:val="right"/>
              <w:cnfStyle w:val="000000000000" w:firstRow="0" w:lastRow="0" w:firstColumn="0" w:lastColumn="0" w:oddVBand="0" w:evenVBand="0" w:oddHBand="0" w:evenHBand="0" w:firstRowFirstColumn="0" w:firstRowLastColumn="0" w:lastRowFirstColumn="0" w:lastRowLastColumn="0"/>
              <w:rPr>
                <w:b/>
                <w:noProof/>
                <w:sz w:val="22"/>
              </w:rPr>
            </w:pPr>
            <w:r w:rsidRPr="00D86314">
              <w:rPr>
                <w:b/>
                <w:noProof/>
                <w:sz w:val="22"/>
              </w:rPr>
              <w:t>1.000</w:t>
            </w:r>
          </w:p>
        </w:tc>
      </w:tr>
    </w:tbl>
    <w:p w14:paraId="692DDDFE" w14:textId="77777777" w:rsidR="00E87B58" w:rsidRPr="00D86314" w:rsidRDefault="00E87B58" w:rsidP="003B5FD9">
      <w:pPr>
        <w:spacing w:after="160"/>
        <w:rPr>
          <w:noProof/>
        </w:rPr>
      </w:pPr>
    </w:p>
    <w:p w14:paraId="68BB534E" w14:textId="7512B16F" w:rsidR="00F81305" w:rsidRPr="00D86314" w:rsidRDefault="00F81305" w:rsidP="003B5FD9">
      <w:pPr>
        <w:spacing w:after="160"/>
        <w:rPr>
          <w:noProof/>
        </w:rPr>
      </w:pPr>
      <w:r w:rsidRPr="00D86314">
        <w:rPr>
          <w:noProof/>
        </w:rPr>
        <w:t>The weighting reflects the three core dimensions of mobile broadband performance. Coverage accounts for one quarter of the composite indicator, balancing the importance of general 5G availability with that of high-capacity mid-band deployment. Quality-of-service indicators collectively receive the largest share, recognising that end-user experience is driven primarily by download performance, with upload speed and latency included to capture wider performance characteristics relevant for business users and advanced applications. Consumer prices represent 30% of the composite and are weighted equally across the three usage baskets to reflect affordability for different user profiles without assuming a particular distribution of consumption patterns</w:t>
      </w:r>
      <w:r w:rsidR="00A80C69" w:rsidRPr="00D86314">
        <w:rPr>
          <w:rFonts w:eastAsiaTheme="minorEastAsia"/>
          <w:noProof/>
        </w:rPr>
        <w:t xml:space="preserve"> given that there is no information available on the take up of </w:t>
      </w:r>
      <w:r w:rsidR="0038242F" w:rsidRPr="00D86314">
        <w:rPr>
          <w:rFonts w:eastAsiaTheme="minorEastAsia"/>
          <w:noProof/>
        </w:rPr>
        <w:t xml:space="preserve">considered broadband consumption </w:t>
      </w:r>
      <w:r w:rsidR="0064218F" w:rsidRPr="00D86314">
        <w:rPr>
          <w:rFonts w:eastAsiaTheme="minorEastAsia"/>
          <w:noProof/>
        </w:rPr>
        <w:t>baskets</w:t>
      </w:r>
      <w:r w:rsidRPr="00D86314">
        <w:rPr>
          <w:rFonts w:eastAsiaTheme="minorEastAsia"/>
          <w:noProof/>
        </w:rPr>
        <w:t>.</w:t>
      </w:r>
      <w:r w:rsidRPr="00D86314">
        <w:rPr>
          <w:noProof/>
        </w:rPr>
        <w:t xml:space="preserve"> The weighted sum obtained for each Member State was then standardised using z-scores, allowing the resulting index to be plotted on a common scale with the similarly standardised regulatory-design score presented in the next section. This rescaling facilitates interpretation of the figures without altering the underlying structure of the composite</w:t>
      </w:r>
      <w:r w:rsidR="7A1F03E0" w:rsidRPr="00D86314">
        <w:rPr>
          <w:noProof/>
        </w:rPr>
        <w:t xml:space="preserve"> indicator. </w:t>
      </w:r>
    </w:p>
    <w:p w14:paraId="10B1F046" w14:textId="4E666F9D" w:rsidR="00610EB5" w:rsidRPr="00D86314" w:rsidRDefault="2B6E0993" w:rsidP="003B5FD9">
      <w:pPr>
        <w:spacing w:after="160"/>
        <w:rPr>
          <w:noProof/>
        </w:rPr>
      </w:pPr>
      <w:r w:rsidRPr="00D86314">
        <w:rPr>
          <w:noProof/>
        </w:rPr>
        <w:t>In</w:t>
      </w:r>
      <w:r w:rsidR="00F81305" w:rsidRPr="00D86314">
        <w:rPr>
          <w:noProof/>
        </w:rPr>
        <w:t xml:space="preserve"> addition to this overall composite, a second index was derived to support the visual exploration of the relationship between consumer prices and network performance in the figures presented in </w:t>
      </w:r>
      <w:r w:rsidR="00F05D36">
        <w:rPr>
          <w:noProof/>
        </w:rPr>
        <w:t>S</w:t>
      </w:r>
      <w:r w:rsidR="009C059D" w:rsidRPr="00D86314">
        <w:rPr>
          <w:noProof/>
        </w:rPr>
        <w:t xml:space="preserve">ection </w:t>
      </w:r>
      <w:r w:rsidR="00F81305" w:rsidRPr="00D86314">
        <w:rPr>
          <w:noProof/>
        </w:rPr>
        <w:t xml:space="preserve">2.2.2 of the main report (Consumer Prices in Relation to Mid-Band Coverage and Quality of Service and Consumer Prices, Mid-Band Coverage and Quality of Service Across Selected Member States). For this purpose, only the indicators directly related to the capacity-driven performance of 5G networks were retained. Accordingly, overall 5G coverage was not included in this index, and its weight was fully reallocated to the mid-band (3.6 GHz) 5G coverage indicator, ensuring that the coverage dimension reflects the availability of high-capacity 5G services only. After removing the price dimension (0.30), the weights of the remaining coverage and quality-of-service indicators were re-scaled to sum to one. </w:t>
      </w:r>
      <w:r w:rsidR="00F81305" w:rsidRPr="00D86314" w:rsidDel="00F81305">
        <w:rPr>
          <w:noProof/>
        </w:rPr>
        <w:t xml:space="preserve">The resulting measure provides a focused representation of mid-band 5G availability and quality of service, </w:t>
      </w:r>
      <w:r w:rsidR="16B52A21" w:rsidRPr="00D86314">
        <w:rPr>
          <w:noProof/>
        </w:rPr>
        <w:t>allowing</w:t>
      </w:r>
      <w:r w:rsidR="00F81305" w:rsidRPr="00D86314">
        <w:rPr>
          <w:noProof/>
        </w:rPr>
        <w:t xml:space="preserve"> for direct comparison with the price indicators.</w:t>
      </w:r>
    </w:p>
    <w:p w14:paraId="7ED25AA6" w14:textId="36283FC5" w:rsidR="00C40EA8" w:rsidRPr="00D86314" w:rsidRDefault="00AF754D" w:rsidP="003B5FD9">
      <w:pPr>
        <w:spacing w:after="160"/>
        <w:rPr>
          <w:noProof/>
        </w:rPr>
      </w:pPr>
      <w:r w:rsidRPr="00D86314">
        <w:rPr>
          <w:noProof/>
        </w:rPr>
        <w:t>F</w:t>
      </w:r>
      <w:r w:rsidR="00F81305" w:rsidRPr="00D86314">
        <w:rPr>
          <w:noProof/>
        </w:rPr>
        <w:t>igure</w:t>
      </w:r>
      <w:r w:rsidR="00A80BE9" w:rsidRPr="00D86314">
        <w:rPr>
          <w:rFonts w:eastAsiaTheme="minorEastAsia"/>
          <w:noProof/>
        </w:rPr>
        <w:t xml:space="preserve"> A4 3-1</w:t>
      </w:r>
      <w:r w:rsidR="00F81305" w:rsidRPr="00D86314">
        <w:rPr>
          <w:rFonts w:eastAsiaTheme="minorEastAsia"/>
          <w:noProof/>
        </w:rPr>
        <w:t xml:space="preserve"> </w:t>
      </w:r>
      <w:r w:rsidR="00A80BE9" w:rsidRPr="00D86314">
        <w:rPr>
          <w:rFonts w:eastAsiaTheme="minorEastAsia"/>
          <w:noProof/>
        </w:rPr>
        <w:t>below</w:t>
      </w:r>
      <w:r w:rsidR="00F81305" w:rsidRPr="00D86314">
        <w:rPr>
          <w:noProof/>
        </w:rPr>
        <w:t xml:space="preserve"> illustrates how Member States fall into distinct performance configurations when comparing retail price levels with mid-band coverage and quality of service. As shown, some Member States combine relatively low consumer prices with strong mid-band performance, while others display higher price levels alongside more limited coverage and network quality. </w:t>
      </w:r>
    </w:p>
    <w:p w14:paraId="5C833445" w14:textId="4D1E658F" w:rsidR="009060EA" w:rsidRPr="00C20A01" w:rsidRDefault="009060EA" w:rsidP="00C20A01">
      <w:pPr>
        <w:pStyle w:val="Caption"/>
        <w:keepNext/>
        <w:jc w:val="left"/>
        <w:rPr>
          <w:noProof/>
          <w:color w:val="auto"/>
          <w:sz w:val="20"/>
          <w:szCs w:val="20"/>
        </w:rPr>
      </w:pPr>
      <w:r w:rsidRPr="00C20A01">
        <w:rPr>
          <w:noProof/>
          <w:color w:val="auto"/>
          <w:sz w:val="20"/>
          <w:szCs w:val="20"/>
        </w:rPr>
        <w:t>Figure A4</w:t>
      </w:r>
      <w:r w:rsidR="00991FD4">
        <w:rPr>
          <w:noProof/>
          <w:color w:val="auto"/>
          <w:sz w:val="20"/>
          <w:szCs w:val="20"/>
        </w:rPr>
        <w:t>-</w:t>
      </w:r>
      <w:r w:rsidR="005B5146">
        <w:rPr>
          <w:noProof/>
          <w:color w:val="auto"/>
          <w:sz w:val="20"/>
          <w:szCs w:val="20"/>
        </w:rPr>
        <w:fldChar w:fldCharType="begin"/>
      </w:r>
      <w:r w:rsidR="005B5146">
        <w:rPr>
          <w:noProof/>
          <w:color w:val="auto"/>
          <w:sz w:val="20"/>
          <w:szCs w:val="20"/>
        </w:rPr>
        <w:instrText xml:space="preserve"> STYLEREF 1 \s </w:instrText>
      </w:r>
      <w:r w:rsidR="005B5146">
        <w:rPr>
          <w:noProof/>
          <w:color w:val="auto"/>
          <w:sz w:val="20"/>
          <w:szCs w:val="20"/>
        </w:rPr>
        <w:fldChar w:fldCharType="separate"/>
      </w:r>
      <w:r w:rsidR="005B5146">
        <w:rPr>
          <w:noProof/>
          <w:color w:val="auto"/>
          <w:sz w:val="20"/>
          <w:szCs w:val="20"/>
        </w:rPr>
        <w:t>3</w:t>
      </w:r>
      <w:r w:rsidR="005B5146">
        <w:rPr>
          <w:noProof/>
          <w:color w:val="auto"/>
          <w:sz w:val="20"/>
          <w:szCs w:val="20"/>
        </w:rPr>
        <w:fldChar w:fldCharType="end"/>
      </w:r>
      <w:r w:rsidR="005B5146">
        <w:rPr>
          <w:noProof/>
          <w:color w:val="auto"/>
          <w:sz w:val="20"/>
          <w:szCs w:val="20"/>
        </w:rPr>
        <w:noBreakHyphen/>
      </w:r>
      <w:r w:rsidR="005B5146">
        <w:rPr>
          <w:noProof/>
          <w:color w:val="auto"/>
          <w:sz w:val="20"/>
          <w:szCs w:val="20"/>
        </w:rPr>
        <w:fldChar w:fldCharType="begin"/>
      </w:r>
      <w:r w:rsidR="005B5146">
        <w:rPr>
          <w:noProof/>
          <w:color w:val="auto"/>
          <w:sz w:val="20"/>
          <w:szCs w:val="20"/>
        </w:rPr>
        <w:instrText xml:space="preserve"> SEQ Figure \* ARABIC \s 1 </w:instrText>
      </w:r>
      <w:r w:rsidR="005B5146">
        <w:rPr>
          <w:noProof/>
          <w:color w:val="auto"/>
          <w:sz w:val="20"/>
          <w:szCs w:val="20"/>
        </w:rPr>
        <w:fldChar w:fldCharType="separate"/>
      </w:r>
      <w:r w:rsidR="005B5146">
        <w:rPr>
          <w:noProof/>
          <w:color w:val="auto"/>
          <w:sz w:val="20"/>
          <w:szCs w:val="20"/>
        </w:rPr>
        <w:t>1</w:t>
      </w:r>
      <w:r w:rsidR="005B5146">
        <w:rPr>
          <w:noProof/>
          <w:color w:val="auto"/>
          <w:sz w:val="20"/>
          <w:szCs w:val="20"/>
        </w:rPr>
        <w:fldChar w:fldCharType="end"/>
      </w:r>
      <w:r w:rsidRPr="00C20A01">
        <w:rPr>
          <w:noProof/>
          <w:color w:val="auto"/>
          <w:sz w:val="20"/>
          <w:szCs w:val="20"/>
        </w:rPr>
        <w:t>: Consumer Prices in Relation to Mid-Band Coverage and Quality of Service</w:t>
      </w:r>
    </w:p>
    <w:p w14:paraId="4CBC7BF4" w14:textId="6A47F0CA" w:rsidR="00DC5553" w:rsidRPr="00D86314" w:rsidRDefault="006B50A2" w:rsidP="00703057">
      <w:pPr>
        <w:spacing w:after="160" w:line="276" w:lineRule="auto"/>
        <w:jc w:val="center"/>
        <w:rPr>
          <w:rFonts w:eastAsiaTheme="minorEastAsia"/>
          <w:noProof/>
          <w:color w:val="008080"/>
          <w:u w:val="single"/>
        </w:rPr>
      </w:pPr>
      <w:r w:rsidRPr="00CA2C0B">
        <w:rPr>
          <w:noProof/>
          <w:lang w:eastAsia="en-GB"/>
        </w:rPr>
        <w:drawing>
          <wp:inline distT="0" distB="0" distL="0" distR="0" wp14:anchorId="536F66DC" wp14:editId="67B1D3A5">
            <wp:extent cx="3476887" cy="2787650"/>
            <wp:effectExtent l="0" t="0" r="9525" b="0"/>
            <wp:docPr id="2026689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89174" name="Picture 1"/>
                    <pic:cNvPicPr>
                      <a:picLocks noChangeAspect="1" noChangeArrowheads="1"/>
                    </pic:cNvPicPr>
                  </pic:nvPicPr>
                  <pic:blipFill>
                    <a:blip r:embed="rId108">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09"/>
                        </a:ext>
                      </a:extLst>
                    </a:blip>
                    <a:stretch>
                      <a:fillRect/>
                    </a:stretch>
                  </pic:blipFill>
                  <pic:spPr bwMode="auto">
                    <a:xfrm>
                      <a:off x="0" y="0"/>
                      <a:ext cx="3485916" cy="2794889"/>
                    </a:xfrm>
                    <a:prstGeom prst="rect">
                      <a:avLst/>
                    </a:prstGeom>
                  </pic:spPr>
                </pic:pic>
              </a:graphicData>
            </a:graphic>
          </wp:inline>
        </w:drawing>
      </w:r>
    </w:p>
    <w:p w14:paraId="3B78E117" w14:textId="222AF51E" w:rsidR="00F81305" w:rsidRPr="00D86314" w:rsidRDefault="00F81305" w:rsidP="003B5FD9">
      <w:pPr>
        <w:spacing w:after="160"/>
        <w:rPr>
          <w:noProof/>
        </w:rPr>
      </w:pPr>
      <w:r w:rsidRPr="00D86314">
        <w:rPr>
          <w:rFonts w:eastAsiaTheme="minorEastAsia"/>
          <w:noProof/>
        </w:rPr>
        <w:t xml:space="preserve">In </w:t>
      </w:r>
      <w:r w:rsidR="0054255F" w:rsidRPr="00D86314">
        <w:rPr>
          <w:rFonts w:eastAsiaTheme="minorEastAsia"/>
          <w:noProof/>
        </w:rPr>
        <w:t>Figure</w:t>
      </w:r>
      <w:r w:rsidRPr="00D86314">
        <w:rPr>
          <w:rFonts w:eastAsiaTheme="minorEastAsia"/>
          <w:noProof/>
        </w:rPr>
        <w:t xml:space="preserve"> </w:t>
      </w:r>
      <w:r w:rsidR="0032097C" w:rsidRPr="00D86314">
        <w:rPr>
          <w:rFonts w:eastAsiaTheme="minorEastAsia"/>
          <w:noProof/>
        </w:rPr>
        <w:t>A4</w:t>
      </w:r>
      <w:r w:rsidR="00991FD4">
        <w:rPr>
          <w:rFonts w:eastAsiaTheme="minorEastAsia"/>
          <w:noProof/>
        </w:rPr>
        <w:t>-</w:t>
      </w:r>
      <w:r w:rsidR="0032097C" w:rsidRPr="00D86314">
        <w:rPr>
          <w:rFonts w:eastAsiaTheme="minorEastAsia"/>
          <w:noProof/>
        </w:rPr>
        <w:t>3-2</w:t>
      </w:r>
      <w:r w:rsidR="0054255F" w:rsidRPr="00D86314">
        <w:rPr>
          <w:rFonts w:eastAsiaTheme="minorEastAsia"/>
          <w:noProof/>
        </w:rPr>
        <w:t>,</w:t>
      </w:r>
      <w:r w:rsidR="0032097C" w:rsidRPr="00D86314">
        <w:rPr>
          <w:rFonts w:eastAsiaTheme="minorEastAsia"/>
          <w:noProof/>
        </w:rPr>
        <w:t xml:space="preserve"> the same </w:t>
      </w:r>
      <w:r w:rsidR="00FA3C3F" w:rsidRPr="00D86314">
        <w:rPr>
          <w:rFonts w:eastAsiaTheme="minorEastAsia"/>
          <w:noProof/>
        </w:rPr>
        <w:t xml:space="preserve">market outcomes are presented </w:t>
      </w:r>
      <w:r w:rsidR="00F46839" w:rsidRPr="00D86314">
        <w:rPr>
          <w:rFonts w:eastAsiaTheme="minorEastAsia"/>
          <w:noProof/>
        </w:rPr>
        <w:t xml:space="preserve">in a way to </w:t>
      </w:r>
      <w:r w:rsidR="001E5CA9" w:rsidRPr="00D86314">
        <w:rPr>
          <w:rFonts w:eastAsiaTheme="minorEastAsia"/>
          <w:noProof/>
        </w:rPr>
        <w:t xml:space="preserve">transparently </w:t>
      </w:r>
      <w:r w:rsidR="00F46839" w:rsidRPr="00D86314">
        <w:rPr>
          <w:rFonts w:eastAsiaTheme="minorEastAsia"/>
          <w:noProof/>
        </w:rPr>
        <w:t xml:space="preserve">reflect the </w:t>
      </w:r>
      <w:r w:rsidR="001E5CA9" w:rsidRPr="00D86314">
        <w:rPr>
          <w:rFonts w:eastAsiaTheme="minorEastAsia"/>
          <w:noProof/>
        </w:rPr>
        <w:t>various</w:t>
      </w:r>
      <w:r w:rsidR="00F46839" w:rsidRPr="00D86314">
        <w:rPr>
          <w:rFonts w:eastAsiaTheme="minorEastAsia"/>
          <w:noProof/>
        </w:rPr>
        <w:t xml:space="preserve"> elements asse</w:t>
      </w:r>
      <w:r w:rsidR="00F676E4" w:rsidRPr="00D86314">
        <w:rPr>
          <w:rFonts w:eastAsiaTheme="minorEastAsia"/>
          <w:noProof/>
        </w:rPr>
        <w:t>d. The</w:t>
      </w:r>
      <w:r w:rsidR="00F676E4" w:rsidRPr="00D86314">
        <w:rPr>
          <w:noProof/>
        </w:rPr>
        <w:t xml:space="preserve"> </w:t>
      </w:r>
      <w:r w:rsidRPr="00D86314">
        <w:rPr>
          <w:noProof/>
        </w:rPr>
        <w:t>left-hand panel of</w:t>
      </w:r>
      <w:r w:rsidR="00A264D9" w:rsidRPr="00D86314">
        <w:rPr>
          <w:noProof/>
        </w:rPr>
        <w:t xml:space="preserve"> the figure</w:t>
      </w:r>
      <w:r w:rsidRPr="00D86314">
        <w:rPr>
          <w:noProof/>
        </w:rPr>
        <w:t xml:space="preserve"> </w:t>
      </w:r>
      <w:r w:rsidR="002D0146" w:rsidRPr="00D86314">
        <w:rPr>
          <w:rFonts w:eastAsiaTheme="minorEastAsia"/>
          <w:noProof/>
        </w:rPr>
        <w:t>present</w:t>
      </w:r>
      <w:r w:rsidR="000439D2" w:rsidRPr="00D86314">
        <w:rPr>
          <w:rFonts w:eastAsiaTheme="minorEastAsia"/>
          <w:noProof/>
        </w:rPr>
        <w:t>s</w:t>
      </w:r>
      <w:r w:rsidR="002D0146" w:rsidRPr="00D86314">
        <w:rPr>
          <w:rFonts w:eastAsiaTheme="minorEastAsia"/>
          <w:noProof/>
        </w:rPr>
        <w:t xml:space="preserve"> </w:t>
      </w:r>
      <w:r w:rsidRPr="00D86314">
        <w:rPr>
          <w:noProof/>
        </w:rPr>
        <w:t xml:space="preserve">average consumer prices </w:t>
      </w:r>
      <w:r w:rsidR="002D0146" w:rsidRPr="00D86314">
        <w:rPr>
          <w:rFonts w:eastAsiaTheme="minorEastAsia"/>
          <w:noProof/>
        </w:rPr>
        <w:t xml:space="preserve">in each Member State </w:t>
      </w:r>
      <w:r w:rsidRPr="00D86314">
        <w:rPr>
          <w:noProof/>
        </w:rPr>
        <w:t xml:space="preserve">calculated as a weighted mean across the three usage baskets, with each basket entering according to its assigned weight and its observed price level. The right-hand panel </w:t>
      </w:r>
      <w:r w:rsidR="00A264D9" w:rsidRPr="00D86314">
        <w:rPr>
          <w:noProof/>
        </w:rPr>
        <w:t>of this figure</w:t>
      </w:r>
      <w:r w:rsidRPr="00D86314">
        <w:rPr>
          <w:noProof/>
        </w:rPr>
        <w:t xml:space="preserve"> presents the corresponding values of the mid-band coverage and quality-of-service index, enabling a side-by-side comparison of affordability and performance across the EU.</w:t>
      </w:r>
    </w:p>
    <w:p w14:paraId="381603E5" w14:textId="78F97887" w:rsidR="005B5146" w:rsidRPr="00C20A01" w:rsidRDefault="005B5146" w:rsidP="00C20A01">
      <w:pPr>
        <w:pStyle w:val="Caption"/>
        <w:keepNext/>
        <w:rPr>
          <w:noProof/>
          <w:color w:val="auto"/>
          <w:sz w:val="20"/>
          <w:szCs w:val="20"/>
        </w:rPr>
      </w:pPr>
      <w:r w:rsidRPr="00C20A01">
        <w:rPr>
          <w:noProof/>
          <w:color w:val="auto"/>
          <w:sz w:val="20"/>
          <w:szCs w:val="20"/>
        </w:rPr>
        <w:t>Figure A4</w:t>
      </w:r>
      <w:r w:rsidR="00991FD4">
        <w:rPr>
          <w:noProof/>
          <w:color w:val="auto"/>
          <w:sz w:val="20"/>
          <w:szCs w:val="20"/>
        </w:rPr>
        <w:t>-</w:t>
      </w:r>
      <w:r>
        <w:rPr>
          <w:noProof/>
          <w:color w:val="auto"/>
          <w:sz w:val="20"/>
          <w:szCs w:val="20"/>
        </w:rPr>
        <w:fldChar w:fldCharType="begin"/>
      </w:r>
      <w:r>
        <w:rPr>
          <w:noProof/>
          <w:color w:val="auto"/>
          <w:sz w:val="20"/>
          <w:szCs w:val="20"/>
        </w:rPr>
        <w:instrText xml:space="preserve"> STYLEREF 1 \s </w:instrText>
      </w:r>
      <w:r>
        <w:rPr>
          <w:noProof/>
          <w:color w:val="auto"/>
          <w:sz w:val="20"/>
          <w:szCs w:val="20"/>
        </w:rPr>
        <w:fldChar w:fldCharType="separate"/>
      </w:r>
      <w:r>
        <w:rPr>
          <w:noProof/>
          <w:color w:val="auto"/>
          <w:sz w:val="20"/>
          <w:szCs w:val="20"/>
        </w:rPr>
        <w:t>3</w:t>
      </w:r>
      <w:r>
        <w:rPr>
          <w:noProof/>
          <w:color w:val="auto"/>
          <w:sz w:val="20"/>
          <w:szCs w:val="20"/>
        </w:rPr>
        <w:fldChar w:fldCharType="end"/>
      </w:r>
      <w:r>
        <w:rPr>
          <w:noProof/>
          <w:color w:val="auto"/>
          <w:sz w:val="20"/>
          <w:szCs w:val="20"/>
        </w:rPr>
        <w:noBreakHyphen/>
      </w:r>
      <w:r>
        <w:rPr>
          <w:noProof/>
          <w:color w:val="auto"/>
          <w:sz w:val="20"/>
          <w:szCs w:val="20"/>
        </w:rPr>
        <w:fldChar w:fldCharType="begin"/>
      </w:r>
      <w:r>
        <w:rPr>
          <w:noProof/>
          <w:color w:val="auto"/>
          <w:sz w:val="20"/>
          <w:szCs w:val="20"/>
        </w:rPr>
        <w:instrText xml:space="preserve"> SEQ Figure \* ARABIC \s 1 </w:instrText>
      </w:r>
      <w:r>
        <w:rPr>
          <w:noProof/>
          <w:color w:val="auto"/>
          <w:sz w:val="20"/>
          <w:szCs w:val="20"/>
        </w:rPr>
        <w:fldChar w:fldCharType="separate"/>
      </w:r>
      <w:r>
        <w:rPr>
          <w:noProof/>
          <w:color w:val="auto"/>
          <w:sz w:val="20"/>
          <w:szCs w:val="20"/>
        </w:rPr>
        <w:t>2</w:t>
      </w:r>
      <w:r>
        <w:rPr>
          <w:noProof/>
          <w:color w:val="auto"/>
          <w:sz w:val="20"/>
          <w:szCs w:val="20"/>
        </w:rPr>
        <w:fldChar w:fldCharType="end"/>
      </w:r>
      <w:r w:rsidRPr="00C20A01">
        <w:rPr>
          <w:noProof/>
          <w:color w:val="auto"/>
          <w:sz w:val="20"/>
          <w:szCs w:val="20"/>
        </w:rPr>
        <w:t>: Consumer Prices, Mid-Band Coverage and Quality of Service across selected Member States</w:t>
      </w:r>
    </w:p>
    <w:p w14:paraId="68E9BCB3" w14:textId="5CEF0AE7" w:rsidR="0040594C" w:rsidRPr="00D86314" w:rsidRDefault="0006755D" w:rsidP="00F81305">
      <w:pPr>
        <w:spacing w:after="160" w:line="276" w:lineRule="auto"/>
        <w:rPr>
          <w:noProof/>
        </w:rPr>
      </w:pPr>
      <w:r w:rsidRPr="00CA2C0B">
        <w:rPr>
          <w:noProof/>
          <w:lang w:eastAsia="en-GB"/>
        </w:rPr>
        <w:drawing>
          <wp:inline distT="0" distB="0" distL="0" distR="0" wp14:anchorId="17573B5A" wp14:editId="5A30BBFC">
            <wp:extent cx="6082882" cy="3341077"/>
            <wp:effectExtent l="0" t="0" r="0" b="0"/>
            <wp:docPr id="2125806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06052" name="Picture 2"/>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6115768" cy="3359140"/>
                    </a:xfrm>
                    <a:prstGeom prst="rect">
                      <a:avLst/>
                    </a:prstGeom>
                    <a:noFill/>
                  </pic:spPr>
                </pic:pic>
              </a:graphicData>
            </a:graphic>
          </wp:inline>
        </w:drawing>
      </w:r>
    </w:p>
    <w:p w14:paraId="60EB153E" w14:textId="3236A179" w:rsidR="00C778BA" w:rsidRPr="00D86314" w:rsidRDefault="4CC88F77" w:rsidP="00703057">
      <w:pPr>
        <w:pStyle w:val="Heading2"/>
        <w:rPr>
          <w:rFonts w:eastAsia="Aptos Display"/>
          <w:noProof/>
        </w:rPr>
      </w:pPr>
      <w:bookmarkStart w:id="178" w:name="_Ref214549077"/>
      <w:bookmarkStart w:id="179" w:name="_Toc219718389"/>
      <w:r w:rsidRPr="00D86314">
        <w:rPr>
          <w:rFonts w:eastAsia="Aptos Display"/>
          <w:noProof/>
        </w:rPr>
        <w:t>Fragmented Regulatory approaches</w:t>
      </w:r>
      <w:bookmarkEnd w:id="178"/>
      <w:bookmarkEnd w:id="179"/>
    </w:p>
    <w:p w14:paraId="7B6657BF" w14:textId="58B52171" w:rsidR="003567C8" w:rsidRPr="00D86314" w:rsidRDefault="003567C8" w:rsidP="003B5FD9">
      <w:pPr>
        <w:spacing w:after="160"/>
        <w:rPr>
          <w:noProof/>
        </w:rPr>
      </w:pPr>
      <w:r w:rsidRPr="00D86314">
        <w:rPr>
          <w:noProof/>
        </w:rPr>
        <w:t xml:space="preserve">This section describes the methodology used to characterise regulatory approaches in the assignment of 5G spectrum and to assess the extent to which these approaches vary across the EU. The analysis focuses on the two 5G pioneer bands, 3.4–3.8 GHz and 700 MHz, as these bands play a central role in enabling high-capacity and wide-area 5G connectivity. The aim is to categorise Member States according to the relative </w:t>
      </w:r>
      <w:r w:rsidR="00C10472" w:rsidRPr="00D86314">
        <w:rPr>
          <w:noProof/>
        </w:rPr>
        <w:t>intrusiveness</w:t>
      </w:r>
      <w:r w:rsidRPr="00D86314">
        <w:rPr>
          <w:noProof/>
        </w:rPr>
        <w:t xml:space="preserve"> of their auction and award conditions, based on a set of observable regulatory indicators.</w:t>
      </w:r>
      <w:r w:rsidR="006D6179" w:rsidRPr="00D86314">
        <w:rPr>
          <w:noProof/>
        </w:rPr>
        <w:t xml:space="preserve"> The resulting regulatory-design scores serve as inputs to the multiple regression analysis conducted in the following section.</w:t>
      </w:r>
    </w:p>
    <w:p w14:paraId="5655F51A" w14:textId="0A17AA76" w:rsidR="00E80ABB" w:rsidRPr="00D86314" w:rsidRDefault="00645AE4" w:rsidP="003B5FD9">
      <w:pPr>
        <w:pStyle w:val="Heading3"/>
        <w:rPr>
          <w:rFonts w:eastAsia="Aptos"/>
          <w:noProof/>
          <w:u w:val="single"/>
        </w:rPr>
      </w:pPr>
      <w:bookmarkStart w:id="180" w:name="_Toc219718390"/>
      <w:r w:rsidRPr="00D86314">
        <w:rPr>
          <w:rFonts w:eastAsia="Aptos Display"/>
          <w:noProof/>
        </w:rPr>
        <w:t>Selection of indicators of regulatory approaches</w:t>
      </w:r>
      <w:bookmarkEnd w:id="180"/>
    </w:p>
    <w:p w14:paraId="5C2795B5" w14:textId="7C4AA9A5" w:rsidR="00E06BA1" w:rsidRPr="00D86314" w:rsidRDefault="00E06BA1" w:rsidP="003B5FD9">
      <w:pPr>
        <w:spacing w:after="160"/>
        <w:rPr>
          <w:noProof/>
        </w:rPr>
      </w:pPr>
      <w:r w:rsidRPr="00D86314">
        <w:rPr>
          <w:noProof/>
        </w:rPr>
        <w:t>To capture the degree of regulatory intervention applied in the assignment of 5G spectrum, the analysis considers a set of auction and award conditions that are both observable across Member States and directly relevant to operators’ ability and incentives to invest in 5G networks. The indicators selected for both the 3.4–3.8 GHz and the 700 MHz bands are:</w:t>
      </w:r>
    </w:p>
    <w:p w14:paraId="7259FE6B" w14:textId="77777777" w:rsidR="00562985" w:rsidRPr="00D86314" w:rsidRDefault="00E06BA1" w:rsidP="003B5FD9">
      <w:pPr>
        <w:pStyle w:val="ListParagraph"/>
        <w:numPr>
          <w:ilvl w:val="0"/>
          <w:numId w:val="67"/>
        </w:numPr>
        <w:spacing w:after="160"/>
        <w:rPr>
          <w:noProof/>
        </w:rPr>
      </w:pPr>
      <w:r w:rsidRPr="00D86314">
        <w:rPr>
          <w:b/>
          <w:noProof/>
        </w:rPr>
        <w:t>Spectrum caps</w:t>
      </w:r>
      <w:r w:rsidRPr="00D86314">
        <w:rPr>
          <w:noProof/>
        </w:rPr>
        <w:t xml:space="preserve"> – limits on the maximum amount of spectrum any single operator may acquire in a given band. These caps shape market structure and may restrict incumbent operators’ ability to expand capacity.</w:t>
      </w:r>
    </w:p>
    <w:p w14:paraId="4495287E" w14:textId="77777777" w:rsidR="00562985" w:rsidRPr="00D86314" w:rsidRDefault="00E06BA1" w:rsidP="003B5FD9">
      <w:pPr>
        <w:pStyle w:val="ListParagraph"/>
        <w:numPr>
          <w:ilvl w:val="0"/>
          <w:numId w:val="67"/>
        </w:numPr>
        <w:spacing w:after="160"/>
        <w:rPr>
          <w:noProof/>
        </w:rPr>
      </w:pPr>
      <w:r w:rsidRPr="00D86314">
        <w:rPr>
          <w:b/>
          <w:noProof/>
        </w:rPr>
        <w:t>Access obligations</w:t>
      </w:r>
      <w:r w:rsidRPr="00D86314">
        <w:rPr>
          <w:noProof/>
        </w:rPr>
        <w:t xml:space="preserve"> – including obligations relating to MVNO access, service-provider access or national roaming. These requirements influence wholesale market conditions and may affect operators’ business models and investment strategies.</w:t>
      </w:r>
    </w:p>
    <w:p w14:paraId="38CFC781" w14:textId="77777777" w:rsidR="00562985" w:rsidRPr="00D86314" w:rsidRDefault="00E06BA1" w:rsidP="003B5FD9">
      <w:pPr>
        <w:pStyle w:val="ListParagraph"/>
        <w:numPr>
          <w:ilvl w:val="0"/>
          <w:numId w:val="67"/>
        </w:numPr>
        <w:spacing w:after="160"/>
        <w:rPr>
          <w:noProof/>
        </w:rPr>
      </w:pPr>
      <w:r w:rsidRPr="00D86314">
        <w:rPr>
          <w:b/>
          <w:noProof/>
        </w:rPr>
        <w:t>Coverage obligations</w:t>
      </w:r>
      <w:r w:rsidRPr="00D86314">
        <w:rPr>
          <w:noProof/>
        </w:rPr>
        <w:t xml:space="preserve"> – requirements to achieve defined population or geographic coverage levels within specified timeframes. These obligations can support wide-area rollout but may also impose significant deployment costs.</w:t>
      </w:r>
    </w:p>
    <w:p w14:paraId="1A6941EB" w14:textId="77777777" w:rsidR="00832C38" w:rsidRPr="00D86314" w:rsidRDefault="00E06BA1" w:rsidP="003B5FD9">
      <w:pPr>
        <w:pStyle w:val="ListParagraph"/>
        <w:numPr>
          <w:ilvl w:val="0"/>
          <w:numId w:val="67"/>
        </w:numPr>
        <w:spacing w:after="160"/>
        <w:rPr>
          <w:noProof/>
        </w:rPr>
      </w:pPr>
      <w:r w:rsidRPr="00D86314">
        <w:rPr>
          <w:b/>
          <w:noProof/>
        </w:rPr>
        <w:t>Reservations and set-asides –</w:t>
      </w:r>
      <w:r w:rsidRPr="00D86314">
        <w:rPr>
          <w:noProof/>
        </w:rPr>
        <w:t xml:space="preserve"> spectrum blocks specifically reserved for new entrants, regional operators or vertical/industrial users. Such measures restrict the effective supply available to existing MNOs and may influence auction dynamics and investment incentives.</w:t>
      </w:r>
    </w:p>
    <w:p w14:paraId="0C458991" w14:textId="57056389" w:rsidR="00E06BA1" w:rsidRPr="00D86314" w:rsidRDefault="00E06BA1" w:rsidP="003B5FD9">
      <w:pPr>
        <w:pStyle w:val="ListParagraph"/>
        <w:numPr>
          <w:ilvl w:val="0"/>
          <w:numId w:val="67"/>
        </w:numPr>
        <w:spacing w:after="160"/>
        <w:rPr>
          <w:noProof/>
        </w:rPr>
      </w:pPr>
      <w:r w:rsidRPr="00D86314">
        <w:rPr>
          <w:b/>
          <w:noProof/>
        </w:rPr>
        <w:t>Final auction prices (Price/MHz/pop)</w:t>
      </w:r>
      <w:r w:rsidRPr="00D86314">
        <w:rPr>
          <w:noProof/>
        </w:rPr>
        <w:t xml:space="preserve"> – the final price paid per MHz per capita. Although influenced by demand and competitive dynamics, high final prices may reflect auction design or limited spectrum availability and can affect operators’ ability to invest post-auction.</w:t>
      </w:r>
    </w:p>
    <w:p w14:paraId="6E8B7028" w14:textId="62BB40F0" w:rsidR="00645AE4" w:rsidRPr="00D86314" w:rsidRDefault="00E06BA1" w:rsidP="003B5FD9">
      <w:pPr>
        <w:spacing w:after="160"/>
        <w:rPr>
          <w:noProof/>
        </w:rPr>
      </w:pPr>
      <w:r w:rsidRPr="00D86314">
        <w:rPr>
          <w:noProof/>
        </w:rPr>
        <w:t>These indicators were selected because they represent the core dimensions along which Member States differ in their regulatory design choices, and because they are sufficiently comparable across countries and across both pioneer bands.</w:t>
      </w:r>
    </w:p>
    <w:p w14:paraId="5DD99C4F" w14:textId="0B44AF0C" w:rsidR="00DA58E2" w:rsidRPr="00D86314" w:rsidRDefault="00DA58E2" w:rsidP="00DA58E2">
      <w:pPr>
        <w:pStyle w:val="Heading3"/>
        <w:spacing w:after="160" w:line="276" w:lineRule="auto"/>
        <w:rPr>
          <w:rFonts w:eastAsia="Aptos"/>
          <w:noProof/>
          <w:u w:val="single"/>
        </w:rPr>
      </w:pPr>
      <w:bookmarkStart w:id="181" w:name="_Toc219718391"/>
      <w:r w:rsidRPr="00D86314">
        <w:rPr>
          <w:rFonts w:eastAsia="Aptos Display"/>
          <w:noProof/>
        </w:rPr>
        <w:t>Data sources</w:t>
      </w:r>
      <w:bookmarkEnd w:id="181"/>
    </w:p>
    <w:p w14:paraId="76872909" w14:textId="24B2216B" w:rsidR="00DA58E2" w:rsidRPr="00D86314" w:rsidRDefault="00AA098E" w:rsidP="003B5FD9">
      <w:pPr>
        <w:spacing w:after="160"/>
        <w:rPr>
          <w:noProof/>
        </w:rPr>
      </w:pPr>
      <w:r w:rsidRPr="00D86314">
        <w:rPr>
          <w:noProof/>
        </w:rPr>
        <w:t xml:space="preserve">Information on regulatory conditions was obtained primarily from the </w:t>
      </w:r>
      <w:r w:rsidRPr="00D86314">
        <w:rPr>
          <w:b/>
          <w:noProof/>
        </w:rPr>
        <w:t>Cullen International spectrum database</w:t>
      </w:r>
      <w:r w:rsidRPr="00D86314">
        <w:rPr>
          <w:noProof/>
        </w:rPr>
        <w:t xml:space="preserve">, which provides harmonised cross-country information on spectrum caps, access and coverage obligations </w:t>
      </w:r>
      <w:r w:rsidR="00745190" w:rsidRPr="00D86314">
        <w:rPr>
          <w:noProof/>
        </w:rPr>
        <w:t xml:space="preserve">as well as </w:t>
      </w:r>
      <w:r w:rsidR="00FF2081" w:rsidRPr="00D86314">
        <w:rPr>
          <w:noProof/>
        </w:rPr>
        <w:t>estimates of final auction prices</w:t>
      </w:r>
      <w:r w:rsidRPr="00D86314">
        <w:rPr>
          <w:noProof/>
        </w:rPr>
        <w:t>. To ensure completeness</w:t>
      </w:r>
      <w:r w:rsidR="00745190" w:rsidRPr="00D86314">
        <w:rPr>
          <w:noProof/>
        </w:rPr>
        <w:t xml:space="preserve">, </w:t>
      </w:r>
      <w:r w:rsidRPr="00D86314">
        <w:rPr>
          <w:noProof/>
        </w:rPr>
        <w:t>particularly regarding reservations</w:t>
      </w:r>
      <w:r w:rsidR="006F022E" w:rsidRPr="00D86314">
        <w:rPr>
          <w:noProof/>
        </w:rPr>
        <w:t xml:space="preserve"> </w:t>
      </w:r>
      <w:r w:rsidR="001B6EB6" w:rsidRPr="00D86314">
        <w:rPr>
          <w:noProof/>
        </w:rPr>
        <w:t>and</w:t>
      </w:r>
      <w:r w:rsidRPr="00D86314">
        <w:rPr>
          <w:noProof/>
        </w:rPr>
        <w:t xml:space="preserve"> set-asides</w:t>
      </w:r>
      <w:r w:rsidR="00745190" w:rsidRPr="00D86314">
        <w:rPr>
          <w:noProof/>
        </w:rPr>
        <w:t xml:space="preserve">, </w:t>
      </w:r>
      <w:r w:rsidRPr="00D86314">
        <w:rPr>
          <w:noProof/>
        </w:rPr>
        <w:t xml:space="preserve">this material was supplemented with information from </w:t>
      </w:r>
      <w:r w:rsidRPr="00D86314">
        <w:rPr>
          <w:b/>
          <w:noProof/>
        </w:rPr>
        <w:t>PolicyTracker</w:t>
      </w:r>
      <w:r w:rsidRPr="00D86314">
        <w:rPr>
          <w:noProof/>
        </w:rPr>
        <w:t xml:space="preserve">, and cross-checked where relevant against </w:t>
      </w:r>
      <w:r w:rsidR="001B6EB6" w:rsidRPr="00D86314">
        <w:rPr>
          <w:noProof/>
        </w:rPr>
        <w:t xml:space="preserve">recent </w:t>
      </w:r>
      <w:r w:rsidRPr="00D86314">
        <w:rPr>
          <w:noProof/>
        </w:rPr>
        <w:t>Commission studies and publicly available auction documentation. These sources together provide a consistent evidence base for comparing regulatory approaches across Member States and for developing the indicators used in the subsequent analysis.</w:t>
      </w:r>
    </w:p>
    <w:p w14:paraId="7CAFB602" w14:textId="2DA73B55" w:rsidR="00C02080" w:rsidRPr="00D86314" w:rsidRDefault="00C02080" w:rsidP="003B5FD9">
      <w:pPr>
        <w:pStyle w:val="Heading3"/>
        <w:spacing w:after="160"/>
        <w:rPr>
          <w:rFonts w:eastAsia="Aptos"/>
          <w:noProof/>
          <w:u w:val="single"/>
        </w:rPr>
      </w:pPr>
      <w:bookmarkStart w:id="182" w:name="_Toc219718392"/>
      <w:r w:rsidRPr="00D86314">
        <w:rPr>
          <w:rFonts w:eastAsia="Aptos Display"/>
          <w:noProof/>
        </w:rPr>
        <w:t xml:space="preserve">Member States considered </w:t>
      </w:r>
      <w:r w:rsidR="008560B5" w:rsidRPr="00D86314">
        <w:rPr>
          <w:rFonts w:eastAsia="Aptos Display"/>
          <w:noProof/>
        </w:rPr>
        <w:t>in the analysis of regulatory approaches</w:t>
      </w:r>
      <w:bookmarkEnd w:id="182"/>
    </w:p>
    <w:p w14:paraId="088E6BDD" w14:textId="15F50C35" w:rsidR="00123A34" w:rsidRPr="00D86314" w:rsidRDefault="00123A34" w:rsidP="003B5FD9">
      <w:pPr>
        <w:spacing w:after="160"/>
        <w:rPr>
          <w:noProof/>
        </w:rPr>
      </w:pPr>
      <w:r w:rsidRPr="00D86314">
        <w:rPr>
          <w:noProof/>
        </w:rPr>
        <w:t>The analysis covers the Member States for which sufficiently detailed and comparable information on regulatory conditions was available for at least one of the two pioneer bands. The following countries were included in the assessment: Austria, Belgium, Bulgaria, Croatia, Czechia, Denmark, Finland, France, Germany, Greece, Hungary, Italy, Lithuania, the Netherlands, Poland, Portugal, Romania, Slovakia, Slovenia, Spain and Sweden.</w:t>
      </w:r>
    </w:p>
    <w:p w14:paraId="3D7BBF04" w14:textId="56D59745" w:rsidR="00AB34C9" w:rsidRPr="00D86314" w:rsidRDefault="00123A34" w:rsidP="003B5FD9">
      <w:pPr>
        <w:spacing w:after="160"/>
        <w:rPr>
          <w:noProof/>
        </w:rPr>
      </w:pPr>
      <w:r w:rsidRPr="00D86314">
        <w:rPr>
          <w:noProof/>
        </w:rPr>
        <w:t xml:space="preserve">For some Member States, however, not all indicators could be used in the band-specific assessments. In the 3.4–3.8 GHz band, Denmark and Romania were excluded from analyses involving final auction price estimates </w:t>
      </w:r>
      <w:r w:rsidR="008C2044" w:rsidRPr="00D86314">
        <w:rPr>
          <w:noProof/>
        </w:rPr>
        <w:t>(EUR/</w:t>
      </w:r>
      <w:r w:rsidRPr="00D86314">
        <w:rPr>
          <w:noProof/>
        </w:rPr>
        <w:t xml:space="preserve">MHz/pop) </w:t>
      </w:r>
      <w:r w:rsidR="009D4C21" w:rsidRPr="00D86314">
        <w:rPr>
          <w:noProof/>
        </w:rPr>
        <w:t xml:space="preserve">because the combinatorial auction format </w:t>
      </w:r>
      <w:r w:rsidR="00AC1295" w:rsidRPr="00D86314">
        <w:rPr>
          <w:noProof/>
        </w:rPr>
        <w:t>did</w:t>
      </w:r>
      <w:r w:rsidR="009D4C21" w:rsidRPr="00D86314">
        <w:rPr>
          <w:noProof/>
        </w:rPr>
        <w:t xml:space="preserve"> not allow the attribution of payments to specific frequency bands</w:t>
      </w:r>
      <w:r w:rsidRPr="00D86314">
        <w:rPr>
          <w:noProof/>
        </w:rPr>
        <w:t>. In the 700 MHz band, Austria, Denmark and Romania were excluded from price-based comparisons for the same reason. These Member States are nonetheless retained for the descriptive overview of regulatory measures to provide a comprehensive picture of the diversity of approaches across the EU.</w:t>
      </w:r>
    </w:p>
    <w:p w14:paraId="6592EDD1" w14:textId="687A12E9" w:rsidR="00E3390A" w:rsidRPr="00D86314" w:rsidRDefault="001A2079" w:rsidP="003B5FD9">
      <w:pPr>
        <w:pStyle w:val="Heading3"/>
        <w:spacing w:after="160"/>
        <w:rPr>
          <w:rFonts w:eastAsia="Aptos"/>
          <w:noProof/>
          <w:u w:val="single"/>
        </w:rPr>
      </w:pPr>
      <w:bookmarkStart w:id="183" w:name="_Toc219718393"/>
      <w:r w:rsidRPr="00D86314">
        <w:rPr>
          <w:rFonts w:eastAsia="Aptos Display"/>
          <w:noProof/>
        </w:rPr>
        <w:t xml:space="preserve">Observed Variation in </w:t>
      </w:r>
      <w:r w:rsidR="00D44F51" w:rsidRPr="00D86314">
        <w:rPr>
          <w:rFonts w:eastAsia="Aptos Display"/>
          <w:noProof/>
        </w:rPr>
        <w:t>Regulatory Approaches across Member States</w:t>
      </w:r>
      <w:bookmarkEnd w:id="183"/>
    </w:p>
    <w:p w14:paraId="6CCC447F" w14:textId="353BD786" w:rsidR="002041C3" w:rsidRPr="00D86314" w:rsidRDefault="002041C3" w:rsidP="003B5FD9">
      <w:pPr>
        <w:spacing w:after="160"/>
        <w:rPr>
          <w:noProof/>
        </w:rPr>
      </w:pPr>
      <w:r w:rsidRPr="00D86314">
        <w:rPr>
          <w:noProof/>
        </w:rPr>
        <w:t>While the European Electronic Communications Code has harmonised certain principles of spectrum management, Member States retain broad discretion in the detailed design of spectrum awards. The information assembled for the two pioneer bands shows a wide variety of approaches across countries and across regulatory instruments.</w:t>
      </w:r>
    </w:p>
    <w:p w14:paraId="28D09D6A" w14:textId="7EB1ABA5" w:rsidR="002041C3" w:rsidRPr="00D86314" w:rsidRDefault="002041C3" w:rsidP="003B5FD9">
      <w:pPr>
        <w:spacing w:after="160"/>
        <w:rPr>
          <w:noProof/>
        </w:rPr>
      </w:pPr>
      <w:r w:rsidRPr="00D86314">
        <w:rPr>
          <w:noProof/>
        </w:rPr>
        <w:t xml:space="preserve">Across both the </w:t>
      </w:r>
      <w:r w:rsidR="00546275" w:rsidRPr="00D86314">
        <w:rPr>
          <w:noProof/>
        </w:rPr>
        <w:t>3.4–3.8 GHz and the 700 MHz</w:t>
      </w:r>
      <w:r w:rsidRPr="00D86314">
        <w:rPr>
          <w:noProof/>
        </w:rPr>
        <w:t xml:space="preserve"> bands, spectrum caps differ substantially, ranging from relatively restrictive limits that leave operators with little flexibility to acquire additional spectrum, to more permissive frameworks that allow bidders to obtain large shares of the band. Access obligations </w:t>
      </w:r>
      <w:r w:rsidR="002B3060" w:rsidRPr="00D86314">
        <w:rPr>
          <w:noProof/>
        </w:rPr>
        <w:t>vary</w:t>
      </w:r>
      <w:r w:rsidRPr="00D86314">
        <w:rPr>
          <w:noProof/>
        </w:rPr>
        <w:t xml:space="preserve"> from general obligations to negotiate access to explicit requirements for national roaming or mobile virtual network operator access. </w:t>
      </w:r>
      <w:r w:rsidR="00E85B45" w:rsidRPr="00D86314">
        <w:rPr>
          <w:noProof/>
        </w:rPr>
        <w:t>Coverage obligations differ not only in their presence but also in their intensity, with some Member States imposing detailed population or geographic coverage targets within defined timeframes, and others applying only limited or generic rollout conditions, or none at all.</w:t>
      </w:r>
      <w:r w:rsidR="008B6B9C" w:rsidRPr="00D86314">
        <w:rPr>
          <w:noProof/>
        </w:rPr>
        <w:t xml:space="preserve"> </w:t>
      </w:r>
      <w:r w:rsidR="008841BD" w:rsidRPr="00D86314">
        <w:rPr>
          <w:noProof/>
        </w:rPr>
        <w:t>The use of reservations and set-asides likewise varies, with some awards reserving portions of the band for specific user groups such as new entrants or local or industrial networks, while many make the full band available to mobile network operators.</w:t>
      </w:r>
      <w:r w:rsidR="003F2187" w:rsidRPr="00D86314">
        <w:rPr>
          <w:noProof/>
        </w:rPr>
        <w:t xml:space="preserve"> </w:t>
      </w:r>
      <w:r w:rsidRPr="00D86314">
        <w:rPr>
          <w:noProof/>
        </w:rPr>
        <w:t xml:space="preserve">Finally, final auction prices per </w:t>
      </w:r>
      <w:r w:rsidRPr="00D86314">
        <w:rPr>
          <w:rFonts w:eastAsia="Aptos"/>
          <w:noProof/>
        </w:rPr>
        <w:t xml:space="preserve">megahertz </w:t>
      </w:r>
      <w:r w:rsidRPr="00D86314">
        <w:rPr>
          <w:noProof/>
        </w:rPr>
        <w:t xml:space="preserve">and per inhabitant display considerable dispersion across awards in both bands, reflecting differences in auction formats, competitive dynamics, spectrum availability and regulatory conditions. </w:t>
      </w:r>
    </w:p>
    <w:p w14:paraId="67C7A95A" w14:textId="77777777" w:rsidR="003F2187" w:rsidRPr="00D86314" w:rsidRDefault="002041C3" w:rsidP="003B5FD9">
      <w:pPr>
        <w:spacing w:after="160"/>
        <w:rPr>
          <w:noProof/>
        </w:rPr>
      </w:pPr>
      <w:r w:rsidRPr="00D86314">
        <w:rPr>
          <w:noProof/>
        </w:rPr>
        <w:t>Taken together, these observations confirm that regulatory approaches to the assignment of the two pioneer bands remain highly heterogeneous across the Union, both in terms of the breadth and intensity of intervention and in terms of the specific combinations of caps, access conditions, coverage obligations, reservations and price outcomes applied in different national contexts.</w:t>
      </w:r>
    </w:p>
    <w:p w14:paraId="7666D216" w14:textId="6B97BA2A" w:rsidR="003F2187" w:rsidRPr="00D86314" w:rsidRDefault="00B03D2C" w:rsidP="003B5FD9">
      <w:pPr>
        <w:spacing w:after="160"/>
        <w:rPr>
          <w:noProof/>
        </w:rPr>
      </w:pPr>
      <w:r w:rsidRPr="00D86314">
        <w:rPr>
          <w:noProof/>
        </w:rPr>
        <w:t>For the purposes of both the visual exploration and the multiple regression analysis examining the relationship between market outcomes and regulatory approaches, a quantitative assessment of the regulatory frameworks and their cross-country differences was required. To this end, a set of scores was developed for each of the regulatory categories under the lead of a spectrum-auction expert, as described in the following subsection. While these scores provide the necessary granularity for the regression analysis, a composite regulatory-design index was also constructed for the visual analysis to summarise the overall restrictiveness of the award conditions applied in each Member State. The construction of such scores inevitably involves a degree of judgement, yet care was taken to apply consistent criteria and to reflect the underlying regulatory differences as objectively as possible.</w:t>
      </w:r>
    </w:p>
    <w:p w14:paraId="4EF4E4B8" w14:textId="01A91283" w:rsidR="00B03D2C" w:rsidRPr="00D86314" w:rsidRDefault="00D856DE" w:rsidP="002041C3">
      <w:pPr>
        <w:pStyle w:val="Heading3"/>
        <w:spacing w:after="160" w:line="276" w:lineRule="auto"/>
        <w:rPr>
          <w:rFonts w:eastAsia="Aptos"/>
          <w:noProof/>
          <w:u w:val="single"/>
        </w:rPr>
      </w:pPr>
      <w:bookmarkStart w:id="184" w:name="_Toc219718394"/>
      <w:r w:rsidRPr="00D86314">
        <w:rPr>
          <w:rFonts w:eastAsia="Aptos Display"/>
          <w:noProof/>
        </w:rPr>
        <w:t>Scoring of Spectrum Caps</w:t>
      </w:r>
      <w:bookmarkEnd w:id="184"/>
    </w:p>
    <w:p w14:paraId="25E9DEF9" w14:textId="79FB6AA1" w:rsidR="003141CD" w:rsidRPr="00D86314" w:rsidRDefault="00E24D11" w:rsidP="003141CD">
      <w:pPr>
        <w:pStyle w:val="Heading4"/>
        <w:rPr>
          <w:noProof/>
        </w:rPr>
      </w:pPr>
      <w:r w:rsidRPr="00D86314">
        <w:rPr>
          <w:noProof/>
        </w:rPr>
        <w:t>3.4–3.8 GHz band</w:t>
      </w:r>
    </w:p>
    <w:p w14:paraId="672E77A8" w14:textId="16286C39" w:rsidR="00264662" w:rsidRPr="00D86314" w:rsidRDefault="00264662" w:rsidP="003B5FD9">
      <w:pPr>
        <w:spacing w:after="160"/>
        <w:rPr>
          <w:noProof/>
        </w:rPr>
      </w:pPr>
      <w:r w:rsidRPr="00D86314">
        <w:rPr>
          <w:noProof/>
        </w:rPr>
        <w:t xml:space="preserve">The categorisation of spectrum caps in the 3.4–3.8 GHz awards is based on an assessment of how </w:t>
      </w:r>
      <w:r w:rsidR="00C10472" w:rsidRPr="00D86314">
        <w:rPr>
          <w:noProof/>
        </w:rPr>
        <w:t>intrusive</w:t>
      </w:r>
      <w:r w:rsidRPr="00D86314">
        <w:rPr>
          <w:noProof/>
        </w:rPr>
        <w:t xml:space="preserve"> the applicable limits are in practice. Expert opinion generally considers that mobile network operators require 80–100 MHz of contiguous mid-band spectrum to achieve the full performance potential of 5G in this band.</w:t>
      </w:r>
      <w:r w:rsidR="00FB2DFE" w:rsidRPr="00D86314">
        <w:rPr>
          <w:rStyle w:val="FootnoteReference"/>
          <w:noProof/>
        </w:rPr>
        <w:footnoteReference w:id="131"/>
      </w:r>
      <w:r w:rsidRPr="00D86314">
        <w:rPr>
          <w:noProof/>
        </w:rPr>
        <w:t xml:space="preserve"> This benchmark is consistent with the distribution of licences observed in Europe: in the PolicyTracker Spectrum Database, only 11</w:t>
      </w:r>
      <w:r w:rsidR="00527540">
        <w:rPr>
          <w:noProof/>
        </w:rPr>
        <w:t>percent</w:t>
      </w:r>
      <w:r w:rsidR="00C30CF8">
        <w:rPr>
          <w:noProof/>
        </w:rPr>
        <w:t xml:space="preserve"> </w:t>
      </w:r>
      <w:r w:rsidRPr="00D86314">
        <w:rPr>
          <w:noProof/>
        </w:rPr>
        <w:t>of the 254 national licences in multi-operator European markets in the 3.3–3.8 GHz range exceed 100 MHz, with the largest licence reaching 200 MHz.</w:t>
      </w:r>
    </w:p>
    <w:p w14:paraId="3CC7B9AB" w14:textId="06AC2C93" w:rsidR="00264662" w:rsidRPr="00D86314" w:rsidRDefault="00264662" w:rsidP="003B5FD9">
      <w:pPr>
        <w:spacing w:after="160"/>
        <w:rPr>
          <w:noProof/>
        </w:rPr>
      </w:pPr>
      <w:r w:rsidRPr="00D86314">
        <w:rPr>
          <w:noProof/>
        </w:rPr>
        <w:t>Against this background, spectrum caps were scored according to the maximum amount of 3.4–3.8 GHz spectrum an operator could hold after the award, including any existing holdings:</w:t>
      </w:r>
    </w:p>
    <w:p w14:paraId="6078B132" w14:textId="1079F169" w:rsidR="00264662" w:rsidRPr="00D86314" w:rsidRDefault="00264662" w:rsidP="003B5FD9">
      <w:pPr>
        <w:pStyle w:val="ListParagraph"/>
        <w:numPr>
          <w:ilvl w:val="0"/>
          <w:numId w:val="68"/>
        </w:numPr>
        <w:spacing w:after="160"/>
        <w:rPr>
          <w:noProof/>
        </w:rPr>
      </w:pPr>
      <w:r w:rsidRPr="00D86314">
        <w:rPr>
          <w:b/>
          <w:noProof/>
        </w:rPr>
        <w:t>Score 3:</w:t>
      </w:r>
      <w:r w:rsidRPr="00D86314">
        <w:rPr>
          <w:noProof/>
        </w:rPr>
        <w:t xml:space="preserve"> no spectrum caps applied, allowing operators to acquire any amount of spectrum in the band</w:t>
      </w:r>
    </w:p>
    <w:p w14:paraId="5F6F6358" w14:textId="470C680E" w:rsidR="00264662" w:rsidRPr="00D86314" w:rsidRDefault="00264662" w:rsidP="003B5FD9">
      <w:pPr>
        <w:pStyle w:val="ListParagraph"/>
        <w:numPr>
          <w:ilvl w:val="0"/>
          <w:numId w:val="68"/>
        </w:numPr>
        <w:spacing w:after="160"/>
        <w:rPr>
          <w:noProof/>
        </w:rPr>
      </w:pPr>
      <w:r w:rsidRPr="00D86314">
        <w:rPr>
          <w:b/>
          <w:noProof/>
        </w:rPr>
        <w:t>Score 2:</w:t>
      </w:r>
      <w:r w:rsidRPr="00D86314">
        <w:rPr>
          <w:noProof/>
        </w:rPr>
        <w:t xml:space="preserve"> caps above 100 MHz, that is caps allowing holdings beyond the level generally required to reach full 5G capacity</w:t>
      </w:r>
    </w:p>
    <w:p w14:paraId="5A04058A" w14:textId="7DA04553" w:rsidR="00264662" w:rsidRPr="00D86314" w:rsidRDefault="00264662" w:rsidP="003B5FD9">
      <w:pPr>
        <w:pStyle w:val="ListParagraph"/>
        <w:numPr>
          <w:ilvl w:val="0"/>
          <w:numId w:val="68"/>
        </w:numPr>
        <w:spacing w:after="160"/>
        <w:rPr>
          <w:noProof/>
        </w:rPr>
      </w:pPr>
      <w:r w:rsidRPr="00D86314">
        <w:rPr>
          <w:b/>
          <w:noProof/>
        </w:rPr>
        <w:t>Score 1:</w:t>
      </w:r>
      <w:r w:rsidRPr="00D86314">
        <w:rPr>
          <w:noProof/>
        </w:rPr>
        <w:t xml:space="preserve"> caps between 80 and 100 MHz, corresponding to the range considered adequate for fully exploiting the capabilities of the band</w:t>
      </w:r>
    </w:p>
    <w:p w14:paraId="53ACF2D0" w14:textId="7E13A7EF" w:rsidR="00264662" w:rsidRPr="00D86314" w:rsidRDefault="00264662" w:rsidP="003B5FD9">
      <w:pPr>
        <w:pStyle w:val="ListParagraph"/>
        <w:numPr>
          <w:ilvl w:val="0"/>
          <w:numId w:val="68"/>
        </w:numPr>
        <w:spacing w:after="160"/>
        <w:rPr>
          <w:noProof/>
        </w:rPr>
      </w:pPr>
      <w:r w:rsidRPr="00D86314">
        <w:rPr>
          <w:b/>
          <w:noProof/>
        </w:rPr>
        <w:t>Score 0:</w:t>
      </w:r>
      <w:r w:rsidRPr="00D86314">
        <w:rPr>
          <w:noProof/>
        </w:rPr>
        <w:t xml:space="preserve"> caps below 80 MHz, that is below the recommended threshold for optimal mid-band 5G performance</w:t>
      </w:r>
    </w:p>
    <w:p w14:paraId="7434BE1A" w14:textId="56A64A19" w:rsidR="00264662" w:rsidRPr="00D86314" w:rsidRDefault="00264662" w:rsidP="003B5FD9">
      <w:pPr>
        <w:spacing w:after="160"/>
        <w:rPr>
          <w:noProof/>
        </w:rPr>
      </w:pPr>
      <w:r w:rsidRPr="00D86314">
        <w:rPr>
          <w:noProof/>
        </w:rPr>
        <w:t>A few country</w:t>
      </w:r>
      <w:r w:rsidR="00FD4E21" w:rsidRPr="00D86314">
        <w:rPr>
          <w:rFonts w:eastAsia="Aptos"/>
          <w:noProof/>
        </w:rPr>
        <w:t>-</w:t>
      </w:r>
      <w:r w:rsidRPr="00D86314">
        <w:rPr>
          <w:noProof/>
        </w:rPr>
        <w:t>specific points require clarification to ensure the scoring is applied consistently:</w:t>
      </w:r>
    </w:p>
    <w:p w14:paraId="4DD41BFB" w14:textId="2BECAD01" w:rsidR="006F2487" w:rsidRPr="00D86314" w:rsidRDefault="006F2487" w:rsidP="003B5FD9">
      <w:pPr>
        <w:pStyle w:val="ListParagraph"/>
        <w:numPr>
          <w:ilvl w:val="0"/>
          <w:numId w:val="69"/>
        </w:numPr>
        <w:spacing w:after="160"/>
        <w:rPr>
          <w:noProof/>
        </w:rPr>
      </w:pPr>
      <w:r w:rsidRPr="00D86314">
        <w:rPr>
          <w:b/>
          <w:noProof/>
        </w:rPr>
        <w:t>Czechia (score 0):</w:t>
      </w:r>
      <w:r w:rsidRPr="00D86314">
        <w:rPr>
          <w:noProof/>
        </w:rPr>
        <w:t xml:space="preserve"> </w:t>
      </w:r>
      <w:r w:rsidR="0024254B" w:rsidRPr="00D86314">
        <w:rPr>
          <w:noProof/>
        </w:rPr>
        <w:t>i</w:t>
      </w:r>
      <w:r w:rsidRPr="00D86314">
        <w:rPr>
          <w:noProof/>
        </w:rPr>
        <w:t>n the 3.4–3.8 GHz band, the award imposed a 60 MHz cap for the three existing mobile network operators and a 100 MHz cap for potential new entrants. The cap also included spectrum already held in the 3.6–3.8 GHz range. Given that the three incumbent operators entered the auction with pre-existing assignments, their total possible holding remained below 80 MHz, placing Czechia in the lowest scoring category.</w:t>
      </w:r>
    </w:p>
    <w:p w14:paraId="6063A328" w14:textId="6101DAC6" w:rsidR="006F2487" w:rsidRPr="00D86314" w:rsidRDefault="006F2487" w:rsidP="003B5FD9">
      <w:pPr>
        <w:pStyle w:val="ListParagraph"/>
        <w:numPr>
          <w:ilvl w:val="0"/>
          <w:numId w:val="69"/>
        </w:numPr>
        <w:spacing w:after="160"/>
        <w:rPr>
          <w:noProof/>
        </w:rPr>
      </w:pPr>
      <w:r w:rsidRPr="00D86314">
        <w:rPr>
          <w:b/>
          <w:bCs/>
          <w:noProof/>
        </w:rPr>
        <w:t>Germany (score 3):</w:t>
      </w:r>
      <w:r w:rsidRPr="00D86314">
        <w:rPr>
          <w:noProof/>
        </w:rPr>
        <w:t xml:space="preserve"> </w:t>
      </w:r>
      <w:r w:rsidR="0024254B" w:rsidRPr="00D86314">
        <w:rPr>
          <w:noProof/>
        </w:rPr>
        <w:t>i</w:t>
      </w:r>
      <w:r w:rsidRPr="00D86314">
        <w:rPr>
          <w:noProof/>
        </w:rPr>
        <w:t>t was confirmed that no band-specific cap was applied in the 3.6 GHz award, meaning operators could in principle acquire unlimited amounts of mid-band spectrum.</w:t>
      </w:r>
      <w:r w:rsidR="007458EB" w:rsidRPr="00D86314">
        <w:rPr>
          <w:rStyle w:val="FootnoteReference"/>
          <w:noProof/>
        </w:rPr>
        <w:footnoteReference w:id="132"/>
      </w:r>
    </w:p>
    <w:p w14:paraId="01774723" w14:textId="0C0E85E3" w:rsidR="006F2487" w:rsidRPr="00D86314" w:rsidRDefault="006F2487" w:rsidP="003B5FD9">
      <w:pPr>
        <w:pStyle w:val="ListParagraph"/>
        <w:numPr>
          <w:ilvl w:val="0"/>
          <w:numId w:val="69"/>
        </w:numPr>
        <w:spacing w:after="160"/>
        <w:rPr>
          <w:noProof/>
        </w:rPr>
      </w:pPr>
      <w:r w:rsidRPr="00D86314">
        <w:rPr>
          <w:b/>
          <w:noProof/>
        </w:rPr>
        <w:t>Netherlands (score 2):</w:t>
      </w:r>
      <w:r w:rsidRPr="00D86314">
        <w:rPr>
          <w:noProof/>
        </w:rPr>
        <w:t xml:space="preserve"> </w:t>
      </w:r>
      <w:r w:rsidR="0024254B" w:rsidRPr="00D86314">
        <w:rPr>
          <w:noProof/>
        </w:rPr>
        <w:t>t</w:t>
      </w:r>
      <w:r w:rsidRPr="00D86314">
        <w:rPr>
          <w:noProof/>
        </w:rPr>
        <w:t>he cross-band cap of 384 MHz did not constrain operators’ ability to secure 100 MHz in the 3.6 GHz band. The operator with the largest existing portfolio, Odido, held 260 MHz before the award and could still have acquired an additional 120 MHz before reaching the overall limit.</w:t>
      </w:r>
    </w:p>
    <w:p w14:paraId="57F0AAD5" w14:textId="59F586F0" w:rsidR="006F2487" w:rsidRPr="00D86314" w:rsidRDefault="006F2487" w:rsidP="003B5FD9">
      <w:pPr>
        <w:pStyle w:val="ListParagraph"/>
        <w:numPr>
          <w:ilvl w:val="0"/>
          <w:numId w:val="69"/>
        </w:numPr>
        <w:spacing w:after="160"/>
        <w:rPr>
          <w:noProof/>
        </w:rPr>
      </w:pPr>
      <w:r w:rsidRPr="00D86314">
        <w:rPr>
          <w:b/>
          <w:noProof/>
        </w:rPr>
        <w:t>Slovakia (score 2):</w:t>
      </w:r>
      <w:r w:rsidRPr="00D86314">
        <w:rPr>
          <w:noProof/>
        </w:rPr>
        <w:t xml:space="preserve"> </w:t>
      </w:r>
      <w:r w:rsidR="0024254B" w:rsidRPr="00D86314">
        <w:rPr>
          <w:noProof/>
        </w:rPr>
        <w:t>t</w:t>
      </w:r>
      <w:r w:rsidRPr="00D86314">
        <w:rPr>
          <w:noProof/>
        </w:rPr>
        <w:t>he applicable cap allows mid-band holdings of up to 140 MHz, which places it above the 100 MHz threshold.</w:t>
      </w:r>
    </w:p>
    <w:p w14:paraId="18C91359" w14:textId="7708D0B5" w:rsidR="00264662" w:rsidRPr="00D86314" w:rsidRDefault="00264662" w:rsidP="003B5FD9">
      <w:pPr>
        <w:pStyle w:val="ListParagraph"/>
        <w:numPr>
          <w:ilvl w:val="0"/>
          <w:numId w:val="69"/>
        </w:numPr>
        <w:spacing w:after="160"/>
        <w:rPr>
          <w:noProof/>
        </w:rPr>
      </w:pPr>
      <w:r w:rsidRPr="00D86314">
        <w:rPr>
          <w:b/>
          <w:noProof/>
        </w:rPr>
        <w:t>Slovenia (score 2):</w:t>
      </w:r>
      <w:r w:rsidRPr="00D86314">
        <w:rPr>
          <w:noProof/>
        </w:rPr>
        <w:t xml:space="preserve"> </w:t>
      </w:r>
      <w:r w:rsidR="0024254B" w:rsidRPr="00D86314">
        <w:rPr>
          <w:noProof/>
        </w:rPr>
        <w:t>a</w:t>
      </w:r>
      <w:r w:rsidRPr="00D86314">
        <w:rPr>
          <w:noProof/>
        </w:rPr>
        <w:t>lthough a total cap of 190 MHz applies across the 2.3 GHz and 3.4–3.8 GHz ranges, the 2.3 GHz band contains only 100 MHz of unpaired spectrum, typically in blocks of around 40 MHz. In practice, this means the cap does not restrict an operator’s ability to obtain 100 MHz in the 3.6 GHz band.</w:t>
      </w:r>
    </w:p>
    <w:p w14:paraId="60F9A917" w14:textId="0B63E7CC" w:rsidR="003141CD" w:rsidRPr="00D86314" w:rsidRDefault="00E24D11" w:rsidP="00703057">
      <w:pPr>
        <w:pStyle w:val="Heading4"/>
        <w:rPr>
          <w:noProof/>
        </w:rPr>
      </w:pPr>
      <w:r w:rsidRPr="00D86314">
        <w:rPr>
          <w:noProof/>
        </w:rPr>
        <w:t>700 MHz band</w:t>
      </w:r>
    </w:p>
    <w:p w14:paraId="737B8FCA" w14:textId="2866DEFA" w:rsidR="00C30DA3" w:rsidRPr="00D86314" w:rsidRDefault="00C30DA3" w:rsidP="003B5FD9">
      <w:pPr>
        <w:spacing w:after="160"/>
        <w:rPr>
          <w:noProof/>
        </w:rPr>
      </w:pPr>
      <w:r w:rsidRPr="00D86314">
        <w:rPr>
          <w:noProof/>
        </w:rPr>
        <w:t>The categorisation of spectrum caps in the 700 MHz band follows an assessment of how restrictive the applicable limits are relative to common sub-1 GHz holdings and typical 700 MHz assignment patterns. Across the EU, most mobile network operators hold 2×10 MHz in the 700 MHz band, which is generally considered adequate for delivering wide-area 5G coverage.</w:t>
      </w:r>
      <w:r w:rsidR="00CC5F97" w:rsidRPr="00D86314">
        <w:rPr>
          <w:rStyle w:val="FootnoteReference"/>
          <w:noProof/>
        </w:rPr>
        <w:footnoteReference w:id="133"/>
      </w:r>
      <w:r w:rsidRPr="00D86314">
        <w:rPr>
          <w:noProof/>
        </w:rPr>
        <w:t xml:space="preserve"> With 2×30 MHz available in total, the band can conveniently be divided among three operators, which aligns with the market structures observed in many Member States. Because the 700 MHz band has propagation characteristics similar to those of 800 MHz and 900 MHz, regulators can also balance overall sub-1 GHz holdings across these three bands.</w:t>
      </w:r>
    </w:p>
    <w:p w14:paraId="3EFE78BE" w14:textId="77777777" w:rsidR="00DE5BB5" w:rsidRPr="00D86314" w:rsidRDefault="00C30DA3" w:rsidP="003B5FD9">
      <w:pPr>
        <w:spacing w:after="160"/>
        <w:rPr>
          <w:noProof/>
        </w:rPr>
      </w:pPr>
      <w:r w:rsidRPr="00D86314">
        <w:rPr>
          <w:noProof/>
        </w:rPr>
        <w:t>Against this background, spectrum caps were scored according to the maximum amount of 700 MHz spectrum an operator could obtain, taking into account existing sub-1 GHz holdings where relevant:</w:t>
      </w:r>
    </w:p>
    <w:p w14:paraId="2A1BE5E6" w14:textId="0CAA69F3" w:rsidR="00FD4E21" w:rsidRPr="00D86314" w:rsidRDefault="00C30DA3" w:rsidP="003B5FD9">
      <w:pPr>
        <w:pStyle w:val="ListParagraph"/>
        <w:numPr>
          <w:ilvl w:val="0"/>
          <w:numId w:val="70"/>
        </w:numPr>
        <w:spacing w:after="160"/>
        <w:rPr>
          <w:noProof/>
        </w:rPr>
      </w:pPr>
      <w:r w:rsidRPr="00D86314">
        <w:rPr>
          <w:rFonts w:eastAsia="Aptos"/>
          <w:b/>
          <w:noProof/>
        </w:rPr>
        <w:t>Score</w:t>
      </w:r>
      <w:r w:rsidRPr="00D86314">
        <w:rPr>
          <w:b/>
          <w:noProof/>
        </w:rPr>
        <w:t xml:space="preserve"> 3:</w:t>
      </w:r>
      <w:r w:rsidRPr="00D86314">
        <w:rPr>
          <w:noProof/>
        </w:rPr>
        <w:t xml:space="preserve"> no caps applied, allowing operators to acquire any amount of 700 MHz spectrum</w:t>
      </w:r>
    </w:p>
    <w:p w14:paraId="6F6FE20A" w14:textId="4A4DB117" w:rsidR="00FD4E21" w:rsidRPr="00D86314" w:rsidRDefault="00C30DA3" w:rsidP="003B5FD9">
      <w:pPr>
        <w:pStyle w:val="ListParagraph"/>
        <w:numPr>
          <w:ilvl w:val="0"/>
          <w:numId w:val="70"/>
        </w:numPr>
        <w:spacing w:after="160"/>
        <w:rPr>
          <w:noProof/>
        </w:rPr>
      </w:pPr>
      <w:r w:rsidRPr="00D86314">
        <w:rPr>
          <w:rFonts w:eastAsia="Aptos"/>
          <w:b/>
          <w:noProof/>
        </w:rPr>
        <w:t>Score</w:t>
      </w:r>
      <w:r w:rsidRPr="00D86314">
        <w:rPr>
          <w:b/>
          <w:noProof/>
        </w:rPr>
        <w:t xml:space="preserve"> 2:</w:t>
      </w:r>
      <w:r w:rsidRPr="00D86314">
        <w:rPr>
          <w:noProof/>
        </w:rPr>
        <w:t xml:space="preserve"> caps above 2×10 MHz, that is above the most common assigned bandwidth</w:t>
      </w:r>
    </w:p>
    <w:p w14:paraId="591084FC" w14:textId="5995D65D" w:rsidR="00FD4E21" w:rsidRPr="00D86314" w:rsidRDefault="00C30DA3" w:rsidP="003B5FD9">
      <w:pPr>
        <w:pStyle w:val="ListParagraph"/>
        <w:numPr>
          <w:ilvl w:val="0"/>
          <w:numId w:val="70"/>
        </w:numPr>
        <w:spacing w:after="160"/>
        <w:rPr>
          <w:noProof/>
        </w:rPr>
      </w:pPr>
      <w:r w:rsidRPr="00D86314">
        <w:rPr>
          <w:rFonts w:eastAsia="Aptos"/>
          <w:b/>
          <w:noProof/>
        </w:rPr>
        <w:t>Score</w:t>
      </w:r>
      <w:r w:rsidRPr="00D86314">
        <w:rPr>
          <w:b/>
          <w:noProof/>
        </w:rPr>
        <w:t xml:space="preserve"> 1:</w:t>
      </w:r>
      <w:r w:rsidRPr="00D86314">
        <w:rPr>
          <w:noProof/>
        </w:rPr>
        <w:t xml:space="preserve"> caps of 2×10 MHz, corresponding to the most widely allocated bandwidth across the EU</w:t>
      </w:r>
    </w:p>
    <w:p w14:paraId="57A0CAC1" w14:textId="3765D529" w:rsidR="00FD4E21" w:rsidRPr="00D86314" w:rsidRDefault="00C30DA3" w:rsidP="003B5FD9">
      <w:pPr>
        <w:pStyle w:val="ListParagraph"/>
        <w:numPr>
          <w:ilvl w:val="0"/>
          <w:numId w:val="88"/>
        </w:numPr>
        <w:spacing w:after="160"/>
        <w:rPr>
          <w:noProof/>
        </w:rPr>
      </w:pPr>
      <w:r w:rsidRPr="00D86314">
        <w:rPr>
          <w:rFonts w:eastAsia="Aptos"/>
          <w:b/>
          <w:noProof/>
        </w:rPr>
        <w:t>Score</w:t>
      </w:r>
      <w:r w:rsidRPr="00D86314">
        <w:rPr>
          <w:b/>
          <w:noProof/>
        </w:rPr>
        <w:t xml:space="preserve"> 0:</w:t>
      </w:r>
      <w:r w:rsidRPr="00D86314">
        <w:rPr>
          <w:noProof/>
        </w:rPr>
        <w:t xml:space="preserve"> caps below 2×10 MHz, that is below the standard assignment </w:t>
      </w:r>
      <w:r w:rsidRPr="00D86314">
        <w:rPr>
          <w:rFonts w:eastAsia="Aptos"/>
          <w:noProof/>
        </w:rPr>
        <w:t>level</w:t>
      </w:r>
    </w:p>
    <w:p w14:paraId="4657554A" w14:textId="77777777" w:rsidR="00AE30B5" w:rsidRPr="00D86314" w:rsidRDefault="00C30DA3" w:rsidP="003B5FD9">
      <w:pPr>
        <w:spacing w:after="160"/>
        <w:rPr>
          <w:noProof/>
        </w:rPr>
      </w:pPr>
      <w:r w:rsidRPr="00D86314">
        <w:rPr>
          <w:noProof/>
        </w:rPr>
        <w:t>Several country specific points require clarification for consistency of scoring</w:t>
      </w:r>
      <w:r w:rsidR="00BC4575" w:rsidRPr="00D86314">
        <w:rPr>
          <w:noProof/>
        </w:rPr>
        <w:t>:</w:t>
      </w:r>
    </w:p>
    <w:p w14:paraId="7588FB30" w14:textId="2DEBAFB4" w:rsidR="00AE30B5" w:rsidRPr="00D86314" w:rsidRDefault="00C30DA3" w:rsidP="003B5FD9">
      <w:pPr>
        <w:pStyle w:val="ListParagraph"/>
        <w:numPr>
          <w:ilvl w:val="0"/>
          <w:numId w:val="71"/>
        </w:numPr>
        <w:spacing w:after="160"/>
        <w:rPr>
          <w:noProof/>
        </w:rPr>
      </w:pPr>
      <w:r w:rsidRPr="00D86314">
        <w:rPr>
          <w:rFonts w:eastAsia="Aptos"/>
          <w:b/>
          <w:noProof/>
        </w:rPr>
        <w:t>Austria</w:t>
      </w:r>
      <w:r w:rsidRPr="00D86314">
        <w:rPr>
          <w:b/>
          <w:noProof/>
        </w:rPr>
        <w:t xml:space="preserve"> (score 2):</w:t>
      </w:r>
      <w:r w:rsidRPr="00D86314">
        <w:rPr>
          <w:noProof/>
        </w:rPr>
        <w:t xml:space="preserve"> the applicable caps allowed operators to acquire more than 2×10 MHz, placing Austria in the category above the commonly assigned bandwidth.</w:t>
      </w:r>
    </w:p>
    <w:p w14:paraId="21B976B7" w14:textId="7F01203C" w:rsidR="00C30DA3" w:rsidRPr="00D86314" w:rsidRDefault="00C30DA3" w:rsidP="003B5FD9">
      <w:pPr>
        <w:pStyle w:val="ListParagraph"/>
        <w:numPr>
          <w:ilvl w:val="0"/>
          <w:numId w:val="71"/>
        </w:numPr>
        <w:spacing w:after="160"/>
        <w:rPr>
          <w:noProof/>
        </w:rPr>
      </w:pPr>
      <w:r w:rsidRPr="00D86314">
        <w:rPr>
          <w:rFonts w:eastAsia="Aptos"/>
          <w:b/>
          <w:noProof/>
        </w:rPr>
        <w:t>Denmark</w:t>
      </w:r>
      <w:r w:rsidRPr="00D86314">
        <w:rPr>
          <w:b/>
          <w:noProof/>
        </w:rPr>
        <w:t xml:space="preserve"> (score 2):</w:t>
      </w:r>
      <w:r w:rsidRPr="00D86314">
        <w:rPr>
          <w:noProof/>
        </w:rPr>
        <w:t xml:space="preserve"> the cap of 2×35 MHz across the 700 MHz, 800 MHz and 900 MHz FDD bands meant operators could obtain more than 2×10 MHz in the 700 MHz band while remaining within the overall limit.</w:t>
      </w:r>
    </w:p>
    <w:p w14:paraId="5130B973" w14:textId="76C243F9" w:rsidR="00C30DA3" w:rsidRPr="00D86314" w:rsidRDefault="00C30DA3" w:rsidP="003B5FD9">
      <w:pPr>
        <w:pStyle w:val="ListParagraph"/>
        <w:numPr>
          <w:ilvl w:val="0"/>
          <w:numId w:val="71"/>
        </w:numPr>
        <w:spacing w:after="160"/>
        <w:rPr>
          <w:noProof/>
        </w:rPr>
      </w:pPr>
      <w:r w:rsidRPr="00D86314">
        <w:rPr>
          <w:b/>
          <w:noProof/>
        </w:rPr>
        <w:t>Lithuania (score 0):</w:t>
      </w:r>
      <w:r w:rsidRPr="00D86314">
        <w:rPr>
          <w:noProof/>
        </w:rPr>
        <w:t xml:space="preserve"> for most operators, the effective cap restricted potential 700 MHz holdings to below 2×10 MHz, which places Lithuania in the lowest scoring category.</w:t>
      </w:r>
    </w:p>
    <w:p w14:paraId="2EE61474" w14:textId="4F03F758" w:rsidR="00C30DA3" w:rsidRPr="00D86314" w:rsidRDefault="00C30DA3" w:rsidP="003B5FD9">
      <w:pPr>
        <w:pStyle w:val="ListParagraph"/>
        <w:numPr>
          <w:ilvl w:val="0"/>
          <w:numId w:val="71"/>
        </w:numPr>
        <w:spacing w:after="160"/>
        <w:rPr>
          <w:noProof/>
        </w:rPr>
      </w:pPr>
      <w:r w:rsidRPr="00D86314">
        <w:rPr>
          <w:b/>
          <w:noProof/>
        </w:rPr>
        <w:t>Netherlands (score 2):</w:t>
      </w:r>
      <w:r w:rsidRPr="00D86314">
        <w:rPr>
          <w:noProof/>
        </w:rPr>
        <w:t xml:space="preserve"> excluding the 700 MHz band, operators already held 50 MHz or 40 MHz of sub-1 GHz spectrum, meaning they could have acquired more than 2×10 MHz in 700 MHz and still remained below the 80 MHz low-band cap; the effective cap therefore allowed holdings above the standard assignment level.</w:t>
      </w:r>
    </w:p>
    <w:p w14:paraId="5B832918" w14:textId="4BAB7D35" w:rsidR="003D041D" w:rsidRPr="00D86314" w:rsidRDefault="00C30DA3" w:rsidP="003B5FD9">
      <w:pPr>
        <w:pStyle w:val="ListParagraph"/>
        <w:numPr>
          <w:ilvl w:val="0"/>
          <w:numId w:val="71"/>
        </w:numPr>
        <w:spacing w:after="160"/>
        <w:rPr>
          <w:noProof/>
        </w:rPr>
      </w:pPr>
      <w:r w:rsidRPr="00D86314">
        <w:rPr>
          <w:b/>
          <w:noProof/>
        </w:rPr>
        <w:t>Slovenia (score 2):</w:t>
      </w:r>
      <w:r w:rsidRPr="00D86314">
        <w:rPr>
          <w:noProof/>
        </w:rPr>
        <w:t xml:space="preserve"> under the combined cap of 2×35 MHz across the 700 MHz, 800 MHz and 900 MHz FDD bands, an operator could hold the typical 2×10 MHz in both 800 MHz and 900 MHz while still being able to obtain more than 2×10 MHz in the 700 MHz band.</w:t>
      </w:r>
    </w:p>
    <w:p w14:paraId="41DD5891" w14:textId="75CD7B37" w:rsidR="0058782D" w:rsidRPr="00D86314" w:rsidRDefault="00D856DE" w:rsidP="00E75E88">
      <w:pPr>
        <w:pStyle w:val="Heading3"/>
        <w:rPr>
          <w:rFonts w:eastAsia="Aptos"/>
          <w:noProof/>
        </w:rPr>
      </w:pPr>
      <w:bookmarkStart w:id="185" w:name="_Toc219718395"/>
      <w:r w:rsidRPr="00D86314">
        <w:rPr>
          <w:rFonts w:eastAsia="Aptos Display"/>
          <w:noProof/>
        </w:rPr>
        <w:t>Scoring of</w:t>
      </w:r>
      <w:r w:rsidR="0058782D" w:rsidRPr="00D86314">
        <w:rPr>
          <w:rFonts w:eastAsia="Aptos Display"/>
          <w:noProof/>
        </w:rPr>
        <w:t xml:space="preserve"> </w:t>
      </w:r>
      <w:r w:rsidR="00A0422B" w:rsidRPr="00D86314">
        <w:rPr>
          <w:rFonts w:eastAsia="Aptos Display"/>
          <w:noProof/>
        </w:rPr>
        <w:t>Access Obligations</w:t>
      </w:r>
      <w:bookmarkEnd w:id="185"/>
    </w:p>
    <w:p w14:paraId="1E2C2125" w14:textId="77777777" w:rsidR="00E82B86" w:rsidRPr="00D86314" w:rsidRDefault="00E82B86" w:rsidP="00E82B86">
      <w:pPr>
        <w:pStyle w:val="Heading4"/>
        <w:rPr>
          <w:i/>
          <w:iCs/>
          <w:noProof/>
        </w:rPr>
      </w:pPr>
      <w:r w:rsidRPr="00D86314">
        <w:rPr>
          <w:i/>
          <w:iCs/>
          <w:noProof/>
        </w:rPr>
        <w:t>3.4–3.8 GHz band</w:t>
      </w:r>
    </w:p>
    <w:p w14:paraId="2A17089C" w14:textId="4397DFEC" w:rsidR="00943FFF" w:rsidRPr="00D86314" w:rsidRDefault="00943FFF" w:rsidP="003B5FD9">
      <w:pPr>
        <w:spacing w:after="160"/>
        <w:rPr>
          <w:noProof/>
        </w:rPr>
      </w:pPr>
      <w:r w:rsidRPr="00D86314">
        <w:rPr>
          <w:noProof/>
        </w:rPr>
        <w:t xml:space="preserve">The classification of access obligations in the 3.4–3.8 GHz band is constrained by the limited availability of consistent, detailed information on the exact nature of wholesale access requirements across Member States. For this reason, a simplified quantitative approach was applied, starting from a </w:t>
      </w:r>
      <w:r w:rsidRPr="00D86314">
        <w:rPr>
          <w:b/>
          <w:noProof/>
        </w:rPr>
        <w:t>base score of 10</w:t>
      </w:r>
      <w:r w:rsidRPr="00D86314">
        <w:rPr>
          <w:noProof/>
        </w:rPr>
        <w:t xml:space="preserve">, which reflects the situation in which </w:t>
      </w:r>
      <w:r w:rsidRPr="00D86314">
        <w:rPr>
          <w:b/>
          <w:noProof/>
        </w:rPr>
        <w:t>no access obligations</w:t>
      </w:r>
      <w:r w:rsidRPr="00D86314">
        <w:rPr>
          <w:noProof/>
        </w:rPr>
        <w:t xml:space="preserve"> are imposed on spectrum assignees. Points are then deducted depending on the type of obligation attached to the award, with the level of deduction representing the relative </w:t>
      </w:r>
      <w:r w:rsidR="00C10472" w:rsidRPr="00D86314">
        <w:rPr>
          <w:noProof/>
        </w:rPr>
        <w:t>intrusiveness</w:t>
      </w:r>
      <w:r w:rsidRPr="00D86314">
        <w:rPr>
          <w:noProof/>
        </w:rPr>
        <w:t xml:space="preserve"> of the obligation from the perspective of a mobile network operator.</w:t>
      </w:r>
    </w:p>
    <w:p w14:paraId="5B5EBEB8" w14:textId="7DDD08A9" w:rsidR="00943FFF" w:rsidRPr="00D86314" w:rsidRDefault="00943FFF" w:rsidP="003B5FD9">
      <w:pPr>
        <w:pStyle w:val="ListParagraph"/>
        <w:numPr>
          <w:ilvl w:val="0"/>
          <w:numId w:val="72"/>
        </w:numPr>
        <w:spacing w:after="160"/>
        <w:rPr>
          <w:noProof/>
        </w:rPr>
      </w:pPr>
      <w:r w:rsidRPr="00D86314">
        <w:rPr>
          <w:noProof/>
        </w:rPr>
        <w:t xml:space="preserve">A </w:t>
      </w:r>
      <w:r w:rsidRPr="00D86314">
        <w:rPr>
          <w:b/>
          <w:noProof/>
        </w:rPr>
        <w:t>deduction of 3 points</w:t>
      </w:r>
      <w:r w:rsidRPr="00D86314">
        <w:rPr>
          <w:noProof/>
        </w:rPr>
        <w:t xml:space="preserve"> is applied where the award requires </w:t>
      </w:r>
      <w:r w:rsidRPr="00D86314">
        <w:rPr>
          <w:b/>
          <w:noProof/>
        </w:rPr>
        <w:t>access for mobile virtual network operators</w:t>
      </w:r>
      <w:r w:rsidRPr="00D86314">
        <w:rPr>
          <w:noProof/>
        </w:rPr>
        <w:t xml:space="preserve">. MVNO obligations typically require operators to provide wholesale access under reasonable terms but generally leave more flexibility to negotiate commercial arrangements. They are therefore considered moderately </w:t>
      </w:r>
      <w:r w:rsidR="00C10472" w:rsidRPr="00D86314">
        <w:rPr>
          <w:noProof/>
        </w:rPr>
        <w:t>intrusive</w:t>
      </w:r>
      <w:r w:rsidRPr="00D86314">
        <w:rPr>
          <w:noProof/>
        </w:rPr>
        <w:t>.</w:t>
      </w:r>
    </w:p>
    <w:p w14:paraId="6D58F4C8" w14:textId="0E6A5541" w:rsidR="00943FFF" w:rsidRPr="00D86314" w:rsidRDefault="00943FFF" w:rsidP="003B5FD9">
      <w:pPr>
        <w:pStyle w:val="ListParagraph"/>
        <w:numPr>
          <w:ilvl w:val="0"/>
          <w:numId w:val="72"/>
        </w:numPr>
        <w:spacing w:after="160"/>
        <w:rPr>
          <w:noProof/>
        </w:rPr>
      </w:pPr>
      <w:r w:rsidRPr="00D86314">
        <w:rPr>
          <w:noProof/>
        </w:rPr>
        <w:t xml:space="preserve">A </w:t>
      </w:r>
      <w:r w:rsidRPr="00D86314">
        <w:rPr>
          <w:b/>
          <w:noProof/>
        </w:rPr>
        <w:t>deduction of 2 points</w:t>
      </w:r>
      <w:r w:rsidRPr="00D86314">
        <w:rPr>
          <w:noProof/>
        </w:rPr>
        <w:t xml:space="preserve"> is applied where obligations relate to </w:t>
      </w:r>
      <w:r w:rsidRPr="00D86314">
        <w:rPr>
          <w:b/>
          <w:noProof/>
        </w:rPr>
        <w:t>service-provider access</w:t>
      </w:r>
      <w:r w:rsidRPr="00D86314">
        <w:rPr>
          <w:noProof/>
        </w:rPr>
        <w:t xml:space="preserve">. These obligations usually involve a lighter form of wholesale access with fewer technical or operational constraints. As they impose a comparatively limited intervention in the operator’s control over retail and wholesale strategy, they are scored as less </w:t>
      </w:r>
      <w:r w:rsidR="00C10472" w:rsidRPr="00D86314">
        <w:rPr>
          <w:noProof/>
        </w:rPr>
        <w:t>intrusive</w:t>
      </w:r>
      <w:r w:rsidRPr="00D86314">
        <w:rPr>
          <w:noProof/>
        </w:rPr>
        <w:t xml:space="preserve"> than MVNO or roaming obligations.</w:t>
      </w:r>
    </w:p>
    <w:p w14:paraId="6DBAD3E9" w14:textId="7270BFBE" w:rsidR="00943FFF" w:rsidRPr="00D86314" w:rsidRDefault="00943FFF" w:rsidP="003B5FD9">
      <w:pPr>
        <w:pStyle w:val="ListParagraph"/>
        <w:numPr>
          <w:ilvl w:val="0"/>
          <w:numId w:val="72"/>
        </w:numPr>
        <w:spacing w:after="160"/>
        <w:rPr>
          <w:noProof/>
        </w:rPr>
      </w:pPr>
      <w:r w:rsidRPr="00D86314">
        <w:rPr>
          <w:noProof/>
        </w:rPr>
        <w:t xml:space="preserve">A </w:t>
      </w:r>
      <w:r w:rsidRPr="00D86314">
        <w:rPr>
          <w:b/>
          <w:noProof/>
        </w:rPr>
        <w:t>deduction of 4 points</w:t>
      </w:r>
      <w:r w:rsidRPr="00D86314">
        <w:rPr>
          <w:noProof/>
        </w:rPr>
        <w:t xml:space="preserve"> is applied in cases where </w:t>
      </w:r>
      <w:r w:rsidRPr="00D86314">
        <w:rPr>
          <w:b/>
          <w:noProof/>
        </w:rPr>
        <w:t>national roaming</w:t>
      </w:r>
      <w:r w:rsidRPr="00D86314">
        <w:rPr>
          <w:noProof/>
        </w:rPr>
        <w:t xml:space="preserve"> must be provided. Such obligations can significantly affect operators’ network planning, customer acquisition strategies and competitive positioning, especially when applied to support a new entrant. National roaming therefore represents the most </w:t>
      </w:r>
      <w:r w:rsidR="00C10472" w:rsidRPr="00D86314">
        <w:rPr>
          <w:noProof/>
        </w:rPr>
        <w:t>intrusive</w:t>
      </w:r>
      <w:r w:rsidRPr="00D86314">
        <w:rPr>
          <w:noProof/>
        </w:rPr>
        <w:t xml:space="preserve"> form of access requirement and receives the largest deduction.</w:t>
      </w:r>
    </w:p>
    <w:p w14:paraId="1E0050D3" w14:textId="33608230" w:rsidR="00E82B86" w:rsidRPr="00D86314" w:rsidRDefault="00943FFF" w:rsidP="003B5FD9">
      <w:pPr>
        <w:spacing w:after="160"/>
        <w:rPr>
          <w:noProof/>
        </w:rPr>
      </w:pPr>
      <w:r w:rsidRPr="00D86314">
        <w:rPr>
          <w:noProof/>
        </w:rPr>
        <w:t>This scoring framework allows the varying degrees of intervention associated with different types of wholesale access obligations to be reflected in a consistent manner, even where the underlying regulatory texts differ in their formulation or detail.</w:t>
      </w:r>
    </w:p>
    <w:p w14:paraId="0D2973F7" w14:textId="77777777" w:rsidR="00E82B86" w:rsidRPr="00D86314" w:rsidRDefault="00E82B86" w:rsidP="00E82B86">
      <w:pPr>
        <w:pStyle w:val="Heading4"/>
        <w:rPr>
          <w:i/>
          <w:iCs/>
          <w:noProof/>
        </w:rPr>
      </w:pPr>
      <w:r w:rsidRPr="00D86314">
        <w:rPr>
          <w:i/>
          <w:iCs/>
          <w:noProof/>
        </w:rPr>
        <w:t>700 MHz band</w:t>
      </w:r>
    </w:p>
    <w:p w14:paraId="672E5459" w14:textId="60B32A85" w:rsidR="00E82B86" w:rsidRPr="00D86314" w:rsidRDefault="00005052" w:rsidP="003B5FD9">
      <w:pPr>
        <w:spacing w:after="160"/>
        <w:rPr>
          <w:noProof/>
        </w:rPr>
      </w:pPr>
      <w:r w:rsidRPr="00D86314">
        <w:rPr>
          <w:noProof/>
        </w:rPr>
        <w:t xml:space="preserve">For the 700 MHz awards, access obligations were assessed using the same scoring framework as for the 3.4–3.8 GHz band, reflecting the comparable role of wholesale access requirements and the broadly similar information available for both bands. The assessment starts from a base score of 10, with deductions of 3 points for MVNO access, 2 points for service-provider access, and 4 points for national roaming, corresponding to the relative </w:t>
      </w:r>
      <w:r w:rsidR="00C10472" w:rsidRPr="00D86314">
        <w:rPr>
          <w:noProof/>
        </w:rPr>
        <w:t>intrusiveness</w:t>
      </w:r>
      <w:r w:rsidRPr="00D86314">
        <w:rPr>
          <w:noProof/>
        </w:rPr>
        <w:t xml:space="preserve"> of each obligation for the spectrum assignee.</w:t>
      </w:r>
    </w:p>
    <w:p w14:paraId="3687F0A1" w14:textId="553A398B" w:rsidR="005F304B" w:rsidRPr="00D86314" w:rsidRDefault="005F304B" w:rsidP="002041C3">
      <w:pPr>
        <w:pStyle w:val="Heading3"/>
        <w:spacing w:after="160" w:line="276" w:lineRule="auto"/>
        <w:rPr>
          <w:rFonts w:eastAsia="Aptos"/>
          <w:noProof/>
          <w:u w:val="single"/>
        </w:rPr>
      </w:pPr>
      <w:bookmarkStart w:id="186" w:name="_Toc219718396"/>
      <w:r w:rsidRPr="00D86314">
        <w:rPr>
          <w:rFonts w:eastAsia="Aptos Display"/>
          <w:noProof/>
        </w:rPr>
        <w:t xml:space="preserve">Scoring of </w:t>
      </w:r>
      <w:r w:rsidR="002A21BC" w:rsidRPr="00D86314">
        <w:rPr>
          <w:rFonts w:eastAsia="Aptos Display"/>
          <w:noProof/>
        </w:rPr>
        <w:t>Reservations and Set-Asides</w:t>
      </w:r>
      <w:bookmarkEnd w:id="186"/>
    </w:p>
    <w:p w14:paraId="5BA42872" w14:textId="06965C16" w:rsidR="00E82B86" w:rsidRPr="00D86314" w:rsidRDefault="00E82B86" w:rsidP="00E82B86">
      <w:pPr>
        <w:pStyle w:val="Heading4"/>
        <w:rPr>
          <w:i/>
          <w:iCs/>
          <w:noProof/>
        </w:rPr>
      </w:pPr>
      <w:r w:rsidRPr="00D86314">
        <w:rPr>
          <w:i/>
          <w:iCs/>
          <w:noProof/>
        </w:rPr>
        <w:t>3.4–3.8 GHz band</w:t>
      </w:r>
    </w:p>
    <w:p w14:paraId="4C6AE4F8" w14:textId="096F5D3C" w:rsidR="00CE0A7E" w:rsidRPr="00D86314" w:rsidRDefault="00CE0A7E" w:rsidP="003B5FD9">
      <w:pPr>
        <w:spacing w:after="160"/>
        <w:rPr>
          <w:noProof/>
        </w:rPr>
      </w:pPr>
      <w:r w:rsidRPr="00D86314">
        <w:rPr>
          <w:noProof/>
        </w:rPr>
        <w:t xml:space="preserve">The categorisation of reservations and set-asides in the 3.4–3.8 GHz band is based on an assessment of how </w:t>
      </w:r>
      <w:r w:rsidR="00C10472" w:rsidRPr="00D86314">
        <w:rPr>
          <w:noProof/>
        </w:rPr>
        <w:t>intrusive</w:t>
      </w:r>
      <w:r w:rsidRPr="00D86314">
        <w:rPr>
          <w:noProof/>
        </w:rPr>
        <w:t xml:space="preserve"> these measures are in practice for operators seeking to acquire sufficient mid-band spectrum for effective 5G deployment. Reservations for new entrants and set-asides for vertical or local private networks reduce the pool of spectrum available to national mobile operators and may limit their ability to obtain the 80–100 MHz typically needed for high-performance mid-band 5G.</w:t>
      </w:r>
    </w:p>
    <w:p w14:paraId="73F6A07B" w14:textId="3EF51212" w:rsidR="00CE0A7E" w:rsidRPr="00D86314" w:rsidRDefault="00CE0A7E" w:rsidP="003B5FD9">
      <w:pPr>
        <w:spacing w:after="160"/>
        <w:rPr>
          <w:noProof/>
        </w:rPr>
      </w:pPr>
      <w:r w:rsidRPr="00D86314">
        <w:rPr>
          <w:noProof/>
        </w:rPr>
        <w:t>To ensure comparability across Member States and with the 700 MHz band, the analysis quantifies the extent of each reservation or set-aside as a percentage of the total 400 MHz available in the 3.4–3.8 GHz range. Smaller set-asides have limited effect, whereas reservations at or above 20 percent can materially constrain national operators, especially in markets with four mobile network operators</w:t>
      </w:r>
      <w:r w:rsidR="00807F40" w:rsidRPr="00D86314">
        <w:rPr>
          <w:noProof/>
        </w:rPr>
        <w:t>, where the remaining bandwidth may not be sufficient</w:t>
      </w:r>
      <w:r w:rsidRPr="00D86314">
        <w:rPr>
          <w:noProof/>
        </w:rPr>
        <w:t xml:space="preserve">. </w:t>
      </w:r>
      <w:r w:rsidR="00C52724" w:rsidRPr="00D86314">
        <w:rPr>
          <w:noProof/>
        </w:rPr>
        <w:t>The percentage of spectrum reserved enters the regression analysis in its original form, with no further scoring or transformation applied.</w:t>
      </w:r>
      <w:r w:rsidR="00491D84" w:rsidRPr="00D86314">
        <w:rPr>
          <w:rFonts w:eastAsia="Aptos"/>
          <w:noProof/>
        </w:rPr>
        <w:t xml:space="preserve"> </w:t>
      </w:r>
      <w:r w:rsidRPr="00D86314">
        <w:rPr>
          <w:noProof/>
        </w:rPr>
        <w:t>Several country specific constellations require clarification for consistency of scoring:</w:t>
      </w:r>
    </w:p>
    <w:p w14:paraId="1E0DEA88" w14:textId="26F05E3C" w:rsidR="00CE0A7E" w:rsidRPr="00D86314" w:rsidRDefault="00CE0A7E" w:rsidP="003B5FD9">
      <w:pPr>
        <w:pStyle w:val="ListParagraph"/>
        <w:numPr>
          <w:ilvl w:val="0"/>
          <w:numId w:val="76"/>
        </w:numPr>
        <w:spacing w:after="160"/>
        <w:rPr>
          <w:noProof/>
        </w:rPr>
      </w:pPr>
      <w:r w:rsidRPr="00D86314">
        <w:rPr>
          <w:b/>
          <w:noProof/>
        </w:rPr>
        <w:t>Denmark:</w:t>
      </w:r>
      <w:r w:rsidRPr="00D86314">
        <w:rPr>
          <w:noProof/>
        </w:rPr>
        <w:t xml:space="preserve"> around 10 MHz at 3.4–3.41 GHz was made available for local private networks, representing a small share of the band.</w:t>
      </w:r>
    </w:p>
    <w:p w14:paraId="552FBE62" w14:textId="21619787" w:rsidR="00CE0A7E" w:rsidRPr="00D86314" w:rsidRDefault="00CE0A7E" w:rsidP="003B5FD9">
      <w:pPr>
        <w:pStyle w:val="ListParagraph"/>
        <w:numPr>
          <w:ilvl w:val="0"/>
          <w:numId w:val="76"/>
        </w:numPr>
        <w:spacing w:after="160"/>
        <w:rPr>
          <w:noProof/>
        </w:rPr>
      </w:pPr>
      <w:r w:rsidRPr="00D86314">
        <w:rPr>
          <w:b/>
          <w:noProof/>
        </w:rPr>
        <w:t>Germany:</w:t>
      </w:r>
      <w:r w:rsidRPr="00D86314">
        <w:rPr>
          <w:noProof/>
        </w:rPr>
        <w:t xml:space="preserve"> 100 MHz at 3.7–3.8 GHz was set aside for local industrial use under a dedicated licensing framework.</w:t>
      </w:r>
    </w:p>
    <w:p w14:paraId="6F648624" w14:textId="1950B6FE" w:rsidR="00CE0A7E" w:rsidRPr="00D86314" w:rsidRDefault="00CE0A7E" w:rsidP="003B5FD9">
      <w:pPr>
        <w:pStyle w:val="ListParagraph"/>
        <w:numPr>
          <w:ilvl w:val="0"/>
          <w:numId w:val="76"/>
        </w:numPr>
        <w:spacing w:after="160"/>
        <w:rPr>
          <w:noProof/>
        </w:rPr>
      </w:pPr>
      <w:r w:rsidRPr="00D86314">
        <w:rPr>
          <w:b/>
          <w:noProof/>
        </w:rPr>
        <w:t>Greece:</w:t>
      </w:r>
      <w:r w:rsidRPr="00D86314">
        <w:rPr>
          <w:noProof/>
        </w:rPr>
        <w:t xml:space="preserve"> 10 MHz at 3.4–3.41 GHz was reserved for research purposes. As this portion lies at the edge of the band and does not affect the ability of operators to obtain standard mid-band holdings, it is included for completeness but treated as having limited practical impact.</w:t>
      </w:r>
    </w:p>
    <w:p w14:paraId="50F3363F" w14:textId="6EFD4FEE" w:rsidR="00CE0A7E" w:rsidRPr="00D86314" w:rsidRDefault="00CE0A7E" w:rsidP="003B5FD9">
      <w:pPr>
        <w:pStyle w:val="ListParagraph"/>
        <w:numPr>
          <w:ilvl w:val="0"/>
          <w:numId w:val="76"/>
        </w:numPr>
        <w:spacing w:after="160"/>
        <w:rPr>
          <w:noProof/>
        </w:rPr>
      </w:pPr>
      <w:r w:rsidRPr="00D86314">
        <w:rPr>
          <w:b/>
          <w:noProof/>
        </w:rPr>
        <w:t>Netherlands:</w:t>
      </w:r>
      <w:r w:rsidRPr="00D86314">
        <w:rPr>
          <w:noProof/>
        </w:rPr>
        <w:t xml:space="preserve"> 100 MHz of the 3.6 GHz band remained outside the national award to support local and private networks.</w:t>
      </w:r>
    </w:p>
    <w:p w14:paraId="4B6D51D9" w14:textId="77777777" w:rsidR="00C44C4F" w:rsidRPr="00D86314" w:rsidRDefault="00CE0A7E" w:rsidP="003B5FD9">
      <w:pPr>
        <w:pStyle w:val="ListParagraph"/>
        <w:numPr>
          <w:ilvl w:val="0"/>
          <w:numId w:val="76"/>
        </w:numPr>
        <w:spacing w:after="160"/>
        <w:rPr>
          <w:noProof/>
        </w:rPr>
      </w:pPr>
      <w:r w:rsidRPr="00D86314">
        <w:rPr>
          <w:b/>
          <w:noProof/>
        </w:rPr>
        <w:t>Slovenia:</w:t>
      </w:r>
      <w:r w:rsidRPr="00D86314">
        <w:rPr>
          <w:noProof/>
        </w:rPr>
        <w:t xml:space="preserve"> a small part of the band was allocated for local use in a three phase award process open initially to vertical users and municipalities.</w:t>
      </w:r>
    </w:p>
    <w:p w14:paraId="43B0972C" w14:textId="61B081B8" w:rsidR="00E82B86" w:rsidRPr="00D86314" w:rsidRDefault="00CE0A7E" w:rsidP="003B5FD9">
      <w:pPr>
        <w:pStyle w:val="ListParagraph"/>
        <w:numPr>
          <w:ilvl w:val="0"/>
          <w:numId w:val="76"/>
        </w:numPr>
        <w:spacing w:after="160"/>
        <w:rPr>
          <w:noProof/>
        </w:rPr>
      </w:pPr>
      <w:r w:rsidRPr="00D86314">
        <w:rPr>
          <w:b/>
          <w:noProof/>
        </w:rPr>
        <w:t>Sweden:</w:t>
      </w:r>
      <w:r w:rsidRPr="00D86314">
        <w:rPr>
          <w:noProof/>
        </w:rPr>
        <w:t xml:space="preserve"> 80 MHz in the 3.72–3.8 GHz range was designated for local licences rather than national assignment.</w:t>
      </w:r>
    </w:p>
    <w:p w14:paraId="68A45331" w14:textId="17959C4B" w:rsidR="00E82B86" w:rsidRPr="00D86314" w:rsidRDefault="00E82B86" w:rsidP="00E82B86">
      <w:pPr>
        <w:pStyle w:val="Heading4"/>
        <w:rPr>
          <w:i/>
          <w:iCs/>
          <w:noProof/>
        </w:rPr>
      </w:pPr>
      <w:r w:rsidRPr="00D86314">
        <w:rPr>
          <w:i/>
          <w:iCs/>
          <w:noProof/>
        </w:rPr>
        <w:t>700 MHz band</w:t>
      </w:r>
    </w:p>
    <w:p w14:paraId="55B02C89" w14:textId="651220E7" w:rsidR="001E0D44" w:rsidRPr="00D86314" w:rsidRDefault="001E0D44" w:rsidP="003B5FD9">
      <w:pPr>
        <w:spacing w:after="160"/>
        <w:rPr>
          <w:noProof/>
        </w:rPr>
      </w:pPr>
      <w:r w:rsidRPr="00D86314">
        <w:rPr>
          <w:noProof/>
        </w:rPr>
        <w:t xml:space="preserve">The categorisation of reservations in the 700 MHz band follows the same principle, assessing how far reservations for new entrants reduce the amount of spectrum available for national operators in a band where 2×10 MHz assignments are widely regarded as standard for ensuring effective 5G coverage. Reservations are expressed as a percentage of the total 60 MHz of paired 700 MHz spectrum, enabling comparability across Member States and with the mid-band assessment. Larger reservations, especially near or above 20 percent, can materially restrict spectrum availability in markets with four operators. As in the 3.4–3.8 GHz band, the percentage reserved is used directly in the regression models. </w:t>
      </w:r>
    </w:p>
    <w:p w14:paraId="608789C7" w14:textId="034CFD79" w:rsidR="001E0D44" w:rsidRPr="00D86314" w:rsidRDefault="001E0D44" w:rsidP="003B5FD9">
      <w:pPr>
        <w:spacing w:after="160"/>
        <w:rPr>
          <w:noProof/>
        </w:rPr>
      </w:pPr>
      <w:r w:rsidRPr="00D86314">
        <w:rPr>
          <w:noProof/>
        </w:rPr>
        <w:t>Several country specific constellations require clarification for consistency of scoring:</w:t>
      </w:r>
    </w:p>
    <w:p w14:paraId="60AFB6C3" w14:textId="62E05FAC" w:rsidR="001E0D44" w:rsidRPr="00D86314" w:rsidRDefault="001E0D44" w:rsidP="003B5FD9">
      <w:pPr>
        <w:pStyle w:val="ListParagraph"/>
        <w:numPr>
          <w:ilvl w:val="0"/>
          <w:numId w:val="77"/>
        </w:numPr>
        <w:spacing w:after="160"/>
        <w:rPr>
          <w:noProof/>
        </w:rPr>
      </w:pPr>
      <w:r w:rsidRPr="00D86314">
        <w:rPr>
          <w:b/>
          <w:noProof/>
        </w:rPr>
        <w:t>Belgium:</w:t>
      </w:r>
      <w:r w:rsidRPr="00D86314">
        <w:rPr>
          <w:noProof/>
        </w:rPr>
        <w:t xml:space="preserve"> part of the 700 MHz band was reserved for a potential new entrant as part of a broader reservation scheme across multiple mobile bands.</w:t>
      </w:r>
    </w:p>
    <w:p w14:paraId="29E1A1AC" w14:textId="2EA36483" w:rsidR="001E0D44" w:rsidRPr="00D86314" w:rsidRDefault="001E0D44" w:rsidP="003B5FD9">
      <w:pPr>
        <w:pStyle w:val="ListParagraph"/>
        <w:numPr>
          <w:ilvl w:val="0"/>
          <w:numId w:val="77"/>
        </w:numPr>
        <w:spacing w:after="160"/>
        <w:rPr>
          <w:noProof/>
        </w:rPr>
      </w:pPr>
      <w:r w:rsidRPr="00D86314">
        <w:rPr>
          <w:b/>
          <w:noProof/>
        </w:rPr>
        <w:t>Czechia:</w:t>
      </w:r>
      <w:r w:rsidRPr="00D86314">
        <w:rPr>
          <w:noProof/>
        </w:rPr>
        <w:t xml:space="preserve"> one 2×10 MHz block was formally reserved for a new operator. Although the block was ultimately acquired by an existing operator, the reservation formed part of the auction design and is treated as such.</w:t>
      </w:r>
    </w:p>
    <w:p w14:paraId="0BD5488C" w14:textId="50040831" w:rsidR="00E82B86" w:rsidRPr="00D86314" w:rsidRDefault="001E0D44" w:rsidP="003B5FD9">
      <w:pPr>
        <w:pStyle w:val="ListParagraph"/>
        <w:numPr>
          <w:ilvl w:val="0"/>
          <w:numId w:val="77"/>
        </w:numPr>
        <w:spacing w:after="160"/>
        <w:rPr>
          <w:noProof/>
        </w:rPr>
      </w:pPr>
      <w:r w:rsidRPr="00D86314">
        <w:rPr>
          <w:b/>
          <w:noProof/>
        </w:rPr>
        <w:t>Italy:</w:t>
      </w:r>
      <w:r w:rsidRPr="00D86314">
        <w:rPr>
          <w:noProof/>
        </w:rPr>
        <w:t xml:space="preserve"> a newcomer was eligible for an additional reserved package and successfully obtained two 2×5 MHz blocks under this mechanism.</w:t>
      </w:r>
    </w:p>
    <w:p w14:paraId="55E653AC" w14:textId="1033225F" w:rsidR="002A21BC" w:rsidRPr="00D86314" w:rsidRDefault="002A21BC" w:rsidP="00703057">
      <w:pPr>
        <w:pStyle w:val="Heading3"/>
        <w:spacing w:after="160" w:line="276" w:lineRule="auto"/>
        <w:rPr>
          <w:rFonts w:eastAsia="Aptos"/>
          <w:noProof/>
          <w:u w:val="single"/>
        </w:rPr>
      </w:pPr>
      <w:bookmarkStart w:id="187" w:name="_Toc219718397"/>
      <w:r w:rsidRPr="00D86314">
        <w:rPr>
          <w:rFonts w:eastAsia="Aptos Display"/>
          <w:noProof/>
        </w:rPr>
        <w:t xml:space="preserve">Scoring of </w:t>
      </w:r>
      <w:r w:rsidR="00F02F3D" w:rsidRPr="00D86314">
        <w:rPr>
          <w:rFonts w:eastAsia="Aptos Display"/>
          <w:noProof/>
        </w:rPr>
        <w:t>Final Auction Prices (</w:t>
      </w:r>
      <w:r w:rsidR="00285FEC" w:rsidRPr="00D86314">
        <w:rPr>
          <w:rFonts w:eastAsia="Aptos Display"/>
          <w:noProof/>
        </w:rPr>
        <w:t>EUR</w:t>
      </w:r>
      <w:r w:rsidR="00F02F3D" w:rsidRPr="00D86314">
        <w:rPr>
          <w:rFonts w:eastAsia="Aptos Display"/>
          <w:noProof/>
        </w:rPr>
        <w:t>/MHz/pop)</w:t>
      </w:r>
      <w:bookmarkEnd w:id="187"/>
    </w:p>
    <w:p w14:paraId="0D84591F" w14:textId="06A16E2D" w:rsidR="00D77B74" w:rsidRPr="00D86314" w:rsidRDefault="00D77B74" w:rsidP="003B5FD9">
      <w:pPr>
        <w:spacing w:after="160"/>
        <w:rPr>
          <w:noProof/>
        </w:rPr>
      </w:pPr>
      <w:r w:rsidRPr="00D86314">
        <w:rPr>
          <w:noProof/>
        </w:rPr>
        <w:t>The quantification of final auction prices in the 3.4–3.8 GHz band is based on a standardised metric expressed in euro per MHz per population</w:t>
      </w:r>
      <w:r w:rsidR="006153F1" w:rsidRPr="00D86314">
        <w:rPr>
          <w:noProof/>
        </w:rPr>
        <w:t xml:space="preserve"> (</w:t>
      </w:r>
      <w:r w:rsidR="001D68F0" w:rsidRPr="00D86314">
        <w:rPr>
          <w:noProof/>
        </w:rPr>
        <w:t>EUR</w:t>
      </w:r>
      <w:r w:rsidR="006153F1" w:rsidRPr="00D86314">
        <w:rPr>
          <w:noProof/>
        </w:rPr>
        <w:t>/MHz/Pop)</w:t>
      </w:r>
      <w:r w:rsidRPr="00D86314">
        <w:rPr>
          <w:noProof/>
        </w:rPr>
        <w:t xml:space="preserve">, which enables a consistent comparison of price levels across Member States irrespective of market size or bandwidth offered. </w:t>
      </w:r>
      <w:r w:rsidR="003E37EB" w:rsidRPr="00D86314">
        <w:rPr>
          <w:noProof/>
        </w:rPr>
        <w:t xml:space="preserve">Thus, </w:t>
      </w:r>
      <w:r w:rsidR="007970D7" w:rsidRPr="00D86314">
        <w:rPr>
          <w:noProof/>
        </w:rPr>
        <w:t xml:space="preserve">final auction prices also enter the regression analysis directly, without the need to construct a separate score. </w:t>
      </w:r>
      <w:r w:rsidRPr="00D86314">
        <w:rPr>
          <w:noProof/>
        </w:rPr>
        <w:t>The data were sourced from the Cullen International Spectrum Database, which provides harmonised information on spectrum assignments and auction outcomes.</w:t>
      </w:r>
    </w:p>
    <w:p w14:paraId="59811431" w14:textId="77777777" w:rsidR="00D73777" w:rsidRPr="00D86314" w:rsidRDefault="00D77B74" w:rsidP="003B5FD9">
      <w:pPr>
        <w:spacing w:after="160"/>
        <w:rPr>
          <w:noProof/>
        </w:rPr>
      </w:pPr>
      <w:r w:rsidRPr="00D86314">
        <w:rPr>
          <w:noProof/>
        </w:rPr>
        <w:t>Observed price levels reflect the combined effect of several factors, including the reserve prices set by regulators, the competitive intensity in the auction, the structure of national mobile markets, and the broader award conditions such as coverage obligations, access requirements, and reservations or set-asides. As a result, cross-country variation in prices cannot be attributed solely to regulatory design but captures the full interaction between regulatory and market drivers.</w:t>
      </w:r>
    </w:p>
    <w:p w14:paraId="58DE4908" w14:textId="77777777" w:rsidR="00D73777" w:rsidRPr="00D86314" w:rsidRDefault="00D73777" w:rsidP="003B5FD9">
      <w:pPr>
        <w:pStyle w:val="Heading4"/>
        <w:rPr>
          <w:noProof/>
        </w:rPr>
      </w:pPr>
      <w:r w:rsidRPr="00D86314">
        <w:rPr>
          <w:noProof/>
        </w:rPr>
        <w:t>3.4–3.8 GHz band</w:t>
      </w:r>
    </w:p>
    <w:p w14:paraId="6959BBF8" w14:textId="224484B4" w:rsidR="00951B53" w:rsidRPr="00D86314" w:rsidRDefault="006C3987" w:rsidP="003B5FD9">
      <w:pPr>
        <w:rPr>
          <w:noProof/>
        </w:rPr>
      </w:pPr>
      <w:r w:rsidRPr="00D86314">
        <w:rPr>
          <w:rFonts w:eastAsia="Aptos"/>
          <w:noProof/>
        </w:rPr>
        <w:t>For</w:t>
      </w:r>
      <w:r w:rsidRPr="00D86314">
        <w:rPr>
          <w:noProof/>
        </w:rPr>
        <w:t xml:space="preserve"> the 3.4–3.8 GHz band, band-specific price estimates could not be derived for Denmark and Romania, as the auction format did not allow for disaggregated information by band. </w:t>
      </w:r>
      <w:r w:rsidR="004C0898" w:rsidRPr="00D86314">
        <w:rPr>
          <w:noProof/>
        </w:rPr>
        <w:t>These Member States are therefore excluded from the mid-band price analysis</w:t>
      </w:r>
      <w:r w:rsidR="00BD6E2A" w:rsidRPr="00D86314">
        <w:rPr>
          <w:noProof/>
        </w:rPr>
        <w:t xml:space="preserve"> conducted in the </w:t>
      </w:r>
      <w:r w:rsidR="005C2901" w:rsidRPr="00D86314">
        <w:rPr>
          <w:noProof/>
        </w:rPr>
        <w:t>next section</w:t>
      </w:r>
      <w:r w:rsidR="004C0898" w:rsidRPr="00D86314">
        <w:rPr>
          <w:noProof/>
        </w:rPr>
        <w:t xml:space="preserve"> but remain part of the wider assessment where other data are available.</w:t>
      </w:r>
      <w:r w:rsidR="00E644BC" w:rsidRPr="00D86314">
        <w:rPr>
          <w:noProof/>
        </w:rPr>
        <w:t xml:space="preserve"> </w:t>
      </w:r>
      <w:r w:rsidR="004C0898" w:rsidRPr="00D86314">
        <w:rPr>
          <w:noProof/>
        </w:rPr>
        <w:t>Figure</w:t>
      </w:r>
      <w:r w:rsidR="001F0CF4" w:rsidRPr="00D86314">
        <w:rPr>
          <w:rFonts w:eastAsia="Aptos"/>
          <w:noProof/>
        </w:rPr>
        <w:t xml:space="preserve"> A4 3-3</w:t>
      </w:r>
      <w:r w:rsidR="004C0898" w:rsidRPr="00D86314">
        <w:rPr>
          <w:noProof/>
        </w:rPr>
        <w:t xml:space="preserve"> presents the distribution of 3.4–3.8 GHz auction prices across the Member States for which data are available.</w:t>
      </w:r>
      <w:r w:rsidR="000F704A" w:rsidRPr="00D86314">
        <w:rPr>
          <w:noProof/>
        </w:rPr>
        <w:t xml:space="preserve"> </w:t>
      </w:r>
      <w:r w:rsidR="000F704A" w:rsidRPr="00D86314">
        <w:rPr>
          <w:rFonts w:eastAsia="Aptos"/>
          <w:noProof/>
        </w:rPr>
        <w:t xml:space="preserve">The coefficient of variation, defined as the standard deviation divided by the mean, amounts to 122%. </w:t>
      </w:r>
    </w:p>
    <w:p w14:paraId="646D3A42" w14:textId="34BCF6FD" w:rsidR="005B5146" w:rsidRPr="00C20A01" w:rsidRDefault="005B5146" w:rsidP="00C20A01">
      <w:pPr>
        <w:pStyle w:val="Caption"/>
        <w:keepNext/>
        <w:rPr>
          <w:noProof/>
          <w:color w:val="auto"/>
          <w:sz w:val="20"/>
          <w:szCs w:val="20"/>
        </w:rPr>
      </w:pPr>
      <w:r w:rsidRPr="00C20A01">
        <w:rPr>
          <w:noProof/>
          <w:color w:val="auto"/>
          <w:sz w:val="20"/>
          <w:szCs w:val="20"/>
        </w:rPr>
        <w:t>Figure A4</w:t>
      </w:r>
      <w:r w:rsidR="00991FD4">
        <w:rPr>
          <w:noProof/>
          <w:color w:val="auto"/>
          <w:sz w:val="20"/>
          <w:szCs w:val="20"/>
        </w:rPr>
        <w:t>-</w:t>
      </w:r>
      <w:r>
        <w:rPr>
          <w:noProof/>
          <w:color w:val="auto"/>
          <w:sz w:val="20"/>
          <w:szCs w:val="20"/>
        </w:rPr>
        <w:fldChar w:fldCharType="begin"/>
      </w:r>
      <w:r>
        <w:rPr>
          <w:noProof/>
          <w:color w:val="auto"/>
          <w:sz w:val="20"/>
          <w:szCs w:val="20"/>
        </w:rPr>
        <w:instrText xml:space="preserve"> STYLEREF 1 \s </w:instrText>
      </w:r>
      <w:r>
        <w:rPr>
          <w:noProof/>
          <w:color w:val="auto"/>
          <w:sz w:val="20"/>
          <w:szCs w:val="20"/>
        </w:rPr>
        <w:fldChar w:fldCharType="separate"/>
      </w:r>
      <w:r>
        <w:rPr>
          <w:noProof/>
          <w:color w:val="auto"/>
          <w:sz w:val="20"/>
          <w:szCs w:val="20"/>
        </w:rPr>
        <w:t>3</w:t>
      </w:r>
      <w:r>
        <w:rPr>
          <w:noProof/>
          <w:color w:val="auto"/>
          <w:sz w:val="20"/>
          <w:szCs w:val="20"/>
        </w:rPr>
        <w:fldChar w:fldCharType="end"/>
      </w:r>
      <w:r>
        <w:rPr>
          <w:noProof/>
          <w:color w:val="auto"/>
          <w:sz w:val="20"/>
          <w:szCs w:val="20"/>
        </w:rPr>
        <w:noBreakHyphen/>
      </w:r>
      <w:r>
        <w:rPr>
          <w:noProof/>
          <w:color w:val="auto"/>
          <w:sz w:val="20"/>
          <w:szCs w:val="20"/>
        </w:rPr>
        <w:fldChar w:fldCharType="begin"/>
      </w:r>
      <w:r>
        <w:rPr>
          <w:noProof/>
          <w:color w:val="auto"/>
          <w:sz w:val="20"/>
          <w:szCs w:val="20"/>
        </w:rPr>
        <w:instrText xml:space="preserve"> SEQ Figure \* ARABIC \s 1 </w:instrText>
      </w:r>
      <w:r>
        <w:rPr>
          <w:noProof/>
          <w:color w:val="auto"/>
          <w:sz w:val="20"/>
          <w:szCs w:val="20"/>
        </w:rPr>
        <w:fldChar w:fldCharType="separate"/>
      </w:r>
      <w:r>
        <w:rPr>
          <w:noProof/>
          <w:color w:val="auto"/>
          <w:sz w:val="20"/>
          <w:szCs w:val="20"/>
        </w:rPr>
        <w:t>3</w:t>
      </w:r>
      <w:r>
        <w:rPr>
          <w:noProof/>
          <w:color w:val="auto"/>
          <w:sz w:val="20"/>
          <w:szCs w:val="20"/>
        </w:rPr>
        <w:fldChar w:fldCharType="end"/>
      </w:r>
      <w:r w:rsidRPr="00C20A01">
        <w:rPr>
          <w:noProof/>
          <w:color w:val="auto"/>
          <w:sz w:val="20"/>
          <w:szCs w:val="20"/>
        </w:rPr>
        <w:t>: Distribution of 3.4–3.8 GHz auction prices across Member States</w:t>
      </w:r>
    </w:p>
    <w:p w14:paraId="523617AA" w14:textId="20FD2A19" w:rsidR="00D04C06" w:rsidRPr="00D86314" w:rsidRDefault="003E6398" w:rsidP="007A6322">
      <w:pPr>
        <w:pStyle w:val="Heading4"/>
        <w:numPr>
          <w:ilvl w:val="0"/>
          <w:numId w:val="0"/>
        </w:numPr>
        <w:spacing w:before="360"/>
        <w:rPr>
          <w:noProof/>
        </w:rPr>
      </w:pPr>
      <w:r w:rsidRPr="00C20A01">
        <w:rPr>
          <w:rFonts w:eastAsia="Aptos"/>
          <w:i/>
          <w:iCs/>
          <w:noProof/>
          <w:sz w:val="20"/>
          <w:lang w:eastAsia="en-GB"/>
        </w:rPr>
        <w:drawing>
          <wp:inline distT="0" distB="0" distL="0" distR="0" wp14:anchorId="0D9FED67" wp14:editId="07D8304A">
            <wp:extent cx="6103010" cy="1995778"/>
            <wp:effectExtent l="0" t="0" r="0" b="5080"/>
            <wp:docPr id="1098498311" name="Picture 2" descr="A graph with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98311" name="Picture 2" descr="A graph with blue and black text&#10;&#10;AI-generated content may be incorrec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14172" cy="1999428"/>
                    </a:xfrm>
                    <a:prstGeom prst="rect">
                      <a:avLst/>
                    </a:prstGeom>
                    <a:noFill/>
                    <a:ln>
                      <a:noFill/>
                    </a:ln>
                  </pic:spPr>
                </pic:pic>
              </a:graphicData>
            </a:graphic>
          </wp:inline>
        </w:drawing>
      </w:r>
    </w:p>
    <w:p w14:paraId="007EFDAA" w14:textId="7230D71C" w:rsidR="00D04C06" w:rsidRPr="00D86314" w:rsidRDefault="00D04C06" w:rsidP="009763B7">
      <w:pPr>
        <w:pStyle w:val="Heading4"/>
        <w:numPr>
          <w:ilvl w:val="0"/>
          <w:numId w:val="0"/>
        </w:numPr>
        <w:ind w:left="864" w:hanging="864"/>
        <w:rPr>
          <w:noProof/>
        </w:rPr>
      </w:pPr>
      <w:r w:rsidRPr="00D86314">
        <w:rPr>
          <w:noProof/>
        </w:rPr>
        <w:t>3.3.8.2</w:t>
      </w:r>
      <w:r w:rsidR="00B27938" w:rsidRPr="00D86314">
        <w:rPr>
          <w:noProof/>
        </w:rPr>
        <w:t xml:space="preserve"> </w:t>
      </w:r>
      <w:r w:rsidR="00B27938" w:rsidRPr="00D86314">
        <w:rPr>
          <w:noProof/>
        </w:rPr>
        <w:tab/>
        <w:t>700 MHz band</w:t>
      </w:r>
    </w:p>
    <w:p w14:paraId="630C19E7" w14:textId="31448639" w:rsidR="00D77B74" w:rsidRPr="00D86314" w:rsidRDefault="00EB7978" w:rsidP="003B5FD9">
      <w:pPr>
        <w:spacing w:after="160"/>
        <w:jc w:val="left"/>
        <w:rPr>
          <w:noProof/>
        </w:rPr>
      </w:pPr>
      <w:r w:rsidRPr="00D86314" w:rsidDel="00CC5DCF">
        <w:rPr>
          <w:rFonts w:eastAsia="Aptos"/>
          <w:noProof/>
        </w:rPr>
        <w:t>For</w:t>
      </w:r>
      <w:r w:rsidRPr="00D86314">
        <w:rPr>
          <w:noProof/>
        </w:rPr>
        <w:t xml:space="preserve"> the 700 MHz band, final price estimates are not available for Austria, Denmark, and Romania, owing to similar limitations. </w:t>
      </w:r>
      <w:r w:rsidR="00BD6E2A" w:rsidRPr="00D86314">
        <w:rPr>
          <w:noProof/>
        </w:rPr>
        <w:t>Consequently, t</w:t>
      </w:r>
      <w:r w:rsidRPr="00D86314">
        <w:rPr>
          <w:noProof/>
        </w:rPr>
        <w:t xml:space="preserve">hese </w:t>
      </w:r>
      <w:r w:rsidR="00BD6E2A" w:rsidRPr="00D86314">
        <w:rPr>
          <w:noProof/>
        </w:rPr>
        <w:t>Member States</w:t>
      </w:r>
      <w:r w:rsidRPr="00D86314">
        <w:rPr>
          <w:noProof/>
        </w:rPr>
        <w:t xml:space="preserve"> are excluded from the price-based analysis for this band</w:t>
      </w:r>
      <w:r w:rsidR="005C2901" w:rsidRPr="00D86314">
        <w:rPr>
          <w:noProof/>
        </w:rPr>
        <w:t xml:space="preserve"> conducted in the next section</w:t>
      </w:r>
      <w:r w:rsidRPr="00D86314">
        <w:rPr>
          <w:noProof/>
        </w:rPr>
        <w:t>. Figure</w:t>
      </w:r>
      <w:r w:rsidRPr="00D86314" w:rsidDel="00DD3E9C">
        <w:rPr>
          <w:noProof/>
        </w:rPr>
        <w:t xml:space="preserve"> </w:t>
      </w:r>
      <w:r w:rsidR="00DD3E9C" w:rsidRPr="00D86314">
        <w:rPr>
          <w:noProof/>
        </w:rPr>
        <w:t>A4 3-4</w:t>
      </w:r>
      <w:r w:rsidRPr="00D86314">
        <w:rPr>
          <w:noProof/>
        </w:rPr>
        <w:t xml:space="preserve"> illustrates the variation in 700 MHz auction prices across the Member States included in this part of the assessment.</w:t>
      </w:r>
      <w:r w:rsidR="00FA13BE" w:rsidRPr="00D86314">
        <w:rPr>
          <w:noProof/>
        </w:rPr>
        <w:t xml:space="preserve"> The coefficient of variation, defined as the standard deviation divided by the mean, amounts to 57%.</w:t>
      </w:r>
    </w:p>
    <w:p w14:paraId="04810F66" w14:textId="22BCA2AA" w:rsidR="005B5146" w:rsidRPr="00C20A01" w:rsidRDefault="005B5146" w:rsidP="00C20A01">
      <w:pPr>
        <w:pStyle w:val="Caption"/>
        <w:keepNext/>
        <w:rPr>
          <w:noProof/>
          <w:color w:val="auto"/>
          <w:sz w:val="20"/>
          <w:szCs w:val="20"/>
        </w:rPr>
      </w:pPr>
      <w:r w:rsidRPr="00C20A01">
        <w:rPr>
          <w:noProof/>
          <w:color w:val="auto"/>
          <w:sz w:val="20"/>
          <w:szCs w:val="20"/>
        </w:rPr>
        <w:t>Figure A4</w:t>
      </w:r>
      <w:r w:rsidR="00991FD4">
        <w:rPr>
          <w:noProof/>
          <w:color w:val="auto"/>
          <w:sz w:val="20"/>
          <w:szCs w:val="20"/>
        </w:rPr>
        <w:t>-</w:t>
      </w:r>
      <w:r>
        <w:rPr>
          <w:noProof/>
          <w:color w:val="auto"/>
          <w:sz w:val="20"/>
          <w:szCs w:val="20"/>
        </w:rPr>
        <w:fldChar w:fldCharType="begin"/>
      </w:r>
      <w:r>
        <w:rPr>
          <w:noProof/>
          <w:color w:val="auto"/>
          <w:sz w:val="20"/>
          <w:szCs w:val="20"/>
        </w:rPr>
        <w:instrText xml:space="preserve"> STYLEREF 1 \s </w:instrText>
      </w:r>
      <w:r>
        <w:rPr>
          <w:noProof/>
          <w:color w:val="auto"/>
          <w:sz w:val="20"/>
          <w:szCs w:val="20"/>
        </w:rPr>
        <w:fldChar w:fldCharType="separate"/>
      </w:r>
      <w:r>
        <w:rPr>
          <w:noProof/>
          <w:color w:val="auto"/>
          <w:sz w:val="20"/>
          <w:szCs w:val="20"/>
        </w:rPr>
        <w:t>3</w:t>
      </w:r>
      <w:r>
        <w:rPr>
          <w:noProof/>
          <w:color w:val="auto"/>
          <w:sz w:val="20"/>
          <w:szCs w:val="20"/>
        </w:rPr>
        <w:fldChar w:fldCharType="end"/>
      </w:r>
      <w:r>
        <w:rPr>
          <w:noProof/>
          <w:color w:val="auto"/>
          <w:sz w:val="20"/>
          <w:szCs w:val="20"/>
        </w:rPr>
        <w:noBreakHyphen/>
      </w:r>
      <w:r>
        <w:rPr>
          <w:noProof/>
          <w:color w:val="auto"/>
          <w:sz w:val="20"/>
          <w:szCs w:val="20"/>
        </w:rPr>
        <w:fldChar w:fldCharType="begin"/>
      </w:r>
      <w:r>
        <w:rPr>
          <w:noProof/>
          <w:color w:val="auto"/>
          <w:sz w:val="20"/>
          <w:szCs w:val="20"/>
        </w:rPr>
        <w:instrText xml:space="preserve"> SEQ Figure \* ARABIC \s 1 </w:instrText>
      </w:r>
      <w:r>
        <w:rPr>
          <w:noProof/>
          <w:color w:val="auto"/>
          <w:sz w:val="20"/>
          <w:szCs w:val="20"/>
        </w:rPr>
        <w:fldChar w:fldCharType="separate"/>
      </w:r>
      <w:r>
        <w:rPr>
          <w:noProof/>
          <w:color w:val="auto"/>
          <w:sz w:val="20"/>
          <w:szCs w:val="20"/>
        </w:rPr>
        <w:t>4</w:t>
      </w:r>
      <w:r>
        <w:rPr>
          <w:noProof/>
          <w:color w:val="auto"/>
          <w:sz w:val="20"/>
          <w:szCs w:val="20"/>
        </w:rPr>
        <w:fldChar w:fldCharType="end"/>
      </w:r>
      <w:r w:rsidRPr="00C20A01">
        <w:rPr>
          <w:noProof/>
          <w:color w:val="auto"/>
          <w:sz w:val="20"/>
          <w:szCs w:val="20"/>
        </w:rPr>
        <w:t>: Distribution of 700 MHz auction prices across Member States</w:t>
      </w:r>
    </w:p>
    <w:p w14:paraId="1FFE0E2F" w14:textId="4BAA8DA4" w:rsidR="00EB7978" w:rsidRPr="00D86314" w:rsidRDefault="004B3F61" w:rsidP="00EB7978">
      <w:pPr>
        <w:spacing w:after="160" w:line="276" w:lineRule="auto"/>
        <w:rPr>
          <w:rFonts w:eastAsia="Aptos"/>
          <w:noProof/>
          <w:color w:val="008080"/>
          <w:u w:val="single"/>
        </w:rPr>
      </w:pPr>
      <w:r w:rsidRPr="00CA2C0B">
        <w:rPr>
          <w:noProof/>
          <w:lang w:eastAsia="en-GB"/>
        </w:rPr>
        <w:drawing>
          <wp:inline distT="0" distB="0" distL="0" distR="0" wp14:anchorId="788F1C09" wp14:editId="5F9D9A67">
            <wp:extent cx="6102293" cy="2017825"/>
            <wp:effectExtent l="0" t="0" r="0" b="1905"/>
            <wp:docPr id="1811354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54125" name="Picture 1"/>
                    <pic:cNvPicPr>
                      <a:picLocks noChangeAspect="1" noChangeArrowheads="1"/>
                    </pic:cNvPicPr>
                  </pic:nvPicPr>
                  <pic:blipFill>
                    <a:blip r:embed="rId112">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13"/>
                        </a:ext>
                      </a:extLst>
                    </a:blip>
                    <a:stretch>
                      <a:fillRect/>
                    </a:stretch>
                  </pic:blipFill>
                  <pic:spPr bwMode="auto">
                    <a:xfrm>
                      <a:off x="0" y="0"/>
                      <a:ext cx="6102293" cy="2017825"/>
                    </a:xfrm>
                    <a:prstGeom prst="rect">
                      <a:avLst/>
                    </a:prstGeom>
                  </pic:spPr>
                </pic:pic>
              </a:graphicData>
            </a:graphic>
          </wp:inline>
        </w:drawing>
      </w:r>
    </w:p>
    <w:p w14:paraId="4B796275" w14:textId="77777777" w:rsidR="00F45607" w:rsidRPr="00D86314" w:rsidRDefault="00F45607" w:rsidP="00F45607">
      <w:pPr>
        <w:pStyle w:val="Heading3"/>
        <w:spacing w:after="160" w:line="276" w:lineRule="auto"/>
        <w:rPr>
          <w:rFonts w:eastAsia="Aptos Display"/>
          <w:noProof/>
        </w:rPr>
      </w:pPr>
      <w:bookmarkStart w:id="188" w:name="_Toc219718398"/>
      <w:r w:rsidRPr="00D86314">
        <w:rPr>
          <w:rFonts w:eastAsia="Aptos Display"/>
          <w:noProof/>
        </w:rPr>
        <w:t>Scoring of Coverage Obligations</w:t>
      </w:r>
      <w:bookmarkEnd w:id="188"/>
    </w:p>
    <w:p w14:paraId="0AC2F321" w14:textId="5236DB0E" w:rsidR="00F45607" w:rsidRPr="00D86314" w:rsidRDefault="00F45607" w:rsidP="003B5FD9">
      <w:pPr>
        <w:rPr>
          <w:noProof/>
        </w:rPr>
      </w:pPr>
      <w:r w:rsidRPr="00D86314">
        <w:rPr>
          <w:noProof/>
        </w:rPr>
        <w:t>Coverage obligations have been assessed and scored but this scoring has been used only in a limited way and has not been included in the composite regulatory indicator due to reason</w:t>
      </w:r>
      <w:r w:rsidR="009C5D8A" w:rsidRPr="00D86314">
        <w:rPr>
          <w:noProof/>
        </w:rPr>
        <w:t>s</w:t>
      </w:r>
      <w:r w:rsidRPr="00D86314">
        <w:rPr>
          <w:noProof/>
        </w:rPr>
        <w:t xml:space="preserve"> explained in section 3.3.10. </w:t>
      </w:r>
    </w:p>
    <w:p w14:paraId="73F5FD8B" w14:textId="77777777" w:rsidR="00F45607" w:rsidRPr="00D86314" w:rsidRDefault="00F45607" w:rsidP="00F45607">
      <w:pPr>
        <w:pStyle w:val="Heading4"/>
        <w:rPr>
          <w:noProof/>
        </w:rPr>
      </w:pPr>
      <w:r w:rsidRPr="00D86314">
        <w:rPr>
          <w:noProof/>
        </w:rPr>
        <w:t>3.4–3.8 GHz band</w:t>
      </w:r>
    </w:p>
    <w:p w14:paraId="3F0CC56B" w14:textId="756E5344" w:rsidR="00F45607" w:rsidRPr="00D86314" w:rsidRDefault="00F45607" w:rsidP="003B5FD9">
      <w:pPr>
        <w:spacing w:after="160"/>
        <w:rPr>
          <w:noProof/>
        </w:rPr>
      </w:pPr>
      <w:r w:rsidRPr="00D86314">
        <w:rPr>
          <w:noProof/>
        </w:rPr>
        <w:t xml:space="preserve">The categorisation of coverage obligations in the 3.4–3.8 GHz band is based on an assessment of how </w:t>
      </w:r>
      <w:r w:rsidR="00C10472" w:rsidRPr="00D86314">
        <w:rPr>
          <w:noProof/>
        </w:rPr>
        <w:t>intrusive</w:t>
      </w:r>
      <w:r w:rsidRPr="00D86314">
        <w:rPr>
          <w:noProof/>
        </w:rPr>
        <w:t xml:space="preserve"> the requirements are in practice for operators deploying mid-band 5G networks. To ensure comparability across Member States, the assessment focuses on coverage and rollout conditions that explicitly relate to the use of 3.6 GHz spectrum and therefore have a direct bearing on the deployment of high-capacity 5G infrastructure.</w:t>
      </w:r>
    </w:p>
    <w:p w14:paraId="67FE6087" w14:textId="77777777" w:rsidR="00F45607" w:rsidRPr="00D86314" w:rsidRDefault="00F45607" w:rsidP="003B5FD9">
      <w:pPr>
        <w:spacing w:after="160"/>
        <w:rPr>
          <w:noProof/>
        </w:rPr>
      </w:pPr>
      <w:r w:rsidRPr="00D86314">
        <w:rPr>
          <w:noProof/>
        </w:rPr>
        <w:t xml:space="preserve">Coverage obligations were assessed on a </w:t>
      </w:r>
      <w:r w:rsidRPr="00D86314">
        <w:rPr>
          <w:b/>
          <w:noProof/>
        </w:rPr>
        <w:t>scale from 0 to 10</w:t>
      </w:r>
      <w:r w:rsidRPr="00D86314">
        <w:rPr>
          <w:noProof/>
        </w:rPr>
        <w:t xml:space="preserve">, where </w:t>
      </w:r>
      <w:r w:rsidRPr="00D86314">
        <w:rPr>
          <w:b/>
          <w:noProof/>
        </w:rPr>
        <w:t>10 corresponds to awards without any coverage obligation</w:t>
      </w:r>
      <w:r w:rsidRPr="00D86314">
        <w:rPr>
          <w:noProof/>
        </w:rPr>
        <w:t xml:space="preserve"> and </w:t>
      </w:r>
      <w:r w:rsidRPr="00D86314">
        <w:rPr>
          <w:b/>
          <w:noProof/>
        </w:rPr>
        <w:t>0 to the most demanding set of requirements</w:t>
      </w:r>
      <w:r w:rsidRPr="00D86314">
        <w:rPr>
          <w:noProof/>
        </w:rPr>
        <w:t>. The scoring reflects expert judgement based on several elements, including:</w:t>
      </w:r>
    </w:p>
    <w:p w14:paraId="24C9FFE6" w14:textId="77777777" w:rsidR="00F45607" w:rsidRPr="00D86314" w:rsidRDefault="00F45607" w:rsidP="003B5FD9">
      <w:pPr>
        <w:pStyle w:val="ListParagraph"/>
        <w:numPr>
          <w:ilvl w:val="0"/>
          <w:numId w:val="73"/>
        </w:numPr>
        <w:spacing w:after="160"/>
        <w:rPr>
          <w:noProof/>
        </w:rPr>
      </w:pPr>
      <w:r w:rsidRPr="00D86314">
        <w:rPr>
          <w:noProof/>
        </w:rPr>
        <w:t>the required share of national population or territory to be covered</w:t>
      </w:r>
    </w:p>
    <w:p w14:paraId="746AE0C2" w14:textId="77777777" w:rsidR="00F45607" w:rsidRPr="00D86314" w:rsidRDefault="00F45607" w:rsidP="003B5FD9">
      <w:pPr>
        <w:pStyle w:val="ListParagraph"/>
        <w:numPr>
          <w:ilvl w:val="0"/>
          <w:numId w:val="73"/>
        </w:numPr>
        <w:spacing w:after="160"/>
        <w:rPr>
          <w:noProof/>
        </w:rPr>
      </w:pPr>
      <w:r w:rsidRPr="00D86314">
        <w:rPr>
          <w:noProof/>
        </w:rPr>
        <w:t>the presence of specific geographic or functional areas to be covered, such as rural regions, transport corridors or priority locations</w:t>
      </w:r>
    </w:p>
    <w:p w14:paraId="433D7A3F" w14:textId="77777777" w:rsidR="00F45607" w:rsidRPr="00D86314" w:rsidRDefault="00F45607" w:rsidP="003B5FD9">
      <w:pPr>
        <w:pStyle w:val="ListParagraph"/>
        <w:numPr>
          <w:ilvl w:val="0"/>
          <w:numId w:val="73"/>
        </w:numPr>
        <w:spacing w:after="160"/>
        <w:rPr>
          <w:noProof/>
        </w:rPr>
      </w:pPr>
      <w:r w:rsidRPr="00D86314">
        <w:rPr>
          <w:noProof/>
        </w:rPr>
        <w:t>explicit 5G New Radio deployment targets or technology specific requirements</w:t>
      </w:r>
    </w:p>
    <w:p w14:paraId="2887A1D3" w14:textId="77777777" w:rsidR="00F45607" w:rsidRPr="00D86314" w:rsidRDefault="00F45607" w:rsidP="003B5FD9">
      <w:pPr>
        <w:pStyle w:val="ListParagraph"/>
        <w:numPr>
          <w:ilvl w:val="0"/>
          <w:numId w:val="73"/>
        </w:numPr>
        <w:spacing w:after="160"/>
        <w:rPr>
          <w:noProof/>
        </w:rPr>
      </w:pPr>
      <w:r w:rsidRPr="00D86314">
        <w:rPr>
          <w:noProof/>
        </w:rPr>
        <w:t>quantified roll out conditions such as the minimum number of base stations to be deployed</w:t>
      </w:r>
    </w:p>
    <w:p w14:paraId="7657D472" w14:textId="77777777" w:rsidR="00F45607" w:rsidRPr="00D86314" w:rsidRDefault="00F45607" w:rsidP="003B5FD9">
      <w:pPr>
        <w:pStyle w:val="ListParagraph"/>
        <w:numPr>
          <w:ilvl w:val="0"/>
          <w:numId w:val="73"/>
        </w:numPr>
        <w:spacing w:after="160"/>
        <w:rPr>
          <w:noProof/>
        </w:rPr>
      </w:pPr>
      <w:r w:rsidRPr="00D86314">
        <w:rPr>
          <w:noProof/>
        </w:rPr>
        <w:t>obligations related to shared networks or infrastructure provision</w:t>
      </w:r>
    </w:p>
    <w:p w14:paraId="227E0D7B" w14:textId="6BADD0E0" w:rsidR="00F45607" w:rsidRPr="00D86314" w:rsidRDefault="00F45607" w:rsidP="003B5FD9">
      <w:pPr>
        <w:spacing w:after="160"/>
        <w:rPr>
          <w:noProof/>
        </w:rPr>
      </w:pPr>
      <w:r w:rsidRPr="00D86314">
        <w:rPr>
          <w:noProof/>
        </w:rPr>
        <w:t xml:space="preserve">Obligations that require extensive geographic reach, explicit 5G deployment and performance targets, and significant roll out commitments receive lower scores on this scale, as they are considered more </w:t>
      </w:r>
      <w:r w:rsidR="00C10472" w:rsidRPr="00D86314">
        <w:rPr>
          <w:noProof/>
        </w:rPr>
        <w:t>intrusive</w:t>
      </w:r>
      <w:r w:rsidRPr="00D86314">
        <w:rPr>
          <w:noProof/>
        </w:rPr>
        <w:t xml:space="preserve"> from the perspective of the spectrum assignee. Obligations that are more limited in scope or expressed in generic terms receive higher scores.</w:t>
      </w:r>
    </w:p>
    <w:p w14:paraId="58D7E918" w14:textId="77777777" w:rsidR="00F45607" w:rsidRPr="00D86314" w:rsidRDefault="00F45607" w:rsidP="00F45607">
      <w:pPr>
        <w:pStyle w:val="Heading4"/>
        <w:rPr>
          <w:noProof/>
        </w:rPr>
      </w:pPr>
      <w:r w:rsidRPr="00D86314">
        <w:rPr>
          <w:noProof/>
        </w:rPr>
        <w:t>700 MHz band</w:t>
      </w:r>
    </w:p>
    <w:p w14:paraId="6E162D82" w14:textId="77777777" w:rsidR="00F45607" w:rsidRPr="00D86314" w:rsidRDefault="00F45607" w:rsidP="003B5FD9">
      <w:pPr>
        <w:spacing w:after="160"/>
        <w:rPr>
          <w:noProof/>
        </w:rPr>
      </w:pPr>
      <w:r w:rsidRPr="00D86314">
        <w:rPr>
          <w:noProof/>
        </w:rPr>
        <w:t xml:space="preserve">For the 700 MHz band, a different scoring framework is applied, reflecting the availability of </w:t>
      </w:r>
      <w:r w:rsidRPr="00D86314">
        <w:rPr>
          <w:rFonts w:eastAsia="Aptos"/>
          <w:noProof/>
        </w:rPr>
        <w:t>the Spectrum Award Efficiency Study (2022)</w:t>
      </w:r>
      <w:r w:rsidRPr="00D86314">
        <w:rPr>
          <w:rStyle w:val="FootnoteReference"/>
          <w:rFonts w:eastAsia="Aptos"/>
          <w:noProof/>
        </w:rPr>
        <w:footnoteReference w:id="134"/>
      </w:r>
      <w:r w:rsidRPr="00D86314">
        <w:rPr>
          <w:noProof/>
        </w:rPr>
        <w:t xml:space="preserve"> that evaluated coverage obligations in 700 MHz awards across the EU. This study developed a set of criteria distinguishing obligations by their scope and complexity, and these criteria were translated into a five-point scoring scale for the purposes of this analysis. The same scoring approach was applied to Member States not included in the original study to ensure consistency across the sample.</w:t>
      </w:r>
    </w:p>
    <w:p w14:paraId="63DCD4BA" w14:textId="77777777" w:rsidR="00F45607" w:rsidRPr="00D86314" w:rsidRDefault="00F45607" w:rsidP="003B5FD9">
      <w:pPr>
        <w:spacing w:after="160"/>
        <w:rPr>
          <w:noProof/>
        </w:rPr>
      </w:pPr>
      <w:r w:rsidRPr="00D86314">
        <w:rPr>
          <w:noProof/>
        </w:rPr>
        <w:t>Coverage obligations were assigned a score from 0 to 4, where higher values reflect more extensive and detailed requirements:</w:t>
      </w:r>
    </w:p>
    <w:p w14:paraId="29D9D131" w14:textId="77777777" w:rsidR="00F45607" w:rsidRPr="00D86314" w:rsidRDefault="00F45607" w:rsidP="003B5FD9">
      <w:pPr>
        <w:pStyle w:val="ListParagraph"/>
        <w:numPr>
          <w:ilvl w:val="0"/>
          <w:numId w:val="74"/>
        </w:numPr>
        <w:spacing w:after="160"/>
        <w:rPr>
          <w:noProof/>
        </w:rPr>
      </w:pPr>
      <w:r w:rsidRPr="00D86314">
        <w:rPr>
          <w:b/>
          <w:noProof/>
        </w:rPr>
        <w:t>Score 0 – No coverage obligation</w:t>
      </w:r>
      <w:r w:rsidRPr="00D86314">
        <w:rPr>
          <w:noProof/>
        </w:rPr>
        <w:t>: The licence contains no explicit 700 MHz coverage requirement.</w:t>
      </w:r>
    </w:p>
    <w:p w14:paraId="243B14AD" w14:textId="77777777" w:rsidR="00F45607" w:rsidRPr="00D86314" w:rsidRDefault="00F45607" w:rsidP="003B5FD9">
      <w:pPr>
        <w:pStyle w:val="ListParagraph"/>
        <w:numPr>
          <w:ilvl w:val="0"/>
          <w:numId w:val="74"/>
        </w:numPr>
        <w:spacing w:after="160"/>
        <w:rPr>
          <w:noProof/>
        </w:rPr>
      </w:pPr>
      <w:r w:rsidRPr="00D86314">
        <w:rPr>
          <w:b/>
          <w:noProof/>
        </w:rPr>
        <w:t>Score 1 – Generic coverage requirements:</w:t>
      </w:r>
      <w:r w:rsidRPr="00D86314">
        <w:rPr>
          <w:noProof/>
        </w:rPr>
        <w:t xml:space="preserve"> Obligations formulated in broad terms such as percentage of population or territory, number of locations or number of base stations, without further differentiation.</w:t>
      </w:r>
    </w:p>
    <w:p w14:paraId="0994FC74" w14:textId="77777777" w:rsidR="00F45607" w:rsidRPr="00D86314" w:rsidRDefault="00F45607" w:rsidP="003B5FD9">
      <w:pPr>
        <w:pStyle w:val="ListParagraph"/>
        <w:numPr>
          <w:ilvl w:val="0"/>
          <w:numId w:val="74"/>
        </w:numPr>
        <w:spacing w:after="160"/>
        <w:rPr>
          <w:noProof/>
        </w:rPr>
      </w:pPr>
      <w:r w:rsidRPr="00D86314">
        <w:rPr>
          <w:b/>
          <w:noProof/>
        </w:rPr>
        <w:t>Score 2 – More specific coverage requirements: Obligations</w:t>
      </w:r>
      <w:r w:rsidRPr="00D86314">
        <w:rPr>
          <w:noProof/>
        </w:rPr>
        <w:t xml:space="preserve"> that go beyond generic indicators and include targeted geographic or functional requirements.</w:t>
      </w:r>
    </w:p>
    <w:p w14:paraId="33A5AC2F" w14:textId="77777777" w:rsidR="00F45607" w:rsidRPr="00D86314" w:rsidRDefault="00F45607" w:rsidP="003B5FD9">
      <w:pPr>
        <w:pStyle w:val="ListParagraph"/>
        <w:numPr>
          <w:ilvl w:val="0"/>
          <w:numId w:val="74"/>
        </w:numPr>
        <w:spacing w:after="160"/>
        <w:rPr>
          <w:noProof/>
        </w:rPr>
      </w:pPr>
      <w:r w:rsidRPr="00D86314">
        <w:rPr>
          <w:b/>
          <w:noProof/>
        </w:rPr>
        <w:t>Score 3 – Coverage requirements combined with user-experience elements: Obligations</w:t>
      </w:r>
      <w:r w:rsidRPr="00D86314">
        <w:rPr>
          <w:noProof/>
        </w:rPr>
        <w:t xml:space="preserve"> combining basic coverage metrics with performance-related conditions, for example minimum download or upload speeds, explicit references to 5G deployment or requirements supporting certain 5G use cases.</w:t>
      </w:r>
    </w:p>
    <w:p w14:paraId="75CB49D5" w14:textId="77777777" w:rsidR="00F45607" w:rsidRPr="00D86314" w:rsidRDefault="00F45607" w:rsidP="003B5FD9">
      <w:pPr>
        <w:pStyle w:val="ListParagraph"/>
        <w:numPr>
          <w:ilvl w:val="0"/>
          <w:numId w:val="74"/>
        </w:numPr>
        <w:spacing w:after="160"/>
        <w:rPr>
          <w:noProof/>
        </w:rPr>
      </w:pPr>
      <w:r w:rsidRPr="00D86314">
        <w:rPr>
          <w:b/>
          <w:noProof/>
        </w:rPr>
        <w:t>Score 4 – Detailed coverage requirements combined with user-experience elements:</w:t>
      </w:r>
      <w:r w:rsidRPr="00D86314">
        <w:rPr>
          <w:noProof/>
        </w:rPr>
        <w:t xml:space="preserve"> Obligations involving more granular coverage specifications, such as requirements for non-urban areas, underserved communities or transport routes, together with explicit user-experience conditions such as minimum speed, latency or reliability thresholds.</w:t>
      </w:r>
    </w:p>
    <w:p w14:paraId="12DC6A84" w14:textId="138CC60D" w:rsidR="00F45607" w:rsidRPr="00D86314" w:rsidRDefault="00F45607" w:rsidP="003B5FD9">
      <w:pPr>
        <w:spacing w:after="160"/>
        <w:rPr>
          <w:noProof/>
        </w:rPr>
      </w:pPr>
      <w:r w:rsidRPr="00D86314">
        <w:rPr>
          <w:b/>
          <w:noProof/>
        </w:rPr>
        <w:t>Higher scores</w:t>
      </w:r>
      <w:r w:rsidRPr="00D86314">
        <w:rPr>
          <w:noProof/>
        </w:rPr>
        <w:t xml:space="preserve"> thus reflect obligations that are </w:t>
      </w:r>
      <w:r w:rsidRPr="00D86314">
        <w:rPr>
          <w:b/>
          <w:noProof/>
        </w:rPr>
        <w:t xml:space="preserve">more </w:t>
      </w:r>
      <w:r w:rsidR="00C10472" w:rsidRPr="00D86314">
        <w:rPr>
          <w:b/>
          <w:noProof/>
        </w:rPr>
        <w:t>intrusive</w:t>
      </w:r>
      <w:r w:rsidRPr="00D86314">
        <w:rPr>
          <w:noProof/>
        </w:rPr>
        <w:t xml:space="preserve"> for spectrum assignees, either because they impose more granular geographic deployment targets or because they include performance-based requirements in addition to basic rollout metrics.</w:t>
      </w:r>
    </w:p>
    <w:p w14:paraId="56E5F442" w14:textId="24B25D11" w:rsidR="00FF6A2E" w:rsidRPr="00D86314" w:rsidRDefault="00FF6A2E" w:rsidP="00FF6A2E">
      <w:pPr>
        <w:pStyle w:val="Heading3"/>
        <w:spacing w:after="160" w:line="276" w:lineRule="auto"/>
        <w:rPr>
          <w:rFonts w:eastAsia="Aptos"/>
          <w:noProof/>
          <w:u w:val="single"/>
        </w:rPr>
      </w:pPr>
      <w:bookmarkStart w:id="189" w:name="_Toc219718399"/>
      <w:r w:rsidRPr="00D86314">
        <w:rPr>
          <w:rFonts w:eastAsia="Aptos Display"/>
          <w:noProof/>
        </w:rPr>
        <w:t xml:space="preserve">Composite measure of </w:t>
      </w:r>
      <w:r w:rsidR="00785640" w:rsidRPr="00D86314">
        <w:rPr>
          <w:rFonts w:eastAsia="Aptos Display"/>
          <w:noProof/>
        </w:rPr>
        <w:t>Regulatory approaches</w:t>
      </w:r>
      <w:bookmarkEnd w:id="189"/>
    </w:p>
    <w:p w14:paraId="5F6A78B9" w14:textId="44EA739C" w:rsidR="00AA7652" w:rsidRPr="00D86314" w:rsidRDefault="0004551A" w:rsidP="003B5FD9">
      <w:pPr>
        <w:spacing w:after="160"/>
        <w:rPr>
          <w:noProof/>
        </w:rPr>
      </w:pPr>
      <w:r w:rsidRPr="00D86314">
        <w:rPr>
          <w:noProof/>
        </w:rPr>
        <w:t xml:space="preserve">For the econometric analysis presented in Section </w:t>
      </w:r>
      <w:r w:rsidR="009808A5" w:rsidRPr="00D86314">
        <w:rPr>
          <w:noProof/>
        </w:rPr>
        <w:fldChar w:fldCharType="begin"/>
      </w:r>
      <w:r w:rsidR="009808A5" w:rsidRPr="00D86314">
        <w:rPr>
          <w:noProof/>
        </w:rPr>
        <w:instrText xml:space="preserve"> REF _Ref214472817 \r \h </w:instrText>
      </w:r>
      <w:r w:rsidR="00534028" w:rsidRPr="00D86314">
        <w:rPr>
          <w:noProof/>
        </w:rPr>
        <w:instrText xml:space="preserve"> \* MERGEFORMAT </w:instrText>
      </w:r>
      <w:r w:rsidR="009808A5" w:rsidRPr="00D86314">
        <w:rPr>
          <w:noProof/>
        </w:rPr>
      </w:r>
      <w:r w:rsidR="009808A5" w:rsidRPr="00D86314">
        <w:rPr>
          <w:noProof/>
        </w:rPr>
        <w:fldChar w:fldCharType="separate"/>
      </w:r>
      <w:r w:rsidR="00870CA9" w:rsidRPr="00D86314">
        <w:rPr>
          <w:noProof/>
        </w:rPr>
        <w:t>3.5</w:t>
      </w:r>
      <w:r w:rsidR="009808A5" w:rsidRPr="00D86314">
        <w:rPr>
          <w:noProof/>
        </w:rPr>
        <w:fldChar w:fldCharType="end"/>
      </w:r>
      <w:r w:rsidRPr="00D86314">
        <w:rPr>
          <w:noProof/>
        </w:rPr>
        <w:t xml:space="preserve">, each regulatory indicator enters the regression directly, without any aggregation or weighting. Specifically, the models use the original expert-based scores for spectrum caps, access obligations, and coverage obligations, as well as the directly observed numerical values for final auction prices (in </w:t>
      </w:r>
      <w:r w:rsidR="008C2044" w:rsidRPr="00D86314">
        <w:rPr>
          <w:noProof/>
        </w:rPr>
        <w:t>EUR/</w:t>
      </w:r>
      <w:r w:rsidRPr="00D86314">
        <w:rPr>
          <w:noProof/>
        </w:rPr>
        <w:t>MHz</w:t>
      </w:r>
      <w:r w:rsidR="00A748D7" w:rsidRPr="00D86314">
        <w:rPr>
          <w:noProof/>
        </w:rPr>
        <w:t>/Pop</w:t>
      </w:r>
      <w:r w:rsidRPr="00D86314">
        <w:rPr>
          <w:noProof/>
        </w:rPr>
        <w:t>) and the percentage of spectrum reserved or set aside. No further transformation is applied in the regression models.</w:t>
      </w:r>
    </w:p>
    <w:p w14:paraId="1B13B68A" w14:textId="5500F15E" w:rsidR="002C4D19" w:rsidRPr="00D86314" w:rsidRDefault="002C4D19" w:rsidP="003B5FD9">
      <w:pPr>
        <w:spacing w:after="160"/>
        <w:rPr>
          <w:noProof/>
        </w:rPr>
      </w:pPr>
      <w:r w:rsidRPr="00D86314">
        <w:rPr>
          <w:noProof/>
        </w:rPr>
        <w:t>However, to provide an initial visual overview of the potential relationship between regulatory design and market outcomes, a composite indicator of regulatory approaches was constructed. This composite measure serves exclusively for graphical illustration and does not enter the regression analysis. It is plotted against the composite market-outcome indicator described in Section</w:t>
      </w:r>
      <w:r w:rsidR="009808A5" w:rsidRPr="00D86314">
        <w:rPr>
          <w:noProof/>
        </w:rPr>
        <w:t xml:space="preserve"> </w:t>
      </w:r>
      <w:r w:rsidR="009808A5" w:rsidRPr="00D86314">
        <w:rPr>
          <w:noProof/>
        </w:rPr>
        <w:fldChar w:fldCharType="begin"/>
      </w:r>
      <w:r w:rsidR="009808A5" w:rsidRPr="00D86314">
        <w:rPr>
          <w:noProof/>
        </w:rPr>
        <w:instrText xml:space="preserve"> REF _Ref214472874 \r \h </w:instrText>
      </w:r>
      <w:r w:rsidR="00534028" w:rsidRPr="00D86314">
        <w:rPr>
          <w:noProof/>
        </w:rPr>
        <w:instrText xml:space="preserve"> \* MERGEFORMAT </w:instrText>
      </w:r>
      <w:r w:rsidR="009808A5" w:rsidRPr="00D86314">
        <w:rPr>
          <w:noProof/>
        </w:rPr>
      </w:r>
      <w:r w:rsidR="009808A5" w:rsidRPr="00D86314">
        <w:rPr>
          <w:noProof/>
        </w:rPr>
        <w:fldChar w:fldCharType="separate"/>
      </w:r>
      <w:r w:rsidR="00870CA9" w:rsidRPr="00D86314">
        <w:rPr>
          <w:noProof/>
        </w:rPr>
        <w:t>3.2.5</w:t>
      </w:r>
      <w:r w:rsidR="009808A5" w:rsidRPr="00D86314">
        <w:rPr>
          <w:noProof/>
        </w:rPr>
        <w:fldChar w:fldCharType="end"/>
      </w:r>
      <w:r w:rsidRPr="00D86314">
        <w:rPr>
          <w:noProof/>
        </w:rPr>
        <w:t>.</w:t>
      </w:r>
    </w:p>
    <w:p w14:paraId="69502ED2" w14:textId="66A63FBE" w:rsidR="00555055" w:rsidRPr="00D86314" w:rsidRDefault="002C4D19" w:rsidP="003B5FD9">
      <w:pPr>
        <w:spacing w:after="160"/>
        <w:rPr>
          <w:noProof/>
        </w:rPr>
      </w:pPr>
      <w:r w:rsidRPr="00D86314">
        <w:rPr>
          <w:noProof/>
        </w:rPr>
        <w:t xml:space="preserve">The composite regulatory indicator is based on the </w:t>
      </w:r>
      <w:r w:rsidR="00F34AF5" w:rsidRPr="00D86314">
        <w:rPr>
          <w:rFonts w:eastAsia="Aptos"/>
          <w:noProof/>
        </w:rPr>
        <w:t>four</w:t>
      </w:r>
      <w:r w:rsidR="00F34AF5" w:rsidRPr="00D86314">
        <w:rPr>
          <w:noProof/>
        </w:rPr>
        <w:t xml:space="preserve"> </w:t>
      </w:r>
      <w:r w:rsidRPr="00D86314">
        <w:rPr>
          <w:noProof/>
        </w:rPr>
        <w:t xml:space="preserve">regulatory dimensions: spectrum caps, access obligations, final auction prices, and reservations or set-asides. Each dimension is first normalised to ensure a consistent zero-to-one scale, where one denotes the least </w:t>
      </w:r>
      <w:r w:rsidR="00C10472" w:rsidRPr="00D86314">
        <w:rPr>
          <w:noProof/>
        </w:rPr>
        <w:t>intrusive</w:t>
      </w:r>
      <w:r w:rsidRPr="00D86314">
        <w:rPr>
          <w:noProof/>
        </w:rPr>
        <w:t xml:space="preserve"> regulatory approach and zero the most </w:t>
      </w:r>
      <w:r w:rsidR="00C10472" w:rsidRPr="00D86314">
        <w:rPr>
          <w:noProof/>
        </w:rPr>
        <w:t>intrusive</w:t>
      </w:r>
      <w:r w:rsidRPr="00D86314">
        <w:rPr>
          <w:noProof/>
        </w:rPr>
        <w:t>. For all score-based variables (spectrum caps, access obligations, and coverage obligations in the 3.4–3.8 GHz and 700 MHz bands), normalised values were obtained by rescaling the expert scores relative to the range of observed values.</w:t>
      </w:r>
      <w:r w:rsidR="009B512A" w:rsidRPr="00D86314">
        <w:rPr>
          <w:noProof/>
        </w:rPr>
        <w:t xml:space="preserve"> Regarding</w:t>
      </w:r>
      <w:r w:rsidRPr="00D86314">
        <w:rPr>
          <w:noProof/>
        </w:rPr>
        <w:t xml:space="preserve"> auction prices, Member States with the lowest price per MHz per population receive values closest to one, while higher price levels translate into lower normalised scores. For reservations and set-asides, the score reflects the share of the band not reserved, ensuring that a greater amount of spectrum available to national operators results in a higher score. </w:t>
      </w:r>
    </w:p>
    <w:p w14:paraId="3ED62DBD" w14:textId="34DCB415" w:rsidR="006647F4" w:rsidRPr="00D86314" w:rsidRDefault="00F268E3" w:rsidP="003B5FD9">
      <w:pPr>
        <w:spacing w:after="160"/>
        <w:rPr>
          <w:rFonts w:eastAsia="Aptos"/>
          <w:noProof/>
        </w:rPr>
      </w:pPr>
      <w:r w:rsidRPr="00D86314">
        <w:rPr>
          <w:rFonts w:eastAsia="Aptos"/>
          <w:noProof/>
        </w:rPr>
        <w:t>As regards coverage obligations, while th</w:t>
      </w:r>
      <w:r w:rsidR="00555055" w:rsidRPr="00D86314">
        <w:rPr>
          <w:rFonts w:eastAsia="Aptos"/>
          <w:noProof/>
        </w:rPr>
        <w:t>is</w:t>
      </w:r>
      <w:r w:rsidRPr="00D86314">
        <w:rPr>
          <w:rFonts w:eastAsia="Aptos"/>
          <w:noProof/>
        </w:rPr>
        <w:t xml:space="preserve"> </w:t>
      </w:r>
      <w:r w:rsidR="00BC3D32" w:rsidRPr="00D86314">
        <w:rPr>
          <w:rFonts w:eastAsia="Aptos"/>
          <w:noProof/>
        </w:rPr>
        <w:t>regulatory dimension</w:t>
      </w:r>
      <w:r w:rsidRPr="00D86314">
        <w:rPr>
          <w:rFonts w:eastAsia="Aptos"/>
          <w:noProof/>
        </w:rPr>
        <w:t xml:space="preserve"> </w:t>
      </w:r>
      <w:r w:rsidR="00555055" w:rsidRPr="00D86314">
        <w:rPr>
          <w:rFonts w:eastAsia="Aptos"/>
          <w:noProof/>
        </w:rPr>
        <w:t>has been</w:t>
      </w:r>
      <w:r w:rsidRPr="00D86314">
        <w:rPr>
          <w:rFonts w:eastAsia="Aptos"/>
          <w:noProof/>
        </w:rPr>
        <w:t xml:space="preserve"> assessed </w:t>
      </w:r>
      <w:r w:rsidR="009F7C4E" w:rsidRPr="00D86314">
        <w:rPr>
          <w:rFonts w:eastAsia="Aptos"/>
          <w:noProof/>
        </w:rPr>
        <w:t xml:space="preserve">and some preliminary regression </w:t>
      </w:r>
      <w:r w:rsidR="006647F4" w:rsidRPr="00D86314">
        <w:rPr>
          <w:rFonts w:eastAsia="Aptos"/>
          <w:noProof/>
        </w:rPr>
        <w:t>analysis</w:t>
      </w:r>
      <w:r w:rsidR="009F7C4E" w:rsidRPr="00D86314">
        <w:rPr>
          <w:rFonts w:eastAsia="Aptos"/>
          <w:noProof/>
        </w:rPr>
        <w:t xml:space="preserve"> done</w:t>
      </w:r>
      <w:r w:rsidR="006647F4" w:rsidRPr="00D86314">
        <w:rPr>
          <w:rFonts w:eastAsia="Aptos"/>
          <w:noProof/>
        </w:rPr>
        <w:t xml:space="preserve"> it has not been included in the composite indication, accordingly coverage obligations receive a weight of zero. To be</w:t>
      </w:r>
      <w:r w:rsidR="009F7C4E" w:rsidRPr="00D86314">
        <w:rPr>
          <w:rFonts w:eastAsia="Aptos"/>
          <w:noProof/>
        </w:rPr>
        <w:t xml:space="preserve"> </w:t>
      </w:r>
      <w:r w:rsidR="006647F4" w:rsidRPr="00D86314">
        <w:rPr>
          <w:rFonts w:eastAsia="Aptos"/>
          <w:noProof/>
        </w:rPr>
        <w:t>note</w:t>
      </w:r>
      <w:r w:rsidR="00E67FA7" w:rsidRPr="00D86314">
        <w:rPr>
          <w:rFonts w:eastAsia="Aptos"/>
          <w:noProof/>
        </w:rPr>
        <w:t>d</w:t>
      </w:r>
      <w:r w:rsidR="006647F4" w:rsidRPr="00D86314">
        <w:rPr>
          <w:rFonts w:eastAsia="Aptos"/>
          <w:noProof/>
        </w:rPr>
        <w:t xml:space="preserve"> that for this preliminary assessment of coverage obligations in the 700 MHz band, where the original categories increase in numerical value as obligations become more demanding, the transformation was inverted to maintain the “higher-is-less </w:t>
      </w:r>
      <w:r w:rsidR="00C10472" w:rsidRPr="00D86314">
        <w:rPr>
          <w:rFonts w:eastAsia="Aptos"/>
          <w:noProof/>
        </w:rPr>
        <w:t>intrusive</w:t>
      </w:r>
      <w:r w:rsidR="006647F4" w:rsidRPr="00D86314">
        <w:rPr>
          <w:rFonts w:eastAsia="Aptos"/>
          <w:noProof/>
        </w:rPr>
        <w:t>” score interpretation consistent across all dimensions.</w:t>
      </w:r>
    </w:p>
    <w:p w14:paraId="299C69EB" w14:textId="34F426FE" w:rsidR="009F7C4E" w:rsidRPr="00D86314" w:rsidRDefault="00454CAE" w:rsidP="003B5FD9">
      <w:pPr>
        <w:spacing w:after="160"/>
        <w:rPr>
          <w:rFonts w:eastAsia="Aptos"/>
          <w:noProof/>
        </w:rPr>
      </w:pPr>
      <w:r w:rsidRPr="00D86314">
        <w:rPr>
          <w:rFonts w:eastAsia="Aptos"/>
          <w:noProof/>
        </w:rPr>
        <w:t xml:space="preserve">The exclusion of coverage obligations from the composite index </w:t>
      </w:r>
      <w:r w:rsidR="009F7C4E" w:rsidRPr="00D86314">
        <w:rPr>
          <w:rFonts w:eastAsia="Aptos"/>
          <w:noProof/>
        </w:rPr>
        <w:t>reflects both the conceptual and methodological difficulties associated with developing comparable scores across Member States with very different geographic and demographic conditions, and the fact that coverage obligations did not display explanatory power in the</w:t>
      </w:r>
      <w:r w:rsidR="006647F4" w:rsidRPr="00D86314">
        <w:rPr>
          <w:rFonts w:eastAsia="Aptos"/>
          <w:noProof/>
        </w:rPr>
        <w:t xml:space="preserve"> preliminary</w:t>
      </w:r>
      <w:r w:rsidR="009F7C4E" w:rsidRPr="00D86314">
        <w:rPr>
          <w:rFonts w:eastAsia="Aptos"/>
          <w:noProof/>
        </w:rPr>
        <w:t xml:space="preserve"> regression </w:t>
      </w:r>
      <w:r w:rsidR="006647F4" w:rsidRPr="00D86314">
        <w:rPr>
          <w:rFonts w:eastAsia="Aptos"/>
          <w:noProof/>
        </w:rPr>
        <w:t>analysis</w:t>
      </w:r>
      <w:r w:rsidR="009F7C4E" w:rsidRPr="00D86314">
        <w:rPr>
          <w:rFonts w:eastAsia="Aptos"/>
          <w:noProof/>
        </w:rPr>
        <w:t xml:space="preserve"> presented in Section </w:t>
      </w:r>
      <w:r w:rsidR="009F7C4E" w:rsidRPr="00D86314">
        <w:rPr>
          <w:rFonts w:eastAsia="Aptos"/>
          <w:noProof/>
        </w:rPr>
        <w:fldChar w:fldCharType="begin"/>
      </w:r>
      <w:r w:rsidR="009F7C4E" w:rsidRPr="00D86314">
        <w:rPr>
          <w:rFonts w:eastAsia="Aptos"/>
          <w:noProof/>
        </w:rPr>
        <w:instrText xml:space="preserve"> REF _Ref214472817 \r \h  \* MERGEFORMAT </w:instrText>
      </w:r>
      <w:r w:rsidR="009F7C4E" w:rsidRPr="00D86314">
        <w:rPr>
          <w:rFonts w:eastAsia="Aptos"/>
          <w:noProof/>
        </w:rPr>
      </w:r>
      <w:r w:rsidR="009F7C4E" w:rsidRPr="00D86314">
        <w:rPr>
          <w:rFonts w:eastAsia="Aptos"/>
          <w:noProof/>
        </w:rPr>
        <w:fldChar w:fldCharType="separate"/>
      </w:r>
      <w:r w:rsidR="00870CA9" w:rsidRPr="00D86314">
        <w:rPr>
          <w:rFonts w:eastAsia="Aptos"/>
          <w:noProof/>
        </w:rPr>
        <w:t>3.5</w:t>
      </w:r>
      <w:r w:rsidR="009F7C4E" w:rsidRPr="00D86314">
        <w:rPr>
          <w:rFonts w:eastAsia="Aptos"/>
          <w:noProof/>
        </w:rPr>
        <w:fldChar w:fldCharType="end"/>
      </w:r>
      <w:r w:rsidR="009F7C4E" w:rsidRPr="00D86314">
        <w:rPr>
          <w:rFonts w:eastAsia="Aptos"/>
          <w:noProof/>
        </w:rPr>
        <w:t>.</w:t>
      </w:r>
    </w:p>
    <w:p w14:paraId="6369E61F" w14:textId="7E5541AB" w:rsidR="00A748D7" w:rsidRPr="00D86314" w:rsidRDefault="006C7B3A" w:rsidP="003B5FD9">
      <w:pPr>
        <w:spacing w:after="160"/>
        <w:rPr>
          <w:noProof/>
        </w:rPr>
      </w:pPr>
      <w:r w:rsidRPr="00D86314">
        <w:rPr>
          <w:rFonts w:eastAsia="Aptos"/>
          <w:noProof/>
        </w:rPr>
        <w:t xml:space="preserve">For the </w:t>
      </w:r>
      <w:r w:rsidR="00A00671" w:rsidRPr="00D86314">
        <w:rPr>
          <w:rFonts w:eastAsia="Aptos"/>
          <w:noProof/>
        </w:rPr>
        <w:t>composite regulatory-design indicator, t</w:t>
      </w:r>
      <w:r w:rsidR="002C4D19" w:rsidRPr="00D86314">
        <w:rPr>
          <w:noProof/>
        </w:rPr>
        <w:t>he resulting normalised variables were aggregated using the weighting structure shown in Table X, reflecting the relative importance of the different dimensions in shaping operator flexibility and investment incentives.</w:t>
      </w:r>
    </w:p>
    <w:p w14:paraId="3A98F8D0" w14:textId="57B3E5AC" w:rsidR="00575B08" w:rsidRPr="00D86314" w:rsidRDefault="00941848" w:rsidP="00BD0E4B">
      <w:pPr>
        <w:keepNext/>
        <w:keepLines/>
        <w:spacing w:after="160" w:line="276" w:lineRule="auto"/>
        <w:rPr>
          <w:iCs/>
          <w:noProof/>
          <w:sz w:val="22"/>
          <w:szCs w:val="22"/>
        </w:rPr>
      </w:pPr>
      <w:r w:rsidRPr="00D86314">
        <w:rPr>
          <w:rFonts w:eastAsiaTheme="minorEastAsia"/>
          <w:iCs/>
          <w:noProof/>
          <w:sz w:val="22"/>
          <w:szCs w:val="22"/>
        </w:rPr>
        <w:t>Table A4 3-3</w:t>
      </w:r>
      <w:r w:rsidR="00CB7546" w:rsidRPr="00D86314">
        <w:rPr>
          <w:iCs/>
          <w:noProof/>
          <w:sz w:val="22"/>
          <w:szCs w:val="22"/>
        </w:rPr>
        <w:t>: Weighting Structure for the Composite Regulatory-Design Indicator</w:t>
      </w:r>
    </w:p>
    <w:tbl>
      <w:tblPr>
        <w:tblStyle w:val="GridTable1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889"/>
      </w:tblGrid>
      <w:tr w:rsidR="00C20C97" w:rsidRPr="00D86314" w14:paraId="654D3E9B" w14:textId="77777777" w:rsidTr="003F4C78">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977" w:type="dxa"/>
            <w:tcBorders>
              <w:bottom w:val="single" w:sz="12" w:space="0" w:color="auto"/>
              <w:right w:val="single" w:sz="12" w:space="0" w:color="auto"/>
            </w:tcBorders>
          </w:tcPr>
          <w:p w14:paraId="7D28BF61" w14:textId="77777777" w:rsidR="00B73F6F" w:rsidRPr="00D86314" w:rsidRDefault="00B73F6F" w:rsidP="00BD0E4B">
            <w:pPr>
              <w:keepNext/>
              <w:keepLines/>
              <w:spacing w:after="0"/>
              <w:rPr>
                <w:noProof/>
                <w:sz w:val="22"/>
              </w:rPr>
            </w:pPr>
            <w:r w:rsidRPr="00D86314">
              <w:rPr>
                <w:noProof/>
                <w:sz w:val="22"/>
              </w:rPr>
              <w:t>Criterion</w:t>
            </w:r>
          </w:p>
        </w:tc>
        <w:tc>
          <w:tcPr>
            <w:tcW w:w="322" w:type="dxa"/>
            <w:tcBorders>
              <w:left w:val="single" w:sz="12" w:space="0" w:color="auto"/>
              <w:bottom w:val="single" w:sz="12" w:space="0" w:color="auto"/>
            </w:tcBorders>
          </w:tcPr>
          <w:p w14:paraId="1F42EB65" w14:textId="77777777" w:rsidR="00B73F6F" w:rsidRPr="00D86314" w:rsidRDefault="00B73F6F" w:rsidP="00BD0E4B">
            <w:pPr>
              <w:keepNext/>
              <w:keepLines/>
              <w:spacing w:after="0"/>
              <w:jc w:val="right"/>
              <w:cnfStyle w:val="100000000000" w:firstRow="1" w:lastRow="0" w:firstColumn="0" w:lastColumn="0" w:oddVBand="0" w:evenVBand="0" w:oddHBand="0" w:evenHBand="0" w:firstRowFirstColumn="0" w:firstRowLastColumn="0" w:lastRowFirstColumn="0" w:lastRowLastColumn="0"/>
              <w:rPr>
                <w:noProof/>
                <w:sz w:val="22"/>
              </w:rPr>
            </w:pPr>
            <w:r w:rsidRPr="00D86314">
              <w:rPr>
                <w:noProof/>
                <w:sz w:val="22"/>
              </w:rPr>
              <w:t>Weight</w:t>
            </w:r>
          </w:p>
        </w:tc>
      </w:tr>
      <w:tr w:rsidR="00C20C97" w:rsidRPr="00D86314" w14:paraId="183956FE" w14:textId="77777777" w:rsidTr="003F4C78">
        <w:trPr>
          <w:trHeight w:val="312"/>
        </w:trPr>
        <w:tc>
          <w:tcPr>
            <w:cnfStyle w:val="001000000000" w:firstRow="0" w:lastRow="0" w:firstColumn="1" w:lastColumn="0" w:oddVBand="0" w:evenVBand="0" w:oddHBand="0" w:evenHBand="0" w:firstRowFirstColumn="0" w:firstRowLastColumn="0" w:lastRowFirstColumn="0" w:lastRowLastColumn="0"/>
            <w:tcW w:w="2977" w:type="dxa"/>
            <w:tcBorders>
              <w:top w:val="single" w:sz="12" w:space="0" w:color="auto"/>
              <w:right w:val="single" w:sz="12" w:space="0" w:color="auto"/>
            </w:tcBorders>
            <w:vAlign w:val="center"/>
          </w:tcPr>
          <w:p w14:paraId="5F67B3FF" w14:textId="6A5F6548" w:rsidR="00B73F6F" w:rsidRPr="00D86314" w:rsidRDefault="00C250C9" w:rsidP="00BD0E4B">
            <w:pPr>
              <w:keepNext/>
              <w:keepLines/>
              <w:spacing w:after="0"/>
              <w:rPr>
                <w:b w:val="0"/>
                <w:noProof/>
                <w:sz w:val="22"/>
              </w:rPr>
            </w:pPr>
            <w:r w:rsidRPr="00D86314">
              <w:rPr>
                <w:noProof/>
                <w:sz w:val="22"/>
              </w:rPr>
              <w:t>Spectrum caps</w:t>
            </w:r>
          </w:p>
        </w:tc>
        <w:tc>
          <w:tcPr>
            <w:tcW w:w="322" w:type="dxa"/>
            <w:tcBorders>
              <w:top w:val="single" w:sz="12" w:space="0" w:color="auto"/>
              <w:left w:val="single" w:sz="12" w:space="0" w:color="auto"/>
            </w:tcBorders>
            <w:vAlign w:val="center"/>
          </w:tcPr>
          <w:p w14:paraId="287128DC" w14:textId="038841BD" w:rsidR="00B73F6F" w:rsidRPr="00D86314" w:rsidRDefault="00B73F6F" w:rsidP="00BD0E4B">
            <w:pPr>
              <w:keepNext/>
              <w:keepLines/>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w:t>
            </w:r>
            <w:r w:rsidR="00142497" w:rsidRPr="00D86314">
              <w:rPr>
                <w:noProof/>
                <w:sz w:val="22"/>
              </w:rPr>
              <w:t>20</w:t>
            </w:r>
          </w:p>
        </w:tc>
      </w:tr>
      <w:tr w:rsidR="00C20C97" w:rsidRPr="00D86314" w14:paraId="431DBCE8" w14:textId="77777777" w:rsidTr="003F4C78">
        <w:trPr>
          <w:trHeight w:val="312"/>
        </w:trPr>
        <w:tc>
          <w:tcPr>
            <w:cnfStyle w:val="001000000000" w:firstRow="0" w:lastRow="0" w:firstColumn="1" w:lastColumn="0" w:oddVBand="0" w:evenVBand="0" w:oddHBand="0" w:evenHBand="0" w:firstRowFirstColumn="0" w:firstRowLastColumn="0" w:lastRowFirstColumn="0" w:lastRowLastColumn="0"/>
            <w:tcW w:w="0" w:type="dxa"/>
            <w:tcBorders>
              <w:right w:val="single" w:sz="12" w:space="0" w:color="auto"/>
            </w:tcBorders>
            <w:vAlign w:val="center"/>
          </w:tcPr>
          <w:p w14:paraId="6ACB044B" w14:textId="475F5ED3" w:rsidR="00B73F6F" w:rsidRPr="00D86314" w:rsidRDefault="00735DF1" w:rsidP="00BD0E4B">
            <w:pPr>
              <w:keepNext/>
              <w:keepLines/>
              <w:spacing w:after="0"/>
              <w:rPr>
                <w:b w:val="0"/>
                <w:noProof/>
                <w:sz w:val="22"/>
              </w:rPr>
            </w:pPr>
            <w:r w:rsidRPr="00D86314">
              <w:rPr>
                <w:noProof/>
                <w:sz w:val="22"/>
              </w:rPr>
              <w:t>Access obligations</w:t>
            </w:r>
          </w:p>
        </w:tc>
        <w:tc>
          <w:tcPr>
            <w:tcW w:w="0" w:type="dxa"/>
            <w:tcBorders>
              <w:left w:val="single" w:sz="12" w:space="0" w:color="auto"/>
            </w:tcBorders>
            <w:vAlign w:val="center"/>
          </w:tcPr>
          <w:p w14:paraId="0970B007" w14:textId="4A00B66C" w:rsidR="00B73F6F" w:rsidRPr="00D86314" w:rsidRDefault="00B73F6F" w:rsidP="00BD0E4B">
            <w:pPr>
              <w:keepNext/>
              <w:keepLines/>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w:t>
            </w:r>
            <w:r w:rsidR="00142497" w:rsidRPr="00D86314">
              <w:rPr>
                <w:noProof/>
                <w:sz w:val="22"/>
              </w:rPr>
              <w:t>30</w:t>
            </w:r>
          </w:p>
        </w:tc>
      </w:tr>
      <w:tr w:rsidR="00C20C97" w:rsidRPr="00D86314" w14:paraId="7947634C" w14:textId="77777777" w:rsidTr="003F4C78">
        <w:trPr>
          <w:trHeight w:val="312"/>
        </w:trPr>
        <w:tc>
          <w:tcPr>
            <w:cnfStyle w:val="001000000000" w:firstRow="0" w:lastRow="0" w:firstColumn="1" w:lastColumn="0" w:oddVBand="0" w:evenVBand="0" w:oddHBand="0" w:evenHBand="0" w:firstRowFirstColumn="0" w:firstRowLastColumn="0" w:lastRowFirstColumn="0" w:lastRowLastColumn="0"/>
            <w:tcW w:w="0" w:type="dxa"/>
            <w:tcBorders>
              <w:right w:val="single" w:sz="12" w:space="0" w:color="auto"/>
            </w:tcBorders>
            <w:vAlign w:val="center"/>
          </w:tcPr>
          <w:p w14:paraId="4C93B93F" w14:textId="1C9B6246" w:rsidR="00B73F6F" w:rsidRPr="00D86314" w:rsidRDefault="00735DF1" w:rsidP="00BD0E4B">
            <w:pPr>
              <w:keepNext/>
              <w:keepLines/>
              <w:spacing w:after="0"/>
              <w:rPr>
                <w:b w:val="0"/>
                <w:noProof/>
                <w:sz w:val="22"/>
              </w:rPr>
            </w:pPr>
            <w:r w:rsidRPr="00D86314">
              <w:rPr>
                <w:noProof/>
                <w:sz w:val="22"/>
              </w:rPr>
              <w:t xml:space="preserve">Auction prices </w:t>
            </w:r>
          </w:p>
        </w:tc>
        <w:tc>
          <w:tcPr>
            <w:tcW w:w="0" w:type="dxa"/>
            <w:tcBorders>
              <w:left w:val="single" w:sz="12" w:space="0" w:color="auto"/>
            </w:tcBorders>
            <w:vAlign w:val="center"/>
          </w:tcPr>
          <w:p w14:paraId="5A36898A" w14:textId="4E4B7C44" w:rsidR="00B73F6F" w:rsidRPr="00D86314" w:rsidRDefault="00B73F6F" w:rsidP="00BD0E4B">
            <w:pPr>
              <w:keepNext/>
              <w:keepLines/>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w:t>
            </w:r>
            <w:r w:rsidR="002B64D5" w:rsidRPr="00D86314">
              <w:rPr>
                <w:noProof/>
                <w:sz w:val="22"/>
              </w:rPr>
              <w:t>20</w:t>
            </w:r>
          </w:p>
        </w:tc>
      </w:tr>
      <w:tr w:rsidR="00C20C97" w:rsidRPr="00D86314" w14:paraId="5CC4A0E3" w14:textId="77777777" w:rsidTr="003F4C78">
        <w:trPr>
          <w:trHeight w:val="312"/>
        </w:trPr>
        <w:tc>
          <w:tcPr>
            <w:cnfStyle w:val="001000000000" w:firstRow="0" w:lastRow="0" w:firstColumn="1" w:lastColumn="0" w:oddVBand="0" w:evenVBand="0" w:oddHBand="0" w:evenHBand="0" w:firstRowFirstColumn="0" w:firstRowLastColumn="0" w:lastRowFirstColumn="0" w:lastRowLastColumn="0"/>
            <w:tcW w:w="2977" w:type="dxa"/>
            <w:tcBorders>
              <w:bottom w:val="single" w:sz="12" w:space="0" w:color="auto"/>
              <w:right w:val="single" w:sz="12" w:space="0" w:color="auto"/>
            </w:tcBorders>
            <w:vAlign w:val="center"/>
          </w:tcPr>
          <w:p w14:paraId="42B95797" w14:textId="7D263FE7" w:rsidR="00B73F6F" w:rsidRPr="00D86314" w:rsidRDefault="00735DF1" w:rsidP="00BD0E4B">
            <w:pPr>
              <w:keepNext/>
              <w:keepLines/>
              <w:spacing w:after="0"/>
              <w:rPr>
                <w:b w:val="0"/>
                <w:noProof/>
                <w:sz w:val="22"/>
              </w:rPr>
            </w:pPr>
            <w:r w:rsidRPr="00D86314">
              <w:rPr>
                <w:noProof/>
                <w:sz w:val="22"/>
              </w:rPr>
              <w:t>Reservations/Set-asides</w:t>
            </w:r>
          </w:p>
        </w:tc>
        <w:tc>
          <w:tcPr>
            <w:tcW w:w="322" w:type="dxa"/>
            <w:tcBorders>
              <w:left w:val="single" w:sz="12" w:space="0" w:color="auto"/>
              <w:bottom w:val="single" w:sz="12" w:space="0" w:color="auto"/>
            </w:tcBorders>
            <w:vAlign w:val="center"/>
          </w:tcPr>
          <w:p w14:paraId="5B6214CB" w14:textId="34F69949" w:rsidR="00B73F6F" w:rsidRPr="00D86314" w:rsidRDefault="00B73F6F" w:rsidP="00BD0E4B">
            <w:pPr>
              <w:keepNext/>
              <w:keepLines/>
              <w:spacing w:after="0"/>
              <w:jc w:val="right"/>
              <w:cnfStyle w:val="000000000000" w:firstRow="0" w:lastRow="0" w:firstColumn="0" w:lastColumn="0" w:oddVBand="0" w:evenVBand="0" w:oddHBand="0" w:evenHBand="0" w:firstRowFirstColumn="0" w:firstRowLastColumn="0" w:lastRowFirstColumn="0" w:lastRowLastColumn="0"/>
              <w:rPr>
                <w:noProof/>
                <w:sz w:val="22"/>
              </w:rPr>
            </w:pPr>
            <w:r w:rsidRPr="00D86314">
              <w:rPr>
                <w:noProof/>
                <w:sz w:val="22"/>
              </w:rPr>
              <w:t>0.</w:t>
            </w:r>
            <w:r w:rsidR="002B64D5" w:rsidRPr="00D86314">
              <w:rPr>
                <w:noProof/>
                <w:sz w:val="22"/>
              </w:rPr>
              <w:t>30</w:t>
            </w:r>
          </w:p>
        </w:tc>
      </w:tr>
      <w:tr w:rsidR="00C20C97" w:rsidRPr="00D86314" w14:paraId="30460E89" w14:textId="77777777" w:rsidTr="003F4C78">
        <w:trPr>
          <w:trHeight w:val="312"/>
        </w:trPr>
        <w:tc>
          <w:tcPr>
            <w:cnfStyle w:val="001000000000" w:firstRow="0" w:lastRow="0" w:firstColumn="1" w:lastColumn="0" w:oddVBand="0" w:evenVBand="0" w:oddHBand="0" w:evenHBand="0" w:firstRowFirstColumn="0" w:firstRowLastColumn="0" w:lastRowFirstColumn="0" w:lastRowLastColumn="0"/>
            <w:tcW w:w="2977" w:type="dxa"/>
            <w:tcBorders>
              <w:top w:val="single" w:sz="12" w:space="0" w:color="auto"/>
              <w:right w:val="single" w:sz="12" w:space="0" w:color="auto"/>
            </w:tcBorders>
            <w:vAlign w:val="center"/>
          </w:tcPr>
          <w:p w14:paraId="17912304" w14:textId="77777777" w:rsidR="00B73F6F" w:rsidRPr="00D86314" w:rsidRDefault="00B73F6F" w:rsidP="00BD0E4B">
            <w:pPr>
              <w:keepNext/>
              <w:keepLines/>
              <w:spacing w:after="0"/>
              <w:rPr>
                <w:noProof/>
                <w:sz w:val="22"/>
              </w:rPr>
            </w:pPr>
            <w:r w:rsidRPr="00D86314">
              <w:rPr>
                <w:noProof/>
                <w:sz w:val="22"/>
              </w:rPr>
              <w:t>Total</w:t>
            </w:r>
          </w:p>
        </w:tc>
        <w:tc>
          <w:tcPr>
            <w:tcW w:w="322" w:type="dxa"/>
            <w:tcBorders>
              <w:top w:val="single" w:sz="12" w:space="0" w:color="auto"/>
              <w:left w:val="single" w:sz="12" w:space="0" w:color="auto"/>
            </w:tcBorders>
            <w:vAlign w:val="center"/>
          </w:tcPr>
          <w:p w14:paraId="35F91922" w14:textId="06234491" w:rsidR="00B73F6F" w:rsidRPr="00D86314" w:rsidRDefault="00B73F6F" w:rsidP="00BD0E4B">
            <w:pPr>
              <w:keepNext/>
              <w:keepLines/>
              <w:spacing w:after="0"/>
              <w:jc w:val="right"/>
              <w:cnfStyle w:val="000000000000" w:firstRow="0" w:lastRow="0" w:firstColumn="0" w:lastColumn="0" w:oddVBand="0" w:evenVBand="0" w:oddHBand="0" w:evenHBand="0" w:firstRowFirstColumn="0" w:firstRowLastColumn="0" w:lastRowFirstColumn="0" w:lastRowLastColumn="0"/>
              <w:rPr>
                <w:b/>
                <w:noProof/>
                <w:sz w:val="22"/>
              </w:rPr>
            </w:pPr>
            <w:r w:rsidRPr="00D86314">
              <w:rPr>
                <w:b/>
                <w:noProof/>
                <w:sz w:val="22"/>
              </w:rPr>
              <w:t>1.00</w:t>
            </w:r>
          </w:p>
        </w:tc>
      </w:tr>
    </w:tbl>
    <w:p w14:paraId="6D2FD03F" w14:textId="77777777" w:rsidR="00CB7546" w:rsidRPr="00D86314" w:rsidRDefault="00CB7546" w:rsidP="002C4D19">
      <w:pPr>
        <w:spacing w:after="160" w:line="276" w:lineRule="auto"/>
        <w:rPr>
          <w:rFonts w:eastAsia="Aptos"/>
          <w:noProof/>
          <w:color w:val="008080"/>
          <w:u w:val="single"/>
        </w:rPr>
      </w:pPr>
    </w:p>
    <w:p w14:paraId="76EEB0E4" w14:textId="10A6250A" w:rsidR="00451815" w:rsidRPr="00D86314" w:rsidRDefault="00CD3C33" w:rsidP="003B5FD9">
      <w:pPr>
        <w:spacing w:after="160"/>
        <w:rPr>
          <w:noProof/>
        </w:rPr>
      </w:pPr>
      <w:r w:rsidRPr="00D86314">
        <w:rPr>
          <w:noProof/>
        </w:rPr>
        <w:t xml:space="preserve">The weighting is designed to capture the influence of those parts of the regulatory approach that </w:t>
      </w:r>
      <w:r w:rsidR="00451815" w:rsidRPr="00D86314">
        <w:rPr>
          <w:noProof/>
        </w:rPr>
        <w:t xml:space="preserve">directly influence operators’ ability to obtain and use spectrum in an investment-enhancing manner. Reservations and set-asides receive a weight of 0.30, reflecting their potentially substantial effect on the amount of spectrum available for national networks. Access obligations are similarly weighted at 0.30, acknowledging their direct impact on the commercial flexibility of licence holders. Spectrum caps and auction prices are weighted at 0.20 each, capturing their influence while recognising that their effects tend to be more context-dependent and intertwined with market structure. </w:t>
      </w:r>
    </w:p>
    <w:p w14:paraId="13E333B9" w14:textId="3E05102B" w:rsidR="00575B08" w:rsidRPr="00D86314" w:rsidRDefault="00451815" w:rsidP="003B5FD9">
      <w:pPr>
        <w:spacing w:after="160"/>
        <w:rPr>
          <w:noProof/>
        </w:rPr>
      </w:pPr>
      <w:r w:rsidRPr="00D86314">
        <w:rPr>
          <w:noProof/>
        </w:rPr>
        <w:t>The weighted sum for each Member State was then standardised using z-scores, allowing the resulting index to be plotted on a common scale with the composite market-outcome indicator. This rescaling facilitates the visual comparison presented in Section 3.2.2 of the main report without altering the underlying structure of the composite.</w:t>
      </w:r>
    </w:p>
    <w:p w14:paraId="353D7168" w14:textId="32E4EBFB" w:rsidR="001D13A1" w:rsidRPr="00D86314" w:rsidRDefault="001D13A1" w:rsidP="008642EA">
      <w:pPr>
        <w:pStyle w:val="Heading2"/>
        <w:rPr>
          <w:rFonts w:eastAsia="Aptos"/>
          <w:noProof/>
        </w:rPr>
      </w:pPr>
      <w:bookmarkStart w:id="190" w:name="_Toc219718400"/>
      <w:r w:rsidRPr="00D86314">
        <w:rPr>
          <w:rFonts w:eastAsia="Aptos"/>
          <w:noProof/>
        </w:rPr>
        <w:t>Visual comparison of Market outcomes and Regulatory approaches</w:t>
      </w:r>
      <w:bookmarkEnd w:id="190"/>
    </w:p>
    <w:p w14:paraId="04B94CBC" w14:textId="26E6D23C" w:rsidR="00670755" w:rsidRPr="00D86314" w:rsidRDefault="00F81E81" w:rsidP="003B5FD9">
      <w:pPr>
        <w:spacing w:after="160"/>
        <w:rPr>
          <w:noProof/>
        </w:rPr>
      </w:pPr>
      <w:r w:rsidRPr="00D86314">
        <w:rPr>
          <w:noProof/>
        </w:rPr>
        <w:t>Figure A4</w:t>
      </w:r>
      <w:r w:rsidR="005627AF" w:rsidRPr="00D86314">
        <w:rPr>
          <w:noProof/>
        </w:rPr>
        <w:t xml:space="preserve"> </w:t>
      </w:r>
      <w:r w:rsidRPr="00D86314">
        <w:rPr>
          <w:noProof/>
        </w:rPr>
        <w:t>3-</w:t>
      </w:r>
      <w:r w:rsidR="00273C4A" w:rsidRPr="00D86314">
        <w:rPr>
          <w:noProof/>
        </w:rPr>
        <w:t>5</w:t>
      </w:r>
      <w:r w:rsidRPr="00D86314">
        <w:rPr>
          <w:noProof/>
        </w:rPr>
        <w:t xml:space="preserve"> </w:t>
      </w:r>
      <w:r w:rsidR="00273C4A" w:rsidRPr="00D86314">
        <w:rPr>
          <w:noProof/>
        </w:rPr>
        <w:t xml:space="preserve">below </w:t>
      </w:r>
      <w:r w:rsidRPr="00D86314">
        <w:rPr>
          <w:noProof/>
        </w:rPr>
        <w:t>illustrates the resulting comparison between the composite regulatory-design indicator and the composite measure of market outcomes. The visual representation suggests that more interventionist regulatory approaches may, in some cases, be associated with less favourable market performance, particularly in the 700 MHz band. This may indicate that more restrictive and less investment-oriented auction and award conditions applied in certain Member States are linked to more limited coverage, lower quality of service and higher consumer prices. At the same time, and as emphasised above, the patterns visible in this simplified comparison are not conclusive and do not constitute statistical evidence. Rather, they provide</w:t>
      </w:r>
      <w:r w:rsidRPr="00D86314" w:rsidDel="004F7E8D">
        <w:rPr>
          <w:noProof/>
        </w:rPr>
        <w:t xml:space="preserve"> </w:t>
      </w:r>
      <w:r w:rsidRPr="00D86314">
        <w:rPr>
          <w:noProof/>
        </w:rPr>
        <w:t xml:space="preserve">motivation for the more </w:t>
      </w:r>
      <w:r w:rsidR="004F7E8D" w:rsidRPr="00D86314">
        <w:rPr>
          <w:rFonts w:eastAsia="Aptos"/>
          <w:noProof/>
        </w:rPr>
        <w:t>sophisticated</w:t>
      </w:r>
      <w:r w:rsidR="004F7E8D" w:rsidRPr="00D86314">
        <w:rPr>
          <w:noProof/>
        </w:rPr>
        <w:t xml:space="preserve"> </w:t>
      </w:r>
      <w:r w:rsidRPr="00D86314">
        <w:rPr>
          <w:noProof/>
        </w:rPr>
        <w:t>regression analysis presented in the following section.</w:t>
      </w:r>
    </w:p>
    <w:p w14:paraId="1FD6131F" w14:textId="440AF137" w:rsidR="005B5146" w:rsidRPr="00C20A01" w:rsidRDefault="005B5146" w:rsidP="00C20A01">
      <w:pPr>
        <w:pStyle w:val="Caption"/>
        <w:keepNext/>
        <w:rPr>
          <w:noProof/>
          <w:color w:val="auto"/>
          <w:sz w:val="20"/>
          <w:szCs w:val="20"/>
        </w:rPr>
      </w:pPr>
      <w:r w:rsidRPr="00C20A01">
        <w:rPr>
          <w:noProof/>
          <w:color w:val="auto"/>
          <w:sz w:val="20"/>
          <w:szCs w:val="20"/>
        </w:rPr>
        <w:t>Figure A4</w:t>
      </w:r>
      <w:r w:rsidR="00991FD4">
        <w:rPr>
          <w:noProof/>
          <w:color w:val="auto"/>
          <w:sz w:val="20"/>
          <w:szCs w:val="20"/>
        </w:rPr>
        <w:t>-</w:t>
      </w:r>
      <w:r w:rsidRPr="00C20A01">
        <w:rPr>
          <w:noProof/>
          <w:color w:val="auto"/>
          <w:sz w:val="20"/>
          <w:szCs w:val="20"/>
        </w:rPr>
        <w:fldChar w:fldCharType="begin"/>
      </w:r>
      <w:r w:rsidRPr="00C20A01">
        <w:rPr>
          <w:noProof/>
          <w:color w:val="auto"/>
          <w:sz w:val="20"/>
          <w:szCs w:val="20"/>
        </w:rPr>
        <w:instrText xml:space="preserve"> STYLEREF 1 \s </w:instrText>
      </w:r>
      <w:r w:rsidRPr="00C20A01">
        <w:rPr>
          <w:noProof/>
          <w:color w:val="auto"/>
          <w:sz w:val="20"/>
          <w:szCs w:val="20"/>
        </w:rPr>
        <w:fldChar w:fldCharType="separate"/>
      </w:r>
      <w:r w:rsidRPr="00C20A01">
        <w:rPr>
          <w:noProof/>
          <w:color w:val="auto"/>
          <w:sz w:val="20"/>
          <w:szCs w:val="20"/>
        </w:rPr>
        <w:t>3</w:t>
      </w:r>
      <w:r w:rsidRPr="00C20A01">
        <w:rPr>
          <w:noProof/>
          <w:color w:val="auto"/>
          <w:sz w:val="20"/>
          <w:szCs w:val="20"/>
        </w:rPr>
        <w:fldChar w:fldCharType="end"/>
      </w:r>
      <w:r w:rsidRPr="00C20A01">
        <w:rPr>
          <w:noProof/>
          <w:color w:val="auto"/>
          <w:sz w:val="20"/>
          <w:szCs w:val="20"/>
        </w:rPr>
        <w:noBreakHyphen/>
      </w:r>
      <w:r w:rsidRPr="00C20A01">
        <w:rPr>
          <w:noProof/>
          <w:color w:val="auto"/>
          <w:sz w:val="20"/>
          <w:szCs w:val="20"/>
        </w:rPr>
        <w:fldChar w:fldCharType="begin"/>
      </w:r>
      <w:r w:rsidRPr="00C20A01">
        <w:rPr>
          <w:noProof/>
          <w:color w:val="auto"/>
          <w:sz w:val="20"/>
          <w:szCs w:val="20"/>
        </w:rPr>
        <w:instrText xml:space="preserve"> SEQ Figure \* ARABIC \s 1 </w:instrText>
      </w:r>
      <w:r w:rsidRPr="00C20A01">
        <w:rPr>
          <w:noProof/>
          <w:color w:val="auto"/>
          <w:sz w:val="20"/>
          <w:szCs w:val="20"/>
        </w:rPr>
        <w:fldChar w:fldCharType="separate"/>
      </w:r>
      <w:r w:rsidRPr="00C20A01">
        <w:rPr>
          <w:noProof/>
          <w:color w:val="auto"/>
          <w:sz w:val="20"/>
          <w:szCs w:val="20"/>
        </w:rPr>
        <w:t>5</w:t>
      </w:r>
      <w:r w:rsidRPr="00C20A01">
        <w:rPr>
          <w:noProof/>
          <w:color w:val="auto"/>
          <w:sz w:val="20"/>
          <w:szCs w:val="20"/>
        </w:rPr>
        <w:fldChar w:fldCharType="end"/>
      </w:r>
      <w:r w:rsidRPr="00C20A01">
        <w:rPr>
          <w:noProof/>
          <w:color w:val="auto"/>
          <w:sz w:val="20"/>
          <w:szCs w:val="20"/>
        </w:rPr>
        <w:t>: Regulatory Design and Market Outcomes in the 3.6 GHz and 700 MHz Bands</w:t>
      </w:r>
    </w:p>
    <w:p w14:paraId="1E9465F0" w14:textId="27F2F101" w:rsidR="00670755" w:rsidRPr="00D86314" w:rsidRDefault="00631170" w:rsidP="00451815">
      <w:pPr>
        <w:spacing w:after="160" w:line="276" w:lineRule="auto"/>
        <w:rPr>
          <w:rFonts w:eastAsia="Aptos"/>
          <w:noProof/>
          <w:color w:val="008080"/>
          <w:u w:val="single"/>
        </w:rPr>
      </w:pPr>
      <w:r w:rsidRPr="00CA2C0B">
        <w:rPr>
          <w:noProof/>
          <w:lang w:eastAsia="en-GB"/>
        </w:rPr>
        <w:drawing>
          <wp:inline distT="0" distB="0" distL="0" distR="0" wp14:anchorId="668DDC2D" wp14:editId="05F14210">
            <wp:extent cx="6080078" cy="2223770"/>
            <wp:effectExtent l="0" t="0" r="0" b="5080"/>
            <wp:docPr id="1725616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16282" name="Picture 1"/>
                    <pic:cNvPicPr>
                      <a:picLocks noChangeAspect="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6085984" cy="2225930"/>
                    </a:xfrm>
                    <a:prstGeom prst="rect">
                      <a:avLst/>
                    </a:prstGeom>
                    <a:noFill/>
                  </pic:spPr>
                </pic:pic>
              </a:graphicData>
            </a:graphic>
          </wp:inline>
        </w:drawing>
      </w:r>
    </w:p>
    <w:p w14:paraId="12154D34" w14:textId="6895DD78" w:rsidR="004941DF" w:rsidRPr="00D86314" w:rsidRDefault="004941DF" w:rsidP="00451815">
      <w:pPr>
        <w:spacing w:after="160" w:line="276" w:lineRule="auto"/>
        <w:rPr>
          <w:rFonts w:eastAsia="Aptos"/>
          <w:noProof/>
          <w:color w:val="008080"/>
          <w:u w:val="single"/>
        </w:rPr>
      </w:pPr>
    </w:p>
    <w:p w14:paraId="729E9A24" w14:textId="3A90492D" w:rsidR="00904E3D" w:rsidRPr="00D86314" w:rsidRDefault="00287566" w:rsidP="00703057">
      <w:pPr>
        <w:pStyle w:val="Heading2"/>
        <w:rPr>
          <w:rFonts w:eastAsia="Aptos Display"/>
          <w:noProof/>
        </w:rPr>
      </w:pPr>
      <w:bookmarkStart w:id="191" w:name="_Ref214472817"/>
      <w:bookmarkStart w:id="192" w:name="_Toc219718401"/>
      <w:r w:rsidRPr="00D86314">
        <w:rPr>
          <w:rFonts w:eastAsia="Aptos Display"/>
          <w:noProof/>
        </w:rPr>
        <w:t>Analysis of possible correlations between regulatory approaches and relevant market outcomes</w:t>
      </w:r>
      <w:bookmarkEnd w:id="191"/>
      <w:bookmarkEnd w:id="192"/>
    </w:p>
    <w:p w14:paraId="295AFBC3" w14:textId="643D2C74" w:rsidR="00260BFD" w:rsidRPr="00D86314" w:rsidRDefault="008261A3" w:rsidP="003B5FD9">
      <w:pPr>
        <w:spacing w:after="160"/>
        <w:rPr>
          <w:noProof/>
        </w:rPr>
      </w:pPr>
      <w:r w:rsidRPr="00D86314">
        <w:rPr>
          <w:rFonts w:eastAsia="Aptos"/>
          <w:noProof/>
        </w:rPr>
        <w:t xml:space="preserve">This section presents the methodology and results of an econometric </w:t>
      </w:r>
      <w:r w:rsidR="00915C7C" w:rsidRPr="00D86314">
        <w:rPr>
          <w:rFonts w:eastAsia="Aptos"/>
          <w:noProof/>
        </w:rPr>
        <w:t>analysis</w:t>
      </w:r>
      <w:r w:rsidRPr="00D86314">
        <w:rPr>
          <w:rFonts w:eastAsia="Aptos"/>
          <w:noProof/>
        </w:rPr>
        <w:t xml:space="preserve"> exploring how selected elements of regulatory design are associated with market outcomes in 5G deployment across Member States. The </w:t>
      </w:r>
      <w:r w:rsidR="00915C7C" w:rsidRPr="00D86314">
        <w:rPr>
          <w:rFonts w:eastAsia="Aptos"/>
          <w:noProof/>
        </w:rPr>
        <w:t>exercise</w:t>
      </w:r>
      <w:r w:rsidRPr="00D86314">
        <w:rPr>
          <w:rFonts w:eastAsia="Aptos"/>
          <w:noProof/>
        </w:rPr>
        <w:t xml:space="preserve"> follows a structured regression-based approach applied to the best available cross-country data. </w:t>
      </w:r>
      <w:r w:rsidR="00B47CFA" w:rsidRPr="00D86314">
        <w:rPr>
          <w:rFonts w:eastAsia="Aptos"/>
          <w:noProof/>
        </w:rPr>
        <w:t xml:space="preserve">It aims to identify patterns that may help explain variations in coverage, prices and quality of service by </w:t>
      </w:r>
      <w:r w:rsidR="006F2D8D" w:rsidRPr="00D86314">
        <w:rPr>
          <w:rFonts w:eastAsia="Aptos"/>
          <w:noProof/>
        </w:rPr>
        <w:t>relating them to</w:t>
      </w:r>
      <w:r w:rsidR="00B47CFA" w:rsidRPr="00D86314">
        <w:rPr>
          <w:rFonts w:eastAsia="Aptos"/>
          <w:noProof/>
        </w:rPr>
        <w:t xml:space="preserve"> differences in spectrum-auction </w:t>
      </w:r>
      <w:r w:rsidR="00141753" w:rsidRPr="00D86314">
        <w:rPr>
          <w:rFonts w:eastAsia="Aptos"/>
          <w:noProof/>
        </w:rPr>
        <w:t>designs</w:t>
      </w:r>
      <w:r w:rsidR="00B47CFA" w:rsidRPr="00D86314">
        <w:rPr>
          <w:rFonts w:eastAsia="Aptos"/>
          <w:noProof/>
        </w:rPr>
        <w:t>, while recognising the important role of non-regulatory drivers and the inherent limitations of a small sample.</w:t>
      </w:r>
    </w:p>
    <w:p w14:paraId="33E32BB5" w14:textId="5ACDB091" w:rsidR="00234084" w:rsidRPr="00D86314" w:rsidRDefault="00D0174D" w:rsidP="00234084">
      <w:pPr>
        <w:pStyle w:val="Heading3"/>
        <w:spacing w:after="160" w:line="276" w:lineRule="auto"/>
        <w:rPr>
          <w:rFonts w:eastAsia="Aptos"/>
          <w:noProof/>
          <w:u w:val="single"/>
        </w:rPr>
      </w:pPr>
      <w:bookmarkStart w:id="193" w:name="_Toc219718402"/>
      <w:r w:rsidRPr="00D86314">
        <w:rPr>
          <w:rFonts w:eastAsia="Aptos Display"/>
          <w:noProof/>
        </w:rPr>
        <w:t>Methodology and Tools</w:t>
      </w:r>
      <w:bookmarkEnd w:id="193"/>
    </w:p>
    <w:p w14:paraId="32CED2CC" w14:textId="7A73A6A1" w:rsidR="00A2269B" w:rsidRPr="00D86314" w:rsidRDefault="00A2269B" w:rsidP="003B5FD9">
      <w:pPr>
        <w:spacing w:after="160"/>
        <w:rPr>
          <w:rFonts w:eastAsia="Aptos"/>
          <w:noProof/>
        </w:rPr>
      </w:pPr>
      <w:r w:rsidRPr="00D86314">
        <w:rPr>
          <w:rFonts w:eastAsia="Aptos"/>
          <w:noProof/>
        </w:rPr>
        <w:t xml:space="preserve">The analysis of potential correlations between regulatory approaches and market outcomes follows a structured and iterative regression-based methodology. The starting point is a set of theoretically grounded hypotheses, informed by economic reasoning, existing regulatory frameworks and observed market structures. On this basis, potential explanatory variables were identified, including GDP per capita, rural population share, population density, </w:t>
      </w:r>
      <w:r w:rsidR="00DF3ACC" w:rsidRPr="00D86314">
        <w:rPr>
          <w:rFonts w:eastAsia="Aptos"/>
          <w:noProof/>
        </w:rPr>
        <w:t xml:space="preserve">spectrum caps, </w:t>
      </w:r>
      <w:r w:rsidRPr="00D86314">
        <w:rPr>
          <w:rFonts w:eastAsia="Aptos"/>
          <w:noProof/>
        </w:rPr>
        <w:t>access and coverage obligations, set-aside or reservation percentages, and average band prices expressed in euro per MHz per population.</w:t>
      </w:r>
    </w:p>
    <w:p w14:paraId="6EA68D1A" w14:textId="730BBE8F" w:rsidR="00F21E6D" w:rsidRPr="00D86314" w:rsidRDefault="000732F1" w:rsidP="003B5FD9">
      <w:pPr>
        <w:spacing w:after="160"/>
        <w:rPr>
          <w:noProof/>
        </w:rPr>
      </w:pPr>
      <w:r w:rsidRPr="00D86314">
        <w:rPr>
          <w:rFonts w:eastAsia="Aptos"/>
          <w:noProof/>
        </w:rPr>
        <w:t>Multiple ordinary least squares (OLS) regression models were then estimated, varying the dependent variable across four key outcomes: 5G household coverage, 5G download speeds, retail consumer prices for the three</w:t>
      </w:r>
      <w:r w:rsidR="00615CE3" w:rsidRPr="00D86314">
        <w:rPr>
          <w:rFonts w:eastAsia="Aptos"/>
          <w:noProof/>
        </w:rPr>
        <w:t xml:space="preserve"> different</w:t>
      </w:r>
      <w:r w:rsidRPr="00D86314">
        <w:rPr>
          <w:rFonts w:eastAsia="Aptos"/>
          <w:noProof/>
        </w:rPr>
        <w:t xml:space="preserve"> usage baskets, and spectrum-auction prices expressed in euro per MHz per population. In some specifications, spectrum prices also enter as explanatory variables in order to examine how they relate to coverage, quality of service and retail prices. Each model was evaluated with respect to its overall statistical significance, its explanatory power as measured by R² and adjusted R², and the direction and magnitude of each coefficient. Particular attention was paid to the </w:t>
      </w:r>
      <w:r w:rsidR="001D6B07" w:rsidRPr="00D86314">
        <w:rPr>
          <w:rFonts w:eastAsia="Aptos"/>
          <w:noProof/>
        </w:rPr>
        <w:t>effects</w:t>
      </w:r>
      <w:r w:rsidRPr="00D86314">
        <w:rPr>
          <w:rFonts w:eastAsia="Aptos"/>
          <w:noProof/>
        </w:rPr>
        <w:t xml:space="preserve"> of regulatory variables such as spectrum caps, access </w:t>
      </w:r>
      <w:r w:rsidR="001D6B07" w:rsidRPr="00D86314">
        <w:rPr>
          <w:rFonts w:eastAsia="Aptos"/>
          <w:noProof/>
        </w:rPr>
        <w:t>and</w:t>
      </w:r>
      <w:r w:rsidRPr="00D86314">
        <w:rPr>
          <w:rFonts w:eastAsia="Aptos"/>
          <w:noProof/>
        </w:rPr>
        <w:t xml:space="preserve"> coverage obligations, reservations and set-asides, and average band prices, both in terms of statistical significance and </w:t>
      </w:r>
      <w:r w:rsidR="002F3D74" w:rsidRPr="00D86314">
        <w:rPr>
          <w:rFonts w:eastAsia="Aptos"/>
          <w:noProof/>
        </w:rPr>
        <w:t>consistency of t</w:t>
      </w:r>
      <w:r w:rsidRPr="00D86314">
        <w:rPr>
          <w:rFonts w:eastAsia="Aptos"/>
          <w:noProof/>
        </w:rPr>
        <w:t>he estimated relationships with</w:t>
      </w:r>
      <w:r w:rsidRPr="00D86314" w:rsidDel="000732F1">
        <w:rPr>
          <w:rFonts w:eastAsia="Aptos"/>
          <w:noProof/>
        </w:rPr>
        <w:t xml:space="preserve"> </w:t>
      </w:r>
      <w:r w:rsidR="00F21E6D" w:rsidRPr="00D86314">
        <w:rPr>
          <w:noProof/>
        </w:rPr>
        <w:t>theoretical expectations.</w:t>
      </w:r>
    </w:p>
    <w:p w14:paraId="06800780" w14:textId="21AED6C1" w:rsidR="00F21E6D" w:rsidRPr="00D86314" w:rsidRDefault="00691143" w:rsidP="003B5FD9">
      <w:pPr>
        <w:spacing w:after="160"/>
        <w:rPr>
          <w:noProof/>
        </w:rPr>
      </w:pPr>
      <w:r w:rsidRPr="00D86314">
        <w:rPr>
          <w:rFonts w:eastAsia="Aptos"/>
          <w:noProof/>
        </w:rPr>
        <w:t>In practical terms, the regression models were specified in a way that made it possible to examine the influence of each factor while holding other variables constant. This approach helped indicate, for example, whether higher set-aside shares are associated with higher consumer prices, or whether access obligations show any relationship with download speeds or overall 5G coverage. Simpler specifications were also estimated to verify whether certain structural variables, such as GDP per capita, exert a strong standalone influence and whether</w:t>
      </w:r>
      <w:r w:rsidR="00ED0A43" w:rsidRPr="00D86314">
        <w:rPr>
          <w:rFonts w:eastAsia="Aptos"/>
          <w:noProof/>
        </w:rPr>
        <w:t xml:space="preserve"> </w:t>
      </w:r>
      <w:r w:rsidR="00F21E6D" w:rsidRPr="00D86314">
        <w:rPr>
          <w:noProof/>
        </w:rPr>
        <w:t xml:space="preserve">their effects persist when </w:t>
      </w:r>
      <w:r w:rsidR="00ED0A43" w:rsidRPr="00D86314">
        <w:rPr>
          <w:rFonts w:eastAsia="Aptos"/>
          <w:noProof/>
        </w:rPr>
        <w:t xml:space="preserve">additional </w:t>
      </w:r>
      <w:r w:rsidR="00F21E6D" w:rsidRPr="00D86314">
        <w:rPr>
          <w:noProof/>
        </w:rPr>
        <w:t>factors are included.</w:t>
      </w:r>
    </w:p>
    <w:p w14:paraId="78AC6016" w14:textId="74EBFA4D" w:rsidR="00F21E6D" w:rsidRPr="00D86314" w:rsidRDefault="008D53BE" w:rsidP="003B5FD9">
      <w:pPr>
        <w:spacing w:after="160"/>
        <w:rPr>
          <w:noProof/>
        </w:rPr>
      </w:pPr>
      <w:r w:rsidRPr="00D86314">
        <w:rPr>
          <w:rFonts w:eastAsia="Aptos"/>
          <w:noProof/>
        </w:rPr>
        <w:t xml:space="preserve">The model specifications were refined iteratively by estimating reduced forms, adding or removing explanatory variables, and exploring potential confounding influences or interaction effects. </w:t>
      </w:r>
      <w:r w:rsidR="00F21E6D" w:rsidRPr="00D86314">
        <w:rPr>
          <w:noProof/>
        </w:rPr>
        <w:t xml:space="preserve">This iterative process </w:t>
      </w:r>
      <w:r w:rsidR="00F759E2" w:rsidRPr="00D86314">
        <w:rPr>
          <w:rFonts w:eastAsia="Aptos"/>
          <w:noProof/>
        </w:rPr>
        <w:t>made it possible</w:t>
      </w:r>
      <w:r w:rsidR="00F21E6D" w:rsidRPr="00D86314">
        <w:rPr>
          <w:noProof/>
        </w:rPr>
        <w:t xml:space="preserve"> to isolate robust relationships, identify </w:t>
      </w:r>
      <w:r w:rsidR="0091730A" w:rsidRPr="00D86314">
        <w:rPr>
          <w:noProof/>
        </w:rPr>
        <w:t xml:space="preserve">key </w:t>
      </w:r>
      <w:r w:rsidR="00F21E6D" w:rsidRPr="00D86314">
        <w:rPr>
          <w:noProof/>
        </w:rPr>
        <w:t xml:space="preserve">findings, and assess the policy relevance of different regulatory </w:t>
      </w:r>
      <w:r w:rsidR="007646BD" w:rsidRPr="00D86314">
        <w:rPr>
          <w:rFonts w:eastAsia="Aptos"/>
          <w:noProof/>
        </w:rPr>
        <w:t>instruments</w:t>
      </w:r>
      <w:r w:rsidR="00F21E6D" w:rsidRPr="00D86314">
        <w:rPr>
          <w:noProof/>
        </w:rPr>
        <w:t>. The ultimate goal was to move beyond correlation and toward plausible causal inference, while remaining attentive to sample limitations and diagnostic robustness.</w:t>
      </w:r>
    </w:p>
    <w:p w14:paraId="07EF1ABD" w14:textId="61A40182" w:rsidR="00F21E6D" w:rsidRPr="00D86314" w:rsidRDefault="00964CBF" w:rsidP="003B5FD9">
      <w:pPr>
        <w:spacing w:after="160"/>
        <w:rPr>
          <w:noProof/>
        </w:rPr>
      </w:pPr>
      <w:r w:rsidRPr="00D86314">
        <w:rPr>
          <w:rFonts w:eastAsia="Aptos"/>
          <w:noProof/>
        </w:rPr>
        <w:t>The</w:t>
      </w:r>
      <w:r w:rsidR="007C01C0" w:rsidRPr="00D86314">
        <w:rPr>
          <w:rFonts w:eastAsia="Aptos"/>
          <w:noProof/>
        </w:rPr>
        <w:t xml:space="preserve"> models were implemented as</w:t>
      </w:r>
      <w:r w:rsidR="00F21E6D" w:rsidRPr="00D86314">
        <w:rPr>
          <w:noProof/>
        </w:rPr>
        <w:t xml:space="preserve"> ordinary least squares (OLS) </w:t>
      </w:r>
      <w:r w:rsidR="00F21E6D" w:rsidRPr="00D86314">
        <w:rPr>
          <w:rFonts w:eastAsia="Aptos"/>
          <w:noProof/>
        </w:rPr>
        <w:t>regression</w:t>
      </w:r>
      <w:r w:rsidR="00ED02BE" w:rsidRPr="00D86314">
        <w:rPr>
          <w:rFonts w:eastAsia="Aptos"/>
          <w:noProof/>
        </w:rPr>
        <w:t>s</w:t>
      </w:r>
      <w:r w:rsidR="00F21E6D" w:rsidRPr="00D86314">
        <w:rPr>
          <w:noProof/>
        </w:rPr>
        <w:t xml:space="preserve"> using </w:t>
      </w:r>
      <w:r w:rsidR="6ABF5628" w:rsidRPr="00D86314">
        <w:rPr>
          <w:rFonts w:eastAsia="Aptos"/>
          <w:noProof/>
        </w:rPr>
        <w:t xml:space="preserve">the statistical software </w:t>
      </w:r>
      <w:r w:rsidR="0F2981E6" w:rsidRPr="00D86314">
        <w:rPr>
          <w:rFonts w:eastAsia="Aptos"/>
          <w:noProof/>
        </w:rPr>
        <w:t>STATA</w:t>
      </w:r>
      <w:r w:rsidR="00F21E6D" w:rsidRPr="00D86314">
        <w:rPr>
          <w:noProof/>
        </w:rPr>
        <w:t xml:space="preserve">. </w:t>
      </w:r>
      <w:r w:rsidR="00467625" w:rsidRPr="00D86314">
        <w:rPr>
          <w:rFonts w:eastAsia="Aptos"/>
          <w:noProof/>
        </w:rPr>
        <w:t>OLS provides a solid and sufficiently reliable basis for the exploratory assessment carried out here.</w:t>
      </w:r>
      <w:r w:rsidR="00F21E6D" w:rsidRPr="00D86314">
        <w:rPr>
          <w:noProof/>
        </w:rPr>
        <w:t xml:space="preserve"> </w:t>
      </w:r>
      <w:r w:rsidR="00A503E6" w:rsidRPr="00D86314">
        <w:rPr>
          <w:rFonts w:eastAsia="Aptos"/>
          <w:noProof/>
        </w:rPr>
        <w:t xml:space="preserve">Interpretation of the regression outputs was supported by AI-based analytical assistance. </w:t>
      </w:r>
      <w:r w:rsidR="00686537" w:rsidRPr="00D86314">
        <w:rPr>
          <w:rFonts w:eastAsia="Aptos"/>
          <w:noProof/>
        </w:rPr>
        <w:t>H</w:t>
      </w:r>
      <w:r w:rsidR="00A503E6" w:rsidRPr="00D86314">
        <w:rPr>
          <w:rFonts w:eastAsia="Aptos"/>
          <w:noProof/>
        </w:rPr>
        <w:t>owever, the analytical process was overseen by an experienced econom</w:t>
      </w:r>
      <w:r w:rsidR="00686537" w:rsidRPr="00D86314">
        <w:rPr>
          <w:rFonts w:eastAsia="Aptos"/>
          <w:noProof/>
        </w:rPr>
        <w:t>i</w:t>
      </w:r>
      <w:r w:rsidR="00A503E6" w:rsidRPr="00D86314">
        <w:rPr>
          <w:rFonts w:eastAsia="Aptos"/>
          <w:noProof/>
        </w:rPr>
        <w:t>c expert, Prof. J. Scott Marcus, who reviewed all AI-generated results for methodological soundness and overall reasonableness.</w:t>
      </w:r>
    </w:p>
    <w:p w14:paraId="12D7D8DC" w14:textId="46B384D2" w:rsidR="00512CAE" w:rsidRPr="00D86314" w:rsidRDefault="00F21E6D" w:rsidP="003B5FD9">
      <w:pPr>
        <w:spacing w:after="160"/>
        <w:rPr>
          <w:rFonts w:eastAsia="Aptos"/>
          <w:noProof/>
        </w:rPr>
      </w:pPr>
      <w:r w:rsidRPr="00D86314">
        <w:rPr>
          <w:noProof/>
        </w:rPr>
        <w:t>Unless</w:t>
      </w:r>
      <w:r w:rsidR="00CE18AB" w:rsidRPr="00D86314">
        <w:rPr>
          <w:noProof/>
        </w:rPr>
        <w:t xml:space="preserve"> </w:t>
      </w:r>
      <w:r w:rsidR="00CE18AB" w:rsidRPr="00D86314">
        <w:rPr>
          <w:rFonts w:eastAsia="Aptos"/>
          <w:noProof/>
        </w:rPr>
        <w:t>stated</w:t>
      </w:r>
      <w:r w:rsidRPr="00D86314">
        <w:rPr>
          <w:rFonts w:eastAsia="Aptos"/>
          <w:noProof/>
        </w:rPr>
        <w:t xml:space="preserve"> </w:t>
      </w:r>
      <w:r w:rsidRPr="00D86314">
        <w:rPr>
          <w:noProof/>
        </w:rPr>
        <w:t xml:space="preserve">otherwise, the </w:t>
      </w:r>
      <w:r w:rsidR="00CE18AB" w:rsidRPr="00D86314">
        <w:rPr>
          <w:rFonts w:eastAsia="Aptos"/>
          <w:noProof/>
        </w:rPr>
        <w:t xml:space="preserve">reported </w:t>
      </w:r>
      <w:r w:rsidRPr="00D86314">
        <w:rPr>
          <w:noProof/>
        </w:rPr>
        <w:t>results are</w:t>
      </w:r>
      <w:r w:rsidRPr="00D86314" w:rsidDel="00CE18AB">
        <w:rPr>
          <w:noProof/>
        </w:rPr>
        <w:t xml:space="preserve"> </w:t>
      </w:r>
      <w:r w:rsidRPr="00D86314">
        <w:rPr>
          <w:noProof/>
        </w:rPr>
        <w:t xml:space="preserve">statistically significant at the 95% level. </w:t>
      </w:r>
      <w:r w:rsidR="007067CB" w:rsidRPr="00D86314">
        <w:rPr>
          <w:rFonts w:eastAsia="Aptos"/>
          <w:noProof/>
        </w:rPr>
        <w:t>A small number of results achieve significance at the more dema</w:t>
      </w:r>
      <w:r w:rsidR="009D4DB9" w:rsidRPr="00D86314">
        <w:rPr>
          <w:rFonts w:eastAsia="Aptos"/>
          <w:noProof/>
        </w:rPr>
        <w:t>n</w:t>
      </w:r>
      <w:r w:rsidR="007067CB" w:rsidRPr="00D86314">
        <w:rPr>
          <w:rFonts w:eastAsia="Aptos"/>
          <w:noProof/>
        </w:rPr>
        <w:t>ding 99</w:t>
      </w:r>
      <w:r w:rsidR="009D4DB9" w:rsidRPr="00D86314">
        <w:rPr>
          <w:rFonts w:eastAsia="Aptos"/>
          <w:noProof/>
        </w:rPr>
        <w:t>%</w:t>
      </w:r>
      <w:r w:rsidR="007067CB" w:rsidRPr="00D86314">
        <w:rPr>
          <w:rFonts w:eastAsia="Aptos"/>
          <w:noProof/>
        </w:rPr>
        <w:t xml:space="preserve"> level</w:t>
      </w:r>
      <w:r w:rsidR="00F773A5" w:rsidRPr="00D86314">
        <w:rPr>
          <w:rFonts w:eastAsia="Aptos"/>
          <w:noProof/>
        </w:rPr>
        <w:t xml:space="preserve">. </w:t>
      </w:r>
      <w:r w:rsidR="00F065A0" w:rsidRPr="00D86314">
        <w:rPr>
          <w:rFonts w:eastAsia="Aptos"/>
          <w:noProof/>
        </w:rPr>
        <w:t>Some estimates reach only marginal significance at the 90</w:t>
      </w:r>
      <w:r w:rsidR="00B677EC" w:rsidRPr="00D86314">
        <w:rPr>
          <w:rFonts w:eastAsia="Aptos"/>
          <w:noProof/>
        </w:rPr>
        <w:t>%</w:t>
      </w:r>
      <w:r w:rsidR="00F065A0" w:rsidRPr="00D86314">
        <w:rPr>
          <w:rFonts w:eastAsia="Aptos"/>
          <w:noProof/>
        </w:rPr>
        <w:t xml:space="preserve"> level, while others that fall short of </w:t>
      </w:r>
      <w:r w:rsidR="009A3529" w:rsidRPr="00D86314">
        <w:rPr>
          <w:rFonts w:eastAsia="Aptos"/>
          <w:noProof/>
        </w:rPr>
        <w:t xml:space="preserve">conventional significance </w:t>
      </w:r>
      <w:r w:rsidR="00F065A0" w:rsidRPr="00D86314">
        <w:rPr>
          <w:rFonts w:eastAsia="Aptos"/>
          <w:noProof/>
        </w:rPr>
        <w:t>thresholds may still be informative when interpreted in context</w:t>
      </w:r>
      <w:r w:rsidR="00CB61E7" w:rsidRPr="00D86314">
        <w:rPr>
          <w:rFonts w:eastAsia="Aptos"/>
          <w:noProof/>
        </w:rPr>
        <w:t xml:space="preserve">. </w:t>
      </w:r>
      <w:r w:rsidR="0064379C" w:rsidRPr="00D86314">
        <w:rPr>
          <w:rFonts w:eastAsia="Aptos"/>
          <w:noProof/>
        </w:rPr>
        <w:t xml:space="preserve">Such cases are clearly </w:t>
      </w:r>
      <w:r w:rsidRPr="00D86314">
        <w:rPr>
          <w:noProof/>
        </w:rPr>
        <w:t>indicated.</w:t>
      </w:r>
      <w:r w:rsidR="00512CAE" w:rsidRPr="00D86314">
        <w:rPr>
          <w:rFonts w:eastAsia="Aptos"/>
          <w:noProof/>
        </w:rPr>
        <w:t xml:space="preserve"> </w:t>
      </w:r>
    </w:p>
    <w:p w14:paraId="52FCAA9C" w14:textId="34E1EEB1" w:rsidR="00234084" w:rsidRPr="00D86314" w:rsidRDefault="00512CAE" w:rsidP="003B5FD9">
      <w:pPr>
        <w:spacing w:after="160"/>
        <w:rPr>
          <w:noProof/>
        </w:rPr>
      </w:pPr>
      <w:r w:rsidRPr="00D86314">
        <w:rPr>
          <w:rFonts w:eastAsia="Aptos"/>
          <w:noProof/>
        </w:rPr>
        <w:t>It should be noted that statistical significance applies separately to the model as a whole and to the individual explanatory variables. Where a model is statistically significant overall but a specific variable is not, this is indicated accordingly, and such findings are interpreted as suggestive rather than</w:t>
      </w:r>
      <w:r w:rsidRPr="00D86314" w:rsidDel="00512CAE">
        <w:rPr>
          <w:rFonts w:eastAsia="Aptos"/>
          <w:noProof/>
        </w:rPr>
        <w:t xml:space="preserve"> </w:t>
      </w:r>
      <w:r w:rsidR="00F21E6D" w:rsidRPr="00D86314">
        <w:rPr>
          <w:noProof/>
        </w:rPr>
        <w:t>definitive.</w:t>
      </w:r>
    </w:p>
    <w:p w14:paraId="216BEEF6" w14:textId="59837198" w:rsidR="00D0174D" w:rsidRPr="00D86314" w:rsidRDefault="00A86034" w:rsidP="00D0174D">
      <w:pPr>
        <w:pStyle w:val="Heading3"/>
        <w:spacing w:after="160" w:line="276" w:lineRule="auto"/>
        <w:rPr>
          <w:rFonts w:eastAsia="Aptos"/>
          <w:noProof/>
          <w:u w:val="single"/>
        </w:rPr>
      </w:pPr>
      <w:bookmarkStart w:id="194" w:name="_Toc219718403"/>
      <w:r w:rsidRPr="00D86314">
        <w:rPr>
          <w:rFonts w:eastAsia="Aptos Display"/>
          <w:noProof/>
        </w:rPr>
        <w:t>Data</w:t>
      </w:r>
      <w:r w:rsidR="007456F9" w:rsidRPr="00D86314">
        <w:rPr>
          <w:rFonts w:eastAsia="Aptos Display"/>
          <w:noProof/>
        </w:rPr>
        <w:t xml:space="preserve"> and </w:t>
      </w:r>
      <w:r w:rsidR="00D0174D" w:rsidRPr="00D86314">
        <w:rPr>
          <w:rFonts w:eastAsia="Aptos Display"/>
          <w:noProof/>
        </w:rPr>
        <w:t>Variables</w:t>
      </w:r>
      <w:bookmarkEnd w:id="194"/>
    </w:p>
    <w:p w14:paraId="4B3B0D2D" w14:textId="338F0C13" w:rsidR="0051127A" w:rsidRPr="00D86314" w:rsidRDefault="0051127A" w:rsidP="003B5FD9">
      <w:pPr>
        <w:spacing w:after="160"/>
        <w:rPr>
          <w:rFonts w:eastAsia="Aptos"/>
          <w:noProof/>
        </w:rPr>
      </w:pPr>
      <w:r w:rsidRPr="00D86314">
        <w:rPr>
          <w:rFonts w:eastAsia="Aptos"/>
          <w:noProof/>
        </w:rPr>
        <w:t>Table A4</w:t>
      </w:r>
      <w:r w:rsidR="007B319A" w:rsidRPr="00D86314">
        <w:rPr>
          <w:rFonts w:eastAsia="Aptos"/>
          <w:noProof/>
        </w:rPr>
        <w:t xml:space="preserve"> </w:t>
      </w:r>
      <w:r w:rsidRPr="00D86314">
        <w:rPr>
          <w:rFonts w:eastAsia="Aptos"/>
          <w:noProof/>
        </w:rPr>
        <w:t>3-</w:t>
      </w:r>
      <w:r w:rsidR="005B0C40" w:rsidRPr="00D86314">
        <w:rPr>
          <w:rFonts w:eastAsia="Aptos"/>
          <w:noProof/>
        </w:rPr>
        <w:t>4</w:t>
      </w:r>
      <w:r w:rsidRPr="00D86314">
        <w:rPr>
          <w:rFonts w:eastAsia="Aptos"/>
          <w:noProof/>
        </w:rPr>
        <w:t xml:space="preserve"> provides an overview of all variables used in the regression analysis, distinguishing between outcome variables, regulatory indicators and exogenous controls. The analysis uses raw values where available, combined with expert-based scoring where necessary, as indicated below. This approach preserves quantitative comparability while still capturing meaningful differences in regulatory approaches across Member </w:t>
      </w:r>
      <w:r w:rsidR="007B319A" w:rsidRPr="00D86314">
        <w:rPr>
          <w:rFonts w:eastAsia="Aptos"/>
          <w:noProof/>
        </w:rPr>
        <w:t>States and</w:t>
      </w:r>
      <w:r w:rsidRPr="00D86314">
        <w:rPr>
          <w:rFonts w:eastAsia="Aptos"/>
          <w:noProof/>
        </w:rPr>
        <w:t xml:space="preserve"> ensures that variables enter the analysis in their original form wherever feasible.</w:t>
      </w:r>
    </w:p>
    <w:p w14:paraId="3375559C" w14:textId="389347A4" w:rsidR="0051127A" w:rsidRPr="00D86314" w:rsidRDefault="0051127A" w:rsidP="003B5FD9">
      <w:pPr>
        <w:spacing w:after="160"/>
        <w:rPr>
          <w:rFonts w:eastAsia="Aptos"/>
          <w:noProof/>
        </w:rPr>
      </w:pPr>
      <w:r w:rsidRPr="00D86314">
        <w:rPr>
          <w:rFonts w:eastAsia="Aptos"/>
          <w:noProof/>
        </w:rPr>
        <w:t xml:space="preserve">The </w:t>
      </w:r>
      <w:r w:rsidRPr="00D86314">
        <w:rPr>
          <w:rFonts w:eastAsia="Aptos"/>
          <w:b/>
          <w:noProof/>
        </w:rPr>
        <w:t>outcome variables</w:t>
      </w:r>
      <w:r w:rsidRPr="00D86314">
        <w:rPr>
          <w:rFonts w:eastAsia="Aptos"/>
          <w:noProof/>
        </w:rPr>
        <w:t xml:space="preserve"> comprise the market-performance measures described in Section </w:t>
      </w:r>
      <w:r w:rsidRPr="00D86314">
        <w:rPr>
          <w:rFonts w:eastAsia="Aptos"/>
          <w:noProof/>
        </w:rPr>
        <w:fldChar w:fldCharType="begin"/>
      </w:r>
      <w:r w:rsidRPr="00D86314">
        <w:rPr>
          <w:rFonts w:eastAsia="Aptos"/>
          <w:noProof/>
        </w:rPr>
        <w:instrText xml:space="preserve"> REF _Ref214548871 \r \h </w:instrText>
      </w:r>
      <w:r w:rsidR="00F87B9B" w:rsidRPr="00D86314">
        <w:rPr>
          <w:rFonts w:eastAsia="Aptos"/>
          <w:noProof/>
        </w:rPr>
        <w:instrText xml:space="preserve"> \* MERGEFORMAT </w:instrText>
      </w:r>
      <w:r w:rsidRPr="00D86314">
        <w:rPr>
          <w:rFonts w:eastAsia="Aptos"/>
          <w:noProof/>
        </w:rPr>
      </w:r>
      <w:r w:rsidRPr="00D86314">
        <w:rPr>
          <w:rFonts w:eastAsia="Aptos"/>
          <w:noProof/>
        </w:rPr>
        <w:fldChar w:fldCharType="separate"/>
      </w:r>
      <w:r w:rsidR="00870CA9" w:rsidRPr="00D86314">
        <w:rPr>
          <w:rFonts w:eastAsia="Aptos"/>
          <w:noProof/>
        </w:rPr>
        <w:t>3.2.4</w:t>
      </w:r>
      <w:r w:rsidRPr="00D86314">
        <w:rPr>
          <w:rFonts w:eastAsia="Aptos"/>
          <w:noProof/>
        </w:rPr>
        <w:fldChar w:fldCharType="end"/>
      </w:r>
      <w:r w:rsidRPr="00D86314">
        <w:rPr>
          <w:rFonts w:eastAsia="Aptos"/>
          <w:noProof/>
        </w:rPr>
        <w:t>, including overall 5G household coverage, 5G coverage in the 3.4–3.8 GHz band, average and 5G download speeds, latency and consumer prices for the three us-age baskets. Spectrum-auction prices, expressed in euro per MHz per population for both the 700 MHz and 3.4–3.8 GHz bands, are also treated as outcome variables where the aim is to identify their determinants</w:t>
      </w:r>
      <w:r w:rsidR="002D3BDE" w:rsidRPr="00D86314">
        <w:rPr>
          <w:rFonts w:eastAsia="Aptos"/>
          <w:noProof/>
        </w:rPr>
        <w:t>.</w:t>
      </w:r>
      <w:r w:rsidRPr="00D86314">
        <w:rPr>
          <w:rFonts w:eastAsia="Aptos"/>
          <w:noProof/>
        </w:rPr>
        <w:t xml:space="preserve"> </w:t>
      </w:r>
      <w:r w:rsidR="002D3BDE" w:rsidRPr="00D86314">
        <w:rPr>
          <w:rFonts w:eastAsia="Aptos"/>
          <w:noProof/>
        </w:rPr>
        <w:t>H</w:t>
      </w:r>
      <w:r w:rsidRPr="00D86314">
        <w:rPr>
          <w:rFonts w:eastAsia="Aptos"/>
          <w:noProof/>
        </w:rPr>
        <w:t xml:space="preserve">owever, in several model specifications these price variables also enter as explanatory inputs in order to examine how they relate to coverage, performance and retail pricing. All of the variables </w:t>
      </w:r>
      <w:r w:rsidR="002D3BDE" w:rsidRPr="00D86314">
        <w:rPr>
          <w:rFonts w:eastAsia="Aptos"/>
          <w:noProof/>
        </w:rPr>
        <w:t xml:space="preserve">mentioned in this paragraph </w:t>
      </w:r>
      <w:r w:rsidRPr="00D86314">
        <w:rPr>
          <w:rFonts w:eastAsia="Aptos"/>
          <w:noProof/>
        </w:rPr>
        <w:t>enter the analysis in their raw form.</w:t>
      </w:r>
    </w:p>
    <w:p w14:paraId="4571BBDD" w14:textId="77777777" w:rsidR="00C3542D" w:rsidRPr="00D86314" w:rsidRDefault="0051127A" w:rsidP="003B5FD9">
      <w:pPr>
        <w:spacing w:after="160"/>
        <w:rPr>
          <w:rFonts w:eastAsia="Aptos"/>
          <w:noProof/>
        </w:rPr>
      </w:pPr>
      <w:r w:rsidRPr="00D86314">
        <w:rPr>
          <w:rFonts w:eastAsia="Aptos"/>
          <w:noProof/>
        </w:rPr>
        <w:t xml:space="preserve">The </w:t>
      </w:r>
      <w:r w:rsidRPr="00D86314">
        <w:rPr>
          <w:rFonts w:eastAsia="Aptos"/>
          <w:b/>
          <w:noProof/>
        </w:rPr>
        <w:t>explanatory variables</w:t>
      </w:r>
      <w:r w:rsidRPr="00D86314">
        <w:rPr>
          <w:rFonts w:eastAsia="Aptos"/>
          <w:noProof/>
        </w:rPr>
        <w:t xml:space="preserve"> comprise two groups. The first consists of </w:t>
      </w:r>
      <w:r w:rsidRPr="00D86314">
        <w:rPr>
          <w:rFonts w:eastAsia="Aptos"/>
          <w:b/>
          <w:noProof/>
        </w:rPr>
        <w:t>exogenous/structural drivers</w:t>
      </w:r>
      <w:r w:rsidRPr="00D86314">
        <w:rPr>
          <w:rFonts w:eastAsia="Aptos"/>
          <w:noProof/>
        </w:rPr>
        <w:t xml:space="preserve"> that influence 5G deployment and performance independently of spectrum-auction design. These include GDP per capita, population density, rural population share and the number of mobile network operators, all of which are used in their raw form. These variables capture fundamental economic and demographic conditions that shape deployment costs, investment incentives and consumer demand. Their inclusion is essential for disentangling the effects of regulatory design from broader structural determinants, since market outcomes such as coverage, prices, download speeds and investment incentives cannot be attributed to regulatory choices alone. Prosperity levels influence both operator investment incentives and consumers’ willingness to pay; population density and rural share shape the cost of network roll-out; and the competitive structure contributes to pricing dynamics and investment behaviour.</w:t>
      </w:r>
    </w:p>
    <w:p w14:paraId="18B3E7F2" w14:textId="231153A7" w:rsidR="00C3542D" w:rsidRPr="00D86314" w:rsidRDefault="0051127A" w:rsidP="003B5FD9">
      <w:pPr>
        <w:spacing w:after="160"/>
        <w:rPr>
          <w:rFonts w:eastAsia="Aptos"/>
          <w:noProof/>
        </w:rPr>
      </w:pPr>
      <w:r w:rsidRPr="00D86314">
        <w:rPr>
          <w:rFonts w:eastAsia="Aptos"/>
          <w:noProof/>
        </w:rPr>
        <w:t xml:space="preserve">The second group of explanatory variables comprises </w:t>
      </w:r>
      <w:r w:rsidRPr="00D86314">
        <w:rPr>
          <w:rFonts w:eastAsia="Aptos"/>
          <w:b/>
          <w:noProof/>
        </w:rPr>
        <w:t>regulatory variables</w:t>
      </w:r>
      <w:r w:rsidRPr="00D86314">
        <w:rPr>
          <w:rFonts w:eastAsia="Aptos"/>
          <w:noProof/>
        </w:rPr>
        <w:t xml:space="preserve">, covering the different dimensions of auction design described in Section </w:t>
      </w:r>
      <w:r w:rsidR="002D3BDE" w:rsidRPr="00D86314">
        <w:rPr>
          <w:rFonts w:eastAsia="Aptos"/>
          <w:noProof/>
        </w:rPr>
        <w:fldChar w:fldCharType="begin"/>
      </w:r>
      <w:r w:rsidR="002D3BDE" w:rsidRPr="00D86314">
        <w:rPr>
          <w:rFonts w:eastAsia="Aptos"/>
          <w:noProof/>
          <w:color w:val="008080"/>
          <w:u w:val="single"/>
        </w:rPr>
        <w:instrText xml:space="preserve"> REF _Ref214549077 \r \h </w:instrText>
      </w:r>
      <w:r w:rsidR="00F87B9B" w:rsidRPr="00D86314">
        <w:rPr>
          <w:rFonts w:eastAsia="Aptos"/>
          <w:noProof/>
        </w:rPr>
        <w:instrText xml:space="preserve"> \* MERGEFORMAT </w:instrText>
      </w:r>
      <w:r w:rsidR="002D3BDE" w:rsidRPr="00D86314">
        <w:rPr>
          <w:rFonts w:eastAsia="Aptos"/>
          <w:noProof/>
        </w:rPr>
      </w:r>
      <w:r w:rsidR="002D3BDE" w:rsidRPr="00D86314">
        <w:rPr>
          <w:rFonts w:eastAsia="Aptos"/>
          <w:noProof/>
        </w:rPr>
        <w:fldChar w:fldCharType="separate"/>
      </w:r>
      <w:r w:rsidR="00870CA9" w:rsidRPr="00D86314">
        <w:rPr>
          <w:rFonts w:eastAsia="Aptos"/>
          <w:noProof/>
        </w:rPr>
        <w:t>3.3</w:t>
      </w:r>
      <w:r w:rsidR="002D3BDE" w:rsidRPr="00D86314">
        <w:rPr>
          <w:rFonts w:eastAsia="Aptos"/>
          <w:noProof/>
        </w:rPr>
        <w:fldChar w:fldCharType="end"/>
      </w:r>
      <w:r w:rsidRPr="00D86314">
        <w:rPr>
          <w:rFonts w:eastAsia="Aptos"/>
          <w:noProof/>
        </w:rPr>
        <w:t xml:space="preserve">. For reservations and set-asides, the analysis uses the raw percentage of the band reserved, allowing the regressions to capture the direct effect of limiting the spectrum available to incumbent or potential operators. For spectrum caps, access obligations and coverage obligations, the analysis relies on structured comparative scores, developed by </w:t>
      </w:r>
      <w:r w:rsidRPr="00D86314" w:rsidDel="009F1786">
        <w:rPr>
          <w:rFonts w:eastAsia="Aptos"/>
          <w:noProof/>
        </w:rPr>
        <w:t xml:space="preserve">a </w:t>
      </w:r>
      <w:r w:rsidR="00E711A1" w:rsidRPr="00D86314">
        <w:rPr>
          <w:rFonts w:eastAsia="Aptos"/>
          <w:noProof/>
        </w:rPr>
        <w:t>spectrum</w:t>
      </w:r>
      <w:r w:rsidRPr="00D86314">
        <w:rPr>
          <w:rFonts w:eastAsia="Aptos"/>
          <w:noProof/>
        </w:rPr>
        <w:t xml:space="preserve"> expert (Martin Sims) on the basis of harmonised information from Cullen International and PolicyTracker. These scores provide a consisten</w:t>
      </w:r>
      <w:r w:rsidR="00C3542D" w:rsidRPr="00D86314">
        <w:rPr>
          <w:rFonts w:eastAsia="Aptos"/>
          <w:noProof/>
        </w:rPr>
        <w:t>t</w:t>
      </w:r>
      <w:r w:rsidRPr="00D86314">
        <w:rPr>
          <w:rFonts w:eastAsia="Aptos"/>
          <w:noProof/>
        </w:rPr>
        <w:t xml:space="preserve"> comparative representation of regulatory intensity across Member States in cases where policies differ qualitatively and cannot be directly compared using numerical values alone. The scoring methodologies for each category of regulatory measure are set out in Section 3.3.</w:t>
      </w:r>
    </w:p>
    <w:p w14:paraId="133D9F71" w14:textId="265CE48A" w:rsidR="00C3542D" w:rsidRPr="00D86314" w:rsidRDefault="0051127A" w:rsidP="003B5FD9">
      <w:pPr>
        <w:spacing w:after="160"/>
        <w:rPr>
          <w:noProof/>
        </w:rPr>
      </w:pPr>
      <w:r w:rsidRPr="00D86314">
        <w:rPr>
          <w:rFonts w:eastAsia="Aptos"/>
          <w:noProof/>
        </w:rPr>
        <w:t xml:space="preserve">The dataset covers </w:t>
      </w:r>
      <w:r w:rsidRPr="00D86314">
        <w:rPr>
          <w:rFonts w:eastAsia="Aptos"/>
          <w:b/>
          <w:bCs/>
          <w:noProof/>
        </w:rPr>
        <w:t>21 Member States</w:t>
      </w:r>
      <w:r w:rsidRPr="00D86314">
        <w:rPr>
          <w:rFonts w:eastAsia="Aptos"/>
          <w:noProof/>
        </w:rPr>
        <w:t xml:space="preserve"> for which comparable information is available, specifically Austria, Belgium, Bulgaria, Croatia, Czechia, Denmark, Finland, France, Germany, Greece, Hungary, Italy, Lithuania, Netherlands, Poland, Portugal, Romania, Slovakia, Slovenia, Spain and Sweden. For models involving band-specific auction prices, the sample is reduced because not all auction formats allow the derivation of final prices that are specific to a single band. In the 3.4–3.8 GHz band, auction prices cannot be derived for Denmark and Romania, resulting in a maximum sample of 19 Member States. In the 700 MHz band, band-specific prices cannot be derived for Austria, Denmark and Romania, which reduces the usable sample to 18 Member States. All auctions considered in this analysis were conducted between 2018 and 2025. Given the small cross-sectional sample and the absence of a time series, the estimation strategy must be parsimonious and efficient, focusing on variables that are theoretically justified and empirically meaningful.</w:t>
      </w:r>
    </w:p>
    <w:p w14:paraId="50C9ADDE" w14:textId="517E6BF9" w:rsidR="00C3542D" w:rsidRPr="00D86314" w:rsidRDefault="008E3124" w:rsidP="007A6322">
      <w:pPr>
        <w:keepNext/>
        <w:keepLines/>
        <w:spacing w:before="120" w:after="160" w:line="276" w:lineRule="auto"/>
        <w:jc w:val="left"/>
        <w:rPr>
          <w:noProof/>
        </w:rPr>
      </w:pPr>
      <w:r w:rsidRPr="00D86314">
        <w:rPr>
          <w:rFonts w:eastAsia="Aptos"/>
          <w:iCs/>
          <w:noProof/>
          <w:sz w:val="22"/>
          <w:szCs w:val="22"/>
        </w:rPr>
        <w:t>Table A4-3-</w:t>
      </w:r>
      <w:r w:rsidR="005B0C40" w:rsidRPr="00D86314">
        <w:rPr>
          <w:rFonts w:eastAsia="Aptos"/>
          <w:iCs/>
          <w:noProof/>
          <w:sz w:val="22"/>
          <w:szCs w:val="22"/>
        </w:rPr>
        <w:t>4</w:t>
      </w:r>
      <w:r w:rsidRPr="00D86314">
        <w:rPr>
          <w:rFonts w:eastAsia="Aptos"/>
          <w:iCs/>
          <w:noProof/>
          <w:sz w:val="22"/>
          <w:szCs w:val="22"/>
        </w:rPr>
        <w:t>: Indicators Used as Dependent Variables, Independent Variables and Exogenous Controls</w:t>
      </w:r>
      <w:r w:rsidR="007C0780" w:rsidRPr="00CA2C0B">
        <w:rPr>
          <w:noProof/>
          <w:lang w:eastAsia="en-GB"/>
        </w:rPr>
        <w:drawing>
          <wp:inline distT="0" distB="0" distL="0" distR="0" wp14:anchorId="692A4BCD" wp14:editId="1A7B0510">
            <wp:extent cx="6131848" cy="3307064"/>
            <wp:effectExtent l="0" t="0" r="2540" b="8255"/>
            <wp:docPr id="173350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0815" name="Picture 1"/>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6131848" cy="3307064"/>
                    </a:xfrm>
                    <a:prstGeom prst="rect">
                      <a:avLst/>
                    </a:prstGeom>
                    <a:noFill/>
                    <a:ln>
                      <a:noFill/>
                    </a:ln>
                  </pic:spPr>
                </pic:pic>
              </a:graphicData>
            </a:graphic>
          </wp:inline>
        </w:drawing>
      </w:r>
    </w:p>
    <w:p w14:paraId="63294A66" w14:textId="1185F111" w:rsidR="00031E56" w:rsidRPr="00D86314" w:rsidRDefault="0051127A" w:rsidP="003B5FD9">
      <w:pPr>
        <w:spacing w:after="160"/>
        <w:rPr>
          <w:noProof/>
        </w:rPr>
      </w:pPr>
      <w:r w:rsidRPr="00D86314">
        <w:rPr>
          <w:rFonts w:eastAsia="Aptos"/>
          <w:noProof/>
        </w:rPr>
        <w:t>Together, these variables provide the basis for examining potential relationships between regulatory design choices and key market outcomes, while controlling for the structural and economic conditions that play a central role in shaping 5G deployment and performance across the EU</w:t>
      </w:r>
      <w:r w:rsidR="00F11939" w:rsidRPr="00D86314">
        <w:rPr>
          <w:noProof/>
        </w:rPr>
        <w:t>.</w:t>
      </w:r>
    </w:p>
    <w:p w14:paraId="679ECC4D" w14:textId="79822372" w:rsidR="00D0174D" w:rsidRPr="00D86314" w:rsidRDefault="00E7538C" w:rsidP="00D0174D">
      <w:pPr>
        <w:pStyle w:val="Heading3"/>
        <w:spacing w:after="160" w:line="276" w:lineRule="auto"/>
        <w:rPr>
          <w:rFonts w:eastAsia="Aptos"/>
          <w:noProof/>
          <w:u w:val="single"/>
        </w:rPr>
      </w:pPr>
      <w:bookmarkStart w:id="195" w:name="_Toc219718404"/>
      <w:r w:rsidRPr="00D86314">
        <w:rPr>
          <w:rFonts w:eastAsia="Aptos Display"/>
          <w:noProof/>
        </w:rPr>
        <w:t>Summary of Results</w:t>
      </w:r>
      <w:bookmarkEnd w:id="195"/>
    </w:p>
    <w:p w14:paraId="2AE793C9" w14:textId="0DBAA331" w:rsidR="00CC0268" w:rsidRPr="00D86314" w:rsidRDefault="00833EFD" w:rsidP="003B5FD9">
      <w:pPr>
        <w:spacing w:after="160"/>
        <w:rPr>
          <w:noProof/>
        </w:rPr>
      </w:pPr>
      <w:r w:rsidRPr="00D86314">
        <w:rPr>
          <w:noProof/>
        </w:rPr>
        <w:t>The</w:t>
      </w:r>
      <w:r w:rsidRPr="00D86314" w:rsidDel="00F029C6">
        <w:rPr>
          <w:noProof/>
        </w:rPr>
        <w:t xml:space="preserve"> </w:t>
      </w:r>
      <w:r w:rsidR="00F029C6" w:rsidRPr="00D86314">
        <w:rPr>
          <w:rFonts w:eastAsia="Aptos"/>
          <w:noProof/>
        </w:rPr>
        <w:t xml:space="preserve">regression </w:t>
      </w:r>
      <w:r w:rsidRPr="00D86314">
        <w:rPr>
          <w:noProof/>
        </w:rPr>
        <w:t>analysis</w:t>
      </w:r>
      <w:r w:rsidR="008F24F6" w:rsidRPr="00D86314">
        <w:rPr>
          <w:noProof/>
        </w:rPr>
        <w:t xml:space="preserve"> </w:t>
      </w:r>
      <w:r w:rsidR="00CC0268" w:rsidRPr="00D86314">
        <w:rPr>
          <w:rFonts w:eastAsia="Aptos"/>
          <w:noProof/>
        </w:rPr>
        <w:t>identifies</w:t>
      </w:r>
      <w:r w:rsidR="00C05849" w:rsidRPr="00D86314">
        <w:rPr>
          <w:rFonts w:eastAsia="Aptos"/>
          <w:noProof/>
        </w:rPr>
        <w:t xml:space="preserve"> several robust relationships</w:t>
      </w:r>
      <w:r w:rsidR="001201F9" w:rsidRPr="00D86314">
        <w:rPr>
          <w:rFonts w:eastAsia="Aptos"/>
          <w:noProof/>
        </w:rPr>
        <w:t xml:space="preserve"> between regulatory approaches and market outcomes,</w:t>
      </w:r>
      <w:r w:rsidR="00C05849" w:rsidRPr="00D86314">
        <w:rPr>
          <w:rFonts w:eastAsia="Aptos"/>
          <w:noProof/>
        </w:rPr>
        <w:t xml:space="preserve"> </w:t>
      </w:r>
      <w:r w:rsidR="001201F9" w:rsidRPr="00D86314">
        <w:rPr>
          <w:rFonts w:eastAsia="Aptos"/>
          <w:noProof/>
        </w:rPr>
        <w:t>as well as</w:t>
      </w:r>
      <w:r w:rsidR="00F769D3" w:rsidRPr="00D86314">
        <w:rPr>
          <w:rFonts w:eastAsia="Aptos"/>
          <w:noProof/>
        </w:rPr>
        <w:t xml:space="preserve"> </w:t>
      </w:r>
      <w:r w:rsidR="007C16FA" w:rsidRPr="00D86314">
        <w:rPr>
          <w:rFonts w:eastAsia="Aptos"/>
          <w:noProof/>
        </w:rPr>
        <w:t>a number of</w:t>
      </w:r>
      <w:r w:rsidR="00F769D3" w:rsidRPr="00D86314">
        <w:rPr>
          <w:rFonts w:eastAsia="Aptos"/>
          <w:noProof/>
        </w:rPr>
        <w:t xml:space="preserve"> suggestive patterns.</w:t>
      </w:r>
      <w:r w:rsidRPr="00D86314">
        <w:rPr>
          <w:rFonts w:eastAsia="Aptos"/>
          <w:noProof/>
        </w:rPr>
        <w:t xml:space="preserve"> </w:t>
      </w:r>
      <w:r w:rsidR="00CC1BEF" w:rsidRPr="00D86314">
        <w:rPr>
          <w:rFonts w:eastAsia="Aptos"/>
          <w:noProof/>
        </w:rPr>
        <w:t xml:space="preserve">The exercise </w:t>
      </w:r>
      <w:r w:rsidRPr="00D86314">
        <w:rPr>
          <w:noProof/>
        </w:rPr>
        <w:t>confirms that</w:t>
      </w:r>
      <w:r w:rsidR="00CC0268" w:rsidRPr="00D86314">
        <w:rPr>
          <w:noProof/>
        </w:rPr>
        <w:t xml:space="preserve"> </w:t>
      </w:r>
      <w:r w:rsidR="00CC0268" w:rsidRPr="00D86314">
        <w:rPr>
          <w:rFonts w:eastAsia="Aptos"/>
          <w:noProof/>
        </w:rPr>
        <w:t>variation in</w:t>
      </w:r>
      <w:r w:rsidRPr="00D86314">
        <w:rPr>
          <w:rFonts w:eastAsia="Aptos"/>
          <w:noProof/>
        </w:rPr>
        <w:t xml:space="preserve"> </w:t>
      </w:r>
      <w:r w:rsidR="00CC0268" w:rsidRPr="00D86314">
        <w:rPr>
          <w:rFonts w:eastAsia="Aptos"/>
          <w:noProof/>
        </w:rPr>
        <w:t xml:space="preserve">certain </w:t>
      </w:r>
      <w:r w:rsidRPr="00D86314">
        <w:rPr>
          <w:noProof/>
        </w:rPr>
        <w:t xml:space="preserve">regulatory </w:t>
      </w:r>
      <w:r w:rsidR="000969F5" w:rsidRPr="00D86314">
        <w:rPr>
          <w:rFonts w:eastAsia="Aptos"/>
          <w:noProof/>
        </w:rPr>
        <w:t xml:space="preserve">elements </w:t>
      </w:r>
      <w:r w:rsidR="00CC0268" w:rsidRPr="00D86314">
        <w:rPr>
          <w:rFonts w:eastAsia="Aptos"/>
          <w:noProof/>
        </w:rPr>
        <w:t xml:space="preserve">is </w:t>
      </w:r>
      <w:r w:rsidRPr="00D86314">
        <w:rPr>
          <w:noProof/>
        </w:rPr>
        <w:t xml:space="preserve">associated with material differences in market outcomes. While non-regulatory factors such as GDP per capita, population density, rural share and competitive structure </w:t>
      </w:r>
      <w:r w:rsidR="00161A0B" w:rsidRPr="00D86314">
        <w:rPr>
          <w:noProof/>
        </w:rPr>
        <w:t xml:space="preserve">– which are controlled </w:t>
      </w:r>
      <w:r w:rsidR="00C54BCE" w:rsidRPr="00D86314">
        <w:rPr>
          <w:noProof/>
        </w:rPr>
        <w:t xml:space="preserve">for in the regression specifications – </w:t>
      </w:r>
      <w:r w:rsidRPr="00D86314">
        <w:rPr>
          <w:noProof/>
        </w:rPr>
        <w:t>remain important determinants of investment and performance, several regulatory choices show consistent relationships with both operator incentives and end-user outcomes.</w:t>
      </w:r>
    </w:p>
    <w:p w14:paraId="3A6EECF7" w14:textId="429E9375" w:rsidR="005B2006" w:rsidRPr="00D86314" w:rsidRDefault="00F243B2" w:rsidP="003B5FD9">
      <w:pPr>
        <w:spacing w:after="160"/>
        <w:rPr>
          <w:rFonts w:eastAsia="Aptos"/>
          <w:noProof/>
        </w:rPr>
      </w:pPr>
      <w:r w:rsidRPr="00D86314">
        <w:rPr>
          <w:rFonts w:eastAsia="Aptos"/>
          <w:noProof/>
        </w:rPr>
        <w:t>In the following, a</w:t>
      </w:r>
      <w:r w:rsidR="00997357" w:rsidRPr="00D86314">
        <w:rPr>
          <w:rFonts w:eastAsia="Aptos"/>
          <w:noProof/>
        </w:rPr>
        <w:t>ll reported specifications in which the regulatory variables of interest reach statistical significance likewise satisfy conventional significance requirements for the overall model, as indicated by standard F-statistics. The specifications include the core structural controls used throughout the analysis</w:t>
      </w:r>
      <w:r w:rsidRPr="00D86314">
        <w:rPr>
          <w:rFonts w:eastAsia="Aptos"/>
          <w:noProof/>
        </w:rPr>
        <w:t xml:space="preserve"> (see above)</w:t>
      </w:r>
      <w:r w:rsidR="00997357" w:rsidRPr="00D86314">
        <w:rPr>
          <w:rFonts w:eastAsia="Aptos"/>
          <w:noProof/>
        </w:rPr>
        <w:t>.</w:t>
      </w:r>
    </w:p>
    <w:p w14:paraId="0A8CE972" w14:textId="3CFEA4D1" w:rsidR="001A758D" w:rsidRPr="00D86314" w:rsidRDefault="001A758D" w:rsidP="003B5FD9">
      <w:pPr>
        <w:spacing w:after="160"/>
        <w:rPr>
          <w:rFonts w:eastAsia="Aptos"/>
          <w:noProof/>
        </w:rPr>
      </w:pPr>
      <w:r w:rsidRPr="00D86314">
        <w:rPr>
          <w:rFonts w:eastAsia="Aptos"/>
          <w:noProof/>
        </w:rPr>
        <w:t xml:space="preserve">Across a range of model specifications, </w:t>
      </w:r>
      <w:r w:rsidRPr="00D86314">
        <w:rPr>
          <w:rFonts w:eastAsia="Aptos"/>
          <w:b/>
          <w:noProof/>
        </w:rPr>
        <w:t>spectrum reservations and set asides</w:t>
      </w:r>
      <w:r w:rsidRPr="00D86314">
        <w:rPr>
          <w:rFonts w:eastAsia="Aptos"/>
          <w:noProof/>
        </w:rPr>
        <w:t xml:space="preserve"> emerge as the regulatory variable most </w:t>
      </w:r>
      <w:r w:rsidR="004D2E34" w:rsidRPr="00D86314">
        <w:rPr>
          <w:rFonts w:eastAsia="Aptos"/>
          <w:noProof/>
        </w:rPr>
        <w:t>consistently</w:t>
      </w:r>
      <w:r w:rsidRPr="00D86314">
        <w:rPr>
          <w:rFonts w:eastAsia="Aptos"/>
          <w:noProof/>
        </w:rPr>
        <w:t xml:space="preserve"> </w:t>
      </w:r>
      <w:r w:rsidR="004D2E34" w:rsidRPr="00D86314">
        <w:rPr>
          <w:rFonts w:eastAsia="Aptos"/>
          <w:noProof/>
        </w:rPr>
        <w:t>associated with</w:t>
      </w:r>
      <w:r w:rsidRPr="00D86314">
        <w:rPr>
          <w:rFonts w:eastAsia="Aptos"/>
          <w:noProof/>
        </w:rPr>
        <w:t xml:space="preserve"> weaker </w:t>
      </w:r>
      <w:r w:rsidR="00C26AF7" w:rsidRPr="00D86314">
        <w:rPr>
          <w:rFonts w:eastAsia="Aptos"/>
          <w:noProof/>
        </w:rPr>
        <w:t xml:space="preserve">market </w:t>
      </w:r>
      <w:r w:rsidRPr="00D86314">
        <w:rPr>
          <w:rFonts w:eastAsia="Aptos"/>
          <w:noProof/>
        </w:rPr>
        <w:t>outcomes. The share of spectrum that is reserved or set aside is correlated with higher spectrum auction prices, higher consumer prices and lower 5G download speeds, with most of these relationships reaching conventional significance thresholds.</w:t>
      </w:r>
    </w:p>
    <w:p w14:paraId="59693288" w14:textId="615F6DFF" w:rsidR="00E64FBD" w:rsidRPr="00D86314" w:rsidRDefault="0058250C" w:rsidP="003B5FD9">
      <w:pPr>
        <w:pStyle w:val="ListParagraph"/>
        <w:numPr>
          <w:ilvl w:val="0"/>
          <w:numId w:val="82"/>
        </w:numPr>
        <w:spacing w:after="160"/>
        <w:rPr>
          <w:rFonts w:eastAsia="Aptos"/>
          <w:noProof/>
        </w:rPr>
      </w:pPr>
      <w:r w:rsidRPr="00D86314">
        <w:rPr>
          <w:rFonts w:eastAsia="Aptos"/>
          <w:noProof/>
        </w:rPr>
        <w:t>Regarding</w:t>
      </w:r>
      <w:r w:rsidR="001A758D" w:rsidRPr="00D86314">
        <w:rPr>
          <w:rFonts w:eastAsia="Aptos"/>
          <w:noProof/>
        </w:rPr>
        <w:t xml:space="preserve"> </w:t>
      </w:r>
      <w:r w:rsidR="001A758D" w:rsidRPr="00D86314">
        <w:rPr>
          <w:rFonts w:eastAsia="Aptos"/>
          <w:b/>
          <w:noProof/>
        </w:rPr>
        <w:t>auction prices</w:t>
      </w:r>
      <w:r w:rsidR="001A758D" w:rsidRPr="00D86314">
        <w:rPr>
          <w:rFonts w:eastAsia="Aptos"/>
          <w:noProof/>
        </w:rPr>
        <w:t xml:space="preserve">, higher reservation and set-aside shares are correlated with higher prices per MHz per population, consistent with the economic expectation that limiting the amount of spectrum available for competitive bidding increases scarcity. For the 700 MHz band, the estimated coefficient is positive but does not reach statistical significance. For the 3.4–3.8 GHz band, the estimated effect is statistically significant </w:t>
      </w:r>
      <w:r w:rsidR="00C87C93" w:rsidRPr="00D86314">
        <w:rPr>
          <w:noProof/>
        </w:rPr>
        <w:t>with a p-value of 0</w:t>
      </w:r>
      <w:r w:rsidR="00B454E3">
        <w:rPr>
          <w:noProof/>
        </w:rPr>
        <w:t>,</w:t>
      </w:r>
      <w:r w:rsidR="00C87C93" w:rsidRPr="00D86314">
        <w:rPr>
          <w:noProof/>
        </w:rPr>
        <w:t>0</w:t>
      </w:r>
      <w:r w:rsidR="566A6365" w:rsidRPr="00D86314">
        <w:rPr>
          <w:noProof/>
        </w:rPr>
        <w:t>28</w:t>
      </w:r>
      <w:r w:rsidR="001A758D" w:rsidRPr="00D86314">
        <w:rPr>
          <w:rFonts w:eastAsia="Aptos"/>
          <w:noProof/>
        </w:rPr>
        <w:t xml:space="preserve"> and sizeable in magnitude, indicating that increases in the reservation or set-aside share are associated with materially higher auction prices.</w:t>
      </w:r>
      <w:r w:rsidR="00C670B0" w:rsidRPr="00D86314">
        <w:rPr>
          <w:rFonts w:eastAsia="Aptos"/>
          <w:noProof/>
        </w:rPr>
        <w:t xml:space="preserve"> </w:t>
      </w:r>
    </w:p>
    <w:p w14:paraId="6819241F" w14:textId="48008C04" w:rsidR="00AF0939" w:rsidRPr="00D86314" w:rsidRDefault="00AF0939" w:rsidP="003B5FD9">
      <w:pPr>
        <w:pStyle w:val="ListParagraph"/>
        <w:numPr>
          <w:ilvl w:val="0"/>
          <w:numId w:val="82"/>
        </w:numPr>
        <w:spacing w:after="160"/>
        <w:rPr>
          <w:noProof/>
        </w:rPr>
      </w:pPr>
      <w:r w:rsidRPr="00D86314">
        <w:rPr>
          <w:noProof/>
        </w:rPr>
        <w:t xml:space="preserve">Regarding </w:t>
      </w:r>
      <w:r w:rsidRPr="00D86314">
        <w:rPr>
          <w:b/>
          <w:bCs/>
          <w:noProof/>
        </w:rPr>
        <w:t>consumer prices</w:t>
      </w:r>
      <w:r w:rsidRPr="00D86314">
        <w:rPr>
          <w:noProof/>
        </w:rPr>
        <w:t>, the relationship between reservations and set-asides intensity and retail price levels is statistically significant and economically meaningful. In the model using the 20 GB and 30 calls basket, the coefficient on the reservations and set-asides shares is statistically significant with a p-value of 0.0</w:t>
      </w:r>
      <w:r w:rsidR="00BBC774" w:rsidRPr="00D86314">
        <w:rPr>
          <w:noProof/>
        </w:rPr>
        <w:t>11</w:t>
      </w:r>
      <w:r w:rsidRPr="00D86314">
        <w:rPr>
          <w:noProof/>
        </w:rPr>
        <w:t xml:space="preserve">. A ten-percentage point increase in the reservation and set-aside shares is associated with an increase of </w:t>
      </w:r>
      <w:r w:rsidR="00482759" w:rsidRPr="00D86314">
        <w:rPr>
          <w:noProof/>
        </w:rPr>
        <w:t>EUR </w:t>
      </w:r>
      <w:r w:rsidR="45EAC78D" w:rsidRPr="00D86314">
        <w:rPr>
          <w:noProof/>
        </w:rPr>
        <w:t>3</w:t>
      </w:r>
      <w:r w:rsidRPr="00D86314">
        <w:rPr>
          <w:noProof/>
        </w:rPr>
        <w:t>.</w:t>
      </w:r>
      <w:r w:rsidR="46B29AF4" w:rsidRPr="00D86314">
        <w:rPr>
          <w:noProof/>
        </w:rPr>
        <w:t>98</w:t>
      </w:r>
      <w:r w:rsidRPr="00D86314">
        <w:rPr>
          <w:noProof/>
        </w:rPr>
        <w:t xml:space="preserve"> in the price of this basket, indicating a notable effect on affordability for end users.</w:t>
      </w:r>
    </w:p>
    <w:p w14:paraId="40D01342" w14:textId="7503CDDF" w:rsidR="00AF0939" w:rsidRPr="00D86314" w:rsidRDefault="0050263A" w:rsidP="003B5FD9">
      <w:pPr>
        <w:pStyle w:val="ListParagraph"/>
        <w:numPr>
          <w:ilvl w:val="0"/>
          <w:numId w:val="82"/>
        </w:numPr>
        <w:spacing w:after="160"/>
        <w:rPr>
          <w:noProof/>
        </w:rPr>
      </w:pPr>
      <w:r w:rsidRPr="00D86314">
        <w:rPr>
          <w:noProof/>
        </w:rPr>
        <w:t xml:space="preserve">Regarding </w:t>
      </w:r>
      <w:r w:rsidRPr="00D86314">
        <w:rPr>
          <w:b/>
          <w:bCs/>
          <w:noProof/>
        </w:rPr>
        <w:t>download speeds</w:t>
      </w:r>
      <w:r w:rsidRPr="00D86314">
        <w:rPr>
          <w:noProof/>
        </w:rPr>
        <w:t>, higher reservation and set-aside shares are correlated with weaker performance. For overall average download speed, the estimated coefficient is negative but does not reach statistical significance. For 5G download speeds, however, the coefficient on the reservation and set-aside shares is statistically significant with a p-value of 0</w:t>
      </w:r>
      <w:r w:rsidR="00D47B63">
        <w:rPr>
          <w:noProof/>
        </w:rPr>
        <w:t>,</w:t>
      </w:r>
      <w:r w:rsidR="00ED3E59" w:rsidRPr="00D86314">
        <w:rPr>
          <w:noProof/>
        </w:rPr>
        <w:t>00</w:t>
      </w:r>
      <w:r w:rsidR="00D47B63">
        <w:rPr>
          <w:noProof/>
        </w:rPr>
        <w:t>3</w:t>
      </w:r>
      <w:r w:rsidRPr="00D86314">
        <w:rPr>
          <w:noProof/>
        </w:rPr>
        <w:t xml:space="preserve">. A ten-percentage point increase in set asides is associated with a reduction of approximately </w:t>
      </w:r>
      <w:r w:rsidR="00E20605">
        <w:rPr>
          <w:noProof/>
        </w:rPr>
        <w:t>20.8</w:t>
      </w:r>
      <w:r w:rsidRPr="00D86314">
        <w:rPr>
          <w:noProof/>
        </w:rPr>
        <w:t xml:space="preserve"> megabits per second in 5G download speeds. This represents a substantial decline in performance in absolute terms.</w:t>
      </w:r>
    </w:p>
    <w:p w14:paraId="1388765D" w14:textId="3734970D" w:rsidR="00AD1C9C" w:rsidRPr="00D86314" w:rsidRDefault="006732C9" w:rsidP="003B5FD9">
      <w:pPr>
        <w:spacing w:after="160"/>
        <w:rPr>
          <w:noProof/>
        </w:rPr>
      </w:pPr>
      <w:r w:rsidRPr="00D86314">
        <w:rPr>
          <w:noProof/>
        </w:rPr>
        <w:t>Given that regulatory choices may also react to pre-existing market conditions, t</w:t>
      </w:r>
      <w:r w:rsidR="00853C17" w:rsidRPr="00D86314">
        <w:rPr>
          <w:noProof/>
        </w:rPr>
        <w:t>hese</w:t>
      </w:r>
      <w:r w:rsidR="00AD1C9C" w:rsidRPr="00D86314">
        <w:rPr>
          <w:noProof/>
        </w:rPr>
        <w:t xml:space="preserve"> results</w:t>
      </w:r>
      <w:r w:rsidRPr="00D86314">
        <w:rPr>
          <w:noProof/>
        </w:rPr>
        <w:t xml:space="preserve"> </w:t>
      </w:r>
      <w:r w:rsidR="008E6B28" w:rsidRPr="00D86314">
        <w:rPr>
          <w:noProof/>
        </w:rPr>
        <w:t xml:space="preserve">do not establish a causal link. Nevertheless, the observed associations </w:t>
      </w:r>
      <w:r w:rsidR="00AD1C9C" w:rsidRPr="00D86314">
        <w:rPr>
          <w:noProof/>
        </w:rPr>
        <w:t>are consistent with the intuition that restricting the effective supply of spectrum increases cost pressure on operators, dampens investment incentives and leads to weaker quality of service and higher consumer prices.</w:t>
      </w:r>
    </w:p>
    <w:p w14:paraId="38E83140" w14:textId="13601B91" w:rsidR="00830C9B" w:rsidRPr="00D86314" w:rsidRDefault="00830C9B" w:rsidP="003B5FD9">
      <w:pPr>
        <w:spacing w:after="160"/>
        <w:rPr>
          <w:noProof/>
        </w:rPr>
      </w:pPr>
      <w:r w:rsidRPr="00D86314">
        <w:rPr>
          <w:noProof/>
        </w:rPr>
        <w:t xml:space="preserve">The results for </w:t>
      </w:r>
      <w:r w:rsidRPr="00D86314">
        <w:rPr>
          <w:b/>
          <w:bCs/>
          <w:noProof/>
        </w:rPr>
        <w:t>access obligations</w:t>
      </w:r>
      <w:r w:rsidRPr="00D86314">
        <w:rPr>
          <w:noProof/>
        </w:rPr>
        <w:t xml:space="preserve"> indicate a pattern of potentially meaningful effects, although the statistical significance of these results varies across specifications. Overall, access obligations tend to be associated with lower consumer prices and with lower 5G population coverage, while their estimated impact on download speeds is negative but not statistically significant.</w:t>
      </w:r>
    </w:p>
    <w:p w14:paraId="3EB62570" w14:textId="50F68C01" w:rsidR="00830C9B" w:rsidRPr="00D86314" w:rsidRDefault="00830C9B" w:rsidP="003B5FD9">
      <w:pPr>
        <w:pStyle w:val="ListParagraph"/>
        <w:numPr>
          <w:ilvl w:val="0"/>
          <w:numId w:val="87"/>
        </w:numPr>
        <w:spacing w:after="160"/>
        <w:rPr>
          <w:noProof/>
        </w:rPr>
      </w:pPr>
      <w:r w:rsidRPr="00D86314">
        <w:rPr>
          <w:noProof/>
        </w:rPr>
        <w:t xml:space="preserve">A model using the 20 GB and 30 calls basket shows a marginally significant negative correlation between access obligations and </w:t>
      </w:r>
      <w:r w:rsidRPr="00D86314">
        <w:rPr>
          <w:b/>
          <w:bCs/>
          <w:noProof/>
        </w:rPr>
        <w:t>consumer prices</w:t>
      </w:r>
      <w:r w:rsidRPr="00D86314">
        <w:rPr>
          <w:noProof/>
        </w:rPr>
        <w:t>, with the estimated coefficient carrying a p-value of 0.0</w:t>
      </w:r>
      <w:r w:rsidR="646CA7D7" w:rsidRPr="00D86314">
        <w:rPr>
          <w:noProof/>
        </w:rPr>
        <w:t>8</w:t>
      </w:r>
      <w:r w:rsidRPr="00D86314">
        <w:rPr>
          <w:noProof/>
        </w:rPr>
        <w:t xml:space="preserve">8. </w:t>
      </w:r>
    </w:p>
    <w:p w14:paraId="6CC71493" w14:textId="1D65EA4B" w:rsidR="00830C9B" w:rsidRPr="00D86314" w:rsidRDefault="00830C9B" w:rsidP="003B5FD9">
      <w:pPr>
        <w:pStyle w:val="ListParagraph"/>
        <w:numPr>
          <w:ilvl w:val="0"/>
          <w:numId w:val="87"/>
        </w:numPr>
        <w:spacing w:after="160"/>
        <w:rPr>
          <w:noProof/>
        </w:rPr>
      </w:pPr>
      <w:r w:rsidRPr="00D86314">
        <w:rPr>
          <w:noProof/>
        </w:rPr>
        <w:t xml:space="preserve">Furthermore, access obligations display a marginally significant negative correlation with </w:t>
      </w:r>
      <w:r w:rsidRPr="00D86314">
        <w:rPr>
          <w:b/>
          <w:bCs/>
          <w:noProof/>
        </w:rPr>
        <w:t>5G population coverage</w:t>
      </w:r>
      <w:r w:rsidRPr="00D86314">
        <w:rPr>
          <w:noProof/>
        </w:rPr>
        <w:t>, with the estimated coefficient carrying a p-value of 0.0</w:t>
      </w:r>
      <w:r w:rsidR="137A27F4" w:rsidRPr="00D86314">
        <w:rPr>
          <w:noProof/>
        </w:rPr>
        <w:t>6</w:t>
      </w:r>
      <w:r w:rsidR="0F90706A" w:rsidRPr="00D86314">
        <w:rPr>
          <w:noProof/>
        </w:rPr>
        <w:t>7</w:t>
      </w:r>
      <w:r w:rsidRPr="00D86314">
        <w:rPr>
          <w:noProof/>
        </w:rPr>
        <w:t>.</w:t>
      </w:r>
    </w:p>
    <w:p w14:paraId="2C6D31E8" w14:textId="4FADDA08" w:rsidR="00830C9B" w:rsidRPr="00D86314" w:rsidRDefault="00830C9B" w:rsidP="003B5FD9">
      <w:pPr>
        <w:pStyle w:val="ListParagraph"/>
        <w:numPr>
          <w:ilvl w:val="0"/>
          <w:numId w:val="87"/>
        </w:numPr>
        <w:spacing w:after="160"/>
        <w:rPr>
          <w:noProof/>
        </w:rPr>
      </w:pPr>
      <w:r w:rsidRPr="00D86314">
        <w:rPr>
          <w:noProof/>
        </w:rPr>
        <w:t xml:space="preserve">Access obligations also show a negative, though statistically insignificant, association with </w:t>
      </w:r>
      <w:r w:rsidRPr="00D86314">
        <w:rPr>
          <w:b/>
          <w:bCs/>
          <w:noProof/>
        </w:rPr>
        <w:t>overall average download speeds</w:t>
      </w:r>
      <w:r w:rsidRPr="00D86314">
        <w:rPr>
          <w:noProof/>
        </w:rPr>
        <w:t>.</w:t>
      </w:r>
    </w:p>
    <w:p w14:paraId="74205756" w14:textId="192BDDF8" w:rsidR="00830C9B" w:rsidRPr="00D86314" w:rsidRDefault="00830C9B" w:rsidP="003B5FD9">
      <w:pPr>
        <w:rPr>
          <w:noProof/>
        </w:rPr>
      </w:pPr>
      <w:r w:rsidRPr="00D86314">
        <w:rPr>
          <w:noProof/>
        </w:rPr>
        <w:t>These findings point to a possible trade-off between affordability and deployment incentives. While access obligations may exert downward pressure on consumer prices, they may at the same time reduce operators’ incentives to expand network coverage.</w:t>
      </w:r>
    </w:p>
    <w:p w14:paraId="0F33B6D2" w14:textId="2E68886B" w:rsidR="00D0174D" w:rsidRPr="00D86314" w:rsidRDefault="00833EFD" w:rsidP="003B5FD9">
      <w:pPr>
        <w:spacing w:after="160"/>
        <w:rPr>
          <w:noProof/>
        </w:rPr>
      </w:pPr>
      <w:r w:rsidRPr="00D86314">
        <w:rPr>
          <w:b/>
          <w:noProof/>
        </w:rPr>
        <w:t>Spectrum caps</w:t>
      </w:r>
      <w:r w:rsidRPr="00D86314">
        <w:rPr>
          <w:noProof/>
        </w:rPr>
        <w:t xml:space="preserve">, although potentially useful for safeguarding competition when appropriately applied, do not appear to be systematically </w:t>
      </w:r>
      <w:r w:rsidR="008E6B28" w:rsidRPr="00D86314">
        <w:rPr>
          <w:noProof/>
        </w:rPr>
        <w:t>associated with</w:t>
      </w:r>
      <w:r w:rsidRPr="00D86314">
        <w:rPr>
          <w:noProof/>
        </w:rPr>
        <w:t xml:space="preserve"> differences in market outcomes. </w:t>
      </w:r>
      <w:r w:rsidRPr="00D86314">
        <w:rPr>
          <w:b/>
          <w:noProof/>
        </w:rPr>
        <w:t>Coverage obligations</w:t>
      </w:r>
      <w:r w:rsidRPr="00D86314">
        <w:rPr>
          <w:noProof/>
        </w:rPr>
        <w:t xml:space="preserve"> likewise display little explanatory power for the observed variation in market outcomes, which, however, may reflect the difficulty of comparing such obligations across Member States given their diverse design, geographic context and implementation conditions.</w:t>
      </w:r>
    </w:p>
    <w:p w14:paraId="165E7F3A" w14:textId="5412B9C8" w:rsidR="00E33E3B" w:rsidRPr="00D86314" w:rsidRDefault="00D846D4" w:rsidP="003B5FD9">
      <w:pPr>
        <w:spacing w:after="160"/>
        <w:rPr>
          <w:rFonts w:eastAsia="Aptos"/>
          <w:noProof/>
          <w:color w:val="008080"/>
          <w:u w:val="single"/>
        </w:rPr>
      </w:pPr>
      <w:r w:rsidRPr="00D86314">
        <w:rPr>
          <w:rFonts w:eastAsia="Aptos"/>
          <w:noProof/>
        </w:rPr>
        <w:t xml:space="preserve">Overall, the results point to a coherent pattern. The most consistent regulatory determinant of market outcomes is the extent to which spectrum is withheld from competitive bidding through reservations or set asides. Higher set aside shares are associated with higher costs for operators, reduced investment incentives and higher prices for end users. Access obligations show weaker and less consistent effects but may have a marginally negative impact on network deployment. Spectrum caps and coverage obligations do not appear to drive substantial variation in market outcomes in the present dataset. These results should be interpreted with appropriate caution in light of the methodological limitations discussed in section </w:t>
      </w:r>
      <w:r w:rsidR="00C503FE" w:rsidRPr="00D86314">
        <w:rPr>
          <w:rFonts w:eastAsia="Aptos"/>
          <w:noProof/>
        </w:rPr>
        <w:fldChar w:fldCharType="begin"/>
      </w:r>
      <w:r w:rsidR="00C503FE" w:rsidRPr="00D86314">
        <w:rPr>
          <w:rFonts w:eastAsia="Aptos"/>
          <w:noProof/>
        </w:rPr>
        <w:instrText xml:space="preserve"> REF _Ref214641514 \r \h </w:instrText>
      </w:r>
      <w:r w:rsidR="00F87B9B" w:rsidRPr="00D86314">
        <w:rPr>
          <w:rFonts w:eastAsia="Aptos"/>
          <w:noProof/>
        </w:rPr>
        <w:instrText xml:space="preserve"> \* MERGEFORMAT </w:instrText>
      </w:r>
      <w:r w:rsidR="00C503FE" w:rsidRPr="00D86314">
        <w:rPr>
          <w:rFonts w:eastAsia="Aptos"/>
          <w:noProof/>
        </w:rPr>
      </w:r>
      <w:r w:rsidR="00C503FE" w:rsidRPr="00D86314">
        <w:rPr>
          <w:rFonts w:eastAsia="Aptos"/>
          <w:noProof/>
        </w:rPr>
        <w:fldChar w:fldCharType="separate"/>
      </w:r>
      <w:r w:rsidR="00870CA9" w:rsidRPr="00D86314">
        <w:rPr>
          <w:rFonts w:eastAsia="Aptos"/>
          <w:noProof/>
        </w:rPr>
        <w:t>3.5.4</w:t>
      </w:r>
      <w:r w:rsidR="00C503FE" w:rsidRPr="00D86314">
        <w:rPr>
          <w:rFonts w:eastAsia="Aptos"/>
          <w:noProof/>
        </w:rPr>
        <w:fldChar w:fldCharType="end"/>
      </w:r>
      <w:r w:rsidRPr="00D86314">
        <w:rPr>
          <w:rFonts w:eastAsia="Aptos"/>
          <w:noProof/>
        </w:rPr>
        <w:t>.</w:t>
      </w:r>
    </w:p>
    <w:p w14:paraId="575ED4A1" w14:textId="2507B32D" w:rsidR="00E7538C" w:rsidRPr="00D86314" w:rsidRDefault="00E7538C" w:rsidP="00E7538C">
      <w:pPr>
        <w:pStyle w:val="Heading3"/>
        <w:spacing w:after="160" w:line="276" w:lineRule="auto"/>
        <w:rPr>
          <w:rFonts w:eastAsia="Aptos"/>
          <w:noProof/>
          <w:u w:val="single"/>
        </w:rPr>
      </w:pPr>
      <w:bookmarkStart w:id="196" w:name="_Ref214641514"/>
      <w:bookmarkStart w:id="197" w:name="_Toc219718405"/>
      <w:r w:rsidRPr="00D86314">
        <w:rPr>
          <w:rFonts w:eastAsia="Aptos Display"/>
          <w:noProof/>
        </w:rPr>
        <w:t>Limitations</w:t>
      </w:r>
      <w:bookmarkEnd w:id="196"/>
      <w:bookmarkEnd w:id="197"/>
    </w:p>
    <w:p w14:paraId="17E5091B" w14:textId="77777777" w:rsidR="000D784A" w:rsidRPr="00D86314" w:rsidRDefault="000F0E08" w:rsidP="003B5FD9">
      <w:pPr>
        <w:spacing w:after="160"/>
        <w:rPr>
          <w:noProof/>
        </w:rPr>
      </w:pPr>
      <w:r w:rsidRPr="00D86314">
        <w:rPr>
          <w:noProof/>
        </w:rPr>
        <w:t xml:space="preserve">The interpretation of the regression results should take account of several methodological limitations inherent in this type of cross-country analysis. </w:t>
      </w:r>
    </w:p>
    <w:p w14:paraId="2FDCBA53" w14:textId="16CED599" w:rsidR="000F0E08" w:rsidRPr="00D86314" w:rsidRDefault="000F0E08" w:rsidP="003B5FD9">
      <w:pPr>
        <w:spacing w:after="160"/>
        <w:rPr>
          <w:noProof/>
        </w:rPr>
      </w:pPr>
      <w:r w:rsidRPr="00D86314">
        <w:rPr>
          <w:noProof/>
        </w:rPr>
        <w:t xml:space="preserve">First, the dataset is necessarily small, as it is restricted to the group of EU Member States for which complete and comparable information on regulatory design and market outcomes is available. Analyses based on around twenty observations are common for EU-level policy </w:t>
      </w:r>
      <w:r w:rsidR="002419D0" w:rsidRPr="00D86314">
        <w:rPr>
          <w:noProof/>
        </w:rPr>
        <w:t>considerations</w:t>
      </w:r>
      <w:r w:rsidRPr="00D86314">
        <w:rPr>
          <w:noProof/>
        </w:rPr>
        <w:t xml:space="preserve"> but they inevitably limit statistical power and make results more sensitive to individual country cases. This constrains the complexity of the models that can be estimated and means that relationships may change significance when additional controls are introduced.</w:t>
      </w:r>
    </w:p>
    <w:p w14:paraId="34FEB68F" w14:textId="49721802" w:rsidR="000F0E08" w:rsidRPr="00D86314" w:rsidRDefault="000F0E08" w:rsidP="003B5FD9">
      <w:pPr>
        <w:spacing w:after="160"/>
        <w:rPr>
          <w:noProof/>
        </w:rPr>
      </w:pPr>
      <w:r w:rsidRPr="00D86314">
        <w:rPr>
          <w:noProof/>
        </w:rPr>
        <w:t>Second, several regulatory variables rely on structured expert scoring, particularly where regulatory choices differ qualitatively across Member States and cannot be expressed through simple numerical indicators. This concerns especially coverage obligations, where Member States use highly diverse formulations, geographic definitions, timelines and implementation conditions. These differences make direct numerical comparison difficult and require a degree of judgement to translate into consistent categorie</w:t>
      </w:r>
      <w:r w:rsidR="00B55AC2" w:rsidRPr="00D86314">
        <w:rPr>
          <w:noProof/>
        </w:rPr>
        <w:t>s</w:t>
      </w:r>
      <w:r w:rsidR="00902AD9" w:rsidRPr="00D86314">
        <w:rPr>
          <w:noProof/>
        </w:rPr>
        <w:t xml:space="preserve">. </w:t>
      </w:r>
      <w:r w:rsidRPr="00D86314">
        <w:rPr>
          <w:noProof/>
        </w:rPr>
        <w:t xml:space="preserve">The scoring therefore provides an </w:t>
      </w:r>
      <w:r w:rsidRPr="00D86314">
        <w:rPr>
          <w:b/>
          <w:noProof/>
        </w:rPr>
        <w:t>approximation of regulatory intensity</w:t>
      </w:r>
      <w:r w:rsidRPr="00D86314">
        <w:rPr>
          <w:noProof/>
        </w:rPr>
        <w:t xml:space="preserve"> rather than an exact quantitative measure, although care was taken to apply transparent distinctions and consistent criteria.</w:t>
      </w:r>
    </w:p>
    <w:p w14:paraId="271E6761" w14:textId="2DFDCE1D" w:rsidR="000F0E08" w:rsidRPr="00D86314" w:rsidRDefault="47BC624F" w:rsidP="003B5FD9">
      <w:pPr>
        <w:spacing w:after="160"/>
        <w:rPr>
          <w:noProof/>
        </w:rPr>
      </w:pPr>
      <w:r w:rsidRPr="00D86314">
        <w:rPr>
          <w:rFonts w:eastAsia="Times New Roman"/>
          <w:noProof/>
        </w:rPr>
        <w:t>Third, the regressions were implemented in specialised econometric software (STATA), which enables standard diagnostic checks, including assessments of multicollinearity, heteroskedasticity, functional-form misspecification and influential observations. These diagnostics help to identify specifications in which results may be sensitive to modelling choices or to individual Member States. However, given the small cross-sectional sample and the absence of a time dimension, diagnostic tests have limited statistical power and cannot eliminate concerns about omitted variables or endogeneity. Accordingly, findings, particularly those close to conventional significance thresholds, should still be interpreted as indicative correlations rather than precise causal estimates</w:t>
      </w:r>
      <w:r w:rsidR="000F0E08" w:rsidRPr="00D86314">
        <w:rPr>
          <w:noProof/>
        </w:rPr>
        <w:t>.</w:t>
      </w:r>
    </w:p>
    <w:p w14:paraId="039689DC" w14:textId="69DAE0C6" w:rsidR="000F0E08" w:rsidRPr="00D86314" w:rsidRDefault="009F1E94" w:rsidP="003B5FD9">
      <w:pPr>
        <w:spacing w:after="160"/>
        <w:rPr>
          <w:noProof/>
        </w:rPr>
      </w:pPr>
      <w:r w:rsidRPr="00D86314">
        <w:rPr>
          <w:noProof/>
        </w:rPr>
        <w:t>Fourth</w:t>
      </w:r>
      <w:r w:rsidR="000F0E08" w:rsidRPr="00D86314">
        <w:rPr>
          <w:noProof/>
        </w:rPr>
        <w:t xml:space="preserve">, it is important to recall that a wide range of non-regulatory factors influence market outcomes and investment incentives in mobile networks. These include </w:t>
      </w:r>
      <w:r w:rsidR="00A859D4" w:rsidRPr="00D86314">
        <w:rPr>
          <w:noProof/>
        </w:rPr>
        <w:t xml:space="preserve">demand for mobile services, </w:t>
      </w:r>
      <w:r w:rsidR="000F0E08" w:rsidRPr="00D86314">
        <w:rPr>
          <w:noProof/>
        </w:rPr>
        <w:t>income levels, population density, rural share, geographic conditions, competitive structure, legacy network assets and differences in national cost conditions. While the regression analysis incorporates several key control variables, it cannot fully capture the full set of structural and country-specific factors that shape 5G deployment and performance.</w:t>
      </w:r>
    </w:p>
    <w:p w14:paraId="04555D0B" w14:textId="168E86E5" w:rsidR="00777D42" w:rsidRPr="00D86314" w:rsidRDefault="00CF270C" w:rsidP="003B5FD9">
      <w:pPr>
        <w:spacing w:after="160"/>
        <w:rPr>
          <w:noProof/>
        </w:rPr>
      </w:pPr>
      <w:r w:rsidRPr="00D86314">
        <w:rPr>
          <w:noProof/>
        </w:rPr>
        <w:t>Finally</w:t>
      </w:r>
      <w:r w:rsidR="00777D42" w:rsidRPr="00D86314">
        <w:rPr>
          <w:noProof/>
        </w:rPr>
        <w:t>, regulatory choices may in some cases be endogenous to market conditions, for example when more interventionist auction designs are adopted in response to pre-existing concerns about competition, pricing or investment. In such cases, part of the observed association may reflect underlying market characteristics rather than the effect of the regulatory choice itself. The cross-sectional nature of the dataset does not allow us to distinguish between these mechanisms.</w:t>
      </w:r>
      <w:r w:rsidR="00A46AA2" w:rsidRPr="00D86314">
        <w:rPr>
          <w:noProof/>
        </w:rPr>
        <w:t xml:space="preserve"> </w:t>
      </w:r>
      <w:r w:rsidR="00E62657" w:rsidRPr="00D86314">
        <w:rPr>
          <w:noProof/>
        </w:rPr>
        <w:t xml:space="preserve">Time-series or panel data would in principle allow before–after comparisons of market outcomes following specific auctions and provide stronger grounds for causal inference, but obtaining and integrating such data into the model would require substantial additional effort and resources, which lies beyond the scope of this analysis. </w:t>
      </w:r>
      <w:r w:rsidR="00A46AA2" w:rsidRPr="00D86314">
        <w:rPr>
          <w:noProof/>
        </w:rPr>
        <w:t>The regression results should therefore be interpreted as descriptive associations rather than causal estimates.</w:t>
      </w:r>
    </w:p>
    <w:p w14:paraId="741DAD29" w14:textId="61B9CC14" w:rsidR="00C778BA" w:rsidRPr="00D86314" w:rsidRDefault="000F0E08" w:rsidP="003B5FD9">
      <w:pPr>
        <w:spacing w:after="120"/>
        <w:rPr>
          <w:noProof/>
        </w:rPr>
      </w:pPr>
      <w:r w:rsidRPr="00D86314">
        <w:rPr>
          <w:noProof/>
        </w:rPr>
        <w:t>Taken together, these limitations are typical for EU-wide comparative studies and reflect the nature of the available data rather than shortcomings of the analytical approach. They underline, however, that the results should be understood as indicative of general patterns rather than as precise causal estimates.</w:t>
      </w:r>
    </w:p>
    <w:p w14:paraId="43FAA0B1" w14:textId="77777777" w:rsidR="006B087E" w:rsidRPr="00D86314" w:rsidRDefault="006B087E" w:rsidP="000E3086">
      <w:pPr>
        <w:rPr>
          <w:noProof/>
        </w:rPr>
      </w:pPr>
      <w:r w:rsidRPr="00D86314">
        <w:rPr>
          <w:noProof/>
        </w:rPr>
        <w:br w:type="page"/>
      </w:r>
    </w:p>
    <w:p w14:paraId="00F38E4E" w14:textId="77777777" w:rsidR="006B087E" w:rsidRPr="00D86314" w:rsidRDefault="006B087E" w:rsidP="000E3086">
      <w:pPr>
        <w:rPr>
          <w:noProof/>
        </w:rPr>
        <w:sectPr w:rsidR="006B087E" w:rsidRPr="00D86314" w:rsidSect="009D4C15">
          <w:headerReference w:type="even" r:id="rId116"/>
          <w:headerReference w:type="default" r:id="rId117"/>
          <w:footerReference w:type="default" r:id="rId118"/>
          <w:headerReference w:type="first" r:id="rId119"/>
          <w:footerReference w:type="first" r:id="rId120"/>
          <w:pgSz w:w="11906" w:h="16838"/>
          <w:pgMar w:top="1020" w:right="707" w:bottom="1020" w:left="1587" w:header="601" w:footer="1077" w:gutter="0"/>
          <w:cols w:space="720"/>
          <w:titlePg/>
        </w:sectPr>
      </w:pPr>
    </w:p>
    <w:p w14:paraId="0AC67B34" w14:textId="36123450" w:rsidR="00C22AB4" w:rsidRPr="00D86314" w:rsidRDefault="00C22AB4" w:rsidP="00703057">
      <w:pPr>
        <w:pStyle w:val="Heading1"/>
        <w:numPr>
          <w:ilvl w:val="0"/>
          <w:numId w:val="0"/>
        </w:numPr>
        <w:rPr>
          <w:noProof/>
          <w:lang w:val="en-GB"/>
        </w:rPr>
      </w:pPr>
      <w:bookmarkStart w:id="198" w:name="_Toc208239218"/>
      <w:bookmarkStart w:id="199" w:name="_Toc219718406"/>
      <w:r w:rsidRPr="00D86314">
        <w:rPr>
          <w:noProof/>
          <w:lang w:val="en-GB"/>
        </w:rPr>
        <w:t>Annex 5: Competitiveness check</w:t>
      </w:r>
      <w:bookmarkEnd w:id="198"/>
      <w:bookmarkEnd w:id="199"/>
    </w:p>
    <w:p w14:paraId="7B712B7D" w14:textId="77777777" w:rsidR="00C22AB4" w:rsidRPr="00D86314" w:rsidRDefault="00C22AB4" w:rsidP="00736963">
      <w:pPr>
        <w:pStyle w:val="Heading1"/>
        <w:numPr>
          <w:ilvl w:val="0"/>
          <w:numId w:val="137"/>
        </w:numPr>
        <w:rPr>
          <w:noProof/>
          <w:lang w:val="en-GB"/>
        </w:rPr>
      </w:pPr>
      <w:bookmarkStart w:id="200" w:name="_Toc208239219"/>
      <w:bookmarkStart w:id="201" w:name="_Toc219718407"/>
      <w:r w:rsidRPr="00D86314">
        <w:rPr>
          <w:noProof/>
          <w:lang w:val="en-GB"/>
        </w:rPr>
        <w:t>Overview of impacts on competitiveness</w:t>
      </w:r>
      <w:bookmarkEnd w:id="200"/>
      <w:bookmarkEnd w:id="201"/>
      <w:r w:rsidRPr="00D86314">
        <w:rPr>
          <w:noProof/>
          <w:lang w:val="en-GB"/>
        </w:rPr>
        <w:t xml:space="preserve"> </w:t>
      </w:r>
    </w:p>
    <w:p w14:paraId="63B54136" w14:textId="245307F2" w:rsidR="009837CC" w:rsidRPr="00D86314" w:rsidRDefault="00877638" w:rsidP="00736963">
      <w:pPr>
        <w:pStyle w:val="Heading2"/>
        <w:numPr>
          <w:ilvl w:val="1"/>
          <w:numId w:val="137"/>
        </w:numPr>
        <w:spacing w:after="360"/>
        <w:rPr>
          <w:noProof/>
        </w:rPr>
      </w:pPr>
      <w:bookmarkStart w:id="202" w:name="_Toc219718408"/>
      <w:r w:rsidRPr="00D86314">
        <w:rPr>
          <w:noProof/>
        </w:rPr>
        <w:t>Transition to fibre</w:t>
      </w:r>
      <w:bookmarkEnd w:id="202"/>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639"/>
        <w:gridCol w:w="3969"/>
      </w:tblGrid>
      <w:tr w:rsidR="008970B8" w:rsidRPr="00D86314" w14:paraId="67A7C491" w14:textId="77777777" w:rsidTr="009B3B5D">
        <w:tc>
          <w:tcPr>
            <w:tcW w:w="3281" w:type="dxa"/>
            <w:vAlign w:val="center"/>
          </w:tcPr>
          <w:p w14:paraId="3F9E640E" w14:textId="77777777" w:rsidR="00C22AB4" w:rsidRPr="00D86314" w:rsidRDefault="00C22AB4" w:rsidP="009B3B5D">
            <w:pPr>
              <w:spacing w:before="60" w:after="60"/>
              <w:jc w:val="center"/>
              <w:rPr>
                <w:b/>
                <w:noProof/>
              </w:rPr>
            </w:pPr>
            <w:r w:rsidRPr="00D86314">
              <w:rPr>
                <w:b/>
                <w:noProof/>
              </w:rPr>
              <w:t>Dimensions of Competitiveness</w:t>
            </w:r>
          </w:p>
        </w:tc>
        <w:tc>
          <w:tcPr>
            <w:tcW w:w="2639" w:type="dxa"/>
            <w:vAlign w:val="center"/>
          </w:tcPr>
          <w:p w14:paraId="3A713A7D" w14:textId="77777777" w:rsidR="00C22AB4" w:rsidRPr="00D86314" w:rsidRDefault="00C22AB4" w:rsidP="009B3B5D">
            <w:pPr>
              <w:spacing w:before="60" w:after="60"/>
              <w:jc w:val="center"/>
              <w:rPr>
                <w:b/>
                <w:noProof/>
              </w:rPr>
            </w:pPr>
            <w:r w:rsidRPr="00D86314">
              <w:rPr>
                <w:b/>
                <w:noProof/>
              </w:rPr>
              <w:t>Impact of the initiative</w:t>
            </w:r>
          </w:p>
          <w:p w14:paraId="24DD993D" w14:textId="77777777" w:rsidR="00C22AB4" w:rsidRPr="00D86314" w:rsidRDefault="00C22AB4" w:rsidP="009B3B5D">
            <w:pPr>
              <w:spacing w:before="60" w:after="60"/>
              <w:jc w:val="center"/>
              <w:rPr>
                <w:b/>
                <w:noProof/>
              </w:rPr>
            </w:pPr>
            <w:r w:rsidRPr="00D86314">
              <w:rPr>
                <w:b/>
                <w:noProof/>
              </w:rPr>
              <w:t>(++ / + / 0 / - / -- / n.a.)</w:t>
            </w:r>
          </w:p>
        </w:tc>
        <w:tc>
          <w:tcPr>
            <w:tcW w:w="3969" w:type="dxa"/>
            <w:vAlign w:val="center"/>
          </w:tcPr>
          <w:p w14:paraId="644C8C1B" w14:textId="77777777" w:rsidR="00C22AB4" w:rsidRPr="00D86314" w:rsidRDefault="00C22AB4" w:rsidP="009B3B5D">
            <w:pPr>
              <w:spacing w:before="60" w:after="60"/>
              <w:jc w:val="center"/>
              <w:rPr>
                <w:b/>
                <w:noProof/>
              </w:rPr>
            </w:pPr>
            <w:r w:rsidRPr="00D86314">
              <w:rPr>
                <w:b/>
                <w:noProof/>
              </w:rPr>
              <w:t>References to sub-sections of the main report or annexes</w:t>
            </w:r>
          </w:p>
        </w:tc>
      </w:tr>
      <w:tr w:rsidR="008970B8" w:rsidRPr="00D86314" w14:paraId="5974009C" w14:textId="77777777" w:rsidTr="009B3B5D">
        <w:tc>
          <w:tcPr>
            <w:tcW w:w="3281" w:type="dxa"/>
            <w:vAlign w:val="center"/>
          </w:tcPr>
          <w:p w14:paraId="2A2CE9EF" w14:textId="77777777" w:rsidR="00C22AB4" w:rsidRPr="00D86314" w:rsidRDefault="00C22AB4" w:rsidP="009B3B5D">
            <w:pPr>
              <w:spacing w:before="60" w:after="60"/>
              <w:rPr>
                <w:noProof/>
              </w:rPr>
            </w:pPr>
            <w:r w:rsidRPr="00D86314">
              <w:rPr>
                <w:noProof/>
              </w:rPr>
              <w:t>Cost and price competitiveness</w:t>
            </w:r>
          </w:p>
        </w:tc>
        <w:tc>
          <w:tcPr>
            <w:tcW w:w="2639" w:type="dxa"/>
            <w:vAlign w:val="center"/>
          </w:tcPr>
          <w:p w14:paraId="181747F3" w14:textId="4F1FF0D0" w:rsidR="00C22AB4" w:rsidRPr="00D86314" w:rsidRDefault="001E728E" w:rsidP="009B3B5D">
            <w:pPr>
              <w:spacing w:before="60" w:after="60"/>
              <w:jc w:val="center"/>
              <w:rPr>
                <w:noProof/>
              </w:rPr>
            </w:pPr>
            <w:r w:rsidRPr="00D86314">
              <w:rPr>
                <w:noProof/>
              </w:rPr>
              <w:t>n.a.</w:t>
            </w:r>
          </w:p>
        </w:tc>
        <w:tc>
          <w:tcPr>
            <w:tcW w:w="3969" w:type="dxa"/>
            <w:vAlign w:val="center"/>
          </w:tcPr>
          <w:p w14:paraId="502FEBC0" w14:textId="35953AC3" w:rsidR="00C22AB4" w:rsidRPr="00D86314" w:rsidRDefault="001E728E" w:rsidP="009B3B5D">
            <w:pPr>
              <w:spacing w:before="60" w:after="60"/>
              <w:rPr>
                <w:noProof/>
              </w:rPr>
            </w:pPr>
            <w:r w:rsidRPr="00D86314">
              <w:rPr>
                <w:noProof/>
              </w:rPr>
              <w:t xml:space="preserve">Could not be quantified </w:t>
            </w:r>
          </w:p>
        </w:tc>
      </w:tr>
      <w:tr w:rsidR="008970B8" w:rsidRPr="00D86314" w14:paraId="4CCC9FF0" w14:textId="77777777" w:rsidTr="009B3B5D">
        <w:tc>
          <w:tcPr>
            <w:tcW w:w="3281" w:type="dxa"/>
            <w:vAlign w:val="center"/>
          </w:tcPr>
          <w:p w14:paraId="52485509" w14:textId="77777777" w:rsidR="00C22AB4" w:rsidRPr="00D86314" w:rsidRDefault="00C22AB4" w:rsidP="009B3B5D">
            <w:pPr>
              <w:spacing w:before="60" w:after="60"/>
              <w:rPr>
                <w:noProof/>
              </w:rPr>
            </w:pPr>
            <w:r w:rsidRPr="00D86314">
              <w:rPr>
                <w:noProof/>
              </w:rPr>
              <w:t xml:space="preserve">International competitiveness </w:t>
            </w:r>
          </w:p>
        </w:tc>
        <w:tc>
          <w:tcPr>
            <w:tcW w:w="2639" w:type="dxa"/>
            <w:vAlign w:val="center"/>
          </w:tcPr>
          <w:p w14:paraId="3BF3177B" w14:textId="3BB09514" w:rsidR="00C22AB4" w:rsidRPr="00D86314" w:rsidRDefault="00EE1B09" w:rsidP="009B3B5D">
            <w:pPr>
              <w:spacing w:before="60" w:after="60"/>
              <w:jc w:val="center"/>
              <w:rPr>
                <w:noProof/>
              </w:rPr>
            </w:pPr>
            <w:r w:rsidRPr="00D86314">
              <w:rPr>
                <w:noProof/>
              </w:rPr>
              <w:t>0</w:t>
            </w:r>
          </w:p>
        </w:tc>
        <w:tc>
          <w:tcPr>
            <w:tcW w:w="3969" w:type="dxa"/>
            <w:vAlign w:val="center"/>
          </w:tcPr>
          <w:p w14:paraId="77D8A205" w14:textId="1A39D341" w:rsidR="00C22AB4" w:rsidRPr="00D86314" w:rsidRDefault="001E728E" w:rsidP="009B3B5D">
            <w:pPr>
              <w:spacing w:before="60" w:after="60"/>
              <w:rPr>
                <w:noProof/>
              </w:rPr>
            </w:pPr>
            <w:r w:rsidRPr="00D86314">
              <w:rPr>
                <w:noProof/>
              </w:rPr>
              <w:t xml:space="preserve">Annex </w:t>
            </w:r>
            <w:r w:rsidR="00200D04" w:rsidRPr="00D86314">
              <w:rPr>
                <w:noProof/>
              </w:rPr>
              <w:t>7</w:t>
            </w:r>
          </w:p>
        </w:tc>
      </w:tr>
      <w:tr w:rsidR="008970B8" w:rsidRPr="00D86314" w14:paraId="72B12655" w14:textId="77777777" w:rsidTr="009B3B5D">
        <w:tc>
          <w:tcPr>
            <w:tcW w:w="3281" w:type="dxa"/>
            <w:vAlign w:val="center"/>
          </w:tcPr>
          <w:p w14:paraId="6120996B" w14:textId="4BC4E3F9" w:rsidR="00C22AB4" w:rsidRPr="00D86314" w:rsidRDefault="00C22AB4" w:rsidP="009B3B5D">
            <w:pPr>
              <w:spacing w:before="60" w:after="60"/>
              <w:rPr>
                <w:noProof/>
              </w:rPr>
            </w:pPr>
            <w:r w:rsidRPr="00D86314">
              <w:rPr>
                <w:noProof/>
              </w:rPr>
              <w:t>Capacity to innovate</w:t>
            </w:r>
          </w:p>
        </w:tc>
        <w:tc>
          <w:tcPr>
            <w:tcW w:w="2639" w:type="dxa"/>
            <w:vAlign w:val="center"/>
          </w:tcPr>
          <w:p w14:paraId="3AAA98E7" w14:textId="3C5FE816" w:rsidR="00C22AB4" w:rsidRPr="00D86314" w:rsidRDefault="001E728E" w:rsidP="009B3B5D">
            <w:pPr>
              <w:spacing w:before="60" w:after="60"/>
              <w:jc w:val="center"/>
              <w:rPr>
                <w:noProof/>
              </w:rPr>
            </w:pPr>
            <w:r w:rsidRPr="00D86314">
              <w:rPr>
                <w:noProof/>
              </w:rPr>
              <w:t>+</w:t>
            </w:r>
          </w:p>
        </w:tc>
        <w:tc>
          <w:tcPr>
            <w:tcW w:w="3969" w:type="dxa"/>
            <w:vAlign w:val="center"/>
          </w:tcPr>
          <w:p w14:paraId="3DB8B980" w14:textId="376A3443" w:rsidR="00C22AB4" w:rsidRPr="00D86314" w:rsidRDefault="001E728E" w:rsidP="009B3B5D">
            <w:pPr>
              <w:spacing w:before="60" w:after="60"/>
              <w:rPr>
                <w:noProof/>
              </w:rPr>
            </w:pPr>
            <w:r w:rsidRPr="00D86314">
              <w:rPr>
                <w:noProof/>
              </w:rPr>
              <w:t xml:space="preserve">Annex </w:t>
            </w:r>
            <w:r w:rsidR="003A7AF9" w:rsidRPr="00D86314">
              <w:rPr>
                <w:noProof/>
              </w:rPr>
              <w:t>4</w:t>
            </w:r>
          </w:p>
        </w:tc>
      </w:tr>
      <w:tr w:rsidR="008970B8" w:rsidRPr="00D86314" w14:paraId="0C79877D" w14:textId="77777777" w:rsidTr="009B3B5D">
        <w:tc>
          <w:tcPr>
            <w:tcW w:w="3281" w:type="dxa"/>
            <w:vAlign w:val="center"/>
          </w:tcPr>
          <w:p w14:paraId="11188BFC" w14:textId="77777777" w:rsidR="00C22AB4" w:rsidRPr="00D86314" w:rsidRDefault="00C22AB4" w:rsidP="009B3B5D">
            <w:pPr>
              <w:spacing w:before="60" w:after="60"/>
              <w:rPr>
                <w:noProof/>
              </w:rPr>
            </w:pPr>
            <w:r w:rsidRPr="00D86314">
              <w:rPr>
                <w:noProof/>
              </w:rPr>
              <w:t>SME competitiveness</w:t>
            </w:r>
          </w:p>
        </w:tc>
        <w:tc>
          <w:tcPr>
            <w:tcW w:w="2639" w:type="dxa"/>
            <w:vAlign w:val="center"/>
          </w:tcPr>
          <w:p w14:paraId="75BEF4D2" w14:textId="6096689D" w:rsidR="00C22AB4" w:rsidRPr="00D86314" w:rsidRDefault="001E728E" w:rsidP="009B3B5D">
            <w:pPr>
              <w:spacing w:before="60" w:after="60"/>
              <w:jc w:val="center"/>
              <w:rPr>
                <w:noProof/>
              </w:rPr>
            </w:pPr>
            <w:r w:rsidRPr="00D86314">
              <w:rPr>
                <w:noProof/>
              </w:rPr>
              <w:t>+</w:t>
            </w:r>
          </w:p>
        </w:tc>
        <w:tc>
          <w:tcPr>
            <w:tcW w:w="3969" w:type="dxa"/>
            <w:vAlign w:val="center"/>
          </w:tcPr>
          <w:p w14:paraId="39C317EC" w14:textId="0A7C4E24" w:rsidR="00C22AB4" w:rsidRPr="00D86314" w:rsidRDefault="001E728E" w:rsidP="009B3B5D">
            <w:pPr>
              <w:spacing w:before="60" w:after="60"/>
              <w:rPr>
                <w:noProof/>
              </w:rPr>
            </w:pPr>
            <w:r w:rsidRPr="00D86314">
              <w:rPr>
                <w:noProof/>
              </w:rPr>
              <w:t>Annex 6</w:t>
            </w:r>
          </w:p>
        </w:tc>
      </w:tr>
    </w:tbl>
    <w:p w14:paraId="2D4F7637" w14:textId="77777777" w:rsidR="00C22AB4" w:rsidRPr="00D86314" w:rsidRDefault="00C22AB4" w:rsidP="00C22AB4">
      <w:pPr>
        <w:rPr>
          <w:b/>
          <w:noProof/>
          <w:u w:val="single"/>
        </w:rPr>
      </w:pPr>
    </w:p>
    <w:p w14:paraId="12EC3A9E" w14:textId="77777777" w:rsidR="007B7752" w:rsidRPr="00D86314" w:rsidRDefault="007B7752" w:rsidP="00736963">
      <w:pPr>
        <w:pStyle w:val="Heading2"/>
        <w:numPr>
          <w:ilvl w:val="1"/>
          <w:numId w:val="137"/>
        </w:numPr>
        <w:spacing w:after="360"/>
        <w:rPr>
          <w:noProof/>
        </w:rPr>
      </w:pPr>
      <w:bookmarkStart w:id="203" w:name="_Toc219718409"/>
      <w:r w:rsidRPr="00D86314">
        <w:rPr>
          <w:noProof/>
        </w:rPr>
        <w:t>Spectrum</w:t>
      </w:r>
      <w:bookmarkEnd w:id="203"/>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639"/>
        <w:gridCol w:w="3969"/>
      </w:tblGrid>
      <w:tr w:rsidR="00EE1B09" w:rsidRPr="00D86314" w14:paraId="2BDA3FCE" w14:textId="77777777" w:rsidTr="00901ACA">
        <w:tc>
          <w:tcPr>
            <w:tcW w:w="3281" w:type="dxa"/>
          </w:tcPr>
          <w:p w14:paraId="35BE0F35" w14:textId="77777777" w:rsidR="00EE1B09" w:rsidRPr="00D86314" w:rsidRDefault="00EE1B09" w:rsidP="00923484">
            <w:pPr>
              <w:spacing w:before="60" w:after="60"/>
              <w:jc w:val="center"/>
              <w:rPr>
                <w:b/>
                <w:noProof/>
              </w:rPr>
            </w:pPr>
            <w:r w:rsidRPr="00D86314">
              <w:rPr>
                <w:b/>
                <w:noProof/>
              </w:rPr>
              <w:t>Dimensions of Competitiveness</w:t>
            </w:r>
          </w:p>
        </w:tc>
        <w:tc>
          <w:tcPr>
            <w:tcW w:w="2639" w:type="dxa"/>
          </w:tcPr>
          <w:p w14:paraId="575A316E" w14:textId="77777777" w:rsidR="00EE1B09" w:rsidRPr="00D86314" w:rsidRDefault="00EE1B09" w:rsidP="00923484">
            <w:pPr>
              <w:spacing w:before="60" w:after="60"/>
              <w:jc w:val="center"/>
              <w:rPr>
                <w:b/>
                <w:noProof/>
              </w:rPr>
            </w:pPr>
            <w:r w:rsidRPr="00D86314">
              <w:rPr>
                <w:b/>
                <w:noProof/>
              </w:rPr>
              <w:t>Impact of the initiative</w:t>
            </w:r>
          </w:p>
          <w:p w14:paraId="3A27263F" w14:textId="77777777" w:rsidR="00EE1B09" w:rsidRPr="00D86314" w:rsidRDefault="00EE1B09" w:rsidP="00923484">
            <w:pPr>
              <w:spacing w:before="60" w:after="60"/>
              <w:jc w:val="center"/>
              <w:rPr>
                <w:b/>
                <w:noProof/>
              </w:rPr>
            </w:pPr>
            <w:r w:rsidRPr="00D86314">
              <w:rPr>
                <w:b/>
                <w:noProof/>
              </w:rPr>
              <w:t>(++ / + / 0 / - / -- / n.a.)</w:t>
            </w:r>
          </w:p>
        </w:tc>
        <w:tc>
          <w:tcPr>
            <w:tcW w:w="3969" w:type="dxa"/>
          </w:tcPr>
          <w:p w14:paraId="0AF31E33" w14:textId="77777777" w:rsidR="00EE1B09" w:rsidRPr="00D86314" w:rsidRDefault="00EE1B09" w:rsidP="00923484">
            <w:pPr>
              <w:spacing w:before="60" w:after="60"/>
              <w:jc w:val="center"/>
              <w:rPr>
                <w:b/>
                <w:noProof/>
              </w:rPr>
            </w:pPr>
            <w:r w:rsidRPr="00D86314">
              <w:rPr>
                <w:b/>
                <w:noProof/>
              </w:rPr>
              <w:t>References to sub-sections of the main report or annexes</w:t>
            </w:r>
          </w:p>
        </w:tc>
      </w:tr>
      <w:tr w:rsidR="00EE1B09" w:rsidRPr="00D86314" w14:paraId="342A653F" w14:textId="77777777" w:rsidTr="00901ACA">
        <w:tc>
          <w:tcPr>
            <w:tcW w:w="3281" w:type="dxa"/>
          </w:tcPr>
          <w:p w14:paraId="6ECE7AEE" w14:textId="77777777" w:rsidR="00EE1B09" w:rsidRPr="00D86314" w:rsidRDefault="00EE1B09" w:rsidP="008972A9">
            <w:pPr>
              <w:spacing w:before="60" w:after="60"/>
              <w:jc w:val="center"/>
              <w:rPr>
                <w:noProof/>
                <w:lang w:eastAsia="en-GB"/>
              </w:rPr>
            </w:pPr>
            <w:r w:rsidRPr="00D86314">
              <w:rPr>
                <w:noProof/>
                <w:lang w:eastAsia="en-GB"/>
              </w:rPr>
              <w:t>Cost and price competitiveness</w:t>
            </w:r>
          </w:p>
        </w:tc>
        <w:tc>
          <w:tcPr>
            <w:tcW w:w="2639" w:type="dxa"/>
          </w:tcPr>
          <w:p w14:paraId="024EE60A" w14:textId="77777777" w:rsidR="00EE1B09" w:rsidRPr="00D86314" w:rsidRDefault="00EE1B09" w:rsidP="008972A9">
            <w:pPr>
              <w:spacing w:before="60" w:after="60"/>
              <w:jc w:val="center"/>
              <w:rPr>
                <w:noProof/>
                <w:lang w:eastAsia="en-GB"/>
              </w:rPr>
            </w:pPr>
            <w:r w:rsidRPr="00D86314">
              <w:rPr>
                <w:noProof/>
                <w:lang w:eastAsia="en-GB"/>
              </w:rPr>
              <w:t>n.a.</w:t>
            </w:r>
          </w:p>
        </w:tc>
        <w:tc>
          <w:tcPr>
            <w:tcW w:w="3969" w:type="dxa"/>
          </w:tcPr>
          <w:p w14:paraId="27DBBE90" w14:textId="77777777" w:rsidR="00EE1B09" w:rsidRPr="00D86314" w:rsidRDefault="00EE1B09" w:rsidP="00901ACA">
            <w:pPr>
              <w:spacing w:before="60" w:after="60"/>
              <w:jc w:val="left"/>
              <w:rPr>
                <w:noProof/>
                <w:lang w:eastAsia="en-GB"/>
              </w:rPr>
            </w:pPr>
            <w:r w:rsidRPr="00D86314">
              <w:rPr>
                <w:noProof/>
                <w:lang w:eastAsia="en-GB"/>
              </w:rPr>
              <w:t xml:space="preserve">Could not be quantified </w:t>
            </w:r>
          </w:p>
        </w:tc>
      </w:tr>
      <w:tr w:rsidR="00EE1B09" w:rsidRPr="00D86314" w14:paraId="5995975B" w14:textId="77777777" w:rsidTr="00901ACA">
        <w:tc>
          <w:tcPr>
            <w:tcW w:w="3281" w:type="dxa"/>
          </w:tcPr>
          <w:p w14:paraId="597ADE94" w14:textId="77777777" w:rsidR="00EE1B09" w:rsidRPr="00D86314" w:rsidRDefault="00EE1B09" w:rsidP="008972A9">
            <w:pPr>
              <w:spacing w:before="60" w:after="60"/>
              <w:jc w:val="center"/>
              <w:rPr>
                <w:noProof/>
                <w:lang w:eastAsia="en-GB"/>
              </w:rPr>
            </w:pPr>
            <w:r w:rsidRPr="00D86314">
              <w:rPr>
                <w:noProof/>
                <w:lang w:eastAsia="en-GB"/>
              </w:rPr>
              <w:t xml:space="preserve">International competitiveness </w:t>
            </w:r>
          </w:p>
        </w:tc>
        <w:tc>
          <w:tcPr>
            <w:tcW w:w="2639" w:type="dxa"/>
          </w:tcPr>
          <w:p w14:paraId="59B9B28C" w14:textId="24E7052C" w:rsidR="00EE1B09" w:rsidRPr="00D86314" w:rsidRDefault="00EE1B09" w:rsidP="008972A9">
            <w:pPr>
              <w:spacing w:before="60" w:after="60"/>
              <w:jc w:val="center"/>
              <w:rPr>
                <w:b/>
                <w:noProof/>
                <w:lang w:eastAsia="en-GB"/>
              </w:rPr>
            </w:pPr>
            <w:r w:rsidRPr="00D86314">
              <w:rPr>
                <w:b/>
                <w:noProof/>
                <w:lang w:eastAsia="en-GB"/>
              </w:rPr>
              <w:t>++</w:t>
            </w:r>
          </w:p>
        </w:tc>
        <w:tc>
          <w:tcPr>
            <w:tcW w:w="3969" w:type="dxa"/>
          </w:tcPr>
          <w:p w14:paraId="44039C72" w14:textId="77777777" w:rsidR="00EE1B09" w:rsidRPr="00D86314" w:rsidRDefault="00EE1B09" w:rsidP="00901ACA">
            <w:pPr>
              <w:spacing w:before="60" w:after="60"/>
              <w:jc w:val="left"/>
              <w:rPr>
                <w:noProof/>
                <w:lang w:eastAsia="en-GB"/>
              </w:rPr>
            </w:pPr>
            <w:r w:rsidRPr="00D86314">
              <w:rPr>
                <w:noProof/>
                <w:lang w:eastAsia="en-GB"/>
              </w:rPr>
              <w:t>Annex 3</w:t>
            </w:r>
          </w:p>
        </w:tc>
      </w:tr>
      <w:tr w:rsidR="00EE1B09" w:rsidRPr="00D86314" w14:paraId="3CE37694" w14:textId="77777777" w:rsidTr="00901ACA">
        <w:tc>
          <w:tcPr>
            <w:tcW w:w="3281" w:type="dxa"/>
          </w:tcPr>
          <w:p w14:paraId="5ADC6502" w14:textId="77777777" w:rsidR="00EE1B09" w:rsidRPr="00D86314" w:rsidRDefault="00EE1B09" w:rsidP="008972A9">
            <w:pPr>
              <w:spacing w:before="60" w:after="60"/>
              <w:jc w:val="center"/>
              <w:rPr>
                <w:noProof/>
                <w:lang w:eastAsia="en-GB"/>
              </w:rPr>
            </w:pPr>
            <w:r w:rsidRPr="00D86314">
              <w:rPr>
                <w:noProof/>
                <w:lang w:eastAsia="en-GB"/>
              </w:rPr>
              <w:t>Capacity to innovate</w:t>
            </w:r>
          </w:p>
        </w:tc>
        <w:tc>
          <w:tcPr>
            <w:tcW w:w="2639" w:type="dxa"/>
          </w:tcPr>
          <w:p w14:paraId="541BED98" w14:textId="00B16BF8" w:rsidR="00EE1B09" w:rsidRPr="00D86314" w:rsidRDefault="00EE1B09" w:rsidP="008972A9">
            <w:pPr>
              <w:spacing w:before="60" w:after="60"/>
              <w:jc w:val="center"/>
              <w:rPr>
                <w:b/>
                <w:noProof/>
                <w:lang w:eastAsia="en-GB"/>
              </w:rPr>
            </w:pPr>
            <w:r w:rsidRPr="00D86314">
              <w:rPr>
                <w:b/>
                <w:noProof/>
                <w:lang w:eastAsia="en-GB"/>
              </w:rPr>
              <w:t>+</w:t>
            </w:r>
            <w:r w:rsidR="005473F0" w:rsidRPr="00D86314">
              <w:rPr>
                <w:b/>
                <w:noProof/>
                <w:lang w:eastAsia="en-GB"/>
              </w:rPr>
              <w:t>+</w:t>
            </w:r>
          </w:p>
        </w:tc>
        <w:tc>
          <w:tcPr>
            <w:tcW w:w="3969" w:type="dxa"/>
          </w:tcPr>
          <w:p w14:paraId="4E76C153" w14:textId="77777777" w:rsidR="00EE1B09" w:rsidRPr="00D86314" w:rsidRDefault="00EE1B09" w:rsidP="00901ACA">
            <w:pPr>
              <w:spacing w:before="60" w:after="60"/>
              <w:jc w:val="left"/>
              <w:rPr>
                <w:noProof/>
                <w:lang w:eastAsia="en-GB"/>
              </w:rPr>
            </w:pPr>
            <w:r w:rsidRPr="00D86314">
              <w:rPr>
                <w:noProof/>
                <w:lang w:eastAsia="en-GB"/>
              </w:rPr>
              <w:t>Annex 3</w:t>
            </w:r>
          </w:p>
        </w:tc>
      </w:tr>
      <w:tr w:rsidR="00EE1B09" w:rsidRPr="00D86314" w14:paraId="65DD72C2" w14:textId="77777777" w:rsidTr="00901ACA">
        <w:tc>
          <w:tcPr>
            <w:tcW w:w="3281" w:type="dxa"/>
          </w:tcPr>
          <w:p w14:paraId="7D48D50B" w14:textId="77777777" w:rsidR="00EE1B09" w:rsidRPr="00D86314" w:rsidRDefault="00EE1B09" w:rsidP="008972A9">
            <w:pPr>
              <w:spacing w:before="60" w:after="60"/>
              <w:jc w:val="center"/>
              <w:rPr>
                <w:noProof/>
                <w:lang w:eastAsia="en-GB"/>
              </w:rPr>
            </w:pPr>
            <w:r w:rsidRPr="00D86314">
              <w:rPr>
                <w:noProof/>
                <w:lang w:eastAsia="en-GB"/>
              </w:rPr>
              <w:t>SME competitiveness</w:t>
            </w:r>
          </w:p>
        </w:tc>
        <w:tc>
          <w:tcPr>
            <w:tcW w:w="2639" w:type="dxa"/>
          </w:tcPr>
          <w:p w14:paraId="6E21F98F" w14:textId="77777777" w:rsidR="00EE1B09" w:rsidRPr="00D86314" w:rsidRDefault="00EE1B09" w:rsidP="008972A9">
            <w:pPr>
              <w:spacing w:before="60" w:after="60"/>
              <w:jc w:val="center"/>
              <w:rPr>
                <w:b/>
                <w:noProof/>
                <w:lang w:eastAsia="en-GB"/>
              </w:rPr>
            </w:pPr>
            <w:r w:rsidRPr="00D86314">
              <w:rPr>
                <w:b/>
                <w:noProof/>
                <w:lang w:eastAsia="en-GB"/>
              </w:rPr>
              <w:t>+</w:t>
            </w:r>
          </w:p>
        </w:tc>
        <w:tc>
          <w:tcPr>
            <w:tcW w:w="3969" w:type="dxa"/>
          </w:tcPr>
          <w:p w14:paraId="286FD8D0" w14:textId="77777777" w:rsidR="00EE1B09" w:rsidRPr="00D86314" w:rsidRDefault="00EE1B09" w:rsidP="00901ACA">
            <w:pPr>
              <w:spacing w:before="60" w:after="60"/>
              <w:jc w:val="left"/>
              <w:rPr>
                <w:noProof/>
                <w:lang w:eastAsia="en-GB"/>
              </w:rPr>
            </w:pPr>
            <w:r w:rsidRPr="00D86314">
              <w:rPr>
                <w:noProof/>
                <w:lang w:eastAsia="en-GB"/>
              </w:rPr>
              <w:t>Annex 6</w:t>
            </w:r>
          </w:p>
        </w:tc>
      </w:tr>
    </w:tbl>
    <w:p w14:paraId="5E044DB8" w14:textId="26870648" w:rsidR="007B7752" w:rsidRPr="00D86314" w:rsidRDefault="007B7752" w:rsidP="00C22AB4">
      <w:pPr>
        <w:rPr>
          <w:b/>
          <w:noProof/>
          <w:u w:val="single"/>
        </w:rPr>
      </w:pPr>
    </w:p>
    <w:p w14:paraId="354471E5" w14:textId="50F2909E" w:rsidR="002C6C8D" w:rsidRPr="00D86314" w:rsidRDefault="002C6C8D" w:rsidP="00BE3015">
      <w:pPr>
        <w:pStyle w:val="Heading2"/>
        <w:numPr>
          <w:ilvl w:val="1"/>
          <w:numId w:val="137"/>
        </w:numPr>
        <w:spacing w:after="360"/>
        <w:rPr>
          <w:noProof/>
          <w:u w:val="single"/>
        </w:rPr>
      </w:pPr>
      <w:bookmarkStart w:id="204" w:name="_Toc219718410"/>
      <w:r w:rsidRPr="00D86314">
        <w:rPr>
          <w:noProof/>
        </w:rPr>
        <w:t>Authorisation</w:t>
      </w:r>
      <w:bookmarkEnd w:id="204"/>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639"/>
        <w:gridCol w:w="3969"/>
      </w:tblGrid>
      <w:tr w:rsidR="005473F0" w:rsidRPr="00D86314" w14:paraId="04454E6A" w14:textId="77777777" w:rsidTr="00901ACA">
        <w:tc>
          <w:tcPr>
            <w:tcW w:w="3281" w:type="dxa"/>
          </w:tcPr>
          <w:p w14:paraId="2DE6C9E4" w14:textId="3FC80708" w:rsidR="005473F0" w:rsidRPr="00D86314" w:rsidRDefault="005473F0" w:rsidP="00923484">
            <w:pPr>
              <w:spacing w:before="60" w:after="60"/>
              <w:jc w:val="center"/>
              <w:rPr>
                <w:b/>
                <w:noProof/>
              </w:rPr>
            </w:pPr>
            <w:r w:rsidRPr="00D86314">
              <w:rPr>
                <w:b/>
                <w:noProof/>
              </w:rPr>
              <w:t>Dimensions of Competitiveness</w:t>
            </w:r>
          </w:p>
        </w:tc>
        <w:tc>
          <w:tcPr>
            <w:tcW w:w="2639" w:type="dxa"/>
          </w:tcPr>
          <w:p w14:paraId="09DBF5E4" w14:textId="77777777" w:rsidR="005473F0" w:rsidRPr="00D86314" w:rsidRDefault="005473F0" w:rsidP="00923484">
            <w:pPr>
              <w:spacing w:before="60" w:after="60"/>
              <w:jc w:val="center"/>
              <w:rPr>
                <w:b/>
                <w:noProof/>
              </w:rPr>
            </w:pPr>
            <w:r w:rsidRPr="00D86314">
              <w:rPr>
                <w:b/>
                <w:noProof/>
              </w:rPr>
              <w:t>Impact of the initiative</w:t>
            </w:r>
          </w:p>
          <w:p w14:paraId="5674D8EF" w14:textId="77777777" w:rsidR="005473F0" w:rsidRPr="00D86314" w:rsidRDefault="005473F0" w:rsidP="00923484">
            <w:pPr>
              <w:spacing w:before="60" w:after="60"/>
              <w:jc w:val="center"/>
              <w:rPr>
                <w:b/>
                <w:noProof/>
              </w:rPr>
            </w:pPr>
            <w:r w:rsidRPr="00D86314">
              <w:rPr>
                <w:b/>
                <w:noProof/>
              </w:rPr>
              <w:t>(++ / + / 0 / - / -- / n.a.)</w:t>
            </w:r>
          </w:p>
        </w:tc>
        <w:tc>
          <w:tcPr>
            <w:tcW w:w="3969" w:type="dxa"/>
          </w:tcPr>
          <w:p w14:paraId="5BB33000" w14:textId="77777777" w:rsidR="005473F0" w:rsidRPr="00D86314" w:rsidRDefault="005473F0" w:rsidP="00923484">
            <w:pPr>
              <w:spacing w:before="60" w:after="60"/>
              <w:jc w:val="center"/>
              <w:rPr>
                <w:b/>
                <w:noProof/>
              </w:rPr>
            </w:pPr>
            <w:r w:rsidRPr="00D86314">
              <w:rPr>
                <w:b/>
                <w:noProof/>
              </w:rPr>
              <w:t>References to sub-sections of the main report or annexes</w:t>
            </w:r>
          </w:p>
        </w:tc>
      </w:tr>
      <w:tr w:rsidR="005473F0" w:rsidRPr="00D86314" w14:paraId="60542979" w14:textId="77777777" w:rsidTr="00901ACA">
        <w:tc>
          <w:tcPr>
            <w:tcW w:w="3281" w:type="dxa"/>
          </w:tcPr>
          <w:p w14:paraId="71DDE6E3" w14:textId="77777777" w:rsidR="005473F0" w:rsidRPr="00D86314" w:rsidRDefault="005473F0" w:rsidP="00923484">
            <w:pPr>
              <w:spacing w:before="60" w:after="60"/>
              <w:rPr>
                <w:noProof/>
              </w:rPr>
            </w:pPr>
            <w:r w:rsidRPr="00D86314">
              <w:rPr>
                <w:noProof/>
              </w:rPr>
              <w:t>Cost and price competitiveness</w:t>
            </w:r>
          </w:p>
        </w:tc>
        <w:tc>
          <w:tcPr>
            <w:tcW w:w="2639" w:type="dxa"/>
          </w:tcPr>
          <w:p w14:paraId="68EF7D03" w14:textId="77777777" w:rsidR="005473F0" w:rsidRPr="00D86314" w:rsidRDefault="005473F0" w:rsidP="00901ACA">
            <w:pPr>
              <w:spacing w:before="60" w:after="60"/>
              <w:jc w:val="center"/>
              <w:rPr>
                <w:noProof/>
              </w:rPr>
            </w:pPr>
            <w:r w:rsidRPr="00D86314">
              <w:rPr>
                <w:noProof/>
              </w:rPr>
              <w:t>n.a.</w:t>
            </w:r>
          </w:p>
        </w:tc>
        <w:tc>
          <w:tcPr>
            <w:tcW w:w="3969" w:type="dxa"/>
          </w:tcPr>
          <w:p w14:paraId="469BC151" w14:textId="77777777" w:rsidR="005473F0" w:rsidRPr="00D86314" w:rsidRDefault="005473F0" w:rsidP="00923484">
            <w:pPr>
              <w:spacing w:before="60" w:after="60"/>
              <w:rPr>
                <w:noProof/>
              </w:rPr>
            </w:pPr>
            <w:r w:rsidRPr="00D86314">
              <w:rPr>
                <w:noProof/>
              </w:rPr>
              <w:t xml:space="preserve">Could not be quantified </w:t>
            </w:r>
          </w:p>
        </w:tc>
      </w:tr>
      <w:tr w:rsidR="005473F0" w:rsidRPr="00D86314" w14:paraId="2799E432" w14:textId="77777777" w:rsidTr="00901ACA">
        <w:tc>
          <w:tcPr>
            <w:tcW w:w="3281" w:type="dxa"/>
          </w:tcPr>
          <w:p w14:paraId="17C7FA20" w14:textId="77777777" w:rsidR="005473F0" w:rsidRPr="00D86314" w:rsidRDefault="005473F0" w:rsidP="00923484">
            <w:pPr>
              <w:spacing w:before="60" w:after="60"/>
              <w:rPr>
                <w:noProof/>
              </w:rPr>
            </w:pPr>
            <w:r w:rsidRPr="00D86314">
              <w:rPr>
                <w:noProof/>
              </w:rPr>
              <w:t xml:space="preserve">International competitiveness </w:t>
            </w:r>
          </w:p>
        </w:tc>
        <w:tc>
          <w:tcPr>
            <w:tcW w:w="2639" w:type="dxa"/>
          </w:tcPr>
          <w:p w14:paraId="6DD35811" w14:textId="77777777" w:rsidR="005473F0" w:rsidRPr="00D86314" w:rsidRDefault="005473F0" w:rsidP="00901ACA">
            <w:pPr>
              <w:spacing w:before="60" w:after="60"/>
              <w:jc w:val="center"/>
              <w:rPr>
                <w:noProof/>
              </w:rPr>
            </w:pPr>
            <w:r w:rsidRPr="00D86314">
              <w:rPr>
                <w:noProof/>
              </w:rPr>
              <w:t>++</w:t>
            </w:r>
          </w:p>
        </w:tc>
        <w:tc>
          <w:tcPr>
            <w:tcW w:w="3969" w:type="dxa"/>
          </w:tcPr>
          <w:p w14:paraId="5FE67817" w14:textId="77777777" w:rsidR="005473F0" w:rsidRPr="00D86314" w:rsidRDefault="005473F0" w:rsidP="00923484">
            <w:pPr>
              <w:spacing w:before="60" w:after="60"/>
              <w:rPr>
                <w:noProof/>
              </w:rPr>
            </w:pPr>
            <w:r w:rsidRPr="00D86314">
              <w:rPr>
                <w:noProof/>
              </w:rPr>
              <w:t>Annex 3</w:t>
            </w:r>
          </w:p>
        </w:tc>
      </w:tr>
      <w:tr w:rsidR="005473F0" w:rsidRPr="00D86314" w14:paraId="2F07B985" w14:textId="77777777" w:rsidTr="00901ACA">
        <w:tc>
          <w:tcPr>
            <w:tcW w:w="3281" w:type="dxa"/>
          </w:tcPr>
          <w:p w14:paraId="55D423D6" w14:textId="77777777" w:rsidR="005473F0" w:rsidRPr="00D86314" w:rsidRDefault="005473F0" w:rsidP="00923484">
            <w:pPr>
              <w:spacing w:before="60" w:after="60"/>
              <w:rPr>
                <w:noProof/>
              </w:rPr>
            </w:pPr>
            <w:r w:rsidRPr="00D86314">
              <w:rPr>
                <w:noProof/>
              </w:rPr>
              <w:t>Capacity to innovate</w:t>
            </w:r>
          </w:p>
        </w:tc>
        <w:tc>
          <w:tcPr>
            <w:tcW w:w="2639" w:type="dxa"/>
          </w:tcPr>
          <w:p w14:paraId="466FA222" w14:textId="29D06BDD" w:rsidR="005473F0" w:rsidRPr="00D86314" w:rsidRDefault="005473F0" w:rsidP="00901ACA">
            <w:pPr>
              <w:spacing w:before="60" w:after="60"/>
              <w:jc w:val="center"/>
              <w:rPr>
                <w:noProof/>
              </w:rPr>
            </w:pPr>
            <w:r w:rsidRPr="00D86314">
              <w:rPr>
                <w:noProof/>
              </w:rPr>
              <w:t>+</w:t>
            </w:r>
          </w:p>
        </w:tc>
        <w:tc>
          <w:tcPr>
            <w:tcW w:w="3969" w:type="dxa"/>
          </w:tcPr>
          <w:p w14:paraId="43ABC094" w14:textId="77777777" w:rsidR="005473F0" w:rsidRPr="00D86314" w:rsidRDefault="005473F0" w:rsidP="00923484">
            <w:pPr>
              <w:spacing w:before="60" w:after="60"/>
              <w:rPr>
                <w:noProof/>
              </w:rPr>
            </w:pPr>
            <w:r w:rsidRPr="00D86314">
              <w:rPr>
                <w:noProof/>
              </w:rPr>
              <w:t>Annex 3</w:t>
            </w:r>
          </w:p>
        </w:tc>
      </w:tr>
      <w:tr w:rsidR="005473F0" w:rsidRPr="00D86314" w14:paraId="11BF77DF" w14:textId="77777777" w:rsidTr="00901ACA">
        <w:tc>
          <w:tcPr>
            <w:tcW w:w="3281" w:type="dxa"/>
          </w:tcPr>
          <w:p w14:paraId="5664EF4B" w14:textId="77777777" w:rsidR="005473F0" w:rsidRPr="00D86314" w:rsidRDefault="005473F0" w:rsidP="00923484">
            <w:pPr>
              <w:spacing w:before="60" w:after="60"/>
              <w:rPr>
                <w:noProof/>
              </w:rPr>
            </w:pPr>
            <w:r w:rsidRPr="00D86314">
              <w:rPr>
                <w:noProof/>
              </w:rPr>
              <w:t>SME competitiveness</w:t>
            </w:r>
          </w:p>
        </w:tc>
        <w:tc>
          <w:tcPr>
            <w:tcW w:w="2639" w:type="dxa"/>
          </w:tcPr>
          <w:p w14:paraId="793CF120" w14:textId="77777777" w:rsidR="005473F0" w:rsidRPr="00D86314" w:rsidRDefault="005473F0" w:rsidP="00901ACA">
            <w:pPr>
              <w:spacing w:before="60" w:after="60"/>
              <w:jc w:val="center"/>
              <w:rPr>
                <w:noProof/>
              </w:rPr>
            </w:pPr>
            <w:r w:rsidRPr="00D86314">
              <w:rPr>
                <w:noProof/>
              </w:rPr>
              <w:t>+</w:t>
            </w:r>
          </w:p>
        </w:tc>
        <w:tc>
          <w:tcPr>
            <w:tcW w:w="3969" w:type="dxa"/>
          </w:tcPr>
          <w:p w14:paraId="31FB5382" w14:textId="77777777" w:rsidR="005473F0" w:rsidRPr="00D86314" w:rsidRDefault="005473F0" w:rsidP="00923484">
            <w:pPr>
              <w:spacing w:before="60" w:after="60"/>
              <w:rPr>
                <w:noProof/>
              </w:rPr>
            </w:pPr>
            <w:r w:rsidRPr="00D86314">
              <w:rPr>
                <w:noProof/>
              </w:rPr>
              <w:t>Annex 6</w:t>
            </w:r>
          </w:p>
        </w:tc>
      </w:tr>
    </w:tbl>
    <w:p w14:paraId="36E18A01" w14:textId="77777777" w:rsidR="007B7752" w:rsidRPr="00D86314" w:rsidRDefault="007B7752" w:rsidP="00C22AB4">
      <w:pPr>
        <w:rPr>
          <w:b/>
          <w:noProof/>
          <w:u w:val="single"/>
        </w:rPr>
      </w:pPr>
    </w:p>
    <w:p w14:paraId="2341817D" w14:textId="736DBE32" w:rsidR="007B7752" w:rsidRPr="00D86314" w:rsidRDefault="007B7752" w:rsidP="00736963">
      <w:pPr>
        <w:pStyle w:val="Heading2"/>
        <w:numPr>
          <w:ilvl w:val="1"/>
          <w:numId w:val="137"/>
        </w:numPr>
        <w:rPr>
          <w:noProof/>
        </w:rPr>
      </w:pPr>
      <w:bookmarkStart w:id="205" w:name="_Toc219718411"/>
      <w:r w:rsidRPr="00D86314">
        <w:rPr>
          <w:noProof/>
        </w:rPr>
        <w:t>Regulatory governance</w:t>
      </w:r>
      <w:bookmarkEnd w:id="20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639"/>
        <w:gridCol w:w="3969"/>
      </w:tblGrid>
      <w:tr w:rsidR="0093220D" w:rsidRPr="00D86314" w14:paraId="76DC3A56" w14:textId="77777777" w:rsidTr="00901ACA">
        <w:tc>
          <w:tcPr>
            <w:tcW w:w="3281" w:type="dxa"/>
          </w:tcPr>
          <w:p w14:paraId="62B96231" w14:textId="77777777" w:rsidR="0093220D" w:rsidRPr="00D86314" w:rsidRDefault="0093220D" w:rsidP="00923484">
            <w:pPr>
              <w:spacing w:before="60" w:after="60"/>
              <w:jc w:val="center"/>
              <w:rPr>
                <w:b/>
                <w:noProof/>
              </w:rPr>
            </w:pPr>
            <w:r w:rsidRPr="00D86314">
              <w:rPr>
                <w:b/>
                <w:noProof/>
              </w:rPr>
              <w:t>Dimensions of Competitiveness</w:t>
            </w:r>
          </w:p>
        </w:tc>
        <w:tc>
          <w:tcPr>
            <w:tcW w:w="2639" w:type="dxa"/>
          </w:tcPr>
          <w:p w14:paraId="7CF8CD49" w14:textId="77777777" w:rsidR="0093220D" w:rsidRPr="00D86314" w:rsidRDefault="0093220D" w:rsidP="00923484">
            <w:pPr>
              <w:spacing w:before="60" w:after="60"/>
              <w:jc w:val="center"/>
              <w:rPr>
                <w:b/>
                <w:noProof/>
              </w:rPr>
            </w:pPr>
            <w:r w:rsidRPr="00D86314">
              <w:rPr>
                <w:b/>
                <w:noProof/>
              </w:rPr>
              <w:t>Impact of the initiative</w:t>
            </w:r>
          </w:p>
          <w:p w14:paraId="6FE86167" w14:textId="77777777" w:rsidR="0093220D" w:rsidRPr="00D86314" w:rsidRDefault="0093220D" w:rsidP="00923484">
            <w:pPr>
              <w:spacing w:before="60" w:after="60"/>
              <w:jc w:val="center"/>
              <w:rPr>
                <w:b/>
                <w:noProof/>
              </w:rPr>
            </w:pPr>
            <w:r w:rsidRPr="00D86314">
              <w:rPr>
                <w:b/>
                <w:noProof/>
              </w:rPr>
              <w:t>(++ / + / 0 / - / -- / n.a.)</w:t>
            </w:r>
          </w:p>
        </w:tc>
        <w:tc>
          <w:tcPr>
            <w:tcW w:w="3969" w:type="dxa"/>
          </w:tcPr>
          <w:p w14:paraId="40ED9E3C" w14:textId="77777777" w:rsidR="0093220D" w:rsidRPr="00D86314" w:rsidRDefault="0093220D" w:rsidP="00923484">
            <w:pPr>
              <w:spacing w:before="60" w:after="60"/>
              <w:jc w:val="center"/>
              <w:rPr>
                <w:b/>
                <w:noProof/>
              </w:rPr>
            </w:pPr>
            <w:r w:rsidRPr="00D86314">
              <w:rPr>
                <w:b/>
                <w:noProof/>
              </w:rPr>
              <w:t>References to sub-sections of the main report or annexes</w:t>
            </w:r>
          </w:p>
        </w:tc>
      </w:tr>
      <w:tr w:rsidR="0093220D" w:rsidRPr="00D86314" w14:paraId="4DB9E543" w14:textId="77777777" w:rsidTr="00901ACA">
        <w:tc>
          <w:tcPr>
            <w:tcW w:w="3281" w:type="dxa"/>
          </w:tcPr>
          <w:p w14:paraId="79B6ED93" w14:textId="77777777" w:rsidR="0093220D" w:rsidRPr="00D86314" w:rsidRDefault="0093220D" w:rsidP="00923484">
            <w:pPr>
              <w:spacing w:before="60" w:after="60"/>
              <w:rPr>
                <w:noProof/>
              </w:rPr>
            </w:pPr>
            <w:r w:rsidRPr="00D86314">
              <w:rPr>
                <w:noProof/>
              </w:rPr>
              <w:t>Cost and price competitiveness</w:t>
            </w:r>
          </w:p>
        </w:tc>
        <w:tc>
          <w:tcPr>
            <w:tcW w:w="2639" w:type="dxa"/>
          </w:tcPr>
          <w:p w14:paraId="79C515D0" w14:textId="248ABF30" w:rsidR="0093220D" w:rsidRPr="00D86314" w:rsidRDefault="0093220D" w:rsidP="00901ACA">
            <w:pPr>
              <w:spacing w:before="60" w:after="60"/>
              <w:jc w:val="center"/>
              <w:rPr>
                <w:noProof/>
              </w:rPr>
            </w:pPr>
            <w:r w:rsidRPr="00D86314">
              <w:rPr>
                <w:noProof/>
              </w:rPr>
              <w:t>0</w:t>
            </w:r>
          </w:p>
        </w:tc>
        <w:tc>
          <w:tcPr>
            <w:tcW w:w="3969" w:type="dxa"/>
          </w:tcPr>
          <w:p w14:paraId="18E2BEAE" w14:textId="614B7B60" w:rsidR="0093220D" w:rsidRPr="00D86314" w:rsidRDefault="00923484" w:rsidP="00923484">
            <w:pPr>
              <w:spacing w:before="60" w:after="60"/>
              <w:rPr>
                <w:noProof/>
              </w:rPr>
            </w:pPr>
            <w:r w:rsidRPr="00D86314">
              <w:rPr>
                <w:noProof/>
              </w:rPr>
              <w:t>-</w:t>
            </w:r>
            <w:r w:rsidR="0093220D" w:rsidRPr="00D86314">
              <w:rPr>
                <w:noProof/>
              </w:rPr>
              <w:t xml:space="preserve"> </w:t>
            </w:r>
          </w:p>
        </w:tc>
      </w:tr>
      <w:tr w:rsidR="0093220D" w:rsidRPr="00D86314" w14:paraId="42760B5D" w14:textId="77777777" w:rsidTr="00901ACA">
        <w:tc>
          <w:tcPr>
            <w:tcW w:w="3281" w:type="dxa"/>
          </w:tcPr>
          <w:p w14:paraId="6F9D2330" w14:textId="77777777" w:rsidR="0093220D" w:rsidRPr="00D86314" w:rsidRDefault="0093220D" w:rsidP="00923484">
            <w:pPr>
              <w:spacing w:before="60" w:after="60"/>
              <w:rPr>
                <w:noProof/>
              </w:rPr>
            </w:pPr>
            <w:r w:rsidRPr="00D86314">
              <w:rPr>
                <w:noProof/>
              </w:rPr>
              <w:t xml:space="preserve">International competitiveness </w:t>
            </w:r>
          </w:p>
        </w:tc>
        <w:tc>
          <w:tcPr>
            <w:tcW w:w="2639" w:type="dxa"/>
          </w:tcPr>
          <w:p w14:paraId="7A5BDF32" w14:textId="4CA58471" w:rsidR="0093220D" w:rsidRPr="00D86314" w:rsidRDefault="0093220D" w:rsidP="00901ACA">
            <w:pPr>
              <w:spacing w:before="60" w:after="60"/>
              <w:jc w:val="center"/>
              <w:rPr>
                <w:noProof/>
              </w:rPr>
            </w:pPr>
            <w:r w:rsidRPr="00D86314">
              <w:rPr>
                <w:noProof/>
              </w:rPr>
              <w:t>+</w:t>
            </w:r>
          </w:p>
        </w:tc>
        <w:tc>
          <w:tcPr>
            <w:tcW w:w="3969" w:type="dxa"/>
          </w:tcPr>
          <w:p w14:paraId="318E7D9F" w14:textId="77777777" w:rsidR="0093220D" w:rsidRPr="00D86314" w:rsidRDefault="0093220D" w:rsidP="00923484">
            <w:pPr>
              <w:spacing w:before="60" w:after="60"/>
              <w:rPr>
                <w:noProof/>
              </w:rPr>
            </w:pPr>
            <w:r w:rsidRPr="00D86314">
              <w:rPr>
                <w:noProof/>
              </w:rPr>
              <w:t>Annex 3</w:t>
            </w:r>
          </w:p>
        </w:tc>
      </w:tr>
      <w:tr w:rsidR="0093220D" w:rsidRPr="00D86314" w14:paraId="13D6873A" w14:textId="77777777" w:rsidTr="00901ACA">
        <w:tc>
          <w:tcPr>
            <w:tcW w:w="3281" w:type="dxa"/>
          </w:tcPr>
          <w:p w14:paraId="459EB704" w14:textId="77777777" w:rsidR="0093220D" w:rsidRPr="00D86314" w:rsidRDefault="0093220D" w:rsidP="00923484">
            <w:pPr>
              <w:spacing w:before="60" w:after="60"/>
              <w:rPr>
                <w:noProof/>
              </w:rPr>
            </w:pPr>
            <w:r w:rsidRPr="00D86314">
              <w:rPr>
                <w:noProof/>
              </w:rPr>
              <w:t>Capacity to innovate</w:t>
            </w:r>
          </w:p>
        </w:tc>
        <w:tc>
          <w:tcPr>
            <w:tcW w:w="2639" w:type="dxa"/>
          </w:tcPr>
          <w:p w14:paraId="74DFF22F" w14:textId="78D1D68F" w:rsidR="0093220D" w:rsidRPr="00D86314" w:rsidRDefault="0093220D" w:rsidP="00901ACA">
            <w:pPr>
              <w:spacing w:before="60" w:after="60"/>
              <w:jc w:val="center"/>
              <w:rPr>
                <w:noProof/>
              </w:rPr>
            </w:pPr>
            <w:r w:rsidRPr="00D86314">
              <w:rPr>
                <w:noProof/>
              </w:rPr>
              <w:t>+</w:t>
            </w:r>
          </w:p>
        </w:tc>
        <w:tc>
          <w:tcPr>
            <w:tcW w:w="3969" w:type="dxa"/>
          </w:tcPr>
          <w:p w14:paraId="4E5AFE31" w14:textId="77777777" w:rsidR="0093220D" w:rsidRPr="00D86314" w:rsidRDefault="0093220D" w:rsidP="00923484">
            <w:pPr>
              <w:spacing w:before="60" w:after="60"/>
              <w:rPr>
                <w:noProof/>
              </w:rPr>
            </w:pPr>
            <w:r w:rsidRPr="00D86314">
              <w:rPr>
                <w:noProof/>
              </w:rPr>
              <w:t>Annex 3</w:t>
            </w:r>
          </w:p>
        </w:tc>
      </w:tr>
      <w:tr w:rsidR="0093220D" w:rsidRPr="00D86314" w14:paraId="25BDF457" w14:textId="77777777" w:rsidTr="00901ACA">
        <w:tc>
          <w:tcPr>
            <w:tcW w:w="3281" w:type="dxa"/>
          </w:tcPr>
          <w:p w14:paraId="280E855A" w14:textId="77777777" w:rsidR="0093220D" w:rsidRPr="00D86314" w:rsidRDefault="0093220D" w:rsidP="00923484">
            <w:pPr>
              <w:spacing w:before="60" w:after="60"/>
              <w:rPr>
                <w:noProof/>
              </w:rPr>
            </w:pPr>
            <w:r w:rsidRPr="00D86314">
              <w:rPr>
                <w:noProof/>
              </w:rPr>
              <w:t>SME competitiveness</w:t>
            </w:r>
          </w:p>
        </w:tc>
        <w:tc>
          <w:tcPr>
            <w:tcW w:w="2639" w:type="dxa"/>
          </w:tcPr>
          <w:p w14:paraId="501E99E6" w14:textId="076F7552" w:rsidR="0093220D" w:rsidRPr="00D86314" w:rsidRDefault="00923484" w:rsidP="00901ACA">
            <w:pPr>
              <w:spacing w:before="60" w:after="60"/>
              <w:jc w:val="center"/>
              <w:rPr>
                <w:noProof/>
              </w:rPr>
            </w:pPr>
            <w:r w:rsidRPr="00D86314">
              <w:rPr>
                <w:noProof/>
              </w:rPr>
              <w:t>0</w:t>
            </w:r>
          </w:p>
        </w:tc>
        <w:tc>
          <w:tcPr>
            <w:tcW w:w="3969" w:type="dxa"/>
          </w:tcPr>
          <w:p w14:paraId="4102DBFB" w14:textId="5A5E6C94" w:rsidR="0093220D" w:rsidRPr="00D86314" w:rsidRDefault="00923484" w:rsidP="00923484">
            <w:pPr>
              <w:spacing w:before="60" w:after="60"/>
              <w:rPr>
                <w:noProof/>
              </w:rPr>
            </w:pPr>
            <w:r w:rsidRPr="00D86314">
              <w:rPr>
                <w:noProof/>
              </w:rPr>
              <w:t>-</w:t>
            </w:r>
          </w:p>
        </w:tc>
      </w:tr>
    </w:tbl>
    <w:p w14:paraId="5C76F179" w14:textId="69468BA1" w:rsidR="00C22AB4" w:rsidRPr="00D86314" w:rsidRDefault="00C22AB4" w:rsidP="00736963">
      <w:pPr>
        <w:pStyle w:val="Heading1"/>
        <w:numPr>
          <w:ilvl w:val="0"/>
          <w:numId w:val="137"/>
        </w:numPr>
        <w:rPr>
          <w:noProof/>
          <w:lang w:val="en-GB"/>
        </w:rPr>
      </w:pPr>
      <w:bookmarkStart w:id="206" w:name="_Toc208239220"/>
      <w:bookmarkStart w:id="207" w:name="_Toc219718412"/>
      <w:r w:rsidRPr="00D86314">
        <w:rPr>
          <w:noProof/>
          <w:lang w:val="en-GB"/>
        </w:rPr>
        <w:t>Synthetic assessment</w:t>
      </w:r>
      <w:bookmarkEnd w:id="206"/>
      <w:bookmarkEnd w:id="207"/>
    </w:p>
    <w:p w14:paraId="3B6FC68C" w14:textId="085771F0" w:rsidR="0817A212" w:rsidRPr="00D86314" w:rsidRDefault="0817A212" w:rsidP="00D9165F">
      <w:pPr>
        <w:pStyle w:val="Text1"/>
        <w:ind w:left="0"/>
        <w:rPr>
          <w:noProof/>
          <w:u w:val="single"/>
        </w:rPr>
      </w:pPr>
      <w:r w:rsidRPr="00D86314">
        <w:rPr>
          <w:noProof/>
          <w:u w:val="single"/>
        </w:rPr>
        <w:t>Access</w:t>
      </w:r>
    </w:p>
    <w:p w14:paraId="37A642A2" w14:textId="77777777" w:rsidR="000220A8" w:rsidRPr="00D86314" w:rsidRDefault="0058093A" w:rsidP="004D09BF">
      <w:pPr>
        <w:spacing w:after="120"/>
        <w:rPr>
          <w:noProof/>
        </w:rPr>
      </w:pPr>
      <w:r w:rsidRPr="00D86314">
        <w:rPr>
          <w:noProof/>
        </w:rPr>
        <w:t>Regulated</w:t>
      </w:r>
      <w:r w:rsidR="00385D05" w:rsidRPr="00D86314">
        <w:rPr>
          <w:noProof/>
        </w:rPr>
        <w:t xml:space="preserve"> access</w:t>
      </w:r>
      <w:r w:rsidR="00D31A4B" w:rsidRPr="00D86314">
        <w:rPr>
          <w:noProof/>
        </w:rPr>
        <w:t xml:space="preserve"> combined with </w:t>
      </w:r>
      <w:r w:rsidR="003627AC" w:rsidRPr="00D86314">
        <w:rPr>
          <w:noProof/>
        </w:rPr>
        <w:t>the</w:t>
      </w:r>
      <w:r w:rsidR="00D31A4B" w:rsidRPr="00D86314">
        <w:rPr>
          <w:noProof/>
        </w:rPr>
        <w:t xml:space="preserve"> specifications of key wholesale products that enable service differentiation, </w:t>
      </w:r>
      <w:r w:rsidR="00385D05" w:rsidRPr="00D86314">
        <w:rPr>
          <w:noProof/>
        </w:rPr>
        <w:t xml:space="preserve">under the </w:t>
      </w:r>
      <w:r w:rsidR="00E415A1" w:rsidRPr="00D86314">
        <w:rPr>
          <w:noProof/>
        </w:rPr>
        <w:t>preferred</w:t>
      </w:r>
      <w:r w:rsidR="00D31A4B" w:rsidRPr="00D86314">
        <w:rPr>
          <w:noProof/>
        </w:rPr>
        <w:t xml:space="preserve"> option should serve to stimulate competition on speeds, helping to foster greater availability of Gigabit speeds at an affordable price, and fostering uptake.</w:t>
      </w:r>
      <w:r w:rsidR="000220A8" w:rsidRPr="00D86314">
        <w:rPr>
          <w:noProof/>
        </w:rPr>
        <w:t xml:space="preserve"> </w:t>
      </w:r>
    </w:p>
    <w:p w14:paraId="6EDDDAA7" w14:textId="05D8E65C" w:rsidR="00247322" w:rsidRPr="00D86314" w:rsidRDefault="000220A8" w:rsidP="004D09BF">
      <w:pPr>
        <w:spacing w:after="120"/>
        <w:rPr>
          <w:noProof/>
        </w:rPr>
      </w:pPr>
      <w:r w:rsidRPr="00D86314">
        <w:rPr>
          <w:noProof/>
        </w:rPr>
        <w:t xml:space="preserve">Provisions regarding standardised wholesale product specifications should be positive for </w:t>
      </w:r>
      <w:r w:rsidRPr="00D86314">
        <w:rPr>
          <w:b/>
          <w:bCs/>
          <w:noProof/>
        </w:rPr>
        <w:t>broadband service providers</w:t>
      </w:r>
      <w:r w:rsidRPr="00D86314">
        <w:rPr>
          <w:noProof/>
        </w:rPr>
        <w:t>, providing they are defined in a manner that supports product differentiation and innovation. While broadband service providers would also incur costs to adapt their systems to new types of wholesale product offerings, the advantages in terms of lower costs to connect multiple infrastructures and greater innovation potential (including in retail services that could be monetised) are likely to significantly outweigh implementation costs.</w:t>
      </w:r>
    </w:p>
    <w:p w14:paraId="102BDAD5" w14:textId="753F9628" w:rsidR="00673945" w:rsidRPr="00D86314" w:rsidRDefault="00705C79" w:rsidP="00D9165F">
      <w:pPr>
        <w:pStyle w:val="Text1"/>
        <w:ind w:left="0"/>
        <w:rPr>
          <w:noProof/>
        </w:rPr>
      </w:pPr>
      <w:r w:rsidRPr="00D86314">
        <w:rPr>
          <w:noProof/>
        </w:rPr>
        <w:t xml:space="preserve">Demand modelling based on evolutions in applications and the requirements of SMEs suggest that 50% of SMEs will require Gigabit connectivity by 2035, and many will require symmetric bandwidths. The preferred option could make a substantial contribution to ensuring that these needs are met. </w:t>
      </w:r>
      <w:r w:rsidR="7E6573E4" w:rsidRPr="00D86314">
        <w:rPr>
          <w:noProof/>
        </w:rPr>
        <w:t xml:space="preserve">Harmonisation of specifications for key wholesale products </w:t>
      </w:r>
      <w:r w:rsidR="54091ED8" w:rsidRPr="00D86314">
        <w:rPr>
          <w:noProof/>
        </w:rPr>
        <w:t>and</w:t>
      </w:r>
      <w:r w:rsidR="7E6573E4" w:rsidRPr="00D86314">
        <w:rPr>
          <w:noProof/>
        </w:rPr>
        <w:t xml:space="preserve"> quality of service guarantees for businesses should contribute to the development of competition in services for multi-site and multinational enterprises. This is important, noting that retail and wholesale market shares of incumbents in the supply of such services are often higher than for residential customers, and competition may be limited by the lack of availability of wholesale access with appropriate service guarantees at all required locations.</w:t>
      </w:r>
      <w:r w:rsidR="00673945" w:rsidRPr="00D86314">
        <w:rPr>
          <w:noProof/>
          <w:vertAlign w:val="superscript"/>
        </w:rPr>
        <w:footnoteReference w:id="135"/>
      </w:r>
      <w:r w:rsidR="008A77B3" w:rsidRPr="00D86314">
        <w:rPr>
          <w:noProof/>
        </w:rPr>
        <w:t xml:space="preserve"> </w:t>
      </w:r>
      <w:r w:rsidR="00536D4F" w:rsidRPr="00D86314">
        <w:rPr>
          <w:noProof/>
        </w:rPr>
        <w:t>Further details on the impacts on SMEs can be find in Annex 9.</w:t>
      </w:r>
    </w:p>
    <w:p w14:paraId="6D07C885" w14:textId="59E5DD06" w:rsidR="008170D4" w:rsidRPr="00D86314" w:rsidRDefault="00BE7642" w:rsidP="00D9165F">
      <w:pPr>
        <w:pStyle w:val="Text1"/>
        <w:ind w:left="0"/>
        <w:rPr>
          <w:noProof/>
          <w:u w:val="single"/>
        </w:rPr>
      </w:pPr>
      <w:r w:rsidRPr="00D86314">
        <w:rPr>
          <w:noProof/>
          <w:u w:val="single"/>
        </w:rPr>
        <w:t>Spectrum</w:t>
      </w:r>
    </w:p>
    <w:p w14:paraId="555A1544" w14:textId="2C38F158" w:rsidR="00BE7642" w:rsidRPr="00D86314" w:rsidRDefault="5C09B888" w:rsidP="004D09BF">
      <w:pPr>
        <w:spacing w:after="120"/>
        <w:rPr>
          <w:noProof/>
        </w:rPr>
      </w:pPr>
      <w:r w:rsidRPr="00D86314">
        <w:rPr>
          <w:rFonts w:eastAsiaTheme="majorEastAsia" w:cstheme="majorBidi"/>
          <w:noProof/>
        </w:rPr>
        <w:t xml:space="preserve">The </w:t>
      </w:r>
      <w:r w:rsidR="6C215E09" w:rsidRPr="00D86314">
        <w:rPr>
          <w:rFonts w:eastAsiaTheme="majorEastAsia" w:cstheme="majorBidi"/>
          <w:noProof/>
        </w:rPr>
        <w:t>p</w:t>
      </w:r>
      <w:r w:rsidR="00BE7642" w:rsidRPr="00D86314">
        <w:rPr>
          <w:rFonts w:eastAsiaTheme="majorEastAsia" w:cstheme="majorBidi"/>
          <w:noProof/>
        </w:rPr>
        <w:t xml:space="preserve">roposed spectrum measures are expected to yield significant </w:t>
      </w:r>
      <w:r w:rsidR="00BE7642" w:rsidRPr="00D86314">
        <w:rPr>
          <w:rFonts w:eastAsiaTheme="majorEastAsia" w:cstheme="majorBidi"/>
          <w:b/>
          <w:bCs/>
          <w:noProof/>
        </w:rPr>
        <w:t>benefits</w:t>
      </w:r>
      <w:r w:rsidR="00BE7642" w:rsidRPr="00D86314">
        <w:rPr>
          <w:rFonts w:eastAsiaTheme="majorEastAsia" w:cstheme="majorBidi"/>
          <w:noProof/>
        </w:rPr>
        <w:t xml:space="preserve"> </w:t>
      </w:r>
      <w:r w:rsidR="529AA56B" w:rsidRPr="00D86314">
        <w:rPr>
          <w:rFonts w:eastAsiaTheme="majorEastAsia" w:cstheme="majorBidi"/>
          <w:noProof/>
        </w:rPr>
        <w:t>to</w:t>
      </w:r>
      <w:r w:rsidR="00BE7642" w:rsidRPr="00D86314">
        <w:rPr>
          <w:rFonts w:eastAsiaTheme="majorEastAsia" w:cstheme="majorBidi"/>
          <w:noProof/>
        </w:rPr>
        <w:t xml:space="preserve"> the </w:t>
      </w:r>
      <w:r w:rsidR="00BE7642" w:rsidRPr="00D86314">
        <w:rPr>
          <w:rFonts w:eastAsiaTheme="majorEastAsia" w:cstheme="majorBidi"/>
          <w:b/>
          <w:bCs/>
          <w:noProof/>
        </w:rPr>
        <w:t xml:space="preserve">competitiveness of </w:t>
      </w:r>
      <w:r w:rsidR="00CF1856" w:rsidRPr="00D86314">
        <w:rPr>
          <w:rFonts w:eastAsiaTheme="majorEastAsia" w:cstheme="majorBidi"/>
          <w:b/>
          <w:bCs/>
          <w:noProof/>
        </w:rPr>
        <w:t xml:space="preserve">the </w:t>
      </w:r>
      <w:r w:rsidR="00BE7642" w:rsidRPr="00D86314">
        <w:rPr>
          <w:rFonts w:eastAsiaTheme="majorEastAsia" w:cstheme="majorBidi"/>
          <w:b/>
          <w:bCs/>
          <w:noProof/>
        </w:rPr>
        <w:t>EU industry</w:t>
      </w:r>
      <w:r w:rsidR="00CF1856" w:rsidRPr="00D86314">
        <w:rPr>
          <w:rFonts w:eastAsiaTheme="majorEastAsia" w:cstheme="majorBidi"/>
          <w:b/>
          <w:bCs/>
          <w:noProof/>
        </w:rPr>
        <w:t xml:space="preserve">. </w:t>
      </w:r>
      <w:r w:rsidR="00CF1856" w:rsidRPr="00D86314">
        <w:rPr>
          <w:rFonts w:eastAsiaTheme="majorEastAsia" w:cstheme="majorBidi"/>
          <w:noProof/>
        </w:rPr>
        <w:t>They are</w:t>
      </w:r>
      <w:r w:rsidR="00BE7642" w:rsidRPr="00D86314">
        <w:rPr>
          <w:noProof/>
        </w:rPr>
        <w:t xml:space="preserve"> designed to provide maximum investment certainty and regulatory clarity, especially for cross-border and long-term spectrum users and therefore bring significant benefits to telecom operators and finally to end users in terms of quality </w:t>
      </w:r>
      <w:r w:rsidR="00D1179B" w:rsidRPr="00D86314">
        <w:rPr>
          <w:noProof/>
        </w:rPr>
        <w:t>of service</w:t>
      </w:r>
      <w:r w:rsidR="00BE7642" w:rsidRPr="00D86314">
        <w:rPr>
          <w:noProof/>
        </w:rPr>
        <w:t xml:space="preserve"> and of 5G and 6G services. The shift to indefinite licence durations by default delivers a strong and credible long-term investment signal. Where</w:t>
      </w:r>
      <w:r w:rsidR="00453382" w:rsidRPr="00D86314">
        <w:rPr>
          <w:noProof/>
        </w:rPr>
        <w:t xml:space="preserve"> exceptionally</w:t>
      </w:r>
      <w:r w:rsidR="00BE7642" w:rsidRPr="00D86314">
        <w:rPr>
          <w:noProof/>
        </w:rPr>
        <w:t xml:space="preserve"> </w:t>
      </w:r>
      <w:r w:rsidR="005C56FA" w:rsidRPr="00D86314">
        <w:rPr>
          <w:noProof/>
        </w:rPr>
        <w:t>shorter duration</w:t>
      </w:r>
      <w:r w:rsidR="00BE7642" w:rsidRPr="00D86314">
        <w:rPr>
          <w:noProof/>
        </w:rPr>
        <w:t xml:space="preserve"> is applied, the reversed burden of proof removes the threat of unpredictable non-renewal decisions. Long-term licences provide investment certainty and planning stability, reduce </w:t>
      </w:r>
      <w:r w:rsidR="0043448E" w:rsidRPr="00D86314">
        <w:rPr>
          <w:noProof/>
        </w:rPr>
        <w:t xml:space="preserve">the </w:t>
      </w:r>
      <w:r w:rsidR="00BE7642" w:rsidRPr="00D86314">
        <w:rPr>
          <w:noProof/>
        </w:rPr>
        <w:t xml:space="preserve">risk premium on capital expenditures and are strongly advocated by </w:t>
      </w:r>
      <w:r w:rsidR="0043448E" w:rsidRPr="00D86314">
        <w:rPr>
          <w:noProof/>
        </w:rPr>
        <w:t xml:space="preserve">the </w:t>
      </w:r>
      <w:r w:rsidR="00BE7642" w:rsidRPr="00D86314">
        <w:rPr>
          <w:noProof/>
        </w:rPr>
        <w:t>industry</w:t>
      </w:r>
      <w:r w:rsidR="00BE7642" w:rsidRPr="00D86314">
        <w:rPr>
          <w:noProof/>
          <w:vertAlign w:val="superscript"/>
        </w:rPr>
        <w:footnoteReference w:id="136"/>
      </w:r>
      <w:r w:rsidR="00BE7642" w:rsidRPr="00D86314">
        <w:rPr>
          <w:noProof/>
        </w:rPr>
        <w:t xml:space="preserve">. </w:t>
      </w:r>
      <w:r w:rsidR="00261807" w:rsidRPr="00D86314">
        <w:rPr>
          <w:noProof/>
        </w:rPr>
        <w:t>They</w:t>
      </w:r>
      <w:r w:rsidR="00BE7642" w:rsidRPr="00D86314">
        <w:rPr>
          <w:noProof/>
        </w:rPr>
        <w:t xml:space="preserve"> also improve financial predictability, </w:t>
      </w:r>
      <w:r w:rsidR="00093AF9" w:rsidRPr="00D86314">
        <w:rPr>
          <w:noProof/>
        </w:rPr>
        <w:t>and</w:t>
      </w:r>
      <w:r w:rsidR="00BE7642" w:rsidRPr="00D86314">
        <w:rPr>
          <w:noProof/>
        </w:rPr>
        <w:t xml:space="preserve"> lower </w:t>
      </w:r>
      <w:r w:rsidR="00093AF9" w:rsidRPr="00D86314">
        <w:rPr>
          <w:noProof/>
        </w:rPr>
        <w:t>the</w:t>
      </w:r>
      <w:r w:rsidR="00BE7642" w:rsidRPr="00D86314">
        <w:rPr>
          <w:noProof/>
        </w:rPr>
        <w:t xml:space="preserve"> cost for capital-intensive 5G and future 6G deployments. The Commission’s role in overseeing authorisation processes ensures greater regulatory convergence and guaranties investment-friendly auction designs, flexible licensing conditions, or pro-security obligations (e.g. supply chain scrutiny, trusted vendor requirements). The possibility for the Commission to harmonise authorisation conditions would also have the benefit of facilitating cross-border provision of service and consolidation between telco operators, which would allow these operators to obtain scale. Binding common conditions upon request for private networks enable innovators to scale up network-as-a-service solutions. Restricting market-shaping measures to commonly agreed EU criteria limit distortions while maintaining national flexibility. Inconsistent national practices (e.g. unjustified market shaping measures and reserve prices) may be corrected, contributing to a level playing field and reducing cross-border investment barriers. While early planning, timely authorisation, and cross-border coordination for 6G bands is key</w:t>
      </w:r>
      <w:r w:rsidR="00BE7642" w:rsidRPr="00D86314">
        <w:rPr>
          <w:noProof/>
          <w:vertAlign w:val="superscript"/>
        </w:rPr>
        <w:footnoteReference w:id="137"/>
      </w:r>
      <w:r w:rsidR="00BE7642" w:rsidRPr="00D86314">
        <w:rPr>
          <w:noProof/>
        </w:rPr>
        <w:t>, the success of 6G spectrum awards depends on how auction conditions—such as duration, license flexibility, reserve prices, and obligations—are designed to support investment in a context of technological and commercial uncertainty</w:t>
      </w:r>
      <w:r w:rsidR="00BE7642" w:rsidRPr="00D86314">
        <w:rPr>
          <w:noProof/>
          <w:vertAlign w:val="superscript"/>
        </w:rPr>
        <w:footnoteReference w:id="138"/>
      </w:r>
      <w:r w:rsidR="00BE7642" w:rsidRPr="00D86314">
        <w:rPr>
          <w:noProof/>
          <w:vertAlign w:val="superscript"/>
        </w:rPr>
        <w:t xml:space="preserve">. </w:t>
      </w:r>
      <w:r w:rsidR="00BE7642" w:rsidRPr="00D86314">
        <w:rPr>
          <w:noProof/>
        </w:rPr>
        <w:t xml:space="preserve">Predictability and affordability will be critical to incentivise timely deployment and long-term industrial research for high-value vertical use cases. Coordination of timing of spectrum awards will also enhance predictability for equipment manufacturers and operators, </w:t>
      </w:r>
      <w:r w:rsidR="00ED1E54" w:rsidRPr="00D86314">
        <w:rPr>
          <w:noProof/>
        </w:rPr>
        <w:t xml:space="preserve">bringing </w:t>
      </w:r>
      <w:r w:rsidR="00BE7642" w:rsidRPr="00D86314">
        <w:rPr>
          <w:noProof/>
        </w:rPr>
        <w:t>benefits</w:t>
      </w:r>
      <w:r w:rsidR="00ED1E54" w:rsidRPr="00D86314">
        <w:rPr>
          <w:noProof/>
        </w:rPr>
        <w:t xml:space="preserve"> in terms of</w:t>
      </w:r>
      <w:r w:rsidR="00BE7642" w:rsidRPr="00D86314">
        <w:rPr>
          <w:noProof/>
        </w:rPr>
        <w:t xml:space="preserve"> synchronous deployment, and availability of devices and services. Pro-security and sharing obligations bring benefits in terms of more secure networks for all.</w:t>
      </w:r>
    </w:p>
    <w:p w14:paraId="21E50669" w14:textId="4073230A" w:rsidR="00BE7642" w:rsidRPr="00D86314" w:rsidRDefault="00A44C16" w:rsidP="004D09BF">
      <w:pPr>
        <w:pStyle w:val="Text1"/>
        <w:spacing w:after="120"/>
        <w:ind w:left="0"/>
        <w:rPr>
          <w:noProof/>
        </w:rPr>
      </w:pPr>
      <w:r w:rsidRPr="00D86314">
        <w:rPr>
          <w:noProof/>
          <w:szCs w:val="24"/>
        </w:rPr>
        <w:t>The preferred option is expected to</w:t>
      </w:r>
      <w:r w:rsidR="00BE7642" w:rsidRPr="00D86314">
        <w:rPr>
          <w:noProof/>
          <w:szCs w:val="24"/>
        </w:rPr>
        <w:t xml:space="preserve"> deliver </w:t>
      </w:r>
      <w:r w:rsidRPr="00D86314">
        <w:rPr>
          <w:noProof/>
          <w:szCs w:val="24"/>
        </w:rPr>
        <w:t>significa</w:t>
      </w:r>
      <w:r w:rsidR="00655CE5" w:rsidRPr="00D86314">
        <w:rPr>
          <w:noProof/>
          <w:szCs w:val="24"/>
        </w:rPr>
        <w:t>nt</w:t>
      </w:r>
      <w:r w:rsidR="00BE7642" w:rsidRPr="00D86314">
        <w:rPr>
          <w:noProof/>
          <w:szCs w:val="24"/>
        </w:rPr>
        <w:t xml:space="preserve"> benefits, for large-scale and cross-border spectrum investments. </w:t>
      </w:r>
      <w:r w:rsidR="00655CE5" w:rsidRPr="00D86314">
        <w:rPr>
          <w:noProof/>
          <w:szCs w:val="24"/>
        </w:rPr>
        <w:t>The</w:t>
      </w:r>
      <w:r w:rsidR="00BE7642" w:rsidRPr="00D86314">
        <w:rPr>
          <w:noProof/>
          <w:szCs w:val="24"/>
        </w:rPr>
        <w:t xml:space="preserve"> reduction in regulatory risk, combined with a credible, enforceable commitment to licence stability and market-friendly conditions, offers major advantages for accelerating the EU’s connectivity goals, increasing EU competitiveness also opening up new opportunities to new spectrum users.</w:t>
      </w:r>
    </w:p>
    <w:p w14:paraId="1E486447" w14:textId="0D3B81CC" w:rsidR="00736761" w:rsidRPr="00D86314" w:rsidRDefault="00C31A36" w:rsidP="00D9165F">
      <w:pPr>
        <w:pStyle w:val="Text1"/>
        <w:ind w:left="0"/>
        <w:rPr>
          <w:noProof/>
          <w:u w:val="single"/>
        </w:rPr>
      </w:pPr>
      <w:r w:rsidRPr="00D86314">
        <w:rPr>
          <w:noProof/>
          <w:u w:val="single"/>
        </w:rPr>
        <w:t>SME competitiveness</w:t>
      </w:r>
    </w:p>
    <w:p w14:paraId="7C2F4F1F" w14:textId="2387F3A0" w:rsidR="00C31A36" w:rsidRPr="00D86314" w:rsidRDefault="00960B6D" w:rsidP="004D09BF">
      <w:pPr>
        <w:pStyle w:val="Text1"/>
        <w:spacing w:after="120"/>
        <w:ind w:left="0"/>
        <w:rPr>
          <w:noProof/>
        </w:rPr>
      </w:pPr>
      <w:r w:rsidRPr="00D86314">
        <w:rPr>
          <w:noProof/>
        </w:rPr>
        <w:t xml:space="preserve">In the report on the future demand in the business sector [ref demand chapter of </w:t>
      </w:r>
      <w:r w:rsidR="0056356F" w:rsidRPr="00D86314">
        <w:rPr>
          <w:noProof/>
        </w:rPr>
        <w:t>Study on Finance and USO</w:t>
      </w:r>
      <w:r w:rsidRPr="00D86314">
        <w:rPr>
          <w:noProof/>
        </w:rPr>
        <w:t>] WIK showed that for SMEs QoS, reliability and scalability is essential to be able to satisfy future demand for connectivity also for smaller SMEs. For large business customers the availability of dark fibre would allow for the (self-) provision of customised bundles of services and innovation in this segment.</w:t>
      </w:r>
    </w:p>
    <w:p w14:paraId="278DE541" w14:textId="54267BE6" w:rsidR="001E728E" w:rsidRPr="00D86314" w:rsidRDefault="001E728E" w:rsidP="00736963">
      <w:pPr>
        <w:pStyle w:val="Heading1"/>
        <w:numPr>
          <w:ilvl w:val="0"/>
          <w:numId w:val="137"/>
        </w:numPr>
        <w:spacing w:before="360"/>
        <w:ind w:left="482" w:hanging="482"/>
        <w:rPr>
          <w:noProof/>
          <w:lang w:val="en-GB"/>
        </w:rPr>
      </w:pPr>
      <w:bookmarkStart w:id="208" w:name="_Toc219718413"/>
      <w:r w:rsidRPr="00D86314">
        <w:rPr>
          <w:noProof/>
          <w:lang w:val="en-GB"/>
        </w:rPr>
        <w:t>Competitive position of the most affected sectors</w:t>
      </w:r>
      <w:bookmarkEnd w:id="208"/>
    </w:p>
    <w:p w14:paraId="374234C5" w14:textId="0ECDE049" w:rsidR="00736761" w:rsidRPr="00D86314" w:rsidRDefault="5E30809F" w:rsidP="00AE2AE7">
      <w:pPr>
        <w:spacing w:after="120"/>
        <w:rPr>
          <w:noProof/>
        </w:rPr>
      </w:pPr>
      <w:r w:rsidRPr="00D86314">
        <w:rPr>
          <w:rFonts w:eastAsiaTheme="minorEastAsia"/>
          <w:noProof/>
        </w:rPr>
        <w:t xml:space="preserve">Figures provided in third party reports as well as data gathered for this </w:t>
      </w:r>
      <w:r w:rsidR="00854B61" w:rsidRPr="00D86314">
        <w:rPr>
          <w:rFonts w:eastAsiaTheme="minorEastAsia"/>
          <w:noProof/>
        </w:rPr>
        <w:t xml:space="preserve">Annex 5 </w:t>
      </w:r>
      <w:r w:rsidRPr="00D86314">
        <w:rPr>
          <w:rFonts w:eastAsiaTheme="minorEastAsia"/>
          <w:noProof/>
        </w:rPr>
        <w:t xml:space="preserve">provide a </w:t>
      </w:r>
      <w:r w:rsidRPr="00D86314">
        <w:rPr>
          <w:rFonts w:eastAsiaTheme="minorEastAsia"/>
          <w:b/>
          <w:bCs/>
          <w:noProof/>
        </w:rPr>
        <w:t>mixed view of financial performance in the telecom sector</w:t>
      </w:r>
      <w:r w:rsidRPr="00D86314">
        <w:rPr>
          <w:rFonts w:eastAsiaTheme="minorEastAsia"/>
          <w:noProof/>
        </w:rPr>
        <w:t>, with differences between service types as well as countries, business models and operators with different degrees of scale and history.</w:t>
      </w:r>
    </w:p>
    <w:p w14:paraId="11DCDF4A" w14:textId="0B21F743" w:rsidR="00736761" w:rsidRPr="00D86314" w:rsidRDefault="009C1D02" w:rsidP="00AE2AE7">
      <w:pPr>
        <w:spacing w:after="120"/>
        <w:rPr>
          <w:noProof/>
        </w:rPr>
      </w:pPr>
      <w:r w:rsidRPr="00D86314">
        <w:rPr>
          <w:rFonts w:eastAsiaTheme="minorEastAsia"/>
          <w:noProof/>
        </w:rPr>
        <w:t>Some stakeholders claim</w:t>
      </w:r>
      <w:r w:rsidR="5E30809F" w:rsidRPr="00D86314">
        <w:rPr>
          <w:rFonts w:eastAsiaTheme="minorEastAsia"/>
          <w:noProof/>
        </w:rPr>
        <w:t xml:space="preserve"> a real term </w:t>
      </w:r>
      <w:r w:rsidR="5E30809F" w:rsidRPr="00D86314">
        <w:rPr>
          <w:rFonts w:eastAsiaTheme="minorEastAsia"/>
          <w:b/>
          <w:bCs/>
          <w:noProof/>
        </w:rPr>
        <w:t>decline in revenues</w:t>
      </w:r>
      <w:r w:rsidR="5E30809F" w:rsidRPr="00D86314">
        <w:rPr>
          <w:rFonts w:eastAsiaTheme="minorEastAsia"/>
          <w:noProof/>
        </w:rPr>
        <w:t xml:space="preserve">, with low </w:t>
      </w:r>
      <w:r w:rsidR="5E30809F" w:rsidRPr="00D86314">
        <w:rPr>
          <w:rFonts w:eastAsiaTheme="minorEastAsia"/>
          <w:b/>
          <w:bCs/>
          <w:noProof/>
        </w:rPr>
        <w:t>ARPUs for mobile services in particular.</w:t>
      </w:r>
      <w:r w:rsidR="5E30809F" w:rsidRPr="00D86314">
        <w:rPr>
          <w:rFonts w:eastAsiaTheme="minorEastAsia"/>
          <w:noProof/>
        </w:rPr>
        <w:t xml:space="preserve"> Fixed broadband revenues are significantly higher.</w:t>
      </w:r>
    </w:p>
    <w:p w14:paraId="2C7A48EF" w14:textId="1528825B" w:rsidR="00736761" w:rsidRPr="00D86314" w:rsidRDefault="5E30809F" w:rsidP="00A00C17">
      <w:pPr>
        <w:pStyle w:val="ListParagraph"/>
        <w:numPr>
          <w:ilvl w:val="0"/>
          <w:numId w:val="22"/>
        </w:numPr>
        <w:spacing w:after="40"/>
        <w:ind w:left="714" w:hanging="357"/>
        <w:contextualSpacing w:val="0"/>
        <w:rPr>
          <w:noProof/>
        </w:rPr>
      </w:pPr>
      <w:r w:rsidRPr="00D86314">
        <w:rPr>
          <w:rFonts w:eastAsiaTheme="minorEastAsia"/>
          <w:noProof/>
        </w:rPr>
        <w:t xml:space="preserve">Available data suggest that revenues for retail telecom service providers have not increased in line with inflation, in particular during the inflationary spike that followed the COVID pandemic. </w:t>
      </w:r>
    </w:p>
    <w:p w14:paraId="7298E411" w14:textId="1B783437" w:rsidR="00736761" w:rsidRPr="00D86314" w:rsidRDefault="5E30809F" w:rsidP="00A00C17">
      <w:pPr>
        <w:pStyle w:val="ListParagraph"/>
        <w:numPr>
          <w:ilvl w:val="0"/>
          <w:numId w:val="22"/>
        </w:numPr>
        <w:spacing w:after="40"/>
        <w:ind w:left="714" w:hanging="357"/>
        <w:contextualSpacing w:val="0"/>
        <w:rPr>
          <w:noProof/>
        </w:rPr>
      </w:pPr>
      <w:r w:rsidRPr="00D86314">
        <w:rPr>
          <w:rFonts w:eastAsiaTheme="minorEastAsia"/>
          <w:noProof/>
        </w:rPr>
        <w:t>Mobile ARPUs in Europe in particular are generally lower on average than in other regions.</w:t>
      </w:r>
    </w:p>
    <w:p w14:paraId="514FBBE1" w14:textId="77777777" w:rsidR="00E00B6F" w:rsidRPr="00D86314" w:rsidRDefault="5E30809F" w:rsidP="00A00C17">
      <w:pPr>
        <w:pStyle w:val="ListParagraph"/>
        <w:numPr>
          <w:ilvl w:val="0"/>
          <w:numId w:val="22"/>
        </w:numPr>
        <w:spacing w:after="0" w:line="257" w:lineRule="auto"/>
        <w:rPr>
          <w:noProof/>
        </w:rPr>
      </w:pPr>
      <w:r w:rsidRPr="00D86314">
        <w:rPr>
          <w:rFonts w:eastAsiaTheme="minorEastAsia"/>
          <w:noProof/>
        </w:rPr>
        <w:t>However, higher and more stable ARPUs have been achieved in fixed broadband</w:t>
      </w:r>
      <w:r w:rsidR="00E00B6F" w:rsidRPr="00D86314">
        <w:rPr>
          <w:rFonts w:eastAsiaTheme="minorEastAsia"/>
          <w:noProof/>
        </w:rPr>
        <w:t>.</w:t>
      </w:r>
    </w:p>
    <w:p w14:paraId="019B9C34" w14:textId="26A1A464" w:rsidR="00736761" w:rsidRPr="00D86314" w:rsidRDefault="5E30809F" w:rsidP="00A00C17">
      <w:pPr>
        <w:pStyle w:val="ListParagraph"/>
        <w:numPr>
          <w:ilvl w:val="0"/>
          <w:numId w:val="21"/>
        </w:numPr>
        <w:spacing w:after="120"/>
        <w:ind w:left="714" w:hanging="357"/>
        <w:contextualSpacing w:val="0"/>
        <w:rPr>
          <w:noProof/>
        </w:rPr>
      </w:pPr>
      <w:r w:rsidRPr="00D86314">
        <w:rPr>
          <w:noProof/>
        </w:rPr>
        <w:t xml:space="preserve">The profitability of incumbent operators in Europe is similar to that in </w:t>
      </w:r>
      <w:r w:rsidR="008A18E7" w:rsidRPr="00D86314">
        <w:rPr>
          <w:noProof/>
        </w:rPr>
        <w:t>other regions.</w:t>
      </w:r>
    </w:p>
    <w:p w14:paraId="04D3320C" w14:textId="047AA95F" w:rsidR="00736761" w:rsidRPr="00D86314" w:rsidRDefault="5E30809F" w:rsidP="00AE2AE7">
      <w:pPr>
        <w:spacing w:after="120"/>
        <w:rPr>
          <w:noProof/>
        </w:rPr>
      </w:pPr>
      <w:r w:rsidRPr="00D86314">
        <w:rPr>
          <w:rFonts w:eastAsia="Calibri"/>
          <w:b/>
          <w:noProof/>
        </w:rPr>
        <w:t>Smaller mobile operators and new entrants are struggling in several countries in Europe and internationally. JVs/extensive network sharing may have helped to support profitability in some cases.</w:t>
      </w:r>
    </w:p>
    <w:p w14:paraId="109B94DE" w14:textId="1AA48865" w:rsidR="00736761" w:rsidRPr="00D86314" w:rsidRDefault="5E30809F" w:rsidP="00A00C17">
      <w:pPr>
        <w:pStyle w:val="ListParagraph"/>
        <w:numPr>
          <w:ilvl w:val="0"/>
          <w:numId w:val="21"/>
        </w:numPr>
        <w:spacing w:after="0"/>
        <w:ind w:left="714" w:hanging="357"/>
        <w:rPr>
          <w:rFonts w:eastAsia="Calibri"/>
          <w:noProof/>
        </w:rPr>
      </w:pPr>
      <w:r w:rsidRPr="00D86314">
        <w:rPr>
          <w:rFonts w:eastAsia="Calibri"/>
          <w:noProof/>
        </w:rPr>
        <w:t>Financial challenges experienced by new entrants in crowded European mobile markets</w:t>
      </w:r>
      <w:r w:rsidR="00721F2C" w:rsidRPr="00D86314">
        <w:rPr>
          <w:rFonts w:eastAsia="Calibri"/>
          <w:noProof/>
        </w:rPr>
        <w:t>.</w:t>
      </w:r>
    </w:p>
    <w:p w14:paraId="199DA427" w14:textId="4A5F1578" w:rsidR="00736761" w:rsidRPr="00D86314" w:rsidRDefault="5E30809F" w:rsidP="00494A90">
      <w:pPr>
        <w:spacing w:before="120" w:after="160" w:line="257" w:lineRule="auto"/>
        <w:rPr>
          <w:noProof/>
        </w:rPr>
      </w:pPr>
      <w:r w:rsidRPr="00D86314">
        <w:rPr>
          <w:rFonts w:eastAsia="Calibri"/>
          <w:b/>
          <w:noProof/>
        </w:rPr>
        <w:t>There are differences in profitability between vertically integrated telcos in different European countries. Contrasting levels of investments in FTTH and degree of network duplication alongside differences in willingness to pay may explain some of these differences.</w:t>
      </w:r>
    </w:p>
    <w:p w14:paraId="238A33BD" w14:textId="79921775" w:rsidR="00736761" w:rsidRPr="00D86314" w:rsidRDefault="5E30809F" w:rsidP="00A00C17">
      <w:pPr>
        <w:pStyle w:val="ListParagraph"/>
        <w:numPr>
          <w:ilvl w:val="0"/>
          <w:numId w:val="21"/>
        </w:numPr>
        <w:spacing w:after="0"/>
        <w:ind w:left="714" w:hanging="357"/>
        <w:rPr>
          <w:rFonts w:eastAsia="Calibri"/>
          <w:noProof/>
        </w:rPr>
      </w:pPr>
      <w:r w:rsidRPr="00D86314">
        <w:rPr>
          <w:rFonts w:eastAsia="Calibri"/>
          <w:noProof/>
        </w:rPr>
        <w:t xml:space="preserve">As regards country-specific differences, an analysis of third party reports as well as data gathered shows that within Europe </w:t>
      </w:r>
      <w:r w:rsidRPr="00D86314">
        <w:rPr>
          <w:rFonts w:eastAsia="Calibri"/>
          <w:b/>
          <w:noProof/>
        </w:rPr>
        <w:t>profitability is relatively robust amongst both incumbent and alternative operators in Germany, Austria, Sweden and some of the Baltic countries (Lithuania and Latvia)</w:t>
      </w:r>
      <w:r w:rsidRPr="00D86314">
        <w:rPr>
          <w:rFonts w:eastAsia="Calibri"/>
          <w:noProof/>
        </w:rPr>
        <w:t xml:space="preserve">, with France following. Spain, Italy and (of the non-EU countries, the UK) show specific weaknesses. </w:t>
      </w:r>
    </w:p>
    <w:p w14:paraId="13044697" w14:textId="083694D8" w:rsidR="00736761" w:rsidRPr="00D86314" w:rsidRDefault="5E30809F" w:rsidP="00A00C17">
      <w:pPr>
        <w:pStyle w:val="ListParagraph"/>
        <w:numPr>
          <w:ilvl w:val="0"/>
          <w:numId w:val="21"/>
        </w:numPr>
        <w:spacing w:after="0"/>
        <w:ind w:left="714" w:hanging="357"/>
        <w:rPr>
          <w:rFonts w:eastAsia="Calibri"/>
          <w:noProof/>
        </w:rPr>
      </w:pPr>
      <w:r w:rsidRPr="00D86314">
        <w:rPr>
          <w:rFonts w:eastAsia="Calibri"/>
          <w:noProof/>
        </w:rPr>
        <w:t xml:space="preserve">The reasons for country specific differences are likely to vary. However, factors that may be relevant in supporting higher profit margins in Germany and Austria are delays in the deployment of FTTH regulated dark fibre backhaul for mobile, and reliance on low-band spectrum for deployment of 5G SA. Meanwhile, earlier deployment and the lack of duplication of alternative FTTH networks by incumbents in Sweden (through the commercial decision of the incumbent) and France (as a result of symmetric regulation) together with more rapid migration to fibre in the absence of FTTC may have supported the business case for fibre. Both France and Sweden have four player mobile markets. However, in both cases, there is widespread availability of dark fibre backhaul (via regulation in France and from municipal operators in Sweden). Sweden also benefits from spectrum pooling and deep network sharing, which is likely to have limited the investment requirements for mobile. Deployment of 5G SA and mobile network densification has been relatively limited thus far in Sweden and France, which may also have enabled stronger financial results. </w:t>
      </w:r>
    </w:p>
    <w:p w14:paraId="316DA67B" w14:textId="3F68CCBA" w:rsidR="00736761" w:rsidRPr="00D86314" w:rsidRDefault="5E30809F" w:rsidP="00A00C17">
      <w:pPr>
        <w:pStyle w:val="ListParagraph"/>
        <w:numPr>
          <w:ilvl w:val="0"/>
          <w:numId w:val="21"/>
        </w:numPr>
        <w:ind w:left="714" w:hanging="357"/>
        <w:rPr>
          <w:rFonts w:eastAsia="Calibri"/>
          <w:noProof/>
        </w:rPr>
      </w:pPr>
      <w:r w:rsidRPr="00D86314">
        <w:rPr>
          <w:rFonts w:eastAsia="Calibri"/>
          <w:noProof/>
        </w:rPr>
        <w:t xml:space="preserve">In contrast, Italy and Spain have both experienced significant FTTH deployment including widespread duplication of FTTH networks, as well as intense competition with disruptive entry in the mobile segment, which may have impacted prices and profit margins. A lack of country-specific breakdowns amongst larger telecom groups make it challenging to assess levels of profitability at country-level elsewhere in Europe. </w:t>
      </w:r>
    </w:p>
    <w:p w14:paraId="64AE7B35" w14:textId="6FC5CCEA" w:rsidR="00736761" w:rsidRPr="00D86314" w:rsidRDefault="5E30809F" w:rsidP="762C55E3">
      <w:pPr>
        <w:spacing w:after="160" w:line="257" w:lineRule="auto"/>
        <w:rPr>
          <w:noProof/>
        </w:rPr>
      </w:pPr>
      <w:r w:rsidRPr="00D86314">
        <w:rPr>
          <w:rFonts w:eastAsia="Calibri"/>
          <w:b/>
          <w:noProof/>
        </w:rPr>
        <w:t xml:space="preserve">ROCE and FCF are affected by the investment cycle. Improvements in ROCE following investment depend critically on take-up / market share </w:t>
      </w:r>
    </w:p>
    <w:p w14:paraId="7C1DF50F" w14:textId="233A53C9" w:rsidR="00736761" w:rsidRPr="00D86314" w:rsidRDefault="5E30809F" w:rsidP="00A00C17">
      <w:pPr>
        <w:pStyle w:val="ListParagraph"/>
        <w:numPr>
          <w:ilvl w:val="0"/>
          <w:numId w:val="20"/>
        </w:numPr>
        <w:spacing w:after="0" w:line="257" w:lineRule="auto"/>
        <w:rPr>
          <w:rFonts w:eastAsia="Calibri"/>
          <w:noProof/>
        </w:rPr>
      </w:pPr>
      <w:r w:rsidRPr="00D86314">
        <w:rPr>
          <w:rFonts w:eastAsia="Calibri"/>
          <w:noProof/>
        </w:rPr>
        <w:t xml:space="preserve">Data shows that </w:t>
      </w:r>
      <w:r w:rsidRPr="00D86314">
        <w:rPr>
          <w:rFonts w:eastAsia="Calibri"/>
          <w:b/>
          <w:noProof/>
        </w:rPr>
        <w:t>capex levels tend to vary over time</w:t>
      </w:r>
      <w:r w:rsidRPr="00D86314">
        <w:rPr>
          <w:rFonts w:eastAsia="Calibri"/>
          <w:noProof/>
        </w:rPr>
        <w:t xml:space="preserve">, and that capex intensity has been higher for alternative operators than for incumbents, although the figures are now converging. Although the data is not disaggregated in a manner that would allow such analysis, it can be inferred from the timing of capex increases in different countries that variations in capex levels over time reflect investment cycles in FTTH and/or 5G (including the acquisition of s). In turn changes in capex affect other metrics relating to returns and profitability. </w:t>
      </w:r>
    </w:p>
    <w:p w14:paraId="57DB4C5E" w14:textId="260BE63A" w:rsidR="00736761" w:rsidRPr="00D86314" w:rsidRDefault="5E30809F" w:rsidP="00A00C17">
      <w:pPr>
        <w:pStyle w:val="ListParagraph"/>
        <w:numPr>
          <w:ilvl w:val="0"/>
          <w:numId w:val="21"/>
        </w:numPr>
        <w:spacing w:after="0"/>
        <w:ind w:left="714" w:hanging="357"/>
        <w:rPr>
          <w:rFonts w:eastAsia="Calibri"/>
          <w:noProof/>
        </w:rPr>
      </w:pPr>
      <w:r w:rsidRPr="00D86314">
        <w:rPr>
          <w:rFonts w:eastAsia="Calibri"/>
          <w:noProof/>
        </w:rPr>
        <w:t>Variations in the ROCE may reflect the degree of success in transferring or acquiring customers onto newly built or upgraded infrastructure alongside any impacts on ARPU that may be affected by willingness to pay, and the degree to which the company has relied on debt financing. FCF as a proportion of revenues is also likely to be affected by investment cycles which are funded through cashflow, and thus reductions in FCF as a % revenue may be particularly pronounced amongst operators which have been able to invest in FTTH based on high cashflows from their legacy business, but have not yet converted these investments to customers or higher revenues.</w:t>
      </w:r>
    </w:p>
    <w:p w14:paraId="30D4B17F" w14:textId="138041BE" w:rsidR="00736761" w:rsidRPr="00D86314" w:rsidRDefault="5E30809F" w:rsidP="00AB3F8A">
      <w:pPr>
        <w:spacing w:before="240" w:after="160" w:line="257" w:lineRule="auto"/>
        <w:rPr>
          <w:noProof/>
        </w:rPr>
      </w:pPr>
      <w:r w:rsidRPr="00D86314">
        <w:rPr>
          <w:rFonts w:eastAsia="Calibri"/>
          <w:b/>
          <w:noProof/>
        </w:rPr>
        <w:t xml:space="preserve">Cable operators that have not yet upgraded to FTTH tend to have strong financial performance. This could change once upgrades are made. </w:t>
      </w:r>
    </w:p>
    <w:p w14:paraId="2D9DA97B" w14:textId="22768FE5" w:rsidR="00736761" w:rsidRPr="00D86314" w:rsidRDefault="5E30809F" w:rsidP="00A00C17">
      <w:pPr>
        <w:pStyle w:val="ListParagraph"/>
        <w:numPr>
          <w:ilvl w:val="0"/>
          <w:numId w:val="19"/>
        </w:numPr>
        <w:spacing w:after="0" w:line="257" w:lineRule="auto"/>
        <w:rPr>
          <w:rFonts w:eastAsia="Calibri"/>
          <w:noProof/>
        </w:rPr>
      </w:pPr>
      <w:r w:rsidRPr="00D86314">
        <w:rPr>
          <w:rFonts w:eastAsia="Calibri"/>
          <w:noProof/>
        </w:rPr>
        <w:t xml:space="preserve">Due to the performance capabilities of DOCSIS 3.1 (and potential upgrade path to DOCSIS 4.0), </w:t>
      </w:r>
      <w:r w:rsidRPr="00D86314">
        <w:rPr>
          <w:rFonts w:eastAsia="Calibri"/>
          <w:b/>
          <w:noProof/>
        </w:rPr>
        <w:t>pure cable operators in countries such as Belgium and the UK may have benefited from higher returns due to the lack of urgent pressure to upgrade networks to FTTH and therefore lower capex requirements</w:t>
      </w:r>
      <w:r w:rsidRPr="00D86314">
        <w:rPr>
          <w:rFonts w:eastAsia="Calibri"/>
          <w:noProof/>
        </w:rPr>
        <w:t xml:space="preserve"> than rivals. In contrast, cable operators that invested heavily in FTTH, show the same pattern as for other fibre investors – with high capex % linked to lower ROCE and reduced FCF % during the period of the deployment. </w:t>
      </w:r>
    </w:p>
    <w:p w14:paraId="10DCF329" w14:textId="570621A2" w:rsidR="00736761" w:rsidRPr="00D86314" w:rsidRDefault="5E30809F" w:rsidP="00A00C17">
      <w:pPr>
        <w:pStyle w:val="ListParagraph"/>
        <w:numPr>
          <w:ilvl w:val="0"/>
          <w:numId w:val="19"/>
        </w:numPr>
        <w:spacing w:after="0" w:line="257" w:lineRule="auto"/>
        <w:rPr>
          <w:rFonts w:eastAsia="Calibri"/>
          <w:noProof/>
        </w:rPr>
      </w:pPr>
      <w:r w:rsidRPr="00D86314">
        <w:rPr>
          <w:rFonts w:eastAsia="Calibri"/>
          <w:b/>
          <w:noProof/>
        </w:rPr>
        <w:t>Wholesale only operators are struggling to make returns. Low take-up is a</w:t>
      </w:r>
      <w:r w:rsidR="00B36BE9" w:rsidRPr="00D86314">
        <w:rPr>
          <w:rFonts w:eastAsia="Calibri"/>
          <w:b/>
          <w:noProof/>
        </w:rPr>
        <w:t>n important</w:t>
      </w:r>
      <w:r w:rsidRPr="00D86314">
        <w:rPr>
          <w:rFonts w:eastAsia="Calibri"/>
          <w:b/>
          <w:noProof/>
        </w:rPr>
        <w:t xml:space="preserve"> problem</w:t>
      </w:r>
      <w:r w:rsidR="672DAE2D" w:rsidRPr="00D86314">
        <w:rPr>
          <w:rFonts w:eastAsia="Calibri"/>
          <w:b/>
          <w:noProof/>
        </w:rPr>
        <w:t xml:space="preserve">. </w:t>
      </w:r>
      <w:r w:rsidRPr="00D86314">
        <w:rPr>
          <w:rFonts w:eastAsia="Calibri"/>
          <w:noProof/>
        </w:rPr>
        <w:t xml:space="preserve">Further insight on the drivers of financial outcomes in specific capital intensive segments (including the impact of capex timing, take-up, and debt) can be gained by looking at results of pure fibre investors and towercos. </w:t>
      </w:r>
    </w:p>
    <w:p w14:paraId="386ED6AB" w14:textId="77777777" w:rsidR="006678C8" w:rsidRPr="00D86314" w:rsidRDefault="5E30809F" w:rsidP="00A00C17">
      <w:pPr>
        <w:pStyle w:val="ListParagraph"/>
        <w:numPr>
          <w:ilvl w:val="0"/>
          <w:numId w:val="19"/>
        </w:numPr>
        <w:spacing w:after="0" w:line="257" w:lineRule="auto"/>
        <w:rPr>
          <w:rFonts w:eastAsia="Calibri"/>
          <w:noProof/>
        </w:rPr>
      </w:pPr>
      <w:r w:rsidRPr="00D86314">
        <w:rPr>
          <w:rFonts w:eastAsia="Calibri"/>
          <w:noProof/>
        </w:rPr>
        <w:t xml:space="preserve">Amongst investors for whom data is available, low take-up seems to be a particular concern. </w:t>
      </w:r>
    </w:p>
    <w:p w14:paraId="70CF2A7D" w14:textId="17A4DA98" w:rsidR="00736761" w:rsidRPr="00D86314" w:rsidRDefault="006678C8" w:rsidP="00A00C17">
      <w:pPr>
        <w:pStyle w:val="ListParagraph"/>
        <w:numPr>
          <w:ilvl w:val="0"/>
          <w:numId w:val="19"/>
        </w:numPr>
        <w:spacing w:after="0" w:line="257" w:lineRule="auto"/>
        <w:rPr>
          <w:rFonts w:eastAsia="Calibri"/>
          <w:noProof/>
        </w:rPr>
      </w:pPr>
      <w:r w:rsidRPr="00D86314">
        <w:rPr>
          <w:rFonts w:eastAsia="Calibri"/>
          <w:noProof/>
        </w:rPr>
        <w:t>F</w:t>
      </w:r>
      <w:r w:rsidR="5E30809F" w:rsidRPr="00D86314">
        <w:rPr>
          <w:rFonts w:eastAsia="Calibri"/>
          <w:noProof/>
        </w:rPr>
        <w:t xml:space="preserve">inancial results provided in third party reports show an </w:t>
      </w:r>
      <w:r w:rsidR="5E30809F" w:rsidRPr="00D86314">
        <w:rPr>
          <w:rFonts w:eastAsia="Calibri"/>
          <w:b/>
          <w:noProof/>
        </w:rPr>
        <w:t>expansion in revenues for towercos, with ROCE lying between 4-6%. This is below ROCE expected for vertically integrated telecom operators, but reflects the perception of the business model of towercos as a low risk investment.</w:t>
      </w:r>
    </w:p>
    <w:p w14:paraId="19D6E14D" w14:textId="1FB36E78" w:rsidR="00736761" w:rsidRPr="00D86314" w:rsidRDefault="5E30809F" w:rsidP="001337C6">
      <w:pPr>
        <w:spacing w:before="240" w:after="120"/>
        <w:rPr>
          <w:noProof/>
        </w:rPr>
      </w:pPr>
      <w:r w:rsidRPr="00D86314">
        <w:rPr>
          <w:rFonts w:eastAsia="Calibri"/>
          <w:b/>
          <w:noProof/>
        </w:rPr>
        <w:t xml:space="preserve">Levels of debt amongst wholesale only fibre cos are high. Debt levels amongst vertically integrated operators in Europe have increased, but are comparable with levels in </w:t>
      </w:r>
      <w:r w:rsidR="00E86F92" w:rsidRPr="00D86314">
        <w:rPr>
          <w:rFonts w:eastAsia="Calibri"/>
          <w:b/>
          <w:noProof/>
        </w:rPr>
        <w:t>other regions</w:t>
      </w:r>
      <w:r w:rsidRPr="00D86314">
        <w:rPr>
          <w:rFonts w:eastAsia="Calibri"/>
          <w:b/>
          <w:noProof/>
        </w:rPr>
        <w:t xml:space="preserve">. </w:t>
      </w:r>
    </w:p>
    <w:p w14:paraId="3E4F8244" w14:textId="5219480D" w:rsidR="00736761" w:rsidRPr="00D86314" w:rsidRDefault="5E30809F" w:rsidP="00A00C17">
      <w:pPr>
        <w:pStyle w:val="ListParagraph"/>
        <w:numPr>
          <w:ilvl w:val="0"/>
          <w:numId w:val="18"/>
        </w:numPr>
        <w:spacing w:after="120"/>
        <w:ind w:left="714" w:hanging="357"/>
        <w:rPr>
          <w:rFonts w:eastAsia="Calibri"/>
          <w:noProof/>
        </w:rPr>
      </w:pPr>
      <w:r w:rsidRPr="00D86314">
        <w:rPr>
          <w:rFonts w:eastAsia="Calibri"/>
          <w:noProof/>
        </w:rPr>
        <w:t>Another concern regarding the majority of regional investors / wholesale only companies reviewed are the very high levels of leverage.</w:t>
      </w:r>
    </w:p>
    <w:p w14:paraId="3B42E576" w14:textId="015A303A" w:rsidR="00736761" w:rsidRPr="00D86314" w:rsidRDefault="5E30809F" w:rsidP="00A00C17">
      <w:pPr>
        <w:pStyle w:val="ListParagraph"/>
        <w:numPr>
          <w:ilvl w:val="0"/>
          <w:numId w:val="18"/>
        </w:numPr>
        <w:spacing w:after="120"/>
        <w:ind w:left="714" w:hanging="357"/>
        <w:rPr>
          <w:rFonts w:eastAsia="Calibri"/>
          <w:noProof/>
        </w:rPr>
      </w:pPr>
      <w:r w:rsidRPr="00D86314">
        <w:rPr>
          <w:rFonts w:eastAsia="Calibri"/>
          <w:noProof/>
        </w:rPr>
        <w:t>The ratio of net debt to EBITDA amongst EU headquartered vertically integrated operators lies between 2.5-4 and has in most cases increased in recent years.</w:t>
      </w:r>
    </w:p>
    <w:p w14:paraId="52D2E029" w14:textId="47456B4D" w:rsidR="00736761" w:rsidRPr="00D86314" w:rsidRDefault="5E30809F" w:rsidP="00AB3F8A">
      <w:pPr>
        <w:spacing w:before="240" w:after="160" w:line="257" w:lineRule="auto"/>
        <w:rPr>
          <w:noProof/>
        </w:rPr>
      </w:pPr>
      <w:r w:rsidRPr="00D86314">
        <w:rPr>
          <w:rFonts w:eastAsia="Calibri"/>
          <w:b/>
          <w:noProof/>
        </w:rPr>
        <w:t>Many EU telecom operators operate multi-nationally. However cross-border presence does not seem to be linked to improved financial performance</w:t>
      </w:r>
      <w:r w:rsidR="009135F3" w:rsidRPr="00D86314">
        <w:rPr>
          <w:rFonts w:eastAsia="Calibri"/>
          <w:b/>
          <w:noProof/>
        </w:rPr>
        <w:t xml:space="preserve"> in the current fragmented Single market for electronic communications</w:t>
      </w:r>
    </w:p>
    <w:p w14:paraId="2CCA3285" w14:textId="58D2594E" w:rsidR="00736761" w:rsidRPr="00D86314" w:rsidRDefault="5E30809F" w:rsidP="00A00C17">
      <w:pPr>
        <w:pStyle w:val="ListParagraph"/>
        <w:numPr>
          <w:ilvl w:val="0"/>
          <w:numId w:val="18"/>
        </w:numPr>
        <w:spacing w:after="120"/>
        <w:ind w:left="714" w:hanging="357"/>
        <w:rPr>
          <w:rFonts w:eastAsia="Calibri"/>
          <w:noProof/>
        </w:rPr>
      </w:pPr>
      <w:r w:rsidRPr="00D86314">
        <w:rPr>
          <w:rFonts w:eastAsia="Calibri"/>
          <w:noProof/>
        </w:rPr>
        <w:t>The analysis of company data shows that many telecom groups headquartered in the EU, as well as some groups headquartered elsewhere, have built a portfolio of businesses across different countries.</w:t>
      </w:r>
    </w:p>
    <w:p w14:paraId="760BCFC2" w14:textId="5297A10B" w:rsidR="00736761" w:rsidRPr="00D86314" w:rsidRDefault="5E30809F" w:rsidP="00A00C17">
      <w:pPr>
        <w:pStyle w:val="ListParagraph"/>
        <w:numPr>
          <w:ilvl w:val="0"/>
          <w:numId w:val="18"/>
        </w:numPr>
        <w:spacing w:after="120"/>
        <w:ind w:left="714" w:hanging="357"/>
        <w:rPr>
          <w:rFonts w:eastAsia="Calibri"/>
          <w:noProof/>
        </w:rPr>
      </w:pPr>
      <w:r w:rsidRPr="00D86314">
        <w:rPr>
          <w:rFonts w:eastAsia="Calibri"/>
          <w:noProof/>
        </w:rPr>
        <w:t>The data does not provide clear indications of whether or not there are benefits to operating in multiple markets</w:t>
      </w:r>
      <w:r w:rsidR="00FD367A" w:rsidRPr="00D86314">
        <w:rPr>
          <w:rFonts w:eastAsia="Calibri"/>
          <w:noProof/>
        </w:rPr>
        <w:t xml:space="preserve"> in the current scenario with no genuine Single market for </w:t>
      </w:r>
      <w:r w:rsidR="009135F3" w:rsidRPr="00D86314">
        <w:rPr>
          <w:rFonts w:eastAsia="Calibri"/>
          <w:noProof/>
        </w:rPr>
        <w:t xml:space="preserve">electronic </w:t>
      </w:r>
      <w:r w:rsidR="00FD367A" w:rsidRPr="00D86314">
        <w:rPr>
          <w:rFonts w:eastAsia="Calibri"/>
          <w:noProof/>
        </w:rPr>
        <w:t>communications.</w:t>
      </w:r>
      <w:r w:rsidRPr="00D86314">
        <w:rPr>
          <w:rFonts w:eastAsia="Calibri"/>
          <w:noProof/>
        </w:rPr>
        <w:t xml:space="preserve"> There are examples of successful regional fibre investors and more localised tower companies that perform better than larger scale companies. Meanwhile some multinational operator groups are financially struggling while others are better positioned. This may however result from the fact that companies today operate as national entities with limited exploitation of synergies in the core. There is limited data available for standalone providers of specialist cross-border services such as automotive IoT and the provision of services to multi-national businesses. The data available suggest relatively low returns for the players concerned.</w:t>
      </w:r>
    </w:p>
    <w:p w14:paraId="235FB092" w14:textId="26A21B85" w:rsidR="00736761" w:rsidRPr="00D86314" w:rsidRDefault="00736761" w:rsidP="762C55E3">
      <w:pPr>
        <w:spacing w:after="0"/>
        <w:rPr>
          <w:noProof/>
        </w:rPr>
      </w:pPr>
    </w:p>
    <w:p w14:paraId="5A1A9276" w14:textId="77777777" w:rsidR="00C22AB4" w:rsidRPr="00D86314" w:rsidRDefault="00C22AB4" w:rsidP="00C22AB4">
      <w:pPr>
        <w:spacing w:after="200" w:line="276" w:lineRule="auto"/>
        <w:jc w:val="left"/>
        <w:rPr>
          <w:noProof/>
        </w:rPr>
      </w:pPr>
      <w:r w:rsidRPr="00D86314">
        <w:rPr>
          <w:noProof/>
        </w:rPr>
        <w:br w:type="page"/>
      </w:r>
    </w:p>
    <w:p w14:paraId="76593344" w14:textId="6F3734A2" w:rsidR="00380909" w:rsidRPr="00D86314" w:rsidRDefault="00380909" w:rsidP="00703057">
      <w:pPr>
        <w:pStyle w:val="Heading1"/>
        <w:numPr>
          <w:ilvl w:val="0"/>
          <w:numId w:val="0"/>
        </w:numPr>
        <w:rPr>
          <w:noProof/>
          <w:lang w:val="en-GB"/>
        </w:rPr>
      </w:pPr>
      <w:bookmarkStart w:id="209" w:name="_Toc208239222"/>
      <w:bookmarkStart w:id="210" w:name="_Toc219718414"/>
      <w:r w:rsidRPr="00D86314">
        <w:rPr>
          <w:noProof/>
          <w:lang w:val="en-GB"/>
        </w:rPr>
        <w:t>Annex 6: SME check</w:t>
      </w:r>
      <w:bookmarkEnd w:id="209"/>
      <w:bookmarkEnd w:id="210"/>
    </w:p>
    <w:p w14:paraId="38CFB9EB" w14:textId="77777777" w:rsidR="0057042C" w:rsidRPr="00D86314" w:rsidRDefault="0057042C" w:rsidP="0057042C">
      <w:pPr>
        <w:rPr>
          <w:b/>
          <w:bCs/>
          <w:smallCaps/>
          <w:noProof/>
          <w:color w:val="000000" w:themeColor="text1"/>
        </w:rPr>
      </w:pPr>
      <w:r w:rsidRPr="00D86314">
        <w:rPr>
          <w:b/>
          <w:bCs/>
          <w:smallCaps/>
          <w:noProof/>
          <w:color w:val="000000" w:themeColor="text1"/>
        </w:rPr>
        <w:t>Overview of impacts on SMEs</w:t>
      </w:r>
    </w:p>
    <w:tbl>
      <w:tblPr>
        <w:tblW w:w="8676" w:type="dxa"/>
        <w:tblInd w:w="-34" w:type="dxa"/>
        <w:tblLook w:val="04A0" w:firstRow="1" w:lastRow="0" w:firstColumn="1" w:lastColumn="0" w:noHBand="0" w:noVBand="1"/>
      </w:tblPr>
      <w:tblGrid>
        <w:gridCol w:w="8652"/>
        <w:gridCol w:w="24"/>
      </w:tblGrid>
      <w:tr w:rsidR="0057042C" w:rsidRPr="00D86314" w14:paraId="6563DC80" w14:textId="77777777" w:rsidTr="00E21984">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571540CD" w14:textId="77777777" w:rsidR="0057042C" w:rsidRPr="00D86314" w:rsidRDefault="0057042C">
            <w:pPr>
              <w:pStyle w:val="ListParagraph"/>
              <w:ind w:left="0"/>
              <w:rPr>
                <w:rFonts w:eastAsia="Times New Roman"/>
                <w:b/>
                <w:bCs/>
                <w:noProof/>
                <w:color w:val="000000" w:themeColor="text1"/>
                <w:lang w:eastAsia="en-GB"/>
              </w:rPr>
            </w:pPr>
            <w:r w:rsidRPr="00D86314">
              <w:rPr>
                <w:rFonts w:eastAsia="Times New Roman"/>
                <w:b/>
                <w:bCs/>
                <w:noProof/>
                <w:color w:val="000000" w:themeColor="text1"/>
                <w:lang w:eastAsia="en-GB"/>
              </w:rPr>
              <w:t xml:space="preserve">Relevance for SMEs </w:t>
            </w:r>
          </w:p>
        </w:tc>
      </w:tr>
      <w:tr w:rsidR="0057042C" w:rsidRPr="00D86314" w14:paraId="07E39C33"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430F0725" w14:textId="77777777" w:rsidR="0057042C" w:rsidRPr="00D86314" w:rsidRDefault="0057042C" w:rsidP="008A36DA">
            <w:pPr>
              <w:pStyle w:val="ListParagraph"/>
              <w:ind w:left="0"/>
              <w:contextualSpacing w:val="0"/>
              <w:rPr>
                <w:rFonts w:eastAsia="Times New Roman"/>
                <w:noProof/>
                <w:color w:val="000000" w:themeColor="text1"/>
                <w:lang w:eastAsia="en-GB"/>
              </w:rPr>
            </w:pPr>
            <w:r w:rsidRPr="00D86314">
              <w:rPr>
                <w:rFonts w:eastAsia="Times New Roman"/>
                <w:noProof/>
                <w:color w:val="000000" w:themeColor="text1"/>
                <w:lang w:eastAsia="en-GB"/>
              </w:rPr>
              <w:t>Based on the European Commission’s SME filter</w:t>
            </w:r>
            <w:r w:rsidRPr="00D86314">
              <w:rPr>
                <w:rFonts w:eastAsia="Times New Roman"/>
                <w:noProof/>
                <w:lang w:eastAsia="en-GB"/>
              </w:rPr>
              <w:footnoteReference w:id="139"/>
            </w:r>
            <w:r w:rsidRPr="00D86314">
              <w:rPr>
                <w:rFonts w:eastAsia="Times New Roman"/>
                <w:noProof/>
                <w:color w:val="000000" w:themeColor="text1"/>
                <w:lang w:eastAsia="en-GB"/>
              </w:rPr>
              <w:t xml:space="preserve"> , this initiative is considered relevant for SMEs. </w:t>
            </w:r>
          </w:p>
          <w:p w14:paraId="25E972BE" w14:textId="77777777" w:rsidR="0057042C" w:rsidRPr="00D86314" w:rsidRDefault="0057042C">
            <w:pPr>
              <w:pStyle w:val="ListParagraph"/>
              <w:ind w:left="0"/>
              <w:rPr>
                <w:rFonts w:eastAsia="Times New Roman"/>
                <w:b/>
                <w:bCs/>
                <w:noProof/>
                <w:color w:val="000000" w:themeColor="text1"/>
                <w:lang w:eastAsia="en-GB"/>
              </w:rPr>
            </w:pPr>
            <w:r w:rsidRPr="00D86314">
              <w:rPr>
                <w:rFonts w:eastAsia="Times New Roman"/>
                <w:noProof/>
                <w:color w:val="000000" w:themeColor="text1"/>
                <w:lang w:eastAsia="en-GB"/>
              </w:rPr>
              <w:t>While most of the impacts for SMEs are indirect (as potential downstream business consumers), some direct impacts may also exist for a targeted number of SMEs. This is the case for ECN operators, for instance, as well as for some other network operators.</w:t>
            </w:r>
            <w:r w:rsidRPr="00D86314">
              <w:rPr>
                <w:rFonts w:eastAsia="Times New Roman"/>
                <w:b/>
                <w:bCs/>
                <w:noProof/>
                <w:color w:val="000000" w:themeColor="text1"/>
                <w:lang w:eastAsia="en-GB"/>
              </w:rPr>
              <w:t xml:space="preserve"> </w:t>
            </w:r>
          </w:p>
        </w:tc>
      </w:tr>
      <w:tr w:rsidR="0057042C" w:rsidRPr="00D86314" w14:paraId="515AFB82"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1409A711" w14:textId="77777777" w:rsidR="0057042C" w:rsidRPr="00D86314" w:rsidRDefault="0057042C">
            <w:pPr>
              <w:pStyle w:val="ListParagraph"/>
              <w:ind w:left="0"/>
              <w:rPr>
                <w:b/>
                <w:noProof/>
                <w:color w:val="000000" w:themeColor="text1"/>
              </w:rPr>
            </w:pPr>
            <w:r w:rsidRPr="00D86314">
              <w:rPr>
                <w:b/>
                <w:bCs/>
                <w:noProof/>
                <w:color w:val="000000" w:themeColor="text1"/>
              </w:rPr>
              <w:t>(1)</w:t>
            </w:r>
            <w:r w:rsidRPr="00D86314">
              <w:rPr>
                <w:noProof/>
              </w:rPr>
              <w:tab/>
            </w:r>
            <w:r w:rsidRPr="00D86314">
              <w:rPr>
                <w:b/>
                <w:bCs/>
                <w:smallCaps/>
                <w:noProof/>
                <w:color w:val="000000" w:themeColor="text1"/>
              </w:rPr>
              <w:t>Identification of affected businesses and assessment of relevance</w:t>
            </w:r>
          </w:p>
        </w:tc>
      </w:tr>
      <w:tr w:rsidR="0057042C" w:rsidRPr="00D86314" w14:paraId="16F02666"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2A6F9D3E" w14:textId="77777777" w:rsidR="0057042C" w:rsidRPr="00D86314" w:rsidRDefault="0057042C">
            <w:pPr>
              <w:pStyle w:val="ListParagraph"/>
              <w:ind w:left="0"/>
              <w:rPr>
                <w:b/>
                <w:bCs/>
                <w:noProof/>
                <w:color w:val="000000" w:themeColor="text1"/>
              </w:rPr>
            </w:pPr>
            <w:r w:rsidRPr="00D86314">
              <w:rPr>
                <w:b/>
                <w:bCs/>
                <w:noProof/>
                <w:color w:val="000000" w:themeColor="text1"/>
              </w:rPr>
              <w:t>Are SMEs directly affected?</w:t>
            </w:r>
            <w:r w:rsidRPr="00D86314">
              <w:rPr>
                <w:noProof/>
                <w:color w:val="000000" w:themeColor="text1"/>
              </w:rPr>
              <w:t xml:space="preserve"> </w:t>
            </w:r>
            <w:r w:rsidRPr="00D86314">
              <w:rPr>
                <w:b/>
                <w:bCs/>
                <w:noProof/>
                <w:color w:val="000000" w:themeColor="text1"/>
              </w:rPr>
              <w:t>In which sectors?</w:t>
            </w:r>
          </w:p>
        </w:tc>
      </w:tr>
      <w:tr w:rsidR="0057042C" w:rsidRPr="00D86314" w14:paraId="43B45C10"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15FDC67D" w14:textId="77777777" w:rsidR="0057042C" w:rsidRPr="00D86314" w:rsidRDefault="0057042C">
            <w:pPr>
              <w:pStyle w:val="ListParagraph"/>
              <w:ind w:left="0"/>
              <w:rPr>
                <w:i/>
                <w:noProof/>
                <w:color w:val="000000" w:themeColor="text1"/>
              </w:rPr>
            </w:pPr>
            <w:r w:rsidRPr="00D86314">
              <w:rPr>
                <w:i/>
                <w:iCs/>
                <w:noProof/>
                <w:color w:val="000000" w:themeColor="text1"/>
              </w:rPr>
              <w:t>The Initiatives assessed as part of DNA would not introduce any obligations specifically impacting SMEs as consumers of electronic communications services. SMEs acting as ECN operators or other (non-ECN) network operators (e.g. New Space SMEs) may be impacted as described in the sections relating to those categories of stakeholders. Those effects that are specific to SMEs acting as ECN or other network operators are highlighted in this section.</w:t>
            </w:r>
          </w:p>
        </w:tc>
      </w:tr>
      <w:tr w:rsidR="0057042C" w:rsidRPr="00D86314" w14:paraId="265B854F"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793CA38E" w14:textId="77777777" w:rsidR="0057042C" w:rsidRPr="00D86314" w:rsidRDefault="0057042C">
            <w:pPr>
              <w:pStyle w:val="ListParagraph"/>
              <w:ind w:left="0"/>
              <w:contextualSpacing w:val="0"/>
              <w:rPr>
                <w:rFonts w:cstheme="minorHAnsi"/>
                <w:b/>
                <w:noProof/>
                <w:color w:val="000000" w:themeColor="text1"/>
              </w:rPr>
            </w:pPr>
            <w:r w:rsidRPr="00D86314">
              <w:rPr>
                <w:rFonts w:cstheme="minorHAnsi"/>
                <w:b/>
                <w:noProof/>
                <w:color w:val="000000" w:themeColor="text1"/>
              </w:rPr>
              <w:t>Estimated number of directly affected SMEs</w:t>
            </w:r>
          </w:p>
        </w:tc>
      </w:tr>
      <w:tr w:rsidR="0057042C" w:rsidRPr="00D86314" w14:paraId="04EFF7B5"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2015F1F5" w14:textId="389F7B5F" w:rsidR="0057042C" w:rsidRPr="00D86314" w:rsidRDefault="0057042C">
            <w:pPr>
              <w:pStyle w:val="ListParagraph"/>
              <w:ind w:left="0"/>
              <w:rPr>
                <w:rFonts w:eastAsiaTheme="minorEastAsia"/>
                <w:noProof/>
                <w:color w:val="000000" w:themeColor="text1"/>
              </w:rPr>
            </w:pPr>
            <w:r w:rsidRPr="00D86314">
              <w:rPr>
                <w:rFonts w:eastAsiaTheme="minorEastAsia"/>
                <w:i/>
                <w:noProof/>
                <w:color w:val="000000" w:themeColor="text1"/>
              </w:rPr>
              <w:t>&lt; 50 (assumption based on EU market of ECN operators)</w:t>
            </w:r>
          </w:p>
        </w:tc>
      </w:tr>
      <w:tr w:rsidR="0057042C" w:rsidRPr="00D86314" w14:paraId="368BE91F"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04FE9AF9" w14:textId="77777777" w:rsidR="0057042C" w:rsidRPr="00D86314" w:rsidRDefault="0057042C">
            <w:pPr>
              <w:pStyle w:val="ListParagraph"/>
              <w:ind w:left="0"/>
              <w:contextualSpacing w:val="0"/>
              <w:rPr>
                <w:rFonts w:cstheme="minorHAnsi"/>
                <w:b/>
                <w:noProof/>
                <w:color w:val="000000" w:themeColor="text1"/>
              </w:rPr>
            </w:pPr>
            <w:r w:rsidRPr="00D86314">
              <w:rPr>
                <w:rFonts w:cstheme="minorHAnsi"/>
                <w:b/>
                <w:noProof/>
                <w:color w:val="000000" w:themeColor="text1"/>
              </w:rPr>
              <w:t>Estimated number of employees in directly affected SMEs</w:t>
            </w:r>
          </w:p>
        </w:tc>
      </w:tr>
      <w:tr w:rsidR="0057042C" w:rsidRPr="00D86314" w14:paraId="7D925D38"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307B199D" w14:textId="3D4E7496" w:rsidR="0057042C" w:rsidRPr="00D86314" w:rsidRDefault="0057042C">
            <w:pPr>
              <w:pStyle w:val="ListParagraph"/>
              <w:ind w:left="0"/>
              <w:rPr>
                <w:rFonts w:eastAsiaTheme="minorEastAsia"/>
                <w:i/>
                <w:iCs/>
                <w:noProof/>
                <w:color w:val="000000" w:themeColor="text1"/>
              </w:rPr>
            </w:pPr>
            <w:r w:rsidRPr="00D86314">
              <w:rPr>
                <w:rFonts w:eastAsiaTheme="minorEastAsia"/>
                <w:i/>
                <w:iCs/>
                <w:noProof/>
                <w:color w:val="000000" w:themeColor="text1"/>
              </w:rPr>
              <w:t>&lt; 1000 (assuming average of 20 employees per impacted SMEs)</w:t>
            </w:r>
          </w:p>
        </w:tc>
      </w:tr>
      <w:tr w:rsidR="0057042C" w:rsidRPr="00D86314" w14:paraId="287B63CC" w14:textId="77777777" w:rsidTr="006E215C">
        <w:trPr>
          <w:gridAfter w:val="1"/>
          <w:wAfter w:w="24" w:type="dxa"/>
        </w:trPr>
        <w:tc>
          <w:tcPr>
            <w:tcW w:w="8652" w:type="dxa"/>
            <w:tcBorders>
              <w:top w:val="single" w:sz="4" w:space="0" w:color="auto"/>
              <w:left w:val="single" w:sz="4" w:space="0" w:color="auto"/>
              <w:bottom w:val="single" w:sz="4" w:space="0" w:color="auto"/>
              <w:right w:val="single" w:sz="4" w:space="0" w:color="auto"/>
            </w:tcBorders>
          </w:tcPr>
          <w:p w14:paraId="730F2E98" w14:textId="77777777" w:rsidR="0057042C" w:rsidRPr="00D86314" w:rsidRDefault="0057042C">
            <w:pPr>
              <w:pStyle w:val="ListParagraph"/>
              <w:ind w:left="0"/>
              <w:rPr>
                <w:b/>
                <w:bCs/>
                <w:noProof/>
                <w:color w:val="000000" w:themeColor="text1"/>
              </w:rPr>
            </w:pPr>
            <w:r w:rsidRPr="00D86314">
              <w:rPr>
                <w:b/>
                <w:bCs/>
                <w:noProof/>
                <w:color w:val="000000" w:themeColor="text1"/>
              </w:rPr>
              <w:t xml:space="preserve">Are SMEs indirectly affected? </w:t>
            </w:r>
            <w:r w:rsidRPr="00D86314">
              <w:rPr>
                <w:i/>
                <w:iCs/>
                <w:noProof/>
                <w:color w:val="000000" w:themeColor="text1"/>
              </w:rPr>
              <w:t>Yes</w:t>
            </w:r>
            <w:r w:rsidRPr="00D86314">
              <w:rPr>
                <w:b/>
                <w:bCs/>
                <w:noProof/>
                <w:color w:val="000000" w:themeColor="text1"/>
              </w:rPr>
              <w:t xml:space="preserve"> In which sectors? What is the estimated number of indirectly affected SMEs and employees?</w:t>
            </w:r>
          </w:p>
        </w:tc>
      </w:tr>
      <w:tr w:rsidR="0057042C" w:rsidRPr="00D86314" w14:paraId="0135D75C" w14:textId="77777777" w:rsidTr="006E215C">
        <w:trPr>
          <w:gridAfter w:val="1"/>
          <w:wAfter w:w="24" w:type="dxa"/>
          <w:trHeight w:val="300"/>
        </w:trPr>
        <w:tc>
          <w:tcPr>
            <w:tcW w:w="8652" w:type="dxa"/>
            <w:tcBorders>
              <w:top w:val="single" w:sz="4" w:space="0" w:color="auto"/>
              <w:left w:val="single" w:sz="4" w:space="0" w:color="auto"/>
              <w:bottom w:val="single" w:sz="4" w:space="0" w:color="auto"/>
              <w:right w:val="single" w:sz="4" w:space="0" w:color="auto"/>
            </w:tcBorders>
          </w:tcPr>
          <w:p w14:paraId="20B05636" w14:textId="20F42507" w:rsidR="0057042C" w:rsidRPr="00D86314" w:rsidRDefault="0057042C">
            <w:pPr>
              <w:pStyle w:val="ListParagraph"/>
              <w:ind w:left="30"/>
              <w:rPr>
                <w:i/>
                <w:iCs/>
                <w:noProof/>
                <w:color w:val="000000" w:themeColor="text1"/>
              </w:rPr>
            </w:pPr>
            <w:r w:rsidRPr="00D86314">
              <w:rPr>
                <w:i/>
                <w:iCs/>
                <w:noProof/>
                <w:color w:val="000000" w:themeColor="text1"/>
              </w:rPr>
              <w:t xml:space="preserve">All SMEs who are consumers of electronic communications services are indirectly impacted by the DNA initiatives, as it is expected that their demand for higher bandwidth will increase. Further details of this impact are described in section 2.2 of Annex IV, containing the number of businesses by different segments and the expected bandwidth demand change. The modelling of the broadband requirements of SMEs in possible scenarios was carried out in three phases by the contractor for the Study on access </w:t>
            </w:r>
            <w:r w:rsidR="0056356F" w:rsidRPr="00D86314">
              <w:rPr>
                <w:i/>
                <w:iCs/>
                <w:noProof/>
                <w:color w:val="000000" w:themeColor="text1"/>
              </w:rPr>
              <w:t>regulation</w:t>
            </w:r>
            <w:r w:rsidRPr="00D86314">
              <w:rPr>
                <w:i/>
                <w:iCs/>
                <w:noProof/>
                <w:color w:val="000000" w:themeColor="text1"/>
              </w:rPr>
              <w:t>:</w:t>
            </w:r>
          </w:p>
          <w:p w14:paraId="27E82BF0" w14:textId="77777777" w:rsidR="0057042C" w:rsidRPr="00D86314" w:rsidRDefault="0057042C">
            <w:pPr>
              <w:pStyle w:val="ListParagraph"/>
              <w:ind w:left="30"/>
              <w:rPr>
                <w:i/>
                <w:iCs/>
                <w:noProof/>
                <w:color w:val="000000" w:themeColor="text1"/>
              </w:rPr>
            </w:pPr>
            <w:r w:rsidRPr="00D86314">
              <w:rPr>
                <w:i/>
                <w:iCs/>
                <w:noProof/>
                <w:color w:val="000000" w:themeColor="text1"/>
              </w:rPr>
              <w:t>-</w:t>
            </w:r>
            <w:r w:rsidRPr="00D86314">
              <w:rPr>
                <w:i/>
                <w:iCs/>
                <w:noProof/>
                <w:color w:val="000000" w:themeColor="text1"/>
              </w:rPr>
              <w:tab/>
              <w:t>Starting point was the SME user segmentation</w:t>
            </w:r>
          </w:p>
          <w:p w14:paraId="10EA5342" w14:textId="77777777" w:rsidR="0057042C" w:rsidRPr="00D86314" w:rsidRDefault="0057042C">
            <w:pPr>
              <w:pStyle w:val="ListParagraph"/>
              <w:ind w:left="30"/>
              <w:rPr>
                <w:i/>
                <w:iCs/>
                <w:noProof/>
                <w:color w:val="000000" w:themeColor="text1"/>
              </w:rPr>
            </w:pPr>
            <w:r w:rsidRPr="00D86314">
              <w:rPr>
                <w:i/>
                <w:iCs/>
                <w:noProof/>
                <w:color w:val="000000" w:themeColor="text1"/>
              </w:rPr>
              <w:t>-</w:t>
            </w:r>
            <w:r w:rsidRPr="00D86314">
              <w:rPr>
                <w:noProof/>
              </w:rPr>
              <w:tab/>
            </w:r>
            <w:r w:rsidRPr="00D86314">
              <w:rPr>
                <w:i/>
                <w:iCs/>
                <w:noProof/>
                <w:color w:val="000000" w:themeColor="text1"/>
              </w:rPr>
              <w:t>Next, scenarios were developed to show possible shifts in the SME user segments up to 2035</w:t>
            </w:r>
          </w:p>
          <w:p w14:paraId="0888BFE1" w14:textId="77777777" w:rsidR="0057042C" w:rsidRPr="00D86314" w:rsidRDefault="0057042C">
            <w:pPr>
              <w:pStyle w:val="ListParagraph"/>
              <w:ind w:left="0"/>
              <w:rPr>
                <w:i/>
                <w:iCs/>
                <w:noProof/>
                <w:color w:val="000000" w:themeColor="text1"/>
              </w:rPr>
            </w:pPr>
            <w:r w:rsidRPr="00D86314">
              <w:rPr>
                <w:i/>
                <w:iCs/>
                <w:noProof/>
                <w:color w:val="000000" w:themeColor="text1"/>
              </w:rPr>
              <w:t>-</w:t>
            </w:r>
            <w:r w:rsidRPr="00D86314">
              <w:rPr>
                <w:i/>
                <w:iCs/>
                <w:noProof/>
                <w:color w:val="000000" w:themeColor="text1"/>
              </w:rPr>
              <w:tab/>
              <w:t>Finally, bandwidth requirements of the user segments were estimated for different scenarios in 2035</w:t>
            </w:r>
          </w:p>
        </w:tc>
      </w:tr>
      <w:tr w:rsidR="0057042C" w:rsidRPr="00D86314" w14:paraId="77F9A9CD" w14:textId="77777777" w:rsidTr="00FC034A">
        <w:tc>
          <w:tcPr>
            <w:tcW w:w="8676" w:type="dxa"/>
            <w:gridSpan w:val="2"/>
            <w:tcBorders>
              <w:top w:val="single" w:sz="4" w:space="0" w:color="auto"/>
              <w:left w:val="single" w:sz="4" w:space="0" w:color="auto"/>
              <w:bottom w:val="single" w:sz="4" w:space="0" w:color="auto"/>
              <w:right w:val="single" w:sz="4" w:space="0" w:color="auto"/>
            </w:tcBorders>
          </w:tcPr>
          <w:p w14:paraId="03087EEB" w14:textId="77777777" w:rsidR="0057042C" w:rsidRPr="00D86314" w:rsidRDefault="0057042C" w:rsidP="00A00C17">
            <w:pPr>
              <w:pStyle w:val="ListParagraph"/>
              <w:numPr>
                <w:ilvl w:val="0"/>
                <w:numId w:val="11"/>
              </w:numPr>
              <w:spacing w:before="120" w:after="0"/>
              <w:ind w:left="714" w:hanging="357"/>
              <w:rPr>
                <w:smallCaps/>
                <w:noProof/>
                <w:color w:val="000000" w:themeColor="text1"/>
              </w:rPr>
            </w:pPr>
            <w:r w:rsidRPr="00D86314">
              <w:rPr>
                <w:b/>
                <w:bCs/>
                <w:smallCaps/>
                <w:noProof/>
                <w:color w:val="000000" w:themeColor="text1"/>
              </w:rPr>
              <w:t>Consultation of SME stakeholders</w:t>
            </w:r>
          </w:p>
        </w:tc>
      </w:tr>
      <w:tr w:rsidR="0057042C" w:rsidRPr="00D86314" w14:paraId="117CD19D" w14:textId="77777777" w:rsidTr="00FC034A">
        <w:tc>
          <w:tcPr>
            <w:tcW w:w="8676" w:type="dxa"/>
            <w:gridSpan w:val="2"/>
            <w:tcBorders>
              <w:top w:val="single" w:sz="4" w:space="0" w:color="auto"/>
              <w:left w:val="single" w:sz="4" w:space="0" w:color="auto"/>
              <w:bottom w:val="single" w:sz="4" w:space="0" w:color="auto"/>
              <w:right w:val="single" w:sz="4" w:space="0" w:color="auto"/>
            </w:tcBorders>
          </w:tcPr>
          <w:p w14:paraId="3FF412AA" w14:textId="77777777" w:rsidR="0057042C" w:rsidRPr="00D86314" w:rsidRDefault="0057042C">
            <w:pPr>
              <w:pStyle w:val="ListParagraph"/>
              <w:ind w:left="0"/>
              <w:contextualSpacing w:val="0"/>
              <w:rPr>
                <w:rFonts w:cstheme="minorHAnsi"/>
                <w:b/>
                <w:noProof/>
                <w:color w:val="000000" w:themeColor="text1"/>
              </w:rPr>
            </w:pPr>
            <w:r w:rsidRPr="00D86314">
              <w:rPr>
                <w:rFonts w:cstheme="minorHAnsi"/>
                <w:b/>
                <w:noProof/>
                <w:color w:val="000000" w:themeColor="text1"/>
              </w:rPr>
              <w:t>How has the input from the SME community been taken into consideration?</w:t>
            </w:r>
          </w:p>
        </w:tc>
      </w:tr>
      <w:tr w:rsidR="0057042C" w:rsidRPr="00D86314" w14:paraId="578A0C70" w14:textId="77777777" w:rsidTr="00FC034A">
        <w:tc>
          <w:tcPr>
            <w:tcW w:w="8676" w:type="dxa"/>
            <w:gridSpan w:val="2"/>
            <w:tcBorders>
              <w:top w:val="single" w:sz="4" w:space="0" w:color="auto"/>
              <w:left w:val="single" w:sz="4" w:space="0" w:color="auto"/>
              <w:bottom w:val="single" w:sz="4" w:space="0" w:color="auto"/>
              <w:right w:val="single" w:sz="4" w:space="0" w:color="auto"/>
            </w:tcBorders>
          </w:tcPr>
          <w:p w14:paraId="7C821CF1" w14:textId="0979F0BD" w:rsidR="0057042C" w:rsidRPr="00D86314" w:rsidRDefault="0057042C">
            <w:pPr>
              <w:pStyle w:val="ListParagraph"/>
              <w:ind w:left="0"/>
              <w:rPr>
                <w:i/>
                <w:iCs/>
                <w:noProof/>
                <w:color w:val="000000" w:themeColor="text1"/>
              </w:rPr>
            </w:pPr>
            <w:r w:rsidRPr="00D86314">
              <w:rPr>
                <w:i/>
                <w:iCs/>
                <w:noProof/>
                <w:color w:val="000000" w:themeColor="text1"/>
              </w:rPr>
              <w:t>The Commission has been consulting widely to gather key information and ensure that the public interest is well reflected in the design of the Digital Networks Act (DNA). The SME community had the opportunity to express their viewpoint not only during the exploratory consultation and the White Paper (as further outlined in Annex II), but recently by responding to the Call for Evidence aimed to inform the public and stakeholders about the Commission's plans.</w:t>
            </w:r>
          </w:p>
          <w:p w14:paraId="455BF884" w14:textId="5148C08A" w:rsidR="005E6BF5" w:rsidRPr="00D86314" w:rsidRDefault="004D5603" w:rsidP="005E6BF5">
            <w:pPr>
              <w:pStyle w:val="ListParagraph"/>
              <w:ind w:left="0"/>
              <w:rPr>
                <w:i/>
                <w:iCs/>
                <w:noProof/>
                <w:color w:val="000000" w:themeColor="text1"/>
              </w:rPr>
            </w:pPr>
            <w:r w:rsidRPr="00D86314">
              <w:rPr>
                <w:i/>
                <w:iCs/>
                <w:noProof/>
                <w:color w:val="000000" w:themeColor="text1"/>
              </w:rPr>
              <w:t>A share of 16% of the total respondents to the Call for Evidence identified themselves as SMEs, and focusing on the 128 businesses responding, 40% claimed to be SME.</w:t>
            </w:r>
            <w:r w:rsidR="005E6BF5" w:rsidRPr="00D86314">
              <w:rPr>
                <w:i/>
                <w:iCs/>
                <w:noProof/>
                <w:color w:val="000000" w:themeColor="text1"/>
              </w:rPr>
              <w:t xml:space="preserve"> This represents a growing trend as in the earlier consultations a</w:t>
            </w:r>
            <w:r w:rsidRPr="00D86314">
              <w:rPr>
                <w:i/>
                <w:iCs/>
                <w:noProof/>
                <w:color w:val="000000" w:themeColor="text1"/>
              </w:rPr>
              <w:t xml:space="preserve"> share of 1</w:t>
            </w:r>
            <w:r w:rsidR="005E6BF5" w:rsidRPr="00D86314">
              <w:rPr>
                <w:i/>
                <w:iCs/>
                <w:noProof/>
                <w:color w:val="000000" w:themeColor="text1"/>
              </w:rPr>
              <w:t>0</w:t>
            </w:r>
            <w:r w:rsidRPr="00D86314">
              <w:rPr>
                <w:i/>
                <w:iCs/>
                <w:noProof/>
                <w:color w:val="000000" w:themeColor="text1"/>
              </w:rPr>
              <w:t>% of the total respondents to the White Paper identified themselves as SMEs, and focusing on the 1</w:t>
            </w:r>
            <w:r w:rsidR="005E6BF5" w:rsidRPr="00D86314">
              <w:rPr>
                <w:i/>
                <w:iCs/>
                <w:noProof/>
                <w:color w:val="000000" w:themeColor="text1"/>
              </w:rPr>
              <w:t>03</w:t>
            </w:r>
            <w:r w:rsidRPr="00D86314">
              <w:rPr>
                <w:i/>
                <w:iCs/>
                <w:noProof/>
                <w:color w:val="000000" w:themeColor="text1"/>
              </w:rPr>
              <w:t xml:space="preserve"> businesses responding, </w:t>
            </w:r>
            <w:r w:rsidR="005E6BF5" w:rsidRPr="00D86314">
              <w:rPr>
                <w:i/>
                <w:iCs/>
                <w:noProof/>
                <w:color w:val="000000" w:themeColor="text1"/>
              </w:rPr>
              <w:t>33</w:t>
            </w:r>
            <w:r w:rsidRPr="00D86314">
              <w:rPr>
                <w:i/>
                <w:iCs/>
                <w:noProof/>
                <w:color w:val="000000" w:themeColor="text1"/>
              </w:rPr>
              <w:t>% claimed to be SME</w:t>
            </w:r>
            <w:r w:rsidR="005E6BF5" w:rsidRPr="00D86314">
              <w:rPr>
                <w:i/>
                <w:iCs/>
                <w:noProof/>
                <w:color w:val="000000" w:themeColor="text1"/>
              </w:rPr>
              <w:t>, while a share of 5% of the total respondents to the Exploratory Consultation identified themselves as SMEs, and focusing on the 108 businesses responding, 22% claimed to be SME.</w:t>
            </w:r>
          </w:p>
          <w:p w14:paraId="269D5080" w14:textId="77777777" w:rsidR="0057042C" w:rsidRPr="00D86314" w:rsidRDefault="0057042C" w:rsidP="00047768">
            <w:pPr>
              <w:pStyle w:val="ListParagraph"/>
              <w:ind w:left="0"/>
              <w:rPr>
                <w:i/>
                <w:iCs/>
                <w:noProof/>
                <w:color w:val="000000" w:themeColor="text1"/>
              </w:rPr>
            </w:pPr>
          </w:p>
          <w:p w14:paraId="7C25F738" w14:textId="77777777" w:rsidR="0057042C" w:rsidRPr="00D86314" w:rsidRDefault="0057042C">
            <w:pPr>
              <w:pStyle w:val="ListParagraph"/>
              <w:ind w:left="0"/>
              <w:rPr>
                <w:noProof/>
                <w:color w:val="000000" w:themeColor="text1"/>
              </w:rPr>
            </w:pPr>
            <w:r w:rsidRPr="00D86314">
              <w:rPr>
                <w:i/>
                <w:iCs/>
                <w:noProof/>
                <w:color w:val="000000" w:themeColor="text1"/>
              </w:rPr>
              <w:t>The feedback provided by SMEs were duly considered during the assessment of the initiatives.</w:t>
            </w:r>
          </w:p>
        </w:tc>
      </w:tr>
      <w:tr w:rsidR="0057042C" w:rsidRPr="00D86314" w14:paraId="77E233AC" w14:textId="77777777" w:rsidTr="00FC034A">
        <w:tc>
          <w:tcPr>
            <w:tcW w:w="8676" w:type="dxa"/>
            <w:gridSpan w:val="2"/>
            <w:tcBorders>
              <w:top w:val="single" w:sz="4" w:space="0" w:color="auto"/>
              <w:left w:val="single" w:sz="4" w:space="0" w:color="auto"/>
              <w:bottom w:val="single" w:sz="4" w:space="0" w:color="auto"/>
              <w:right w:val="single" w:sz="4" w:space="0" w:color="auto"/>
            </w:tcBorders>
          </w:tcPr>
          <w:p w14:paraId="660C1082" w14:textId="77777777" w:rsidR="0057042C" w:rsidRPr="00D86314" w:rsidRDefault="0057042C">
            <w:pPr>
              <w:pStyle w:val="ListParagraph"/>
              <w:ind w:left="0"/>
              <w:rPr>
                <w:noProof/>
                <w:color w:val="000000" w:themeColor="text1"/>
              </w:rPr>
            </w:pPr>
            <w:r w:rsidRPr="00D86314">
              <w:rPr>
                <w:b/>
                <w:bCs/>
                <w:noProof/>
                <w:color w:val="000000" w:themeColor="text1"/>
              </w:rPr>
              <w:t xml:space="preserve">Are SMEs’ views different from those of large businesses? </w:t>
            </w:r>
          </w:p>
        </w:tc>
      </w:tr>
      <w:tr w:rsidR="0057042C" w:rsidRPr="00D86314" w14:paraId="6812DCF9" w14:textId="77777777" w:rsidTr="00FC034A">
        <w:tc>
          <w:tcPr>
            <w:tcW w:w="8676" w:type="dxa"/>
            <w:gridSpan w:val="2"/>
            <w:tcBorders>
              <w:top w:val="single" w:sz="4" w:space="0" w:color="auto"/>
              <w:left w:val="single" w:sz="4" w:space="0" w:color="auto"/>
              <w:bottom w:val="single" w:sz="4" w:space="0" w:color="auto"/>
              <w:right w:val="single" w:sz="4" w:space="0" w:color="auto"/>
            </w:tcBorders>
          </w:tcPr>
          <w:p w14:paraId="3BE555A1" w14:textId="57657651" w:rsidR="0057042C" w:rsidRPr="00D86314" w:rsidRDefault="0057042C">
            <w:pPr>
              <w:pStyle w:val="ListParagraph"/>
              <w:ind w:left="0"/>
              <w:rPr>
                <w:i/>
                <w:iCs/>
                <w:noProof/>
                <w:color w:val="000000" w:themeColor="text1"/>
              </w:rPr>
            </w:pPr>
            <w:r w:rsidRPr="00D86314">
              <w:rPr>
                <w:i/>
                <w:iCs/>
                <w:noProof/>
                <w:color w:val="000000" w:themeColor="text1"/>
              </w:rPr>
              <w:t>SMEs acting as ECN operators or other (non-ECN) network operators had similar viewpoints as other large enterprises providing similar services.</w:t>
            </w:r>
            <w:r w:rsidR="002727AF" w:rsidRPr="00D86314">
              <w:rPr>
                <w:i/>
                <w:iCs/>
                <w:noProof/>
                <w:color w:val="000000" w:themeColor="text1"/>
              </w:rPr>
              <w:t xml:space="preserve"> </w:t>
            </w:r>
          </w:p>
        </w:tc>
      </w:tr>
    </w:tbl>
    <w:p w14:paraId="64C7C43C" w14:textId="77777777" w:rsidR="0057042C" w:rsidRPr="00D86314" w:rsidRDefault="0057042C" w:rsidP="0057042C">
      <w:pPr>
        <w:spacing w:after="0"/>
        <w:rPr>
          <w:rFonts w:cstheme="minorHAnsi"/>
          <w:b/>
          <w:noProof/>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tblGrid>
      <w:tr w:rsidR="0057042C" w:rsidRPr="00D86314" w14:paraId="18B008B4" w14:textId="77777777" w:rsidTr="0194B2BB">
        <w:trPr>
          <w:trHeight w:val="300"/>
        </w:trPr>
        <w:tc>
          <w:tcPr>
            <w:tcW w:w="8834" w:type="dxa"/>
          </w:tcPr>
          <w:p w14:paraId="3A48DF6C" w14:textId="77777777" w:rsidR="0057042C" w:rsidRPr="00D86314" w:rsidRDefault="0057042C" w:rsidP="00A00C17">
            <w:pPr>
              <w:pStyle w:val="ListParagraph"/>
              <w:numPr>
                <w:ilvl w:val="0"/>
                <w:numId w:val="11"/>
              </w:numPr>
              <w:spacing w:after="0"/>
              <w:jc w:val="left"/>
              <w:rPr>
                <w:b/>
                <w:bCs/>
                <w:smallCaps/>
                <w:noProof/>
                <w:color w:val="000000" w:themeColor="text1"/>
              </w:rPr>
            </w:pPr>
            <w:r w:rsidRPr="00D86314">
              <w:rPr>
                <w:b/>
                <w:bCs/>
                <w:smallCaps/>
                <w:noProof/>
                <w:color w:val="000000" w:themeColor="text1"/>
              </w:rPr>
              <w:t>Assessment of impacts on SMEs</w:t>
            </w:r>
            <w:r w:rsidRPr="00D86314">
              <w:rPr>
                <w:rStyle w:val="FootnoteReference"/>
                <w:b/>
                <w:bCs/>
                <w:smallCaps/>
                <w:noProof/>
                <w:color w:val="000000" w:themeColor="text1"/>
              </w:rPr>
              <w:footnoteReference w:id="140"/>
            </w:r>
          </w:p>
        </w:tc>
      </w:tr>
      <w:tr w:rsidR="0057042C" w:rsidRPr="00D86314" w14:paraId="2FC471B7" w14:textId="77777777" w:rsidTr="0194B2BB">
        <w:trPr>
          <w:trHeight w:val="300"/>
        </w:trPr>
        <w:tc>
          <w:tcPr>
            <w:tcW w:w="8834" w:type="dxa"/>
          </w:tcPr>
          <w:p w14:paraId="344AAC65" w14:textId="77777777" w:rsidR="0057042C" w:rsidRPr="00D86314" w:rsidRDefault="0057042C">
            <w:pPr>
              <w:rPr>
                <w:noProof/>
                <w:color w:val="000000" w:themeColor="text1"/>
              </w:rPr>
            </w:pPr>
            <w:r w:rsidRPr="00D86314">
              <w:rPr>
                <w:b/>
                <w:bCs/>
                <w:noProof/>
                <w:color w:val="000000" w:themeColor="text1"/>
              </w:rPr>
              <w:t>What are the estimated direct costs for SMEs of the preferred policy option</w:t>
            </w:r>
            <w:r w:rsidRPr="00D86314">
              <w:rPr>
                <w:b/>
                <w:bCs/>
                <w:i/>
                <w:iCs/>
                <w:noProof/>
                <w:color w:val="000000" w:themeColor="text1"/>
              </w:rPr>
              <w:t>?</w:t>
            </w:r>
            <w:r w:rsidRPr="00D86314">
              <w:rPr>
                <w:noProof/>
                <w:color w:val="000000" w:themeColor="text1"/>
              </w:rPr>
              <w:t xml:space="preserve"> </w:t>
            </w:r>
            <w:r w:rsidRPr="00D86314">
              <w:rPr>
                <w:noProof/>
                <w:color w:val="000000" w:themeColor="text1"/>
                <w:u w:val="single"/>
              </w:rPr>
              <w:t>(Fill in only if step 1</w:t>
            </w:r>
            <w:r w:rsidRPr="00D86314">
              <w:rPr>
                <w:noProof/>
                <w:color w:val="000000" w:themeColor="text1"/>
              </w:rPr>
              <w:t xml:space="preserve"> </w:t>
            </w:r>
            <w:r w:rsidRPr="00D86314">
              <w:rPr>
                <w:i/>
                <w:iCs/>
                <w:noProof/>
                <w:color w:val="000000" w:themeColor="text1"/>
              </w:rPr>
              <w:t>flags direct impacts)</w:t>
            </w:r>
          </w:p>
        </w:tc>
      </w:tr>
      <w:tr w:rsidR="0057042C" w:rsidRPr="00D86314" w14:paraId="4683F39B" w14:textId="77777777" w:rsidTr="0194B2BB">
        <w:trPr>
          <w:trHeight w:val="300"/>
        </w:trPr>
        <w:tc>
          <w:tcPr>
            <w:tcW w:w="8834" w:type="dxa"/>
          </w:tcPr>
          <w:p w14:paraId="1E4B36D9" w14:textId="77777777" w:rsidR="0057042C" w:rsidRPr="00D86314" w:rsidRDefault="0057042C">
            <w:pPr>
              <w:rPr>
                <w:i/>
                <w:iCs/>
                <w:noProof/>
                <w:color w:val="000000" w:themeColor="text1"/>
              </w:rPr>
            </w:pPr>
            <w:bookmarkStart w:id="211" w:name="_Hlk189835363"/>
            <w:r w:rsidRPr="00D86314">
              <w:rPr>
                <w:b/>
                <w:bCs/>
                <w:i/>
                <w:iCs/>
                <w:noProof/>
                <w:color w:val="000000" w:themeColor="text1"/>
              </w:rPr>
              <w:t>Qualitative assessment</w:t>
            </w:r>
          </w:p>
        </w:tc>
      </w:tr>
      <w:bookmarkEnd w:id="211"/>
      <w:tr w:rsidR="0057042C" w:rsidRPr="00D86314" w14:paraId="660CDF26" w14:textId="77777777" w:rsidTr="0194B2BB">
        <w:trPr>
          <w:trHeight w:val="300"/>
        </w:trPr>
        <w:tc>
          <w:tcPr>
            <w:tcW w:w="8834" w:type="dxa"/>
          </w:tcPr>
          <w:p w14:paraId="4F2553CE" w14:textId="77777777" w:rsidR="0057042C" w:rsidRPr="00D86314" w:rsidRDefault="0057042C">
            <w:pPr>
              <w:rPr>
                <w:i/>
                <w:iCs/>
                <w:noProof/>
                <w:color w:val="000000" w:themeColor="text1"/>
              </w:rPr>
            </w:pPr>
            <w:r w:rsidRPr="00D86314">
              <w:rPr>
                <w:i/>
                <w:iCs/>
                <w:noProof/>
                <w:color w:val="000000" w:themeColor="text1"/>
              </w:rPr>
              <w:t>Direct adjustment costs: Low one-off costs for procedural adaptation for SMEs and verticals engaging in new models.</w:t>
            </w:r>
          </w:p>
        </w:tc>
      </w:tr>
      <w:tr w:rsidR="0057042C" w:rsidRPr="00D86314" w14:paraId="3638FF79" w14:textId="77777777" w:rsidTr="0194B2BB">
        <w:trPr>
          <w:trHeight w:val="300"/>
        </w:trPr>
        <w:tc>
          <w:tcPr>
            <w:tcW w:w="8834" w:type="dxa"/>
          </w:tcPr>
          <w:p w14:paraId="16D9A26D" w14:textId="77777777" w:rsidR="0057042C" w:rsidRPr="00D86314" w:rsidRDefault="0057042C">
            <w:pPr>
              <w:rPr>
                <w:b/>
                <w:bCs/>
                <w:noProof/>
                <w:color w:val="000000" w:themeColor="text1"/>
              </w:rPr>
            </w:pPr>
            <w:r w:rsidRPr="00D86314">
              <w:rPr>
                <w:b/>
                <w:bCs/>
                <w:noProof/>
                <w:color w:val="000000" w:themeColor="text1"/>
              </w:rPr>
              <w:t>Quantitative assessment</w:t>
            </w:r>
          </w:p>
        </w:tc>
      </w:tr>
      <w:tr w:rsidR="0057042C" w:rsidRPr="00D86314" w14:paraId="748FA25A" w14:textId="77777777" w:rsidTr="0194B2BB">
        <w:trPr>
          <w:trHeight w:val="300"/>
        </w:trPr>
        <w:tc>
          <w:tcPr>
            <w:tcW w:w="8834" w:type="dxa"/>
          </w:tcPr>
          <w:p w14:paraId="43AD908F" w14:textId="4C3454A8" w:rsidR="0057042C" w:rsidRPr="00D86314" w:rsidRDefault="0056757C">
            <w:pPr>
              <w:rPr>
                <w:i/>
                <w:iCs/>
                <w:noProof/>
                <w:color w:val="000000" w:themeColor="text1"/>
              </w:rPr>
            </w:pPr>
            <w:r w:rsidRPr="00D86314">
              <w:rPr>
                <w:i/>
                <w:iCs/>
                <w:noProof/>
                <w:color w:val="000000" w:themeColor="text1"/>
              </w:rPr>
              <w:t>EUR </w:t>
            </w:r>
            <w:r w:rsidR="002727AF" w:rsidRPr="00D86314">
              <w:rPr>
                <w:i/>
                <w:iCs/>
                <w:noProof/>
                <w:color w:val="000000" w:themeColor="text1"/>
              </w:rPr>
              <w:t>407 billion accumulated impact on GDP for the period 2025-2035 for all EU economy (including SMEs as well) compared to the status quo as described in</w:t>
            </w:r>
            <w:r w:rsidR="0057042C" w:rsidRPr="00D86314">
              <w:rPr>
                <w:i/>
                <w:iCs/>
                <w:noProof/>
                <w:color w:val="000000" w:themeColor="text1"/>
              </w:rPr>
              <w:t xml:space="preserve"> Annex 3.</w:t>
            </w:r>
          </w:p>
        </w:tc>
      </w:tr>
      <w:tr w:rsidR="0057042C" w:rsidRPr="00D86314" w14:paraId="4C212F22" w14:textId="77777777" w:rsidTr="0194B2BB">
        <w:trPr>
          <w:trHeight w:val="300"/>
        </w:trPr>
        <w:tc>
          <w:tcPr>
            <w:tcW w:w="8834" w:type="dxa"/>
          </w:tcPr>
          <w:p w14:paraId="45543FD2" w14:textId="77777777" w:rsidR="0057042C" w:rsidRPr="00D86314" w:rsidRDefault="0057042C">
            <w:pPr>
              <w:rPr>
                <w:b/>
                <w:noProof/>
                <w:color w:val="000000" w:themeColor="text1"/>
              </w:rPr>
            </w:pPr>
            <w:r w:rsidRPr="00D86314">
              <w:rPr>
                <w:b/>
                <w:bCs/>
                <w:noProof/>
                <w:color w:val="000000" w:themeColor="text1"/>
              </w:rPr>
              <w:t>What are the estimated direct benefits/cost savings for SMEs of the preferred policy option</w:t>
            </w:r>
            <w:r w:rsidRPr="00D86314">
              <w:rPr>
                <w:rStyle w:val="FootnoteReference"/>
                <w:b/>
                <w:bCs/>
                <w:noProof/>
                <w:color w:val="000000" w:themeColor="text1"/>
              </w:rPr>
              <w:footnoteReference w:id="141"/>
            </w:r>
            <w:r w:rsidRPr="00D86314">
              <w:rPr>
                <w:b/>
                <w:bCs/>
                <w:noProof/>
                <w:color w:val="000000" w:themeColor="text1"/>
              </w:rPr>
              <w:t>?</w:t>
            </w:r>
          </w:p>
        </w:tc>
      </w:tr>
      <w:tr w:rsidR="0057042C" w:rsidRPr="00D86314" w14:paraId="72BE8987" w14:textId="77777777" w:rsidTr="0194B2BB">
        <w:trPr>
          <w:trHeight w:val="300"/>
        </w:trPr>
        <w:tc>
          <w:tcPr>
            <w:tcW w:w="8834" w:type="dxa"/>
          </w:tcPr>
          <w:p w14:paraId="301A0F02" w14:textId="77777777" w:rsidR="0057042C" w:rsidRPr="00D86314" w:rsidRDefault="0057042C">
            <w:pPr>
              <w:rPr>
                <w:noProof/>
                <w:color w:val="000000" w:themeColor="text1"/>
              </w:rPr>
            </w:pPr>
            <w:r w:rsidRPr="00D86314">
              <w:rPr>
                <w:b/>
                <w:bCs/>
                <w:noProof/>
                <w:color w:val="000000" w:themeColor="text1"/>
              </w:rPr>
              <w:t>Qualitative assessment</w:t>
            </w:r>
          </w:p>
        </w:tc>
      </w:tr>
      <w:tr w:rsidR="0057042C" w:rsidRPr="00D86314" w14:paraId="1897780B" w14:textId="77777777" w:rsidTr="0194B2BB">
        <w:trPr>
          <w:trHeight w:val="300"/>
        </w:trPr>
        <w:tc>
          <w:tcPr>
            <w:tcW w:w="8834" w:type="dxa"/>
          </w:tcPr>
          <w:p w14:paraId="12AEFD07" w14:textId="77777777" w:rsidR="0057042C" w:rsidRPr="00D86314" w:rsidRDefault="0057042C">
            <w:pPr>
              <w:rPr>
                <w:i/>
                <w:iCs/>
                <w:noProof/>
                <w:color w:val="000000" w:themeColor="text1"/>
              </w:rPr>
            </w:pPr>
            <w:r w:rsidRPr="00D86314">
              <w:rPr>
                <w:i/>
                <w:iCs/>
                <w:noProof/>
                <w:color w:val="000000" w:themeColor="text1"/>
              </w:rPr>
              <w:t>Simplified procedures such as a unified notification template and single notification reduce administrative and compliance costs, enabling SME providers to allocate resources to innovation and growth rather than bureaucracy. These also positively impact competitiveness by enhancing legal certainty and regulatory predictability for SMEs.</w:t>
            </w:r>
          </w:p>
          <w:p w14:paraId="5E2DA81E" w14:textId="77777777" w:rsidR="0057042C" w:rsidRPr="00D86314" w:rsidRDefault="0057042C">
            <w:pPr>
              <w:rPr>
                <w:i/>
                <w:iCs/>
                <w:noProof/>
                <w:color w:val="000000" w:themeColor="text1"/>
              </w:rPr>
            </w:pPr>
            <w:r w:rsidRPr="00D86314">
              <w:rPr>
                <w:i/>
                <w:iCs/>
                <w:noProof/>
                <w:color w:val="000000" w:themeColor="text1"/>
              </w:rPr>
              <w:t>Compliance cost reductions: SMEs benefit from reduced legal/advisory burden and simpler access to harmonised spectrum via more flexible licensing and spectrum sharing.</w:t>
            </w:r>
          </w:p>
        </w:tc>
      </w:tr>
      <w:tr w:rsidR="0057042C" w:rsidRPr="00D86314" w14:paraId="3CA8AE44" w14:textId="77777777" w:rsidTr="0194B2BB">
        <w:trPr>
          <w:trHeight w:val="300"/>
        </w:trPr>
        <w:tc>
          <w:tcPr>
            <w:tcW w:w="8834" w:type="dxa"/>
          </w:tcPr>
          <w:p w14:paraId="05E4FC1E" w14:textId="77777777" w:rsidR="0057042C" w:rsidRPr="00D86314" w:rsidRDefault="0057042C">
            <w:pPr>
              <w:rPr>
                <w:noProof/>
                <w:color w:val="000000" w:themeColor="text1"/>
              </w:rPr>
            </w:pPr>
            <w:r w:rsidRPr="00D86314">
              <w:rPr>
                <w:b/>
                <w:bCs/>
                <w:noProof/>
                <w:color w:val="000000" w:themeColor="text1"/>
              </w:rPr>
              <w:t>Quantitative assessment</w:t>
            </w:r>
          </w:p>
        </w:tc>
      </w:tr>
      <w:tr w:rsidR="0057042C" w:rsidRPr="00D86314" w14:paraId="575BF7C1" w14:textId="77777777" w:rsidTr="0194B2BB">
        <w:trPr>
          <w:trHeight w:val="300"/>
        </w:trPr>
        <w:tc>
          <w:tcPr>
            <w:tcW w:w="8834" w:type="dxa"/>
          </w:tcPr>
          <w:p w14:paraId="2E32365A" w14:textId="77777777" w:rsidR="0057042C" w:rsidRPr="00D86314" w:rsidRDefault="0057042C">
            <w:pPr>
              <w:rPr>
                <w:i/>
                <w:iCs/>
                <w:noProof/>
                <w:color w:val="000000" w:themeColor="text1"/>
              </w:rPr>
            </w:pPr>
            <w:r w:rsidRPr="00D86314">
              <w:rPr>
                <w:i/>
                <w:iCs/>
                <w:noProof/>
                <w:color w:val="000000" w:themeColor="text1"/>
              </w:rPr>
              <w:t>Please refer to Annex 3 for the figures on all consumers.</w:t>
            </w:r>
          </w:p>
        </w:tc>
      </w:tr>
      <w:tr w:rsidR="0057042C" w:rsidRPr="00D86314" w14:paraId="759B7ABC" w14:textId="77777777" w:rsidTr="0194B2BB">
        <w:trPr>
          <w:trHeight w:val="300"/>
        </w:trPr>
        <w:tc>
          <w:tcPr>
            <w:tcW w:w="8834" w:type="dxa"/>
          </w:tcPr>
          <w:p w14:paraId="7E3C97E0" w14:textId="77777777" w:rsidR="0057042C" w:rsidRPr="00D86314" w:rsidRDefault="0057042C">
            <w:pPr>
              <w:rPr>
                <w:b/>
                <w:bCs/>
                <w:noProof/>
                <w:color w:val="000000" w:themeColor="text1"/>
              </w:rPr>
            </w:pPr>
            <w:r w:rsidRPr="00D86314">
              <w:rPr>
                <w:b/>
                <w:bCs/>
                <w:noProof/>
                <w:color w:val="000000" w:themeColor="text1"/>
              </w:rPr>
              <w:t xml:space="preserve">What are the indirect impacts of this initiative on SMEs? </w:t>
            </w:r>
            <w:r w:rsidRPr="00D86314">
              <w:rPr>
                <w:i/>
                <w:iCs/>
                <w:noProof/>
                <w:color w:val="000000" w:themeColor="text1"/>
              </w:rPr>
              <w:t>(Fill in only if step 1 flags indirect impacts)</w:t>
            </w:r>
          </w:p>
        </w:tc>
      </w:tr>
      <w:tr w:rsidR="0057042C" w:rsidRPr="00D86314" w14:paraId="3C6CEA28" w14:textId="77777777" w:rsidTr="0194B2BB">
        <w:trPr>
          <w:trHeight w:val="300"/>
        </w:trPr>
        <w:tc>
          <w:tcPr>
            <w:tcW w:w="8834" w:type="dxa"/>
          </w:tcPr>
          <w:p w14:paraId="68C082FE" w14:textId="77777777" w:rsidR="0057042C" w:rsidRPr="00D86314" w:rsidRDefault="0057042C">
            <w:pPr>
              <w:rPr>
                <w:i/>
                <w:iCs/>
                <w:noProof/>
                <w:color w:val="000000" w:themeColor="text1"/>
              </w:rPr>
            </w:pPr>
            <w:r w:rsidRPr="00D86314">
              <w:rPr>
                <w:i/>
                <w:iCs/>
                <w:noProof/>
                <w:color w:val="000000" w:themeColor="text1"/>
                <w:u w:val="single"/>
              </w:rPr>
              <w:t>Innovation acceleration</w:t>
            </w:r>
            <w:r w:rsidRPr="00D86314">
              <w:rPr>
                <w:i/>
                <w:iCs/>
                <w:noProof/>
                <w:color w:val="000000" w:themeColor="text1"/>
              </w:rPr>
              <w:t>: SMEs benefit from access to localised/licensed spectrum for innovative services (e.g. private 5G, IoT), particularly in manufacturing, health, agriculture, and transport and from the capacity to scale up thanks to the harmonisation of authorisation conditions.</w:t>
            </w:r>
          </w:p>
          <w:p w14:paraId="6C6010AF" w14:textId="3A72255B" w:rsidR="0057042C" w:rsidRPr="00D86314" w:rsidRDefault="0057042C" w:rsidP="000C09D7">
            <w:pPr>
              <w:rPr>
                <w:i/>
                <w:iCs/>
                <w:noProof/>
                <w:color w:val="000000" w:themeColor="text1"/>
              </w:rPr>
            </w:pPr>
            <w:r w:rsidRPr="00D86314">
              <w:rPr>
                <w:i/>
                <w:iCs/>
                <w:noProof/>
                <w:color w:val="000000" w:themeColor="text1"/>
                <w:u w:val="single"/>
              </w:rPr>
              <w:t>Lower entry barriers for SMEs</w:t>
            </w:r>
            <w:r w:rsidRPr="00D86314">
              <w:rPr>
                <w:i/>
                <w:iCs/>
                <w:noProof/>
                <w:color w:val="000000" w:themeColor="text1"/>
              </w:rPr>
              <w:t>: Simplified and more flexible access regimes and harmonisation of authorisation conditions reduce administrative and regulatory burdens for SMEs entering niche or local spectrum markets</w:t>
            </w:r>
            <w:r w:rsidR="000C09D7" w:rsidRPr="00D86314">
              <w:rPr>
                <w:i/>
                <w:iCs/>
                <w:noProof/>
                <w:color w:val="000000" w:themeColor="text1"/>
              </w:rPr>
              <w:t>.</w:t>
            </w:r>
          </w:p>
        </w:tc>
      </w:tr>
    </w:tbl>
    <w:p w14:paraId="71083349" w14:textId="77777777" w:rsidR="0057042C" w:rsidRPr="00D86314" w:rsidRDefault="0057042C" w:rsidP="0057042C">
      <w:pPr>
        <w:spacing w:after="0"/>
        <w:rPr>
          <w:b/>
          <w:bCs/>
          <w:noProof/>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tblGrid>
      <w:tr w:rsidR="0057042C" w:rsidRPr="00D86314" w14:paraId="157118D0" w14:textId="77777777" w:rsidTr="00423E14">
        <w:tc>
          <w:tcPr>
            <w:tcW w:w="9288" w:type="dxa"/>
          </w:tcPr>
          <w:p w14:paraId="2E127722" w14:textId="77777777" w:rsidR="0057042C" w:rsidRPr="00D86314" w:rsidRDefault="0057042C" w:rsidP="00A00C17">
            <w:pPr>
              <w:pStyle w:val="ListParagraph"/>
              <w:numPr>
                <w:ilvl w:val="0"/>
                <w:numId w:val="11"/>
              </w:numPr>
              <w:spacing w:after="0"/>
              <w:jc w:val="left"/>
              <w:rPr>
                <w:b/>
                <w:bCs/>
                <w:smallCaps/>
                <w:noProof/>
                <w:color w:val="000000" w:themeColor="text1"/>
              </w:rPr>
            </w:pPr>
            <w:r w:rsidRPr="00D86314">
              <w:rPr>
                <w:b/>
                <w:bCs/>
                <w:smallCaps/>
                <w:noProof/>
                <w:color w:val="000000" w:themeColor="text1"/>
              </w:rPr>
              <w:t>Minimising negative impacts on SMEs</w:t>
            </w:r>
          </w:p>
        </w:tc>
      </w:tr>
      <w:tr w:rsidR="0057042C" w:rsidRPr="00D86314" w14:paraId="36FF2E68" w14:textId="77777777" w:rsidTr="00423E14">
        <w:tc>
          <w:tcPr>
            <w:tcW w:w="9288" w:type="dxa"/>
          </w:tcPr>
          <w:p w14:paraId="2ED1A5A7" w14:textId="77777777" w:rsidR="0057042C" w:rsidRPr="00D86314" w:rsidRDefault="0057042C">
            <w:pPr>
              <w:rPr>
                <w:noProof/>
                <w:color w:val="000000" w:themeColor="text1"/>
              </w:rPr>
            </w:pPr>
            <w:r w:rsidRPr="00D86314">
              <w:rPr>
                <w:b/>
                <w:bCs/>
                <w:noProof/>
                <w:color w:val="000000" w:themeColor="text1"/>
              </w:rPr>
              <w:t xml:space="preserve">Are SMEs disproportionately affected compared to large companies? </w:t>
            </w:r>
          </w:p>
          <w:p w14:paraId="3BCCB316" w14:textId="77777777" w:rsidR="0057042C" w:rsidRPr="00D86314" w:rsidRDefault="0057042C">
            <w:pPr>
              <w:rPr>
                <w:b/>
                <w:bCs/>
                <w:noProof/>
                <w:color w:val="000000" w:themeColor="text1"/>
              </w:rPr>
            </w:pPr>
            <w:r w:rsidRPr="00D86314">
              <w:rPr>
                <w:b/>
                <w:bCs/>
                <w:noProof/>
                <w:color w:val="000000" w:themeColor="text1"/>
              </w:rPr>
              <w:t>If yes, are there any specific subgroups</w:t>
            </w:r>
            <w:r w:rsidRPr="00D86314">
              <w:rPr>
                <w:noProof/>
              </w:rPr>
              <w:t xml:space="preserve"> </w:t>
            </w:r>
            <w:r w:rsidRPr="00D86314">
              <w:rPr>
                <w:b/>
                <w:bCs/>
                <w:noProof/>
                <w:color w:val="000000" w:themeColor="text1"/>
              </w:rPr>
              <w:t>of SMEs more exposed than others?</w:t>
            </w:r>
          </w:p>
        </w:tc>
      </w:tr>
      <w:tr w:rsidR="0057042C" w:rsidRPr="00D86314" w14:paraId="0FF9B0D2" w14:textId="77777777" w:rsidTr="00423E14">
        <w:tc>
          <w:tcPr>
            <w:tcW w:w="9288" w:type="dxa"/>
          </w:tcPr>
          <w:p w14:paraId="76A41655" w14:textId="77777777" w:rsidR="0057042C" w:rsidRPr="00D86314" w:rsidRDefault="0057042C">
            <w:pPr>
              <w:rPr>
                <w:i/>
                <w:iCs/>
                <w:noProof/>
                <w:color w:val="000000" w:themeColor="text1"/>
              </w:rPr>
            </w:pPr>
            <w:r w:rsidRPr="00D86314">
              <w:rPr>
                <w:i/>
                <w:iCs/>
                <w:noProof/>
                <w:color w:val="000000" w:themeColor="text1"/>
              </w:rPr>
              <w:t xml:space="preserve">SMEs are not foreseen to be disproportionally subject to negative impacts of the measures proposed. </w:t>
            </w:r>
          </w:p>
        </w:tc>
      </w:tr>
      <w:tr w:rsidR="0057042C" w:rsidRPr="00D86314" w14:paraId="3A090615" w14:textId="77777777" w:rsidTr="00423E14">
        <w:tc>
          <w:tcPr>
            <w:tcW w:w="9288" w:type="dxa"/>
          </w:tcPr>
          <w:p w14:paraId="7901182A" w14:textId="77777777" w:rsidR="0057042C" w:rsidRPr="00D86314" w:rsidRDefault="0057042C">
            <w:pPr>
              <w:rPr>
                <w:b/>
                <w:bCs/>
                <w:noProof/>
                <w:color w:val="000000" w:themeColor="text1"/>
              </w:rPr>
            </w:pPr>
            <w:r w:rsidRPr="00D86314">
              <w:rPr>
                <w:b/>
                <w:bCs/>
                <w:noProof/>
                <w:color w:val="000000" w:themeColor="text1"/>
              </w:rPr>
              <w:t xml:space="preserve">Have mitigating measures been included in the preferred option/proposal? </w:t>
            </w:r>
            <w:r w:rsidRPr="00D86314">
              <w:rPr>
                <w:noProof/>
                <w:color w:val="000000" w:themeColor="text1"/>
              </w:rPr>
              <w:t xml:space="preserve">(Yes/No) </w:t>
            </w:r>
          </w:p>
        </w:tc>
      </w:tr>
      <w:tr w:rsidR="0057042C" w:rsidRPr="00D86314" w14:paraId="4A6AAE5B" w14:textId="77777777" w:rsidTr="00423E14">
        <w:tc>
          <w:tcPr>
            <w:tcW w:w="9288" w:type="dxa"/>
          </w:tcPr>
          <w:p w14:paraId="073B332B" w14:textId="77777777" w:rsidR="0057042C" w:rsidRPr="00D86314" w:rsidRDefault="0057042C">
            <w:pPr>
              <w:rPr>
                <w:i/>
                <w:iCs/>
                <w:noProof/>
                <w:color w:val="000000" w:themeColor="text1"/>
              </w:rPr>
            </w:pPr>
            <w:r w:rsidRPr="00D86314">
              <w:rPr>
                <w:i/>
                <w:iCs/>
                <w:noProof/>
                <w:color w:val="000000" w:themeColor="text1"/>
              </w:rPr>
              <w:t xml:space="preserve">Considering the absence of disproportionate impacts for this specific initiative, no specific mitigation measures are included. </w:t>
            </w:r>
          </w:p>
          <w:p w14:paraId="05269C71" w14:textId="5E6383E5" w:rsidR="0057042C" w:rsidRPr="00D86314" w:rsidRDefault="0057042C">
            <w:pPr>
              <w:rPr>
                <w:i/>
                <w:iCs/>
                <w:noProof/>
                <w:color w:val="000000" w:themeColor="text1"/>
              </w:rPr>
            </w:pPr>
            <w:r w:rsidRPr="00D86314">
              <w:rPr>
                <w:i/>
                <w:iCs/>
                <w:noProof/>
                <w:color w:val="000000" w:themeColor="text1"/>
              </w:rPr>
              <w:t>Certain options assessed in the Impact Assessment however favour SMEs more than other companies, e.g. cross-border SMEs are likely to benefit most comparatively to other companies, by engaging in cross-border provision of ECN/ECS, a centralised BEREC database and mandatory notification template which reduce administrative burdens and compliance costs for providers, particularly SMEs.</w:t>
            </w:r>
          </w:p>
          <w:p w14:paraId="354C47C9" w14:textId="77777777" w:rsidR="0057042C" w:rsidRPr="00D86314" w:rsidRDefault="0057042C">
            <w:pPr>
              <w:rPr>
                <w:i/>
                <w:noProof/>
                <w:color w:val="000000" w:themeColor="text1"/>
              </w:rPr>
            </w:pPr>
            <w:r w:rsidRPr="00D86314">
              <w:rPr>
                <w:i/>
                <w:noProof/>
                <w:color w:val="000000" w:themeColor="text1"/>
              </w:rPr>
              <w:t>The impact of the cooperation mechanism option on SMEs would be more limited, since the sector is largely dominated by bigger players, but the introduction of a Code of Conduct could still benefit smaller CAPs and local ISPs by improving transparency and ensuring non-discrimination in IP peering practices.</w:t>
            </w:r>
          </w:p>
        </w:tc>
      </w:tr>
    </w:tbl>
    <w:p w14:paraId="0EE81139" w14:textId="77777777" w:rsidR="0057042C" w:rsidRPr="00D86314" w:rsidRDefault="0057042C" w:rsidP="0057042C">
      <w:pPr>
        <w:spacing w:after="0"/>
        <w:rPr>
          <w:b/>
          <w:bCs/>
          <w:smallCaps/>
          <w:noProof/>
          <w:color w:val="000000" w:themeColor="text1"/>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642"/>
      </w:tblGrid>
      <w:tr w:rsidR="0057042C" w:rsidRPr="00D86314" w14:paraId="3F0D04DA" w14:textId="77777777" w:rsidTr="00423E14">
        <w:trPr>
          <w:trHeight w:val="300"/>
        </w:trPr>
        <w:tc>
          <w:tcPr>
            <w:tcW w:w="8642" w:type="dxa"/>
          </w:tcPr>
          <w:p w14:paraId="627509FC" w14:textId="77777777" w:rsidR="0057042C" w:rsidRPr="00D86314" w:rsidRDefault="0057042C">
            <w:pPr>
              <w:rPr>
                <w:b/>
                <w:bCs/>
                <w:smallCaps/>
                <w:noProof/>
                <w:color w:val="000000" w:themeColor="text1"/>
              </w:rPr>
            </w:pPr>
            <w:r w:rsidRPr="00D86314">
              <w:rPr>
                <w:b/>
                <w:bCs/>
                <w:smallCaps/>
                <w:noProof/>
                <w:color w:val="000000" w:themeColor="text1"/>
              </w:rPr>
              <w:t>Contribution to the 35% burden reduction target for SMEs</w:t>
            </w:r>
          </w:p>
        </w:tc>
      </w:tr>
      <w:tr w:rsidR="0057042C" w:rsidRPr="00D86314" w14:paraId="5778A94F" w14:textId="77777777" w:rsidTr="00423E14">
        <w:trPr>
          <w:trHeight w:val="300"/>
        </w:trPr>
        <w:tc>
          <w:tcPr>
            <w:tcW w:w="8642" w:type="dxa"/>
          </w:tcPr>
          <w:p w14:paraId="71800625" w14:textId="77777777" w:rsidR="0057042C" w:rsidRPr="00D86314" w:rsidRDefault="0057042C">
            <w:pPr>
              <w:rPr>
                <w:b/>
                <w:bCs/>
                <w:noProof/>
                <w:color w:val="000000" w:themeColor="text1"/>
              </w:rPr>
            </w:pPr>
            <w:r w:rsidRPr="00D86314">
              <w:rPr>
                <w:b/>
                <w:bCs/>
                <w:noProof/>
                <w:color w:val="000000" w:themeColor="text1"/>
              </w:rPr>
              <w:t>Are there any administrative cost savings relevant for the 35% burden reduction target for SMEs?</w:t>
            </w:r>
          </w:p>
        </w:tc>
      </w:tr>
      <w:tr w:rsidR="0057042C" w:rsidRPr="00D86314" w14:paraId="77D4D421" w14:textId="77777777" w:rsidTr="00423E14">
        <w:trPr>
          <w:trHeight w:val="300"/>
        </w:trPr>
        <w:tc>
          <w:tcPr>
            <w:tcW w:w="8642" w:type="dxa"/>
          </w:tcPr>
          <w:p w14:paraId="4B041CE2" w14:textId="77777777" w:rsidR="0057042C" w:rsidRPr="00D86314" w:rsidRDefault="0057042C">
            <w:pPr>
              <w:rPr>
                <w:noProof/>
                <w:color w:val="000000" w:themeColor="text1"/>
              </w:rPr>
            </w:pPr>
            <w:r w:rsidRPr="00D86314">
              <w:rPr>
                <w:i/>
                <w:iCs/>
                <w:noProof/>
                <w:color w:val="000000" w:themeColor="text1"/>
              </w:rPr>
              <w:t>Not applicable, due to the lack of specific direct impact on SMEs for this initiative</w:t>
            </w:r>
          </w:p>
        </w:tc>
      </w:tr>
    </w:tbl>
    <w:p w14:paraId="2488C1D0" w14:textId="77777777" w:rsidR="0057042C" w:rsidRPr="00D86314" w:rsidRDefault="0057042C">
      <w:pPr>
        <w:spacing w:after="200" w:line="276" w:lineRule="auto"/>
        <w:jc w:val="left"/>
        <w:rPr>
          <w:noProof/>
        </w:rPr>
      </w:pPr>
    </w:p>
    <w:p w14:paraId="12371029" w14:textId="77777777" w:rsidR="00A05BAC" w:rsidRPr="00D86314" w:rsidRDefault="00A05BAC">
      <w:pPr>
        <w:spacing w:after="200" w:line="276" w:lineRule="auto"/>
        <w:jc w:val="left"/>
        <w:rPr>
          <w:rFonts w:eastAsia="Times New Roman"/>
          <w:b/>
          <w:smallCaps/>
          <w:noProof/>
          <w:sz w:val="32"/>
          <w:szCs w:val="20"/>
        </w:rPr>
      </w:pPr>
      <w:r w:rsidRPr="00D86314">
        <w:rPr>
          <w:noProof/>
        </w:rPr>
        <w:br w:type="page"/>
      </w:r>
    </w:p>
    <w:p w14:paraId="2E0A602E" w14:textId="41606D38" w:rsidR="00822056" w:rsidRPr="00D86314" w:rsidRDefault="008F2068" w:rsidP="00703057">
      <w:pPr>
        <w:pStyle w:val="Heading1"/>
        <w:numPr>
          <w:ilvl w:val="0"/>
          <w:numId w:val="0"/>
        </w:numPr>
        <w:rPr>
          <w:noProof/>
          <w:lang w:val="en-GB"/>
        </w:rPr>
      </w:pPr>
      <w:bookmarkStart w:id="212" w:name="_Toc219718415"/>
      <w:r w:rsidRPr="00D86314" w:rsidDel="005C50EF">
        <w:rPr>
          <w:noProof/>
          <w:lang w:val="en-GB"/>
        </w:rPr>
        <w:t xml:space="preserve">Annex </w:t>
      </w:r>
      <w:r w:rsidR="00632EFC" w:rsidRPr="00D86314" w:rsidDel="005C50EF">
        <w:rPr>
          <w:noProof/>
          <w:lang w:val="en-GB"/>
        </w:rPr>
        <w:t>7</w:t>
      </w:r>
      <w:r w:rsidRPr="00D86314" w:rsidDel="005C50EF">
        <w:rPr>
          <w:noProof/>
          <w:lang w:val="en-GB"/>
        </w:rPr>
        <w:t xml:space="preserve">: </w:t>
      </w:r>
      <w:bookmarkStart w:id="213" w:name="_Toc208239224"/>
      <w:r w:rsidR="0040571C" w:rsidRPr="00D86314">
        <w:rPr>
          <w:noProof/>
          <w:lang w:val="en-GB"/>
        </w:rPr>
        <w:t xml:space="preserve">Further </w:t>
      </w:r>
      <w:r w:rsidR="00157037" w:rsidRPr="00D86314">
        <w:rPr>
          <w:noProof/>
          <w:lang w:val="en-GB"/>
        </w:rPr>
        <w:t xml:space="preserve">Evidence on </w:t>
      </w:r>
      <w:r w:rsidR="00C51BFB" w:rsidRPr="00D86314">
        <w:rPr>
          <w:noProof/>
          <w:lang w:val="en-GB"/>
        </w:rPr>
        <w:t>the Problems and Problem Drivers</w:t>
      </w:r>
      <w:bookmarkEnd w:id="212"/>
      <w:bookmarkEnd w:id="213"/>
    </w:p>
    <w:p w14:paraId="49306B98" w14:textId="3E67B470" w:rsidR="007F6EB3" w:rsidRPr="00D86314" w:rsidRDefault="00A4079C" w:rsidP="00A00C17">
      <w:pPr>
        <w:pStyle w:val="Heading1"/>
        <w:numPr>
          <w:ilvl w:val="0"/>
          <w:numId w:val="75"/>
        </w:numPr>
        <w:rPr>
          <w:noProof/>
          <w:lang w:val="en-GB"/>
        </w:rPr>
      </w:pPr>
      <w:bookmarkStart w:id="214" w:name="_Toc208239225"/>
      <w:bookmarkStart w:id="215" w:name="_Toc219718416"/>
      <w:bookmarkStart w:id="216" w:name="_Hlk209520250"/>
      <w:r w:rsidRPr="00D86314">
        <w:rPr>
          <w:noProof/>
          <w:lang w:val="en-GB"/>
        </w:rPr>
        <w:t>Problems</w:t>
      </w:r>
      <w:bookmarkEnd w:id="214"/>
      <w:bookmarkEnd w:id="215"/>
      <w:r w:rsidR="00020A7E" w:rsidRPr="00D86314">
        <w:rPr>
          <w:noProof/>
          <w:lang w:val="en-GB"/>
        </w:rPr>
        <w:t xml:space="preserve"> </w:t>
      </w:r>
    </w:p>
    <w:p w14:paraId="022A249B" w14:textId="046378D7" w:rsidR="005F191B" w:rsidRPr="00D86314" w:rsidRDefault="00E02D8B" w:rsidP="005F191B">
      <w:pPr>
        <w:pStyle w:val="Heading2"/>
        <w:rPr>
          <w:noProof/>
        </w:rPr>
      </w:pPr>
      <w:bookmarkStart w:id="217" w:name="_Toc219718417"/>
      <w:bookmarkEnd w:id="216"/>
      <w:r w:rsidRPr="00D86314">
        <w:rPr>
          <w:noProof/>
        </w:rPr>
        <w:t>Fixed networks: Slow deployment and adoption of future-proof networks and services</w:t>
      </w:r>
      <w:bookmarkEnd w:id="217"/>
    </w:p>
    <w:p w14:paraId="1242599C" w14:textId="304756F7" w:rsidR="00857843" w:rsidRPr="00D86314" w:rsidRDefault="00857843" w:rsidP="001337C6">
      <w:pPr>
        <w:pStyle w:val="Text2"/>
        <w:spacing w:after="120"/>
        <w:ind w:left="0"/>
        <w:rPr>
          <w:noProof/>
        </w:rPr>
      </w:pPr>
      <w:r w:rsidRPr="00D86314">
        <w:rPr>
          <w:noProof/>
        </w:rPr>
        <w:t xml:space="preserve">High-speed internet is a foundational infrastructure requirement for the EU’s digital transformation and long-term strategic goals. </w:t>
      </w:r>
      <w:r w:rsidR="003109AD" w:rsidRPr="00D86314">
        <w:rPr>
          <w:noProof/>
        </w:rPr>
        <w:t>Without future-proof connectivity, the EU risks falling behind in innovation, economic growth, and global influence. High-speed internet is a cornerstone of the EU’s vision for a sustainable, inclusive, and technologically advanced society by 2030 and beyond</w:t>
      </w:r>
      <w:r w:rsidR="004B3EDF" w:rsidRPr="00D86314">
        <w:rPr>
          <w:noProof/>
        </w:rPr>
        <w:t xml:space="preserve">. </w:t>
      </w:r>
      <w:r w:rsidRPr="00D86314">
        <w:rPr>
          <w:noProof/>
        </w:rPr>
        <w:t xml:space="preserve">Below are the key reasons why the EU requires </w:t>
      </w:r>
      <w:r w:rsidR="005A6571" w:rsidRPr="00D86314">
        <w:rPr>
          <w:noProof/>
        </w:rPr>
        <w:t xml:space="preserve">a </w:t>
      </w:r>
      <w:r w:rsidR="05FC79EF" w:rsidRPr="00D86314">
        <w:rPr>
          <w:noProof/>
        </w:rPr>
        <w:t>r</w:t>
      </w:r>
      <w:r w:rsidR="73564300" w:rsidRPr="00D86314">
        <w:rPr>
          <w:noProof/>
        </w:rPr>
        <w:t>esilient</w:t>
      </w:r>
      <w:r w:rsidRPr="00D86314">
        <w:rPr>
          <w:noProof/>
        </w:rPr>
        <w:t>, high-speed internet connectivity</w:t>
      </w:r>
      <w:r w:rsidR="00303EC5" w:rsidRPr="00D86314">
        <w:rPr>
          <w:noProof/>
        </w:rPr>
        <w:t>.</w:t>
      </w:r>
    </w:p>
    <w:p w14:paraId="5CD051C8" w14:textId="77A2994E" w:rsidR="00E46102" w:rsidRPr="00D86314" w:rsidRDefault="00E46102" w:rsidP="003B5FD9">
      <w:pPr>
        <w:pStyle w:val="Text2"/>
        <w:numPr>
          <w:ilvl w:val="0"/>
          <w:numId w:val="13"/>
        </w:numPr>
        <w:spacing w:after="120"/>
        <w:ind w:left="709" w:hanging="357"/>
        <w:rPr>
          <w:noProof/>
        </w:rPr>
      </w:pPr>
      <w:r w:rsidRPr="00D86314">
        <w:rPr>
          <w:noProof/>
        </w:rPr>
        <w:t>Economic Growth and Competitiveness</w:t>
      </w:r>
    </w:p>
    <w:p w14:paraId="3EDE4EB5" w14:textId="2AC2571E" w:rsidR="00E46102" w:rsidRPr="00D86314" w:rsidRDefault="00E46102" w:rsidP="003B5FD9">
      <w:pPr>
        <w:pStyle w:val="Text2"/>
        <w:numPr>
          <w:ilvl w:val="0"/>
          <w:numId w:val="13"/>
        </w:numPr>
        <w:spacing w:after="120"/>
        <w:ind w:left="709" w:hanging="357"/>
        <w:rPr>
          <w:noProof/>
        </w:rPr>
      </w:pPr>
      <w:r w:rsidRPr="00D86314">
        <w:rPr>
          <w:noProof/>
        </w:rPr>
        <w:t>The EU aims to become a global leader in the digital economy. High-speed internet enables businesses (especially SMEs) to adopt advanced technologies like cloud computing, AI, and big data analytics, which are essential for innovation and productivity.</w:t>
      </w:r>
    </w:p>
    <w:p w14:paraId="717E428D" w14:textId="7C94DB9B" w:rsidR="00E46102" w:rsidRPr="00D86314" w:rsidRDefault="00E46102" w:rsidP="003B5FD9">
      <w:pPr>
        <w:pStyle w:val="Text2"/>
        <w:numPr>
          <w:ilvl w:val="0"/>
          <w:numId w:val="13"/>
        </w:numPr>
        <w:spacing w:after="120"/>
        <w:ind w:left="709" w:hanging="357"/>
        <w:rPr>
          <w:noProof/>
        </w:rPr>
      </w:pPr>
      <w:r w:rsidRPr="00D86314">
        <w:rPr>
          <w:noProof/>
        </w:rPr>
        <w:t>Manufacturing and industrial sectors rely on high-speed connectivity for smart factories, IoT-enabled systems, and automation, which are central to the EU’s Industry 4.0 strategy.</w:t>
      </w:r>
    </w:p>
    <w:p w14:paraId="2EF7AD30" w14:textId="362DB0E3" w:rsidR="00E46102" w:rsidRPr="00D86314" w:rsidRDefault="00E46102" w:rsidP="003B5FD9">
      <w:pPr>
        <w:pStyle w:val="Text2"/>
        <w:numPr>
          <w:ilvl w:val="0"/>
          <w:numId w:val="13"/>
        </w:numPr>
        <w:spacing w:after="120"/>
        <w:ind w:left="709" w:hanging="357"/>
        <w:rPr>
          <w:noProof/>
        </w:rPr>
      </w:pPr>
      <w:r w:rsidRPr="00D86314">
        <w:rPr>
          <w:noProof/>
        </w:rPr>
        <w:t>Global Trade and Services: High-speed internet supports cross-border e-commerce, digital services, and remote collaboration, helping EU businesses compete in the global market.</w:t>
      </w:r>
    </w:p>
    <w:p w14:paraId="122A5A2A" w14:textId="33AF7470" w:rsidR="00E0448F" w:rsidRPr="00D86314" w:rsidRDefault="00E0448F" w:rsidP="003B5FD9">
      <w:pPr>
        <w:pStyle w:val="Text2"/>
        <w:numPr>
          <w:ilvl w:val="0"/>
          <w:numId w:val="13"/>
        </w:numPr>
        <w:spacing w:after="120"/>
        <w:ind w:left="709" w:hanging="357"/>
        <w:rPr>
          <w:noProof/>
        </w:rPr>
      </w:pPr>
      <w:r w:rsidRPr="00D86314">
        <w:rPr>
          <w:noProof/>
        </w:rPr>
        <w:t>Social Inclusion and Equity</w:t>
      </w:r>
    </w:p>
    <w:p w14:paraId="7DD1B97F" w14:textId="6D588F69" w:rsidR="00E0448F" w:rsidRPr="00D86314" w:rsidRDefault="005A40AC" w:rsidP="003B5FD9">
      <w:pPr>
        <w:pStyle w:val="Text2"/>
        <w:numPr>
          <w:ilvl w:val="0"/>
          <w:numId w:val="13"/>
        </w:numPr>
        <w:spacing w:after="120"/>
        <w:ind w:left="709" w:hanging="357"/>
        <w:rPr>
          <w:noProof/>
        </w:rPr>
      </w:pPr>
      <w:r w:rsidRPr="00D86314">
        <w:rPr>
          <w:noProof/>
        </w:rPr>
        <w:t>R</w:t>
      </w:r>
      <w:r w:rsidR="00E0448F" w:rsidRPr="00D86314">
        <w:rPr>
          <w:noProof/>
        </w:rPr>
        <w:t>ural and remote areas in the EU still lack adequate broadband access. High-speed internet ensures all citizens, regardless of location, can access education, healthcare, and public services.</w:t>
      </w:r>
    </w:p>
    <w:p w14:paraId="71C63ED6" w14:textId="4388C989" w:rsidR="00E0448F" w:rsidRPr="00D86314" w:rsidRDefault="00E0448F" w:rsidP="003B5FD9">
      <w:pPr>
        <w:pStyle w:val="Text2"/>
        <w:numPr>
          <w:ilvl w:val="0"/>
          <w:numId w:val="13"/>
        </w:numPr>
        <w:spacing w:after="120"/>
        <w:ind w:left="709" w:hanging="357"/>
        <w:rPr>
          <w:noProof/>
        </w:rPr>
      </w:pPr>
      <w:r w:rsidRPr="00D86314">
        <w:rPr>
          <w:noProof/>
        </w:rPr>
        <w:t>Post-pandemic, remote work and online learning have become essential. High-speed internet enables seamless video conferencing, access to digital resources, and participation in the modern workforce.</w:t>
      </w:r>
    </w:p>
    <w:p w14:paraId="586A0C9E" w14:textId="234ED4F2" w:rsidR="00962ECC" w:rsidRPr="00D86314" w:rsidRDefault="00E0448F" w:rsidP="003B5FD9">
      <w:pPr>
        <w:pStyle w:val="Text2"/>
        <w:numPr>
          <w:ilvl w:val="0"/>
          <w:numId w:val="13"/>
        </w:numPr>
        <w:spacing w:after="120"/>
        <w:ind w:left="709" w:hanging="357"/>
        <w:rPr>
          <w:noProof/>
        </w:rPr>
      </w:pPr>
      <w:r w:rsidRPr="00D86314">
        <w:rPr>
          <w:noProof/>
        </w:rPr>
        <w:t>E-Government Services: Efficient digital public services (e.g., tax filing, healthcare appointments, social benefits) require reliable, fast internet to ensure transparency and accessibility for all EU citizens.</w:t>
      </w:r>
    </w:p>
    <w:p w14:paraId="031BFB0C" w14:textId="359BF7F0" w:rsidR="00AE46CC" w:rsidRPr="00D86314" w:rsidRDefault="00AE46CC" w:rsidP="003B5FD9">
      <w:pPr>
        <w:pStyle w:val="Text2"/>
        <w:numPr>
          <w:ilvl w:val="0"/>
          <w:numId w:val="13"/>
        </w:numPr>
        <w:spacing w:after="120"/>
        <w:ind w:left="709"/>
        <w:rPr>
          <w:noProof/>
        </w:rPr>
      </w:pPr>
      <w:r w:rsidRPr="00D86314">
        <w:rPr>
          <w:noProof/>
        </w:rPr>
        <w:t>Innovation and Research</w:t>
      </w:r>
      <w:r w:rsidR="00485568" w:rsidRPr="00D86314">
        <w:rPr>
          <w:noProof/>
        </w:rPr>
        <w:t xml:space="preserve">: </w:t>
      </w:r>
      <w:r w:rsidRPr="00D86314">
        <w:rPr>
          <w:noProof/>
        </w:rPr>
        <w:t>High-speed internet is critical for universities, research institutions, and tech hubs to collaborate on cutting-edge projects in fields like AI, quantum computing, and genomics.</w:t>
      </w:r>
    </w:p>
    <w:p w14:paraId="5EC6C09D" w14:textId="67969ED9" w:rsidR="00F80B9A" w:rsidRPr="00D86314" w:rsidRDefault="00AE46CC" w:rsidP="003B5FD9">
      <w:pPr>
        <w:pStyle w:val="Text2"/>
        <w:numPr>
          <w:ilvl w:val="0"/>
          <w:numId w:val="13"/>
        </w:numPr>
        <w:spacing w:after="120"/>
        <w:ind w:left="709" w:hanging="357"/>
        <w:rPr>
          <w:noProof/>
        </w:rPr>
      </w:pPr>
      <w:r w:rsidRPr="00D86314">
        <w:rPr>
          <w:noProof/>
        </w:rPr>
        <w:t xml:space="preserve">Startups </w:t>
      </w:r>
      <w:r w:rsidR="00745D37" w:rsidRPr="00D86314">
        <w:rPr>
          <w:noProof/>
        </w:rPr>
        <w:t xml:space="preserve">and SMEs </w:t>
      </w:r>
      <w:r w:rsidRPr="00D86314">
        <w:rPr>
          <w:noProof/>
        </w:rPr>
        <w:t>need fast, reliable connectivity to develop and scale innovative solutions, contributing to the EU’s goal of becoming a "digital powerhouse."</w:t>
      </w:r>
    </w:p>
    <w:p w14:paraId="462681A3" w14:textId="74E2EE17" w:rsidR="000C7647" w:rsidRPr="00D86314" w:rsidRDefault="000C7647" w:rsidP="003B5FD9">
      <w:pPr>
        <w:pStyle w:val="Text2"/>
        <w:numPr>
          <w:ilvl w:val="0"/>
          <w:numId w:val="13"/>
        </w:numPr>
        <w:spacing w:after="120"/>
        <w:ind w:left="709" w:hanging="357"/>
        <w:rPr>
          <w:noProof/>
        </w:rPr>
      </w:pPr>
      <w:r w:rsidRPr="00D86314">
        <w:rPr>
          <w:noProof/>
        </w:rPr>
        <w:t>Environmental Sustainability</w:t>
      </w:r>
    </w:p>
    <w:p w14:paraId="4E48210E" w14:textId="2C78D007" w:rsidR="000C7647" w:rsidRPr="00D86314" w:rsidRDefault="000C7647" w:rsidP="00E2588E">
      <w:pPr>
        <w:pStyle w:val="Text2"/>
        <w:numPr>
          <w:ilvl w:val="0"/>
          <w:numId w:val="15"/>
        </w:numPr>
        <w:spacing w:after="120"/>
        <w:ind w:left="1418" w:hanging="357"/>
        <w:rPr>
          <w:noProof/>
        </w:rPr>
      </w:pPr>
      <w:r w:rsidRPr="00D86314">
        <w:rPr>
          <w:noProof/>
        </w:rPr>
        <w:t>High-speed internet supports smart grids, energy-efficient buildings, and real-time environmental monitoring, helping the EU meet its Green Deal targets for carbon neutrality by 2050.</w:t>
      </w:r>
    </w:p>
    <w:p w14:paraId="402903EE" w14:textId="31D1660C" w:rsidR="000C7647" w:rsidRPr="00D86314" w:rsidRDefault="000C7647" w:rsidP="00E2588E">
      <w:pPr>
        <w:pStyle w:val="Text2"/>
        <w:numPr>
          <w:ilvl w:val="0"/>
          <w:numId w:val="15"/>
        </w:numPr>
        <w:spacing w:after="120"/>
        <w:ind w:left="1418" w:hanging="357"/>
        <w:rPr>
          <w:noProof/>
        </w:rPr>
      </w:pPr>
      <w:r w:rsidRPr="00D86314">
        <w:rPr>
          <w:noProof/>
        </w:rPr>
        <w:t>Broadband access enables remote work and virtual meetings, reducing the need for physical travel and lowering carbon emissions.</w:t>
      </w:r>
    </w:p>
    <w:p w14:paraId="155E57C4" w14:textId="27B59AFD" w:rsidR="000C7647" w:rsidRPr="00D86314" w:rsidRDefault="000C7647" w:rsidP="00E2588E">
      <w:pPr>
        <w:pStyle w:val="Text2"/>
        <w:numPr>
          <w:ilvl w:val="0"/>
          <w:numId w:val="13"/>
        </w:numPr>
        <w:spacing w:after="120"/>
        <w:ind w:left="709" w:hanging="357"/>
        <w:rPr>
          <w:noProof/>
        </w:rPr>
      </w:pPr>
      <w:r w:rsidRPr="00D86314">
        <w:rPr>
          <w:noProof/>
        </w:rPr>
        <w:t>Digital Sovereignty and Security</w:t>
      </w:r>
    </w:p>
    <w:p w14:paraId="5F59B95E" w14:textId="4158BA58" w:rsidR="000C7647" w:rsidRPr="00D86314" w:rsidRDefault="000C7647" w:rsidP="00E2588E">
      <w:pPr>
        <w:pStyle w:val="Text2"/>
        <w:numPr>
          <w:ilvl w:val="0"/>
          <w:numId w:val="15"/>
        </w:numPr>
        <w:spacing w:after="120"/>
        <w:ind w:left="1418" w:hanging="357"/>
        <w:rPr>
          <w:noProof/>
        </w:rPr>
      </w:pPr>
      <w:r w:rsidRPr="00D86314">
        <w:rPr>
          <w:noProof/>
        </w:rPr>
        <w:t>Reducing Dependence on Foreign Tech: The EU seeks to reduce reliance on non-EU tech giants by building its own digital infrastructure. High-speed internet underpins this digital sovereignty agenda.</w:t>
      </w:r>
    </w:p>
    <w:p w14:paraId="46FE5A2E" w14:textId="6C8CA7CB" w:rsidR="00F80B9A" w:rsidRPr="00D86314" w:rsidRDefault="000C7647" w:rsidP="00E2588E">
      <w:pPr>
        <w:pStyle w:val="Text2"/>
        <w:numPr>
          <w:ilvl w:val="0"/>
          <w:numId w:val="15"/>
        </w:numPr>
        <w:spacing w:after="120"/>
        <w:ind w:left="1418" w:hanging="357"/>
        <w:rPr>
          <w:noProof/>
        </w:rPr>
      </w:pPr>
      <w:r w:rsidRPr="00D86314">
        <w:rPr>
          <w:noProof/>
        </w:rPr>
        <w:t>Robust connectivity is essential for implementing secure digital systems and protecting EU citizens’ data in an increasingly connected world.</w:t>
      </w:r>
    </w:p>
    <w:p w14:paraId="3691AEDE" w14:textId="7B090D41" w:rsidR="0041575A" w:rsidRPr="00D86314" w:rsidRDefault="0041575A" w:rsidP="00E2588E">
      <w:pPr>
        <w:pStyle w:val="Text2"/>
        <w:numPr>
          <w:ilvl w:val="0"/>
          <w:numId w:val="13"/>
        </w:numPr>
        <w:spacing w:after="120"/>
        <w:ind w:left="709" w:hanging="357"/>
        <w:rPr>
          <w:noProof/>
        </w:rPr>
      </w:pPr>
      <w:r w:rsidRPr="00D86314">
        <w:rPr>
          <w:noProof/>
        </w:rPr>
        <w:t>Future-Proofing for Emerging Technologies</w:t>
      </w:r>
    </w:p>
    <w:p w14:paraId="0DEE4EDF" w14:textId="6B7C67C9" w:rsidR="0082160C" w:rsidRPr="00D86314" w:rsidRDefault="0041575A" w:rsidP="00E2588E">
      <w:pPr>
        <w:pStyle w:val="Text2"/>
        <w:numPr>
          <w:ilvl w:val="0"/>
          <w:numId w:val="15"/>
        </w:numPr>
        <w:spacing w:after="120"/>
        <w:ind w:left="1418" w:hanging="357"/>
        <w:rPr>
          <w:noProof/>
        </w:rPr>
      </w:pPr>
      <w:r w:rsidRPr="00D86314">
        <w:rPr>
          <w:noProof/>
        </w:rPr>
        <w:t>High-speed fibre networks are the backbone for 5G and future wireless technologies, enabling innovations like autonomous vehicles, smart agriculture, and real-time robotics.</w:t>
      </w:r>
    </w:p>
    <w:p w14:paraId="0A547AC9" w14:textId="2F01B3B1" w:rsidR="0041575A" w:rsidRPr="00D86314" w:rsidRDefault="0041575A" w:rsidP="00E2588E">
      <w:pPr>
        <w:pStyle w:val="Text2"/>
        <w:numPr>
          <w:ilvl w:val="0"/>
          <w:numId w:val="15"/>
        </w:numPr>
        <w:spacing w:after="120"/>
        <w:ind w:left="1418" w:hanging="357"/>
        <w:rPr>
          <w:noProof/>
        </w:rPr>
      </w:pPr>
      <w:r w:rsidRPr="00D86314">
        <w:rPr>
          <w:noProof/>
        </w:rPr>
        <w:t>EU’s European Data Strategy relies on high-speed internet to process and analyse large datasets, driving advancements in healthcare, transportation, and public policy.</w:t>
      </w:r>
    </w:p>
    <w:p w14:paraId="16C6F7B3" w14:textId="6F575AB3" w:rsidR="00181615" w:rsidRPr="00D86314" w:rsidRDefault="0041575A" w:rsidP="00E2588E">
      <w:pPr>
        <w:pStyle w:val="Text2"/>
        <w:numPr>
          <w:ilvl w:val="0"/>
          <w:numId w:val="15"/>
        </w:numPr>
        <w:spacing w:after="120"/>
        <w:ind w:left="1418" w:hanging="357"/>
        <w:rPr>
          <w:noProof/>
        </w:rPr>
      </w:pPr>
      <w:r w:rsidRPr="00D86314">
        <w:rPr>
          <w:noProof/>
        </w:rPr>
        <w:t>Connecting billions of IoT devices (e.g., smart meters, traffic sensors) requires ultra-fast, low-latency networks to function effectively.</w:t>
      </w:r>
    </w:p>
    <w:p w14:paraId="4F35AFDA" w14:textId="2C91BE97" w:rsidR="00547770" w:rsidRPr="00D86314" w:rsidRDefault="000C7704" w:rsidP="00527DF5">
      <w:pPr>
        <w:pStyle w:val="Heading2"/>
        <w:ind w:left="1202"/>
        <w:rPr>
          <w:noProof/>
        </w:rPr>
      </w:pPr>
      <w:bookmarkStart w:id="218" w:name="_Toc219718418"/>
      <w:r w:rsidRPr="00D86314">
        <w:rPr>
          <w:noProof/>
        </w:rPr>
        <w:t>Mobile networks: lack of investment</w:t>
      </w:r>
      <w:r w:rsidR="006A71FC" w:rsidRPr="00D86314">
        <w:rPr>
          <w:noProof/>
        </w:rPr>
        <w:t xml:space="preserve"> and investment needs</w:t>
      </w:r>
      <w:bookmarkEnd w:id="218"/>
    </w:p>
    <w:p w14:paraId="22259CB7" w14:textId="77777777" w:rsidR="0005559D" w:rsidRPr="00D86314" w:rsidRDefault="0005559D" w:rsidP="0005559D">
      <w:pPr>
        <w:pStyle w:val="Heading3"/>
        <w:rPr>
          <w:noProof/>
          <w:szCs w:val="24"/>
        </w:rPr>
      </w:pPr>
      <w:bookmarkStart w:id="219" w:name="_Toc219718419"/>
      <w:r w:rsidRPr="00D86314">
        <w:rPr>
          <w:noProof/>
          <w:szCs w:val="24"/>
        </w:rPr>
        <w:t>Lack of investments in fully-fledged 5G networks</w:t>
      </w:r>
      <w:bookmarkEnd w:id="219"/>
    </w:p>
    <w:p w14:paraId="17F9E74F" w14:textId="0308C082" w:rsidR="0005559D" w:rsidRPr="00D86314" w:rsidRDefault="0005559D" w:rsidP="0005559D">
      <w:pPr>
        <w:spacing w:after="120"/>
        <w:rPr>
          <w:noProof/>
        </w:rPr>
      </w:pPr>
      <w:r w:rsidRPr="00D86314">
        <w:rPr>
          <w:noProof/>
        </w:rPr>
        <w:t>Since the ‘3G era’, Europe has increasingly lagged in the adoption of new technologies. Europe was one of the leading regions for the deployment and adoption of 3G technologies. For 4G, it fell behind the US; for 5G, it has lagged the US, China and the GCC</w:t>
      </w:r>
      <w:r w:rsidRPr="00D86314">
        <w:rPr>
          <w:rStyle w:val="FootnoteReference"/>
          <w:noProof/>
        </w:rPr>
        <w:footnoteReference w:id="142"/>
      </w:r>
      <w:r w:rsidRPr="00D86314">
        <w:rPr>
          <w:noProof/>
        </w:rPr>
        <w:t>, as well as developed APAC markets</w:t>
      </w:r>
      <w:r w:rsidRPr="00D86314">
        <w:rPr>
          <w:rStyle w:val="FootnoteReference"/>
          <w:noProof/>
        </w:rPr>
        <w:footnoteReference w:id="143"/>
      </w:r>
      <w:r w:rsidRPr="00D86314">
        <w:rPr>
          <w:noProof/>
        </w:rPr>
        <w:t xml:space="preserve"> (Figure </w:t>
      </w:r>
      <w:r w:rsidR="00F538D8" w:rsidRPr="00D86314">
        <w:rPr>
          <w:noProof/>
        </w:rPr>
        <w:t>A7 1-1</w:t>
      </w:r>
      <w:r w:rsidRPr="00D86314">
        <w:rPr>
          <w:noProof/>
        </w:rPr>
        <w:t>).</w:t>
      </w:r>
    </w:p>
    <w:p w14:paraId="692B7878" w14:textId="7CD8E9CD" w:rsidR="0005559D" w:rsidRPr="00D86314" w:rsidRDefault="0005559D" w:rsidP="0005559D">
      <w:pPr>
        <w:pStyle w:val="Caption"/>
        <w:keepNext/>
        <w:spacing w:before="240"/>
        <w:rPr>
          <w:noProof/>
          <w:color w:val="auto"/>
          <w:sz w:val="22"/>
          <w:szCs w:val="22"/>
        </w:rPr>
      </w:pPr>
      <w:r w:rsidRPr="00D86314">
        <w:rPr>
          <w:noProof/>
          <w:color w:val="auto"/>
          <w:sz w:val="22"/>
          <w:szCs w:val="22"/>
        </w:rPr>
        <w:t>Figure A7</w:t>
      </w:r>
      <w:r w:rsidR="00A13DA8">
        <w:rPr>
          <w:noProof/>
          <w:color w:val="auto"/>
          <w:sz w:val="22"/>
          <w:szCs w:val="22"/>
        </w:rPr>
        <w:t xml:space="preserve"> </w:t>
      </w:r>
      <w:r w:rsidRPr="00D86314">
        <w:rPr>
          <w:noProof/>
          <w:color w:val="auto"/>
          <w:sz w:val="22"/>
          <w:szCs w:val="22"/>
        </w:rPr>
        <w:t>1-1: 3G/4G/5G penetration</w:t>
      </w:r>
    </w:p>
    <w:p w14:paraId="43B98B54" w14:textId="3B5CCBAB" w:rsidR="0005559D" w:rsidRPr="00D86314" w:rsidRDefault="0005559D" w:rsidP="0005559D">
      <w:pPr>
        <w:rPr>
          <w:noProof/>
        </w:rPr>
      </w:pPr>
      <w:r w:rsidRPr="00CA2C0B">
        <w:rPr>
          <w:noProof/>
          <w:lang w:eastAsia="en-GB"/>
        </w:rPr>
        <w:drawing>
          <wp:inline distT="0" distB="0" distL="0" distR="0" wp14:anchorId="2D4094E3" wp14:editId="78CA98E6">
            <wp:extent cx="5472430" cy="1746250"/>
            <wp:effectExtent l="0" t="0" r="0" b="6350"/>
            <wp:docPr id="484900457" name="Picture 2"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55755" name="Picture 2" descr="Immagine che contiene testo, schermata, Diagramma, linea&#10;&#10;Il contenuto generato dall'IA potrebbe non essere corretto."/>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72430" cy="1746250"/>
                    </a:xfrm>
                    <a:prstGeom prst="rect">
                      <a:avLst/>
                    </a:prstGeom>
                    <a:noFill/>
                    <a:ln>
                      <a:noFill/>
                    </a:ln>
                  </pic:spPr>
                </pic:pic>
              </a:graphicData>
            </a:graphic>
          </wp:inline>
        </w:drawing>
      </w:r>
    </w:p>
    <w:p w14:paraId="4022F965" w14:textId="77777777" w:rsidR="0005559D" w:rsidRPr="00D86314" w:rsidRDefault="0005559D" w:rsidP="0005559D">
      <w:pPr>
        <w:spacing w:after="120"/>
        <w:rPr>
          <w:rFonts w:eastAsia="Times New Roman"/>
          <w:noProof/>
        </w:rPr>
      </w:pPr>
      <w:r w:rsidRPr="00D86314">
        <w:rPr>
          <w:rFonts w:eastAsia="Times New Roman"/>
          <w:noProof/>
        </w:rPr>
        <w:t>High quality 5G networks are considered a key element for a thriving digital economy. Businesses (referred to as "verticals") need to have advanced connectivity to digitize their operational processes and value chains, and drive competitiveness and profitability, while consumers require increased capacity and quality-assured mobile services.</w:t>
      </w:r>
    </w:p>
    <w:p w14:paraId="18C67667" w14:textId="77777777" w:rsidR="0005559D" w:rsidRPr="00D86314" w:rsidRDefault="0005559D" w:rsidP="0005559D">
      <w:pPr>
        <w:spacing w:after="120"/>
        <w:rPr>
          <w:noProof/>
        </w:rPr>
      </w:pPr>
      <w:r w:rsidRPr="00D86314">
        <w:rPr>
          <w:rFonts w:eastAsia="Times New Roman"/>
          <w:noProof/>
        </w:rPr>
        <w:t>Despite considerable differences between Member States due to the inherently different market and regulatory landscapes</w:t>
      </w:r>
      <w:r w:rsidRPr="00D86314">
        <w:rPr>
          <w:rStyle w:val="FootnoteReference"/>
          <w:rFonts w:eastAsia="Times New Roman"/>
          <w:noProof/>
        </w:rPr>
        <w:footnoteReference w:id="144"/>
      </w:r>
      <w:r w:rsidRPr="00D86314">
        <w:rPr>
          <w:rFonts w:eastAsia="Times New Roman"/>
          <w:noProof/>
        </w:rPr>
        <w:t xml:space="preserve">, the Single Market delivered on </w:t>
      </w:r>
      <w:r w:rsidRPr="00D86314">
        <w:rPr>
          <w:noProof/>
        </w:rPr>
        <w:t>basic 5G coverage</w:t>
      </w:r>
      <w:r w:rsidRPr="00D86314">
        <w:rPr>
          <w:rFonts w:eastAsia="Times New Roman"/>
          <w:noProof/>
        </w:rPr>
        <w:t xml:space="preserve"> and low mobile prices for consumers, that are on average significantly lower than in the US. The Single Market underpinned by the EECC, however, did not deliver on the mass deployment of advanced wireless infrastructures and services, like 5G SA or advanced industrial and IoT services, due </w:t>
      </w:r>
      <w:r w:rsidRPr="00D86314">
        <w:rPr>
          <w:noProof/>
        </w:rPr>
        <w:t>limited demand</w:t>
      </w:r>
      <w:r w:rsidRPr="00D86314">
        <w:rPr>
          <w:rFonts w:eastAsia="Times New Roman"/>
          <w:noProof/>
        </w:rPr>
        <w:t xml:space="preserve"> and investment capacity, leaving </w:t>
      </w:r>
      <w:r w:rsidRPr="00D86314">
        <w:rPr>
          <w:noProof/>
        </w:rPr>
        <w:t>Europe considerably behind India, China and US</w:t>
      </w:r>
      <w:r w:rsidRPr="00D86314">
        <w:rPr>
          <w:rStyle w:val="FootnoteReference"/>
          <w:rFonts w:asciiTheme="minorHAnsi" w:eastAsiaTheme="minorEastAsia" w:hAnsiTheme="minorHAnsi" w:cstheme="minorBidi"/>
          <w:noProof/>
        </w:rPr>
        <w:footnoteReference w:id="145"/>
      </w:r>
      <w:r w:rsidRPr="00D86314">
        <w:rPr>
          <w:noProof/>
        </w:rPr>
        <w:t xml:space="preserve">. </w:t>
      </w:r>
    </w:p>
    <w:p w14:paraId="10B917AD" w14:textId="77777777" w:rsidR="0005559D" w:rsidRPr="00D86314" w:rsidRDefault="0005559D" w:rsidP="0005559D">
      <w:pPr>
        <w:spacing w:after="120"/>
        <w:rPr>
          <w:noProof/>
        </w:rPr>
      </w:pPr>
      <w:r w:rsidRPr="00D86314">
        <w:rPr>
          <w:rFonts w:eastAsiaTheme="minorEastAsia"/>
          <w:noProof/>
        </w:rPr>
        <w:t xml:space="preserve">Consumer experience in the EU indicates that </w:t>
      </w:r>
      <w:r w:rsidRPr="00D86314">
        <w:rPr>
          <w:noProof/>
        </w:rPr>
        <w:t>basic 5G does not necessarily ensure a step change quality of service (QoS) compared to 4G; that can be only achieved by 5G SA, enabling slicing and QoS differentiation.</w:t>
      </w:r>
      <w:r w:rsidRPr="00D86314" w:rsidDel="0080190E">
        <w:rPr>
          <w:noProof/>
        </w:rPr>
        <w:t xml:space="preserve"> </w:t>
      </w:r>
    </w:p>
    <w:p w14:paraId="27CDFB8D" w14:textId="77777777" w:rsidR="0005559D" w:rsidRPr="00D86314" w:rsidRDefault="0005559D" w:rsidP="0005559D">
      <w:pPr>
        <w:pStyle w:val="EYBodytextwithparaspace"/>
        <w:spacing w:before="0"/>
        <w:rPr>
          <w:noProof/>
        </w:rPr>
      </w:pPr>
      <w:r w:rsidRPr="00D86314">
        <w:rPr>
          <w:rFonts w:ascii="Times New Roman" w:hAnsi="Times New Roman"/>
          <w:noProof/>
        </w:rPr>
        <w:t xml:space="preserve">There is a significant divergence between theoretical 5G coverage and the 5G coverage and </w:t>
      </w:r>
      <w:r w:rsidRPr="00D86314">
        <w:rPr>
          <w:rFonts w:ascii="Times New Roman" w:eastAsia="Calibri" w:hAnsi="Times New Roman"/>
          <w:noProof/>
        </w:rPr>
        <w:t xml:space="preserve">quality of 5G services </w:t>
      </w:r>
      <w:r w:rsidRPr="00D86314">
        <w:rPr>
          <w:rFonts w:ascii="Times New Roman" w:hAnsi="Times New Roman"/>
          <w:noProof/>
        </w:rPr>
        <w:t>actually available to the end-users.</w:t>
      </w:r>
      <w:r w:rsidRPr="00D86314" w:rsidDel="007874BF">
        <w:rPr>
          <w:rFonts w:ascii="Times New Roman" w:hAnsi="Times New Roman"/>
          <w:noProof/>
        </w:rPr>
        <w:t xml:space="preserve"> </w:t>
      </w:r>
      <w:r w:rsidRPr="00D86314">
        <w:rPr>
          <w:rFonts w:ascii="Times New Roman" w:hAnsi="Times New Roman"/>
          <w:noProof/>
        </w:rPr>
        <w:t xml:space="preserve">On average, in major EU cities, end-users are still connected 25% of time only to 4G. </w:t>
      </w:r>
    </w:p>
    <w:p w14:paraId="24381070" w14:textId="1280CB09" w:rsidR="0005559D" w:rsidRPr="00D86314" w:rsidRDefault="0005559D" w:rsidP="0005559D">
      <w:pPr>
        <w:pStyle w:val="EYBodytextwithparaspace"/>
        <w:spacing w:before="0"/>
        <w:rPr>
          <w:rFonts w:ascii="Times New Roman" w:eastAsia="Calibri" w:hAnsi="Times New Roman"/>
          <w:noProof/>
        </w:rPr>
      </w:pPr>
      <w:r w:rsidRPr="00D86314">
        <w:rPr>
          <w:rFonts w:ascii="Times New Roman" w:eastAsia="Calibri" w:hAnsi="Times New Roman"/>
          <w:noProof/>
        </w:rPr>
        <w:t xml:space="preserve">MedUX data confirm that EU consumers and businesses continue to face frequent fallback to 4G – </w:t>
      </w:r>
      <w:r w:rsidRPr="00D86314">
        <w:rPr>
          <w:rFonts w:ascii="Times New Roman" w:hAnsi="Times New Roman"/>
          <w:noProof/>
        </w:rPr>
        <w:t>in major EU cities, end-users are on average 25% of time connected only to 4G</w:t>
      </w:r>
      <w:r w:rsidRPr="00D86314">
        <w:rPr>
          <w:rFonts w:ascii="Times New Roman" w:eastAsia="Calibri" w:hAnsi="Times New Roman"/>
          <w:noProof/>
        </w:rPr>
        <w:t xml:space="preserve"> </w:t>
      </w:r>
      <w:r w:rsidRPr="00D86314">
        <w:rPr>
          <w:rFonts w:ascii="Times New Roman" w:hAnsi="Times New Roman"/>
          <w:noProof/>
        </w:rPr>
        <w:t>as</w:t>
      </w:r>
      <w:r w:rsidRPr="00D86314">
        <w:rPr>
          <w:rFonts w:ascii="Times New Roman" w:eastAsia="Calibri" w:hAnsi="Times New Roman"/>
          <w:noProof/>
        </w:rPr>
        <w:t xml:space="preserve"> indicated </w:t>
      </w:r>
      <w:r w:rsidRPr="00D86314">
        <w:rPr>
          <w:rFonts w:ascii="Times New Roman" w:hAnsi="Times New Roman"/>
          <w:noProof/>
        </w:rPr>
        <w:t>MedUX field measurements</w:t>
      </w:r>
      <w:r w:rsidRPr="00D86314">
        <w:rPr>
          <w:rFonts w:ascii="Times New Roman" w:eastAsia="Calibri" w:hAnsi="Times New Roman"/>
          <w:noProof/>
        </w:rPr>
        <w:t xml:space="preserve"> </w:t>
      </w:r>
      <w:r w:rsidRPr="00D86314">
        <w:rPr>
          <w:rFonts w:ascii="Times New Roman" w:hAnsi="Times New Roman"/>
          <w:noProof/>
        </w:rPr>
        <w:t>-</w:t>
      </w:r>
      <w:r w:rsidRPr="00D86314">
        <w:rPr>
          <w:rFonts w:ascii="Times New Roman" w:eastAsia="Calibri" w:hAnsi="Times New Roman"/>
          <w:noProof/>
        </w:rPr>
        <w:t xml:space="preserve"> and limited access to high-quality 5G (mid-band and standalone). Further details are provided in Annex 11 (see several figures on quality of services and quality of experience).</w:t>
      </w:r>
    </w:p>
    <w:p w14:paraId="15DB65B7" w14:textId="77777777" w:rsidR="0005559D" w:rsidRPr="00D86314" w:rsidRDefault="0005559D" w:rsidP="0005559D">
      <w:pPr>
        <w:pStyle w:val="EYBodytextwithparaspace"/>
        <w:spacing w:before="0"/>
        <w:rPr>
          <w:noProof/>
        </w:rPr>
      </w:pPr>
      <w:r w:rsidRPr="00D86314">
        <w:rPr>
          <w:rFonts w:ascii="Times New Roman" w:hAnsi="Times New Roman"/>
          <w:noProof/>
        </w:rPr>
        <w:t>Currently, there is still a significant number of European MNOs in an intermediate stage of 5G adoption, as they maintain the massive use of 5G NSA without a clear perspective for adopting 5G SA. This implies relevant limitations for innovative features enabled by 5G SA, including network slicing, thus preventing the efficient deployment of a set of relevant use cases.</w:t>
      </w:r>
      <w:r w:rsidRPr="00D86314">
        <w:rPr>
          <w:rFonts w:ascii="Times New Roman" w:hAnsi="Times New Roman"/>
          <w:noProof/>
          <w:color w:val="000000" w:themeColor="text1"/>
          <w:sz w:val="23"/>
          <w:szCs w:val="23"/>
        </w:rPr>
        <w:t xml:space="preserve"> </w:t>
      </w:r>
      <w:r w:rsidRPr="00D86314">
        <w:rPr>
          <w:rFonts w:ascii="Times New Roman" w:hAnsi="Times New Roman"/>
          <w:noProof/>
        </w:rPr>
        <w:t>While the expectation is that in the coming few years, the EU will catch up with the other major regions regarding 5G SA, thanks to improved technology maturity, a better developed device ecosystem and a growing demand among enterprises for more advanced use cases requiring 5G SA, the competitiveness of the European economy depends on its ability to lead and not to trail in the deployment of transformative technologies</w:t>
      </w:r>
      <w:r w:rsidRPr="00D86314">
        <w:rPr>
          <w:noProof/>
        </w:rPr>
        <w:t xml:space="preserve">. </w:t>
      </w:r>
    </w:p>
    <w:p w14:paraId="1CD9ECD5" w14:textId="23091A9C" w:rsidR="0005559D" w:rsidRPr="00D86314" w:rsidRDefault="0005559D" w:rsidP="00E63F1D">
      <w:pPr>
        <w:spacing w:after="120"/>
        <w:rPr>
          <w:noProof/>
        </w:rPr>
      </w:pPr>
      <w:r w:rsidRPr="00D86314">
        <w:rPr>
          <w:rFonts w:eastAsiaTheme="minorEastAsia"/>
          <w:noProof/>
        </w:rPr>
        <w:t>Deployment of 5G SA networks in the mid-band is significantly more expensive than of basic 5G networks, when the cost of densification of networks is included</w:t>
      </w:r>
      <w:r w:rsidRPr="00D86314">
        <w:rPr>
          <w:rFonts w:eastAsiaTheme="minorEastAsia"/>
          <w:b/>
          <w:bCs/>
          <w:noProof/>
        </w:rPr>
        <w:t>.</w:t>
      </w:r>
      <w:r w:rsidRPr="00D86314">
        <w:rPr>
          <w:rFonts w:eastAsiaTheme="minorEastAsia"/>
          <w:noProof/>
        </w:rPr>
        <w:t xml:space="preserve"> In terms of the spectrum used, low-band spectrum (700 MHz in the EU, 600 MHz in North America) allows rapid roll-out of networks to provide basic 5G coverage. However, due to limited capacity, a 5G network based on low-band spectrum can only provide marginal improvements in end-user experience when compared with LTE networks</w:t>
      </w:r>
      <w:r w:rsidRPr="00D86314">
        <w:rPr>
          <w:noProof/>
        </w:rPr>
        <w:t>.</w:t>
      </w:r>
      <w:r w:rsidRPr="00D86314">
        <w:rPr>
          <w:noProof/>
          <w:vertAlign w:val="superscript"/>
        </w:rPr>
        <w:footnoteReference w:id="146"/>
      </w:r>
      <w:r w:rsidR="006752A1" w:rsidRPr="00D86314">
        <w:rPr>
          <w:noProof/>
        </w:rPr>
        <w:t xml:space="preserve"> </w:t>
      </w:r>
    </w:p>
    <w:p w14:paraId="6F5F6890" w14:textId="77777777" w:rsidR="0005559D" w:rsidRPr="00D86314" w:rsidRDefault="0005559D" w:rsidP="0005559D">
      <w:pPr>
        <w:pStyle w:val="EYBodytextwithparaspace"/>
        <w:spacing w:before="0"/>
        <w:rPr>
          <w:rFonts w:ascii="Times New Roman" w:hAnsi="Times New Roman"/>
          <w:b/>
          <w:noProof/>
        </w:rPr>
      </w:pPr>
      <w:r w:rsidRPr="00D86314">
        <w:rPr>
          <w:rFonts w:ascii="Times New Roman" w:hAnsi="Times New Roman"/>
          <w:noProof/>
        </w:rPr>
        <w:t>Lack of investment in 5G SA can also negatively affect the transition to and timely deployment of 6G networks, as 5G SA, with its enhanced capabilities and flexibility, is an enabling bridge towards 6G deployment and thus essential to ensure that Europe can be at the forefront of global innovation</w:t>
      </w:r>
      <w:r w:rsidRPr="00D86314">
        <w:rPr>
          <w:rFonts w:ascii="Times New Roman" w:hAnsi="Times New Roman"/>
          <w:b/>
          <w:bCs/>
          <w:noProof/>
        </w:rPr>
        <w:t>.</w:t>
      </w:r>
    </w:p>
    <w:p w14:paraId="128143E4" w14:textId="7E1C3A43" w:rsidR="0005559D" w:rsidRPr="00D86314" w:rsidRDefault="0005559D" w:rsidP="0005559D">
      <w:pPr>
        <w:spacing w:after="360"/>
        <w:rPr>
          <w:noProof/>
        </w:rPr>
      </w:pPr>
      <w:r w:rsidRPr="00D86314">
        <w:rPr>
          <w:noProof/>
        </w:rPr>
        <w:t>Based on Ookla speed tests, 5G SA availability in Europe was as low as 2% in late 2024, compared to 80% in China, 52% in India and 24% in the US</w:t>
      </w:r>
      <w:r w:rsidRPr="00D86314">
        <w:rPr>
          <w:rStyle w:val="FootnoteReference"/>
          <w:noProof/>
        </w:rPr>
        <w:footnoteReference w:id="147"/>
      </w:r>
      <w:r w:rsidRPr="00D86314">
        <w:rPr>
          <w:rStyle w:val="FootnoteReference"/>
          <w:noProof/>
        </w:rPr>
        <w:t xml:space="preserve"> </w:t>
      </w:r>
      <w:r w:rsidRPr="00D86314">
        <w:rPr>
          <w:noProof/>
        </w:rPr>
        <w:t>(Figure A7 1-2). Most European users experience 5G mainly as faster 4G, without the full benefits of 5G SA. These include ultra-low latency, where connections respond almost instantly; greater reliability, allowing networks to remain stable even in crowded places like stadiums or festivals; and advanced features such as network slicing, which can dedicate parts of the network to emergency services, autonomous cars, or industrial automation.</w:t>
      </w:r>
    </w:p>
    <w:p w14:paraId="04164EDC" w14:textId="288E5150" w:rsidR="0005559D" w:rsidRPr="00D86314" w:rsidRDefault="0005559D" w:rsidP="0005559D">
      <w:pPr>
        <w:pStyle w:val="Caption"/>
        <w:keepNext/>
        <w:keepLines/>
        <w:ind w:left="1418" w:hanging="1418"/>
        <w:rPr>
          <w:noProof/>
          <w:sz w:val="22"/>
          <w:szCs w:val="22"/>
        </w:rPr>
      </w:pPr>
      <w:r w:rsidRPr="00D86314">
        <w:rPr>
          <w:noProof/>
          <w:color w:val="auto"/>
          <w:sz w:val="22"/>
          <w:szCs w:val="22"/>
        </w:rPr>
        <w:t>Figure A7</w:t>
      </w:r>
      <w:r w:rsidR="00A13DA8">
        <w:rPr>
          <w:noProof/>
          <w:color w:val="auto"/>
          <w:sz w:val="22"/>
          <w:szCs w:val="22"/>
        </w:rPr>
        <w:t xml:space="preserve"> </w:t>
      </w:r>
      <w:r w:rsidRPr="00D86314">
        <w:rPr>
          <w:noProof/>
          <w:color w:val="auto"/>
          <w:sz w:val="22"/>
          <w:szCs w:val="22"/>
        </w:rPr>
        <w:t xml:space="preserve">1-2: </w:t>
      </w:r>
      <w:r w:rsidR="004052B6" w:rsidRPr="00D86314">
        <w:rPr>
          <w:noProof/>
          <w:color w:val="auto"/>
          <w:sz w:val="22"/>
          <w:szCs w:val="22"/>
        </w:rPr>
        <w:tab/>
      </w:r>
      <w:r w:rsidRPr="00D86314">
        <w:rPr>
          <w:noProof/>
          <w:color w:val="auto"/>
          <w:sz w:val="22"/>
          <w:szCs w:val="22"/>
        </w:rPr>
        <w:t xml:space="preserve">5G SA share of total 5G samples for different regions. Source: Ookla/Omdia (2025), A Global Evaluation of Europe’s Digital Competitiveness in 5G </w:t>
      </w:r>
      <w:r w:rsidRPr="00D81760">
        <w:rPr>
          <w:noProof/>
          <w:color w:val="auto"/>
          <w:sz w:val="22"/>
          <w:szCs w:val="22"/>
        </w:rPr>
        <w:t xml:space="preserve">Standalone, </w:t>
      </w:r>
      <w:r w:rsidRPr="00C20A01">
        <w:rPr>
          <w:noProof/>
          <w:color w:val="auto"/>
          <w:sz w:val="22"/>
          <w:szCs w:val="22"/>
        </w:rPr>
        <w:t>p. 1</w:t>
      </w:r>
      <w:r w:rsidR="00D81760">
        <w:rPr>
          <w:noProof/>
          <w:color w:val="auto"/>
          <w:sz w:val="22"/>
          <w:szCs w:val="22"/>
        </w:rPr>
        <w:t>.</w:t>
      </w:r>
    </w:p>
    <w:p w14:paraId="66DBF6E8" w14:textId="77777777" w:rsidR="0005559D" w:rsidRPr="00D86314" w:rsidRDefault="0005559D" w:rsidP="0005559D">
      <w:pPr>
        <w:jc w:val="center"/>
        <w:rPr>
          <w:noProof/>
        </w:rPr>
      </w:pPr>
      <w:r w:rsidRPr="00CA2C0B">
        <w:rPr>
          <w:noProof/>
          <w:lang w:eastAsia="en-GB"/>
        </w:rPr>
        <w:drawing>
          <wp:inline distT="0" distB="0" distL="0" distR="0" wp14:anchorId="5C1E7C93" wp14:editId="189DEEAB">
            <wp:extent cx="4120075" cy="2343293"/>
            <wp:effectExtent l="0" t="0" r="0" b="0"/>
            <wp:docPr id="1818881813" name="Picture 187453082" descr="Immagine che contiene testo, schermata, line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3082" name="Picture 187453082" descr="Immagine che contiene testo, schermata, linea, Carattere&#10;&#10;Il contenuto generato dall'IA potrebbe non essere corretto."/>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4162900" cy="2367649"/>
                    </a:xfrm>
                    <a:prstGeom prst="rect">
                      <a:avLst/>
                    </a:prstGeom>
                  </pic:spPr>
                </pic:pic>
              </a:graphicData>
            </a:graphic>
          </wp:inline>
        </w:drawing>
      </w:r>
    </w:p>
    <w:p w14:paraId="1F9C09D6" w14:textId="66468B86" w:rsidR="0005559D" w:rsidRPr="00D86314" w:rsidRDefault="0005559D" w:rsidP="0005559D">
      <w:pPr>
        <w:rPr>
          <w:noProof/>
        </w:rPr>
      </w:pPr>
      <w:r w:rsidRPr="00D86314">
        <w:rPr>
          <w:noProof/>
        </w:rPr>
        <w:t xml:space="preserve">Ookla speed tests findings for Europe are in line with MedUX’s finding of 2.1% 5G SA availability when users are connected to 5G; when considering all access technologies, 5G SA accounts for only 1.2% of usage. In the international comparison, MedUX data </w:t>
      </w:r>
      <w:r w:rsidR="00ED4985" w:rsidRPr="00D86314">
        <w:rPr>
          <w:noProof/>
        </w:rPr>
        <w:t xml:space="preserve">indicate </w:t>
      </w:r>
      <w:r w:rsidRPr="00D86314">
        <w:rPr>
          <w:noProof/>
        </w:rPr>
        <w:t>that in 5G SA adoption, the EU is far behind a number of countries (for example, India records 25% 5G SA usage and the US 18%).</w:t>
      </w:r>
    </w:p>
    <w:p w14:paraId="40320B44" w14:textId="76D23D01" w:rsidR="0005559D" w:rsidRPr="00C20A01" w:rsidRDefault="0005559D" w:rsidP="0005559D">
      <w:pPr>
        <w:pStyle w:val="Caption"/>
        <w:keepNext/>
        <w:keepLines/>
        <w:rPr>
          <w:noProof/>
          <w:color w:val="auto"/>
          <w:sz w:val="22"/>
          <w:szCs w:val="22"/>
          <w:lang w:val="fr-BE"/>
        </w:rPr>
      </w:pPr>
      <w:r w:rsidRPr="00C20A01">
        <w:rPr>
          <w:noProof/>
          <w:color w:val="auto"/>
          <w:sz w:val="22"/>
          <w:szCs w:val="22"/>
          <w:lang w:val="fr-BE"/>
        </w:rPr>
        <w:t>Figure A7</w:t>
      </w:r>
      <w:r w:rsidR="00A13DA8">
        <w:rPr>
          <w:noProof/>
          <w:color w:val="auto"/>
          <w:sz w:val="22"/>
          <w:szCs w:val="22"/>
          <w:lang w:val="fr-BE"/>
        </w:rPr>
        <w:t xml:space="preserve"> </w:t>
      </w:r>
      <w:r w:rsidRPr="00C20A01">
        <w:rPr>
          <w:noProof/>
          <w:color w:val="auto"/>
          <w:sz w:val="22"/>
          <w:szCs w:val="22"/>
          <w:lang w:val="fr-BE"/>
        </w:rPr>
        <w:t>1-3: International comparison: 5G SA usage, Source Medux</w:t>
      </w:r>
    </w:p>
    <w:p w14:paraId="5AE71634" w14:textId="77777777" w:rsidR="0005559D" w:rsidRPr="00D86314" w:rsidRDefault="0005559D" w:rsidP="0005559D">
      <w:pPr>
        <w:rPr>
          <w:rFonts w:eastAsia="EYInterstate Light"/>
          <w:noProof/>
        </w:rPr>
      </w:pPr>
      <w:r w:rsidRPr="00C20A01">
        <w:rPr>
          <w:rFonts w:eastAsia="EYInterstate Light"/>
          <w:noProof/>
          <w:lang w:val="fr-BE"/>
        </w:rPr>
        <w:t xml:space="preserve"> </w:t>
      </w:r>
      <w:r w:rsidRPr="00CA2C0B">
        <w:rPr>
          <w:noProof/>
          <w:lang w:eastAsia="en-GB"/>
        </w:rPr>
        <w:drawing>
          <wp:inline distT="0" distB="0" distL="0" distR="0" wp14:anchorId="7DD9D2BC" wp14:editId="2876747A">
            <wp:extent cx="5472430" cy="2849282"/>
            <wp:effectExtent l="0" t="0" r="0" b="8255"/>
            <wp:docPr id="521352569" name="drawing" descr="Une image contenant texte, capture d’écran, Polic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19490" name="drawing" descr="Une image contenant texte, capture d’écran, Police, Caractère coloré&#10;&#10;Le contenu généré par l’IA peut être incorrect."/>
                    <pic:cNvPicPr/>
                  </pic:nvPicPr>
                  <pic:blipFill>
                    <a:blip r:embed="rId123">
                      <a:extLst>
                        <a:ext uri="{28A0092B-C50C-407E-A947-70E740481C1C}">
                          <a14:useLocalDpi xmlns:a14="http://schemas.microsoft.com/office/drawing/2010/main" val="0"/>
                        </a:ext>
                      </a:extLst>
                    </a:blip>
                    <a:stretch>
                      <a:fillRect/>
                    </a:stretch>
                  </pic:blipFill>
                  <pic:spPr>
                    <a:xfrm>
                      <a:off x="0" y="0"/>
                      <a:ext cx="5472430" cy="2849282"/>
                    </a:xfrm>
                    <a:prstGeom prst="rect">
                      <a:avLst/>
                    </a:prstGeom>
                  </pic:spPr>
                </pic:pic>
              </a:graphicData>
            </a:graphic>
          </wp:inline>
        </w:drawing>
      </w:r>
    </w:p>
    <w:p w14:paraId="6E4BB54F" w14:textId="77777777" w:rsidR="0005559D" w:rsidRPr="00D86314" w:rsidRDefault="0005559D" w:rsidP="0005559D">
      <w:pPr>
        <w:rPr>
          <w:rFonts w:eastAsiaTheme="minorEastAsia"/>
          <w:noProof/>
        </w:rPr>
      </w:pPr>
    </w:p>
    <w:p w14:paraId="1FCADDA9" w14:textId="163C34D3" w:rsidR="0005559D" w:rsidRPr="00D86314" w:rsidRDefault="0005559D" w:rsidP="00DC0C22">
      <w:pPr>
        <w:rPr>
          <w:rFonts w:eastAsiaTheme="minorEastAsia"/>
          <w:noProof/>
        </w:rPr>
      </w:pPr>
      <w:r w:rsidRPr="00D86314">
        <w:rPr>
          <w:rFonts w:eastAsiaTheme="minorEastAsia"/>
          <w:noProof/>
        </w:rPr>
        <w:t>The limited deployment in mid-</w:t>
      </w:r>
      <w:r w:rsidRPr="00D86314" w:rsidDel="0088042B">
        <w:rPr>
          <w:rFonts w:eastAsiaTheme="minorEastAsia"/>
          <w:noProof/>
        </w:rPr>
        <w:t xml:space="preserve">bands </w:t>
      </w:r>
      <w:r w:rsidRPr="00D86314">
        <w:rPr>
          <w:rFonts w:eastAsiaTheme="minorEastAsia"/>
          <w:noProof/>
        </w:rPr>
        <w:t xml:space="preserve">has limited the speeds achievable on 5G SA networks in Europe. </w:t>
      </w:r>
    </w:p>
    <w:p w14:paraId="44A66154" w14:textId="77777777" w:rsidR="0005559D" w:rsidRPr="00D86314" w:rsidRDefault="0005559D" w:rsidP="0005559D">
      <w:pPr>
        <w:spacing w:before="240" w:after="120"/>
        <w:rPr>
          <w:rFonts w:eastAsiaTheme="minorEastAsia"/>
          <w:noProof/>
        </w:rPr>
      </w:pPr>
      <w:r w:rsidRPr="00D86314">
        <w:rPr>
          <w:rFonts w:eastAsiaTheme="minorEastAsia"/>
          <w:noProof/>
        </w:rPr>
        <w:t>While mid- and high-band spectrum can deliver higher capacity and faster speeds it</w:t>
      </w:r>
      <w:r w:rsidRPr="00D86314" w:rsidDel="00150C1A">
        <w:rPr>
          <w:rFonts w:eastAsiaTheme="minorEastAsia"/>
          <w:noProof/>
        </w:rPr>
        <w:t xml:space="preserve"> </w:t>
      </w:r>
      <w:r w:rsidRPr="00D86314">
        <w:rPr>
          <w:rFonts w:eastAsiaTheme="minorEastAsia"/>
          <w:noProof/>
        </w:rPr>
        <w:t>has more limited propagation characteristics, and hence smaller antenna coverage areas. Therefore,</w:t>
      </w:r>
      <w:r w:rsidRPr="00D86314" w:rsidDel="0068630D">
        <w:rPr>
          <w:rFonts w:eastAsiaTheme="minorEastAsia"/>
          <w:noProof/>
        </w:rPr>
        <w:t xml:space="preserve"> </w:t>
      </w:r>
      <w:r w:rsidRPr="00D86314">
        <w:rPr>
          <w:rFonts w:eastAsiaTheme="minorEastAsia"/>
          <w:noProof/>
        </w:rPr>
        <w:t xml:space="preserve">5G SA deployments in mid-band depend more on </w:t>
      </w:r>
      <w:r w:rsidRPr="00D86314" w:rsidDel="00981F9F">
        <w:rPr>
          <w:rFonts w:eastAsiaTheme="minorEastAsia"/>
          <w:b/>
          <w:noProof/>
        </w:rPr>
        <w:t>network densification</w:t>
      </w:r>
      <w:r w:rsidRPr="00D86314">
        <w:rPr>
          <w:rFonts w:eastAsiaTheme="minorEastAsia"/>
          <w:noProof/>
        </w:rPr>
        <w:t xml:space="preserve">, e.g. through installing addition of small cells. North America, China, and Southeast Asia have significantly higher number of small cell deployment, compared to Western and Eastern Europe. </w:t>
      </w:r>
    </w:p>
    <w:p w14:paraId="3DF0B18D" w14:textId="3E095870" w:rsidR="0005559D" w:rsidRPr="00D86314" w:rsidRDefault="0005559D" w:rsidP="0005559D">
      <w:pPr>
        <w:spacing w:after="120"/>
        <w:rPr>
          <w:noProof/>
        </w:rPr>
      </w:pPr>
      <w:r w:rsidRPr="00D86314">
        <w:rPr>
          <w:noProof/>
        </w:rPr>
        <w:t>The Commission study</w:t>
      </w:r>
      <w:r w:rsidRPr="00D86314">
        <w:rPr>
          <w:rStyle w:val="FootnoteReference"/>
          <w:noProof/>
        </w:rPr>
        <w:footnoteReference w:id="148"/>
      </w:r>
      <w:r w:rsidRPr="00D86314">
        <w:rPr>
          <w:noProof/>
        </w:rPr>
        <w:t xml:space="preserve"> also considers that limited use of mid-band spectrum in 5G deployment in Europe, despite the widespread availability of this spectrum in most Member States as of 2022,</w:t>
      </w:r>
      <w:r w:rsidRPr="00D86314">
        <w:rPr>
          <w:noProof/>
          <w:vertAlign w:val="superscript"/>
        </w:rPr>
        <w:footnoteReference w:id="149"/>
      </w:r>
      <w:r w:rsidRPr="00D86314">
        <w:rPr>
          <w:noProof/>
        </w:rPr>
        <w:t xml:space="preserve"> is confirmed by the lower numbers of small cells compared with those of the US and Asia as reported in surveys conducted by the Small Cell Forum (SCF).</w:t>
      </w:r>
      <w:r w:rsidR="00A13DA8">
        <w:rPr>
          <w:noProof/>
        </w:rPr>
        <w:t xml:space="preserve"> </w:t>
      </w:r>
      <w:r w:rsidRPr="00D86314">
        <w:rPr>
          <w:noProof/>
          <w:vertAlign w:val="superscript"/>
        </w:rPr>
        <w:footnoteReference w:id="150"/>
      </w:r>
      <w:r w:rsidRPr="00D86314">
        <w:rPr>
          <w:noProof/>
        </w:rPr>
        <w:t xml:space="preserve"> </w:t>
      </w:r>
    </w:p>
    <w:p w14:paraId="55D8467D" w14:textId="5C3A73A7" w:rsidR="0005559D" w:rsidRPr="00D86314" w:rsidRDefault="0005559D" w:rsidP="0005559D">
      <w:pPr>
        <w:pStyle w:val="EYBodytextwithparaspace"/>
        <w:spacing w:before="0"/>
        <w:rPr>
          <w:rFonts w:ascii="Times New Roman" w:hAnsi="Times New Roman"/>
          <w:noProof/>
        </w:rPr>
      </w:pPr>
      <w:r w:rsidRPr="00D86314">
        <w:rPr>
          <w:rFonts w:ascii="Times New Roman" w:hAnsi="Times New Roman"/>
          <w:noProof/>
        </w:rPr>
        <w:t>Network densification across the EU remains well below the levels required to support advanced 5G services</w:t>
      </w:r>
      <w:r w:rsidR="006555EA" w:rsidRPr="00D86314">
        <w:rPr>
          <w:rFonts w:ascii="Times New Roman" w:hAnsi="Times New Roman"/>
          <w:noProof/>
        </w:rPr>
        <w:t xml:space="preserve"> </w:t>
      </w:r>
      <w:r w:rsidR="006555EA" w:rsidRPr="00D86314">
        <w:rPr>
          <w:rStyle w:val="FootnoteReference"/>
          <w:rFonts w:ascii="Times New Roman" w:hAnsi="Times New Roman"/>
          <w:noProof/>
        </w:rPr>
        <w:footnoteReference w:id="151"/>
      </w:r>
      <w:r w:rsidRPr="00D86314">
        <w:rPr>
          <w:rFonts w:ascii="Times New Roman" w:hAnsi="Times New Roman"/>
          <w:noProof/>
        </w:rPr>
        <w:t xml:space="preserve">. Without significant densification, especially in bands above 3.6 GHz (e.g. mm-wave bands), the promise of 5G to support high-throughput, low-latency industrial use will remain unfulfilled. </w:t>
      </w:r>
    </w:p>
    <w:p w14:paraId="65150233" w14:textId="4E71FCFE" w:rsidR="0005559D" w:rsidRPr="00D86314" w:rsidRDefault="0005559D" w:rsidP="0005559D">
      <w:pPr>
        <w:rPr>
          <w:rFonts w:eastAsia="Times New Roman"/>
          <w:noProof/>
          <w:color w:val="000000" w:themeColor="text1"/>
        </w:rPr>
      </w:pPr>
      <w:r w:rsidRPr="00D86314">
        <w:rPr>
          <w:noProof/>
        </w:rPr>
        <w:t xml:space="preserve">From the </w:t>
      </w:r>
      <w:r w:rsidRPr="00D86314">
        <w:rPr>
          <w:b/>
          <w:bCs/>
          <w:noProof/>
        </w:rPr>
        <w:t>societal perspective</w:t>
      </w:r>
      <w:r w:rsidRPr="00D86314">
        <w:rPr>
          <w:noProof/>
        </w:rPr>
        <w:t xml:space="preserve">, </w:t>
      </w:r>
      <w:r w:rsidRPr="00D86314">
        <w:rPr>
          <w:rFonts w:eastAsia="Times New Roman"/>
          <w:noProof/>
          <w:color w:val="000000" w:themeColor="text1"/>
        </w:rPr>
        <w:t>the rate of fully-fledged 5G deployment has direct repercussions in terms of quality of experience for end users. EU27 average download speed stands at 69.9 Mbps, which is lower than South Korea (162.2 Mbps),</w:t>
      </w:r>
      <w:r w:rsidRPr="00D86314" w:rsidDel="00D623B8">
        <w:rPr>
          <w:rFonts w:eastAsia="Times New Roman"/>
          <w:noProof/>
          <w:color w:val="000000" w:themeColor="text1"/>
        </w:rPr>
        <w:t xml:space="preserve"> </w:t>
      </w:r>
      <w:r w:rsidRPr="00D86314">
        <w:rPr>
          <w:rFonts w:eastAsia="Times New Roman"/>
          <w:noProof/>
          <w:color w:val="000000" w:themeColor="text1"/>
        </w:rPr>
        <w:t>the US (129.3 Mbps) and China (100 Mbps) and also below international average values standing at approx. 70.4Mbps, according to MedUX data (</w:t>
      </w:r>
      <w:r w:rsidRPr="00D86314">
        <w:rPr>
          <w:noProof/>
        </w:rPr>
        <w:t xml:space="preserve">see </w:t>
      </w:r>
      <w:r w:rsidR="003D1A7A">
        <w:rPr>
          <w:noProof/>
        </w:rPr>
        <w:t>Figure A7</w:t>
      </w:r>
      <w:r w:rsidR="00A13DA8">
        <w:rPr>
          <w:noProof/>
        </w:rPr>
        <w:t xml:space="preserve"> </w:t>
      </w:r>
      <w:r w:rsidR="003D1A7A">
        <w:rPr>
          <w:noProof/>
        </w:rPr>
        <w:t xml:space="preserve">1-4 and </w:t>
      </w:r>
      <w:r w:rsidRPr="00D86314">
        <w:rPr>
          <w:noProof/>
        </w:rPr>
        <w:t>Evaluation Report Annex 11 Appendix II B</w:t>
      </w:r>
      <w:r w:rsidRPr="00D86314">
        <w:rPr>
          <w:rFonts w:eastAsia="Times New Roman"/>
          <w:noProof/>
          <w:color w:val="000000" w:themeColor="text1"/>
        </w:rPr>
        <w:t>)</w:t>
      </w:r>
      <w:r w:rsidRPr="00D86314">
        <w:rPr>
          <w:rStyle w:val="FootnoteReference"/>
          <w:rFonts w:eastAsia="Times New Roman"/>
          <w:noProof/>
          <w:color w:val="000000" w:themeColor="text1"/>
        </w:rPr>
        <w:footnoteReference w:id="152"/>
      </w:r>
      <w:r w:rsidRPr="00D86314">
        <w:rPr>
          <w:rFonts w:eastAsia="Times New Roman"/>
          <w:noProof/>
          <w:color w:val="000000" w:themeColor="text1"/>
        </w:rPr>
        <w:t>.</w:t>
      </w:r>
      <w:r w:rsidRPr="00D86314">
        <w:rPr>
          <w:noProof/>
        </w:rPr>
        <w:t xml:space="preserve"> </w:t>
      </w:r>
      <w:r w:rsidRPr="00D86314">
        <w:rPr>
          <w:rFonts w:eastAsia="Times New Roman"/>
          <w:noProof/>
          <w:color w:val="000000" w:themeColor="text1"/>
        </w:rPr>
        <w:t>Ookla puts the median EU speed in all mobile technologies at 117 Mbps. The number for 5G is likely to be higher if the slower results from earlier mobile generations are removed</w:t>
      </w:r>
      <w:r w:rsidR="003D1A7A">
        <w:rPr>
          <w:rFonts w:eastAsia="Times New Roman"/>
          <w:noProof/>
          <w:color w:val="000000" w:themeColor="text1"/>
        </w:rPr>
        <w:t>.</w:t>
      </w:r>
      <w:r w:rsidRPr="00D86314">
        <w:rPr>
          <w:rStyle w:val="FootnoteReference"/>
          <w:rFonts w:eastAsia="Times New Roman"/>
          <w:noProof/>
          <w:color w:val="000000" w:themeColor="text1"/>
        </w:rPr>
        <w:footnoteReference w:id="153"/>
      </w:r>
    </w:p>
    <w:p w14:paraId="720241BB" w14:textId="060374C5" w:rsidR="0005559D" w:rsidRPr="00D86314" w:rsidRDefault="0005559D" w:rsidP="0005559D">
      <w:pPr>
        <w:pStyle w:val="Caption"/>
        <w:keepNext/>
        <w:keepLines/>
        <w:rPr>
          <w:noProof/>
          <w:color w:val="auto"/>
          <w:sz w:val="22"/>
          <w:szCs w:val="22"/>
        </w:rPr>
      </w:pPr>
      <w:r w:rsidRPr="00D86314">
        <w:rPr>
          <w:noProof/>
          <w:color w:val="auto"/>
          <w:sz w:val="22"/>
          <w:szCs w:val="22"/>
        </w:rPr>
        <w:t>Figure A7</w:t>
      </w:r>
      <w:r w:rsidR="00A13DA8">
        <w:rPr>
          <w:noProof/>
          <w:color w:val="auto"/>
          <w:sz w:val="22"/>
          <w:szCs w:val="22"/>
        </w:rPr>
        <w:t xml:space="preserve"> </w:t>
      </w:r>
      <w:r w:rsidRPr="00D86314">
        <w:rPr>
          <w:noProof/>
          <w:color w:val="auto"/>
          <w:sz w:val="22"/>
          <w:szCs w:val="22"/>
        </w:rPr>
        <w:t>1-</w:t>
      </w:r>
      <w:r w:rsidR="009D0B43" w:rsidRPr="00D86314">
        <w:rPr>
          <w:noProof/>
          <w:color w:val="auto"/>
          <w:sz w:val="22"/>
          <w:szCs w:val="22"/>
        </w:rPr>
        <w:t>4</w:t>
      </w:r>
      <w:r w:rsidRPr="00D86314">
        <w:rPr>
          <w:noProof/>
          <w:color w:val="auto"/>
          <w:sz w:val="22"/>
          <w:szCs w:val="22"/>
        </w:rPr>
        <w:t>: International comparison of average downlink speed, Source Medux</w:t>
      </w:r>
    </w:p>
    <w:p w14:paraId="5BA08FA7" w14:textId="77777777" w:rsidR="0005559D" w:rsidRPr="00D86314" w:rsidRDefault="0005559D" w:rsidP="0005559D">
      <w:pPr>
        <w:rPr>
          <w:noProof/>
        </w:rPr>
      </w:pPr>
      <w:r w:rsidRPr="00CA2C0B">
        <w:rPr>
          <w:noProof/>
          <w:lang w:eastAsia="en-GB"/>
        </w:rPr>
        <w:drawing>
          <wp:inline distT="0" distB="0" distL="0" distR="0" wp14:anchorId="7F85169F" wp14:editId="2FC1D63C">
            <wp:extent cx="5467350" cy="1628775"/>
            <wp:effectExtent l="0" t="0" r="0" b="0"/>
            <wp:docPr id="1661174088" name="drawing"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22569" name=""/>
                    <pic:cNvPicPr/>
                  </pic:nvPicPr>
                  <pic:blipFill>
                    <a:blip r:embed="rId124">
                      <a:extLst>
                        <a:ext uri="{28A0092B-C50C-407E-A947-70E740481C1C}">
                          <a14:useLocalDpi xmlns:a14="http://schemas.microsoft.com/office/drawing/2010/main" val="0"/>
                        </a:ext>
                      </a:extLst>
                    </a:blip>
                    <a:stretch>
                      <a:fillRect/>
                    </a:stretch>
                  </pic:blipFill>
                  <pic:spPr>
                    <a:xfrm>
                      <a:off x="0" y="0"/>
                      <a:ext cx="5467350" cy="1628775"/>
                    </a:xfrm>
                    <a:prstGeom prst="rect">
                      <a:avLst/>
                    </a:prstGeom>
                  </pic:spPr>
                </pic:pic>
              </a:graphicData>
            </a:graphic>
          </wp:inline>
        </w:drawing>
      </w:r>
    </w:p>
    <w:p w14:paraId="39B3E916" w14:textId="362F628A" w:rsidR="0005559D" w:rsidRPr="00D86314" w:rsidRDefault="0005559D" w:rsidP="0005559D">
      <w:pPr>
        <w:spacing w:before="240" w:after="120"/>
        <w:rPr>
          <w:rFonts w:eastAsia="Times New Roman"/>
          <w:noProof/>
          <w:color w:val="000000" w:themeColor="text1"/>
        </w:rPr>
      </w:pPr>
      <w:r w:rsidRPr="00D86314">
        <w:rPr>
          <w:rFonts w:eastAsia="Times New Roman"/>
          <w:noProof/>
          <w:color w:val="000000" w:themeColor="text1"/>
        </w:rPr>
        <w:t>This underperformance has also economic repercussions, as Briglauer et al. (2025) states that the adoption of mobile broadband is a key driver of economic growth in terms of GDP</w:t>
      </w:r>
      <w:r w:rsidR="005917D8" w:rsidRPr="00D86314">
        <w:rPr>
          <w:rFonts w:eastAsia="Times New Roman"/>
          <w:noProof/>
          <w:color w:val="000000" w:themeColor="text1"/>
        </w:rPr>
        <w:t xml:space="preserve"> (See Annex 4)</w:t>
      </w:r>
      <w:r w:rsidRPr="00D86314">
        <w:rPr>
          <w:rFonts w:eastAsia="Times New Roman"/>
          <w:noProof/>
          <w:color w:val="000000" w:themeColor="text1"/>
        </w:rPr>
        <w:t>. It is the actual speeds experienced by customers and businesses that result in economic growth, not coverage.</w:t>
      </w:r>
      <w:r w:rsidRPr="00D86314">
        <w:rPr>
          <w:noProof/>
          <w:color w:val="000000" w:themeColor="text1"/>
        </w:rPr>
        <w:t xml:space="preserve"> </w:t>
      </w:r>
    </w:p>
    <w:p w14:paraId="3AF1589B" w14:textId="2B41BA21" w:rsidR="0005559D" w:rsidRPr="00D86314" w:rsidRDefault="0005559D" w:rsidP="00E2588E">
      <w:pPr>
        <w:spacing w:after="120"/>
        <w:rPr>
          <w:noProof/>
        </w:rPr>
      </w:pPr>
      <w:r w:rsidRPr="00D86314">
        <w:rPr>
          <w:noProof/>
        </w:rPr>
        <w:t xml:space="preserve">The EU is also trailing other parts of the world in the </w:t>
      </w:r>
      <w:r w:rsidRPr="00D86314">
        <w:rPr>
          <w:b/>
          <w:bCs/>
          <w:noProof/>
        </w:rPr>
        <w:t>deployment of private networks</w:t>
      </w:r>
      <w:r w:rsidRPr="00D86314">
        <w:rPr>
          <w:noProof/>
        </w:rPr>
        <w:t>, which are early adopters of 5G SA. As regards the deployment of private 5G networks, in its report</w:t>
      </w:r>
      <w:r w:rsidRPr="00D86314">
        <w:rPr>
          <w:rStyle w:val="FootnoteReference"/>
          <w:noProof/>
        </w:rPr>
        <w:footnoteReference w:id="154"/>
      </w:r>
      <w:r w:rsidRPr="00D86314">
        <w:rPr>
          <w:noProof/>
        </w:rPr>
        <w:t xml:space="preserve"> BEREC highlights several spectrum-related and regulatory challenges holding back the deployment of private 5G networks in the Union. Among these are in particular the inconsistent availability of dedicated frequency bands for private networks, the large variety of technical or administrative requirements between the Member States resulting in complexity with regard to the licensing procedure and price variations, challenges pertinent to the specific characteristics of stakeholders (like the timely licensing for private networks that will cover urgent circumstances, or the differentiation of the license with regard to its duration) or the contradiction between the need for temporary licences and location-nomadic licences (e.g. for media production for outdoor events) and longer-term licences (e.g. at ports).</w:t>
      </w:r>
    </w:p>
    <w:p w14:paraId="0AFC0686" w14:textId="59CC6262" w:rsidR="004A0ED0" w:rsidRPr="00D86314" w:rsidRDefault="004A0ED0" w:rsidP="00703057">
      <w:pPr>
        <w:pStyle w:val="Heading3"/>
        <w:rPr>
          <w:noProof/>
        </w:rPr>
      </w:pPr>
      <w:bookmarkStart w:id="220" w:name="_Toc219718420"/>
      <w:r w:rsidRPr="00D86314">
        <w:rPr>
          <w:noProof/>
        </w:rPr>
        <w:t>Investment</w:t>
      </w:r>
      <w:r w:rsidRPr="00D86314">
        <w:rPr>
          <w:b/>
          <w:noProof/>
        </w:rPr>
        <w:t xml:space="preserve"> </w:t>
      </w:r>
      <w:r w:rsidRPr="00D86314">
        <w:rPr>
          <w:noProof/>
        </w:rPr>
        <w:t>needs</w:t>
      </w:r>
      <w:bookmarkEnd w:id="220"/>
      <w:r w:rsidRPr="00D86314">
        <w:rPr>
          <w:noProof/>
        </w:rPr>
        <w:t xml:space="preserve"> </w:t>
      </w:r>
    </w:p>
    <w:p w14:paraId="01930C6A" w14:textId="1A64585A" w:rsidR="004A0ED0" w:rsidRPr="00D86314" w:rsidRDefault="004A0ED0" w:rsidP="001337C6">
      <w:pPr>
        <w:pStyle w:val="Text2"/>
        <w:spacing w:after="120"/>
        <w:ind w:left="0"/>
        <w:rPr>
          <w:rFonts w:eastAsiaTheme="minorEastAsia"/>
          <w:noProof/>
        </w:rPr>
      </w:pPr>
      <w:r w:rsidRPr="00D86314">
        <w:rPr>
          <w:noProof/>
        </w:rPr>
        <w:t xml:space="preserve">As regards </w:t>
      </w:r>
      <w:r w:rsidRPr="00D86314">
        <w:rPr>
          <w:b/>
          <w:bCs/>
          <w:noProof/>
        </w:rPr>
        <w:t>investment needs</w:t>
      </w:r>
      <w:r w:rsidRPr="00D86314">
        <w:rPr>
          <w:rFonts w:eastAsiaTheme="minorEastAsia"/>
          <w:noProof/>
        </w:rPr>
        <w:t>, a Commission study</w:t>
      </w:r>
      <w:r w:rsidRPr="00D86314">
        <w:rPr>
          <w:rStyle w:val="FootnoteReference"/>
          <w:rFonts w:eastAsiaTheme="minorEastAsia"/>
          <w:noProof/>
        </w:rPr>
        <w:footnoteReference w:id="155"/>
      </w:r>
      <w:r w:rsidRPr="00D86314">
        <w:rPr>
          <w:rFonts w:eastAsiaTheme="minorEastAsia"/>
          <w:noProof/>
        </w:rPr>
        <w:t xml:space="preserve"> estimated in 2023 a need of </w:t>
      </w:r>
      <w:r w:rsidR="00D26AF9" w:rsidRPr="00D86314">
        <w:rPr>
          <w:rFonts w:eastAsiaTheme="minorEastAsia"/>
          <w:noProof/>
        </w:rPr>
        <w:t>EUR </w:t>
      </w:r>
      <w:r w:rsidRPr="00D86314">
        <w:rPr>
          <w:rFonts w:eastAsiaTheme="minorEastAsia"/>
          <w:noProof/>
        </w:rPr>
        <w:t>11.5 billion investments for ‘basic 5G’ (upgrade existing 4G sites), but indicated that the ‘</w:t>
      </w:r>
      <w:r w:rsidR="00113216" w:rsidRPr="00D86314">
        <w:rPr>
          <w:rFonts w:eastAsiaTheme="minorEastAsia"/>
          <w:noProof/>
        </w:rPr>
        <w:t>f</w:t>
      </w:r>
      <w:r w:rsidRPr="00D86314">
        <w:rPr>
          <w:rFonts w:eastAsiaTheme="minorEastAsia"/>
          <w:noProof/>
        </w:rPr>
        <w:t>ull 5G’ (stand-alone 5G) deployment will require EUR</w:t>
      </w:r>
      <w:r w:rsidR="00D26AF9" w:rsidRPr="00D86314">
        <w:rPr>
          <w:rFonts w:eastAsiaTheme="minorEastAsia"/>
          <w:noProof/>
        </w:rPr>
        <w:t> </w:t>
      </w:r>
      <w:r w:rsidRPr="00D86314">
        <w:rPr>
          <w:rFonts w:eastAsiaTheme="minorEastAsia"/>
          <w:noProof/>
        </w:rPr>
        <w:t>33.5 billion</w:t>
      </w:r>
      <w:r w:rsidR="00142404" w:rsidRPr="00D86314">
        <w:rPr>
          <w:rFonts w:eastAsiaTheme="minorEastAsia"/>
          <w:noProof/>
        </w:rPr>
        <w:t xml:space="preserve"> for network </w:t>
      </w:r>
      <w:r w:rsidR="002C0C48" w:rsidRPr="00D86314">
        <w:rPr>
          <w:rFonts w:eastAsiaTheme="minorEastAsia"/>
          <w:noProof/>
        </w:rPr>
        <w:t>densification</w:t>
      </w:r>
      <w:r w:rsidRPr="00D86314">
        <w:rPr>
          <w:rFonts w:eastAsiaTheme="minorEastAsia"/>
          <w:noProof/>
        </w:rPr>
        <w:t xml:space="preserve">. </w:t>
      </w:r>
      <w:r w:rsidR="00FA0A66" w:rsidRPr="00D86314">
        <w:rPr>
          <w:rFonts w:eastAsiaTheme="minorEastAsia"/>
          <w:noProof/>
        </w:rPr>
        <w:t>In addition, b</w:t>
      </w:r>
      <w:r w:rsidRPr="00D86314">
        <w:rPr>
          <w:rFonts w:eastAsiaTheme="minorEastAsia"/>
          <w:noProof/>
        </w:rPr>
        <w:t>etween EUR</w:t>
      </w:r>
      <w:r w:rsidR="009F1F3A" w:rsidRPr="00D86314">
        <w:rPr>
          <w:rFonts w:eastAsiaTheme="minorEastAsia"/>
          <w:noProof/>
        </w:rPr>
        <w:t> </w:t>
      </w:r>
      <w:r w:rsidRPr="00D86314">
        <w:rPr>
          <w:rFonts w:eastAsiaTheme="minorEastAsia"/>
          <w:noProof/>
        </w:rPr>
        <w:t>26 billion and EUR</w:t>
      </w:r>
      <w:r w:rsidR="00D26AF9" w:rsidRPr="00D86314">
        <w:rPr>
          <w:rFonts w:eastAsiaTheme="minorEastAsia"/>
          <w:noProof/>
        </w:rPr>
        <w:t> </w:t>
      </w:r>
      <w:r w:rsidRPr="00D86314">
        <w:rPr>
          <w:rFonts w:eastAsiaTheme="minorEastAsia"/>
          <w:noProof/>
        </w:rPr>
        <w:t>79 billion is needed for main transport corridor connectivity, depending on deployment options.</w:t>
      </w:r>
    </w:p>
    <w:p w14:paraId="44CDE760" w14:textId="0C6F409D" w:rsidR="00994B6F" w:rsidRPr="00D86314" w:rsidRDefault="004A0ED0" w:rsidP="001337C6">
      <w:pPr>
        <w:pStyle w:val="Text2"/>
        <w:spacing w:after="120"/>
        <w:ind w:left="0"/>
        <w:rPr>
          <w:noProof/>
        </w:rPr>
      </w:pPr>
      <w:r w:rsidRPr="00D86314">
        <w:rPr>
          <w:noProof/>
        </w:rPr>
        <w:t xml:space="preserve">These investment needs are expected to be covered </w:t>
      </w:r>
      <w:r w:rsidR="000835D3" w:rsidRPr="00D86314">
        <w:rPr>
          <w:noProof/>
        </w:rPr>
        <w:t xml:space="preserve">mainly </w:t>
      </w:r>
      <w:r w:rsidRPr="00D86314">
        <w:rPr>
          <w:noProof/>
        </w:rPr>
        <w:t xml:space="preserve">through </w:t>
      </w:r>
      <w:r w:rsidRPr="00D86314">
        <w:rPr>
          <w:b/>
          <w:bCs/>
          <w:noProof/>
        </w:rPr>
        <w:t>private investments</w:t>
      </w:r>
      <w:r w:rsidRPr="00D86314">
        <w:rPr>
          <w:noProof/>
        </w:rPr>
        <w:t xml:space="preserve">, with a very </w:t>
      </w:r>
      <w:r w:rsidRPr="00D86314">
        <w:rPr>
          <w:b/>
          <w:bCs/>
          <w:noProof/>
        </w:rPr>
        <w:t xml:space="preserve">limited </w:t>
      </w:r>
      <w:r w:rsidR="006E5A87" w:rsidRPr="00D86314">
        <w:rPr>
          <w:b/>
          <w:bCs/>
          <w:noProof/>
        </w:rPr>
        <w:t xml:space="preserve">and targeted </w:t>
      </w:r>
      <w:r w:rsidRPr="00D86314">
        <w:rPr>
          <w:b/>
          <w:bCs/>
          <w:noProof/>
        </w:rPr>
        <w:t>support from State aid</w:t>
      </w:r>
      <w:r w:rsidR="7E247E35" w:rsidRPr="00D86314">
        <w:rPr>
          <w:b/>
          <w:bCs/>
          <w:noProof/>
        </w:rPr>
        <w:t xml:space="preserve"> </w:t>
      </w:r>
      <w:r w:rsidR="76BD01CD" w:rsidRPr="00D86314">
        <w:rPr>
          <w:noProof/>
        </w:rPr>
        <w:t>in</w:t>
      </w:r>
      <w:r w:rsidR="76BD01CD" w:rsidRPr="00D86314">
        <w:rPr>
          <w:b/>
          <w:bCs/>
          <w:noProof/>
        </w:rPr>
        <w:t xml:space="preserve"> </w:t>
      </w:r>
      <w:r w:rsidR="76BD01CD" w:rsidRPr="00D86314">
        <w:rPr>
          <w:noProof/>
        </w:rPr>
        <w:t>cases where a market failure has been clearly demonstrated</w:t>
      </w:r>
      <w:r w:rsidRPr="00D86314">
        <w:rPr>
          <w:noProof/>
        </w:rPr>
        <w:t xml:space="preserve">. </w:t>
      </w:r>
      <w:r w:rsidR="00337D86" w:rsidRPr="00D86314">
        <w:rPr>
          <w:rFonts w:eastAsiaTheme="minorEastAsia"/>
          <w:noProof/>
        </w:rPr>
        <w:t xml:space="preserve">While many Member States have implemented substantial programmes to grant public support for the roll-out of fixed broadband network in market failure areas, the amount of State aid </w:t>
      </w:r>
      <w:r w:rsidR="0006032F" w:rsidRPr="00D86314">
        <w:rPr>
          <w:rFonts w:eastAsiaTheme="minorEastAsia"/>
          <w:noProof/>
        </w:rPr>
        <w:t xml:space="preserve">for the deployment of mobile networks </w:t>
      </w:r>
      <w:r w:rsidR="00337D86" w:rsidRPr="00D86314">
        <w:rPr>
          <w:rFonts w:eastAsiaTheme="minorEastAsia"/>
          <w:noProof/>
        </w:rPr>
        <w:t xml:space="preserve">notified to the Commission </w:t>
      </w:r>
      <w:r w:rsidR="00172603" w:rsidRPr="00D86314">
        <w:rPr>
          <w:rFonts w:eastAsiaTheme="minorEastAsia"/>
          <w:noProof/>
        </w:rPr>
        <w:t>under the Broadband Guidelines</w:t>
      </w:r>
      <w:r w:rsidR="00172603" w:rsidRPr="00D86314">
        <w:rPr>
          <w:rStyle w:val="FootnoteReference"/>
          <w:rFonts w:eastAsiaTheme="minorEastAsia"/>
          <w:noProof/>
        </w:rPr>
        <w:footnoteReference w:id="156"/>
      </w:r>
      <w:r w:rsidR="00172603" w:rsidRPr="00D86314">
        <w:rPr>
          <w:rFonts w:eastAsiaTheme="minorEastAsia"/>
          <w:noProof/>
        </w:rPr>
        <w:t xml:space="preserve"> </w:t>
      </w:r>
      <w:r w:rsidR="00337D86" w:rsidRPr="00D86314">
        <w:rPr>
          <w:rFonts w:eastAsiaTheme="minorEastAsia"/>
          <w:noProof/>
        </w:rPr>
        <w:t>has been much more limited and is concentrated in a few countries (notably Italy</w:t>
      </w:r>
      <w:r w:rsidR="00337D86" w:rsidRPr="00D86314">
        <w:rPr>
          <w:rFonts w:eastAsiaTheme="minorEastAsia"/>
          <w:noProof/>
          <w:vertAlign w:val="superscript"/>
        </w:rPr>
        <w:footnoteReference w:id="157"/>
      </w:r>
      <w:r w:rsidR="00337D86" w:rsidRPr="00D86314">
        <w:rPr>
          <w:rFonts w:eastAsiaTheme="minorEastAsia"/>
          <w:noProof/>
        </w:rPr>
        <w:t>, Spain</w:t>
      </w:r>
      <w:r w:rsidR="00337D86" w:rsidRPr="00D86314">
        <w:rPr>
          <w:rFonts w:eastAsiaTheme="minorEastAsia"/>
          <w:noProof/>
          <w:vertAlign w:val="superscript"/>
        </w:rPr>
        <w:footnoteReference w:id="158"/>
      </w:r>
      <w:r w:rsidR="00337D86" w:rsidRPr="00D86314">
        <w:rPr>
          <w:rFonts w:eastAsiaTheme="minorEastAsia"/>
          <w:noProof/>
        </w:rPr>
        <w:t xml:space="preserve"> and Germany</w:t>
      </w:r>
      <w:r w:rsidR="00337D86" w:rsidRPr="00D86314">
        <w:rPr>
          <w:rFonts w:eastAsiaTheme="minorEastAsia"/>
          <w:noProof/>
          <w:vertAlign w:val="superscript"/>
        </w:rPr>
        <w:footnoteReference w:id="159"/>
      </w:r>
      <w:r w:rsidR="00337D86" w:rsidRPr="00D86314">
        <w:rPr>
          <w:rFonts w:eastAsiaTheme="minorEastAsia"/>
          <w:noProof/>
        </w:rPr>
        <w:t>). Article</w:t>
      </w:r>
      <w:r w:rsidR="00F53F9A">
        <w:rPr>
          <w:rFonts w:eastAsiaTheme="minorEastAsia"/>
          <w:noProof/>
        </w:rPr>
        <w:t> </w:t>
      </w:r>
      <w:r w:rsidR="00337D86" w:rsidRPr="00D86314">
        <w:rPr>
          <w:rFonts w:eastAsiaTheme="minorEastAsia"/>
          <w:noProof/>
        </w:rPr>
        <w:t>52a of the General Block Exemption Regulation</w:t>
      </w:r>
      <w:r w:rsidR="00337D86" w:rsidRPr="00D86314">
        <w:rPr>
          <w:rStyle w:val="FootnoteReference"/>
          <w:rFonts w:eastAsiaTheme="minorEastAsia"/>
          <w:noProof/>
        </w:rPr>
        <w:footnoteReference w:id="160"/>
      </w:r>
      <w:r w:rsidR="00337D86" w:rsidRPr="00D86314">
        <w:rPr>
          <w:rFonts w:eastAsiaTheme="minorEastAsia"/>
          <w:noProof/>
        </w:rPr>
        <w:t xml:space="preserve"> also foresees the possibility to grant State Aid for mobile network deployment without a notification if several conditions are fulfilled</w:t>
      </w:r>
      <w:r w:rsidR="0006568D" w:rsidRPr="00D86314">
        <w:rPr>
          <w:rFonts w:eastAsiaTheme="minorEastAsia"/>
          <w:noProof/>
        </w:rPr>
        <w:t xml:space="preserve"> including the existence of a market failure, the use of open and competitive selection procedures, the imposition of wholesale access obligations, and the respect of proportionality and transparency requirements</w:t>
      </w:r>
      <w:r w:rsidR="00337D86" w:rsidRPr="00D86314">
        <w:rPr>
          <w:rStyle w:val="EndnoteReference"/>
          <w:rFonts w:eastAsiaTheme="minorEastAsia"/>
          <w:noProof/>
        </w:rPr>
        <w:footnoteReference w:id="161"/>
      </w:r>
      <w:r w:rsidR="00337D86" w:rsidRPr="00D86314">
        <w:rPr>
          <w:rStyle w:val="EndnoteReference"/>
          <w:rFonts w:eastAsiaTheme="minorEastAsia"/>
          <w:noProof/>
        </w:rPr>
        <w:t>.</w:t>
      </w:r>
      <w:r w:rsidR="004F28B8" w:rsidRPr="00D86314">
        <w:rPr>
          <w:rFonts w:eastAsiaTheme="minorEastAsia"/>
          <w:noProof/>
        </w:rPr>
        <w:t xml:space="preserve">. </w:t>
      </w:r>
    </w:p>
    <w:p w14:paraId="4D9FCACD" w14:textId="4A945DF1" w:rsidR="006C2F45" w:rsidRPr="00D86314" w:rsidRDefault="006C2F45" w:rsidP="006C2F45">
      <w:pPr>
        <w:pStyle w:val="Text2"/>
        <w:spacing w:after="120"/>
        <w:ind w:left="0"/>
        <w:rPr>
          <w:rFonts w:eastAsiaTheme="minorEastAsia"/>
          <w:noProof/>
        </w:rPr>
      </w:pPr>
      <w:r w:rsidRPr="00D86314">
        <w:rPr>
          <w:rFonts w:eastAsiaTheme="minorEastAsia"/>
          <w:noProof/>
        </w:rPr>
        <w:t xml:space="preserve">The JRC’s </w:t>
      </w:r>
      <w:r w:rsidR="006D02E8" w:rsidRPr="00D86314">
        <w:rPr>
          <w:rFonts w:eastAsiaTheme="minorEastAsia"/>
          <w:noProof/>
        </w:rPr>
        <w:t>u</w:t>
      </w:r>
      <w:r w:rsidRPr="00D86314">
        <w:rPr>
          <w:rFonts w:eastAsiaTheme="minorEastAsia"/>
          <w:noProof/>
        </w:rPr>
        <w:t>pdate of “Mapping of EU Funds to Digital Decade Targets 2021–2027”</w:t>
      </w:r>
      <w:r w:rsidRPr="00D86314">
        <w:rPr>
          <w:rFonts w:eastAsiaTheme="minorEastAsia"/>
          <w:noProof/>
          <w:vertAlign w:val="superscript"/>
        </w:rPr>
        <w:footnoteReference w:id="162"/>
      </w:r>
      <w:r w:rsidRPr="00D86314">
        <w:rPr>
          <w:rFonts w:eastAsiaTheme="minorEastAsia"/>
          <w:noProof/>
        </w:rPr>
        <w:t xml:space="preserve"> estimates a Digital Decade-related budget of approximately </w:t>
      </w:r>
      <w:r w:rsidR="004217A5" w:rsidRPr="00D86314">
        <w:rPr>
          <w:rFonts w:eastAsiaTheme="minorEastAsia"/>
          <w:noProof/>
        </w:rPr>
        <w:t>EUR</w:t>
      </w:r>
      <w:r w:rsidR="00140766" w:rsidRPr="00D86314">
        <w:rPr>
          <w:rFonts w:eastAsiaTheme="minorEastAsia"/>
          <w:noProof/>
        </w:rPr>
        <w:t> </w:t>
      </w:r>
      <w:r w:rsidRPr="00D86314">
        <w:rPr>
          <w:rFonts w:eastAsiaTheme="minorEastAsia"/>
          <w:noProof/>
        </w:rPr>
        <w:t>177 billion. Within this funding, support for 5G remains relatively modest</w:t>
      </w:r>
      <w:r w:rsidR="00D726B0" w:rsidRPr="00D86314">
        <w:rPr>
          <w:rFonts w:eastAsiaTheme="minorEastAsia"/>
          <w:noProof/>
        </w:rPr>
        <w:t xml:space="preserve"> compared to </w:t>
      </w:r>
      <w:r w:rsidR="004340C8" w:rsidRPr="00D86314">
        <w:rPr>
          <w:rFonts w:eastAsiaTheme="minorEastAsia"/>
          <w:noProof/>
        </w:rPr>
        <w:t>funding of fixed broadband initiatives</w:t>
      </w:r>
      <w:r w:rsidRPr="00D86314">
        <w:rPr>
          <w:rFonts w:eastAsiaTheme="minorEastAsia"/>
          <w:noProof/>
        </w:rPr>
        <w:t>. Notably, the CEF Digital programme’s</w:t>
      </w:r>
      <w:r w:rsidR="004261DB" w:rsidRPr="00D86314">
        <w:rPr>
          <w:rFonts w:eastAsiaTheme="minorEastAsia"/>
          <w:noProof/>
        </w:rPr>
        <w:t xml:space="preserve"> </w:t>
      </w:r>
      <w:r w:rsidRPr="00D86314">
        <w:rPr>
          <w:rFonts w:eastAsiaTheme="minorEastAsia"/>
          <w:noProof/>
        </w:rPr>
        <w:t xml:space="preserve">”5G and Edge Cloud for Smart Communities” and “5G corridors” strands had a dedicated budget of </w:t>
      </w:r>
      <w:r w:rsidR="00C40AFB" w:rsidRPr="00D86314">
        <w:rPr>
          <w:rFonts w:eastAsiaTheme="minorEastAsia"/>
          <w:noProof/>
        </w:rPr>
        <w:t>EUR</w:t>
      </w:r>
      <w:r w:rsidR="00CD7930" w:rsidRPr="00D86314">
        <w:rPr>
          <w:rFonts w:eastAsiaTheme="minorEastAsia"/>
          <w:noProof/>
        </w:rPr>
        <w:t> </w:t>
      </w:r>
      <w:r w:rsidRPr="00D86314">
        <w:rPr>
          <w:rFonts w:eastAsiaTheme="minorEastAsia"/>
          <w:noProof/>
        </w:rPr>
        <w:t xml:space="preserve">227 million for 2021–2027, with </w:t>
      </w:r>
      <w:r w:rsidR="00CE053B" w:rsidRPr="00D86314">
        <w:rPr>
          <w:rFonts w:eastAsiaTheme="minorEastAsia"/>
          <w:noProof/>
        </w:rPr>
        <w:t xml:space="preserve">an </w:t>
      </w:r>
      <w:r w:rsidRPr="00D86314">
        <w:rPr>
          <w:rFonts w:eastAsiaTheme="minorEastAsia"/>
          <w:noProof/>
        </w:rPr>
        <w:t xml:space="preserve">additional </w:t>
      </w:r>
      <w:r w:rsidR="00AB154B" w:rsidRPr="00D86314">
        <w:rPr>
          <w:rFonts w:eastAsiaTheme="minorEastAsia"/>
          <w:noProof/>
        </w:rPr>
        <w:t>EUR</w:t>
      </w:r>
      <w:r w:rsidR="00CD7930" w:rsidRPr="00D86314">
        <w:rPr>
          <w:rFonts w:eastAsiaTheme="minorEastAsia"/>
          <w:noProof/>
        </w:rPr>
        <w:t> </w:t>
      </w:r>
      <w:r w:rsidRPr="00D86314">
        <w:rPr>
          <w:rFonts w:eastAsiaTheme="minorEastAsia"/>
          <w:noProof/>
        </w:rPr>
        <w:t xml:space="preserve">106 million </w:t>
      </w:r>
      <w:r w:rsidR="00DD6CE3" w:rsidRPr="00D86314">
        <w:rPr>
          <w:noProof/>
          <w:color w:val="000000" w:themeColor="text1"/>
        </w:rPr>
        <w:t>transferred from other strands</w:t>
      </w:r>
      <w:r w:rsidR="00DD6CE3" w:rsidRPr="00D86314">
        <w:rPr>
          <w:rFonts w:eastAsiaTheme="minorEastAsia"/>
          <w:noProof/>
        </w:rPr>
        <w:t xml:space="preserve"> </w:t>
      </w:r>
      <w:r w:rsidRPr="00D86314">
        <w:rPr>
          <w:rFonts w:eastAsiaTheme="minorEastAsia"/>
          <w:noProof/>
        </w:rPr>
        <w:t>already awarded. This funding target</w:t>
      </w:r>
      <w:r w:rsidR="003659C5" w:rsidRPr="00D86314">
        <w:rPr>
          <w:rFonts w:eastAsiaTheme="minorEastAsia"/>
          <w:noProof/>
        </w:rPr>
        <w:t>ed</w:t>
      </w:r>
      <w:r w:rsidRPr="00D86314">
        <w:rPr>
          <w:rFonts w:eastAsiaTheme="minorEastAsia"/>
          <w:noProof/>
        </w:rPr>
        <w:t xml:space="preserve"> early 5G deployments focused on socio-economic use cases, particularly for public administrations and providers of services of general economic interest (e.g., hospitals, schools, municipalities), as well as enhancing 5G coverage along key transport corridors. The level of funding specifically allocated to the rollout of 5G SA networks remain limited.</w:t>
      </w:r>
    </w:p>
    <w:p w14:paraId="44DC621A" w14:textId="007E42BC" w:rsidR="004A0ED0" w:rsidRPr="00D86314" w:rsidDel="00B221F2" w:rsidRDefault="006C2F45" w:rsidP="00B23A95">
      <w:pPr>
        <w:spacing w:after="120"/>
        <w:rPr>
          <w:rFonts w:eastAsiaTheme="minorEastAsia"/>
          <w:noProof/>
        </w:rPr>
      </w:pPr>
      <w:r w:rsidRPr="00D86314">
        <w:rPr>
          <w:rFonts w:eastAsiaTheme="minorEastAsia"/>
          <w:noProof/>
        </w:rPr>
        <w:t>Further, the Recovery and Resilience Facility (RRF) has support</w:t>
      </w:r>
      <w:r w:rsidR="00841FAF" w:rsidRPr="00D86314">
        <w:rPr>
          <w:rFonts w:eastAsiaTheme="minorEastAsia"/>
          <w:noProof/>
        </w:rPr>
        <w:t>ed</w:t>
      </w:r>
      <w:r w:rsidRPr="00D86314">
        <w:rPr>
          <w:rFonts w:eastAsiaTheme="minorEastAsia"/>
          <w:noProof/>
        </w:rPr>
        <w:t xml:space="preserve"> 5G rollout across a broader range of use cases. For instance, Italy’s 5G Plan allocates </w:t>
      </w:r>
      <w:r w:rsidR="005D0792" w:rsidRPr="00D86314">
        <w:rPr>
          <w:rFonts w:eastAsiaTheme="minorEastAsia"/>
          <w:noProof/>
        </w:rPr>
        <w:t>EUR </w:t>
      </w:r>
      <w:r w:rsidRPr="00D86314">
        <w:rPr>
          <w:rFonts w:eastAsiaTheme="minorEastAsia"/>
          <w:noProof/>
        </w:rPr>
        <w:t xml:space="preserve">2.02 billion to incentivise deployment in areas of market failure, while Spain has committed </w:t>
      </w:r>
      <w:r w:rsidR="005D0792" w:rsidRPr="00D86314">
        <w:rPr>
          <w:rFonts w:eastAsiaTheme="minorEastAsia"/>
          <w:noProof/>
        </w:rPr>
        <w:t>EUR </w:t>
      </w:r>
      <w:r w:rsidRPr="00D86314">
        <w:rPr>
          <w:rFonts w:eastAsiaTheme="minorEastAsia"/>
          <w:noProof/>
        </w:rPr>
        <w:t>680 million to extend 5G SA networks in underserved rural areas.</w:t>
      </w:r>
      <w:r w:rsidR="00D2279C" w:rsidRPr="00D86314">
        <w:rPr>
          <w:rFonts w:eastAsiaTheme="minorEastAsia"/>
          <w:noProof/>
        </w:rPr>
        <w:t xml:space="preserve"> </w:t>
      </w:r>
      <w:r w:rsidR="004A0ED0" w:rsidRPr="00D86314">
        <w:rPr>
          <w:rFonts w:eastAsiaTheme="minorEastAsia"/>
          <w:noProof/>
        </w:rPr>
        <w:t xml:space="preserve">The </w:t>
      </w:r>
      <w:r w:rsidR="004A0ED0" w:rsidRPr="00D86314">
        <w:rPr>
          <w:rFonts w:eastAsiaTheme="minorEastAsia"/>
          <w:b/>
          <w:noProof/>
        </w:rPr>
        <w:t>General Block Exemption Regulation (GBER)</w:t>
      </w:r>
      <w:r w:rsidR="004A0ED0" w:rsidRPr="00D86314">
        <w:rPr>
          <w:rFonts w:eastAsiaTheme="minorEastAsia"/>
          <w:noProof/>
        </w:rPr>
        <w:t xml:space="preserve"> has </w:t>
      </w:r>
      <w:r w:rsidR="0088371D" w:rsidRPr="00D86314">
        <w:rPr>
          <w:rFonts w:eastAsiaTheme="minorEastAsia"/>
          <w:noProof/>
        </w:rPr>
        <w:t xml:space="preserve">facilitated the </w:t>
      </w:r>
      <w:r w:rsidR="00A05CF5" w:rsidRPr="00D86314">
        <w:rPr>
          <w:rFonts w:eastAsiaTheme="minorEastAsia"/>
          <w:noProof/>
        </w:rPr>
        <w:t xml:space="preserve">use of additional funds managed by Member States </w:t>
      </w:r>
      <w:r w:rsidR="004A0ED0" w:rsidRPr="00D86314">
        <w:rPr>
          <w:rFonts w:eastAsiaTheme="minorEastAsia"/>
          <w:noProof/>
        </w:rPr>
        <w:t xml:space="preserve">to improve </w:t>
      </w:r>
      <w:r w:rsidR="00A05CF5" w:rsidRPr="00D86314">
        <w:rPr>
          <w:rFonts w:eastAsiaTheme="minorEastAsia"/>
          <w:noProof/>
        </w:rPr>
        <w:t xml:space="preserve">mobile </w:t>
      </w:r>
      <w:r w:rsidR="004A0ED0" w:rsidRPr="00D86314">
        <w:rPr>
          <w:rFonts w:eastAsiaTheme="minorEastAsia"/>
          <w:noProof/>
        </w:rPr>
        <w:t>connectivity in underserved zones</w:t>
      </w:r>
      <w:r w:rsidR="008825FA" w:rsidRPr="00D86314">
        <w:rPr>
          <w:rFonts w:eastAsiaTheme="minorEastAsia"/>
          <w:noProof/>
        </w:rPr>
        <w:t>.</w:t>
      </w:r>
      <w:r w:rsidR="00A91096" w:rsidRPr="00D86314">
        <w:rPr>
          <w:noProof/>
        </w:rPr>
        <w:t xml:space="preserve"> </w:t>
      </w:r>
      <w:r w:rsidR="00A91096" w:rsidRPr="00D86314">
        <w:rPr>
          <w:rFonts w:eastAsiaTheme="minorEastAsia"/>
          <w:noProof/>
        </w:rPr>
        <w:t>The currently limited use of the GBER</w:t>
      </w:r>
      <w:r w:rsidR="00593AFF" w:rsidRPr="00D86314">
        <w:rPr>
          <w:rFonts w:eastAsiaTheme="minorEastAsia"/>
          <w:noProof/>
        </w:rPr>
        <w:t xml:space="preserve">, </w:t>
      </w:r>
      <w:r w:rsidR="00B579A1" w:rsidRPr="00D86314">
        <w:rPr>
          <w:rFonts w:eastAsiaTheme="minorEastAsia"/>
          <w:noProof/>
        </w:rPr>
        <w:t>inter alia by exe</w:t>
      </w:r>
      <w:r w:rsidR="00C24FF0" w:rsidRPr="00D86314">
        <w:rPr>
          <w:rFonts w:eastAsiaTheme="minorEastAsia"/>
          <w:noProof/>
        </w:rPr>
        <w:t>mp</w:t>
      </w:r>
      <w:r w:rsidR="00B579A1" w:rsidRPr="00D86314">
        <w:rPr>
          <w:rFonts w:eastAsiaTheme="minorEastAsia"/>
          <w:noProof/>
        </w:rPr>
        <w:t xml:space="preserve">ting </w:t>
      </w:r>
      <w:r w:rsidR="000673D4" w:rsidRPr="00D86314">
        <w:rPr>
          <w:rFonts w:eastAsiaTheme="minorEastAsia"/>
          <w:noProof/>
        </w:rPr>
        <w:t>under Article</w:t>
      </w:r>
      <w:r w:rsidR="00F53F9A">
        <w:rPr>
          <w:rFonts w:eastAsiaTheme="minorEastAsia"/>
          <w:noProof/>
        </w:rPr>
        <w:t> </w:t>
      </w:r>
      <w:r w:rsidR="000673D4" w:rsidRPr="00D86314">
        <w:rPr>
          <w:rFonts w:eastAsiaTheme="minorEastAsia"/>
          <w:noProof/>
        </w:rPr>
        <w:t>52a</w:t>
      </w:r>
      <w:r w:rsidR="009A28CB" w:rsidRPr="00D86314">
        <w:rPr>
          <w:rFonts w:eastAsiaTheme="minorEastAsia"/>
          <w:noProof/>
        </w:rPr>
        <w:t>,</w:t>
      </w:r>
      <w:r w:rsidR="000673D4" w:rsidRPr="00D86314">
        <w:rPr>
          <w:rFonts w:eastAsiaTheme="minorEastAsia"/>
          <w:noProof/>
        </w:rPr>
        <w:t xml:space="preserve"> aid for 4G and 5G </w:t>
      </w:r>
      <w:r w:rsidR="00A91096" w:rsidRPr="00D86314">
        <w:rPr>
          <w:rFonts w:eastAsiaTheme="minorEastAsia"/>
          <w:noProof/>
        </w:rPr>
        <w:t xml:space="preserve">(with Member States reporting </w:t>
      </w:r>
      <w:r w:rsidR="00790A4A" w:rsidRPr="00D86314">
        <w:rPr>
          <w:rFonts w:eastAsiaTheme="minorEastAsia"/>
          <w:noProof/>
        </w:rPr>
        <w:t>EUR </w:t>
      </w:r>
      <w:r w:rsidR="00A91096" w:rsidRPr="00D86314">
        <w:rPr>
          <w:rFonts w:eastAsiaTheme="minorEastAsia"/>
          <w:noProof/>
        </w:rPr>
        <w:t>5.78 million in block-exempted aid up to 2023) reflects primarily the fact that most 5G rollout has taken place in commercially viable areas where no market failure exists, rather than any constraint arising State aid rules</w:t>
      </w:r>
      <w:r w:rsidR="004516AC" w:rsidRPr="00D86314">
        <w:rPr>
          <w:rFonts w:eastAsiaTheme="minorEastAsia"/>
          <w:noProof/>
        </w:rPr>
        <w:t xml:space="preserve">. </w:t>
      </w:r>
      <w:r w:rsidR="004A0ED0" w:rsidRPr="00D86314" w:rsidDel="00B221F2">
        <w:rPr>
          <w:rFonts w:eastAsiaTheme="minorEastAsia"/>
          <w:noProof/>
        </w:rPr>
        <w:t>Overall, while CEF Digital, RRF, and</w:t>
      </w:r>
      <w:r w:rsidR="00F6238B" w:rsidRPr="00D86314" w:rsidDel="00B221F2">
        <w:rPr>
          <w:rFonts w:eastAsiaTheme="minorEastAsia"/>
          <w:noProof/>
        </w:rPr>
        <w:t xml:space="preserve"> funds managed by </w:t>
      </w:r>
      <w:r w:rsidR="00F6238B" w:rsidRPr="00D86314">
        <w:rPr>
          <w:rFonts w:eastAsiaTheme="minorEastAsia"/>
          <w:noProof/>
        </w:rPr>
        <w:t>M</w:t>
      </w:r>
      <w:r w:rsidR="00076C89" w:rsidRPr="00D86314">
        <w:rPr>
          <w:rFonts w:eastAsiaTheme="minorEastAsia"/>
          <w:noProof/>
        </w:rPr>
        <w:t xml:space="preserve">ember </w:t>
      </w:r>
      <w:r w:rsidR="00F6238B" w:rsidRPr="00D86314">
        <w:rPr>
          <w:rFonts w:eastAsiaTheme="minorEastAsia"/>
          <w:noProof/>
        </w:rPr>
        <w:t>S</w:t>
      </w:r>
      <w:r w:rsidR="00076C89" w:rsidRPr="00D86314">
        <w:rPr>
          <w:rFonts w:eastAsiaTheme="minorEastAsia"/>
          <w:noProof/>
        </w:rPr>
        <w:t>tates</w:t>
      </w:r>
      <w:r w:rsidR="00F6238B" w:rsidRPr="00D86314" w:rsidDel="00B221F2">
        <w:rPr>
          <w:rFonts w:eastAsiaTheme="minorEastAsia"/>
          <w:noProof/>
        </w:rPr>
        <w:t xml:space="preserve"> (including EU funds under shared management)</w:t>
      </w:r>
      <w:r w:rsidR="00076C89" w:rsidRPr="00D86314">
        <w:rPr>
          <w:rFonts w:eastAsiaTheme="minorEastAsia"/>
          <w:noProof/>
        </w:rPr>
        <w:t xml:space="preserve"> </w:t>
      </w:r>
      <w:r w:rsidR="004A0ED0" w:rsidRPr="00D86314" w:rsidDel="00B221F2">
        <w:rPr>
          <w:rFonts w:eastAsiaTheme="minorEastAsia"/>
          <w:noProof/>
        </w:rPr>
        <w:t>collectively provide several billion euros for targeted 5G initiatives, total public funding dedicated specifically to 5G remains significantly lower than the multi-billion euro investments directed toward fixed broadband under broader digitalisation programmes</w:t>
      </w:r>
      <w:r w:rsidR="7478ED33" w:rsidRPr="00D86314" w:rsidDel="00B221F2">
        <w:rPr>
          <w:rFonts w:eastAsiaTheme="minorEastAsia"/>
          <w:noProof/>
        </w:rPr>
        <w:t>,</w:t>
      </w:r>
      <w:r w:rsidR="0B32EB46" w:rsidRPr="00D86314" w:rsidDel="00B221F2">
        <w:rPr>
          <w:rFonts w:eastAsiaTheme="minorEastAsia"/>
          <w:noProof/>
        </w:rPr>
        <w:t xml:space="preserve"> </w:t>
      </w:r>
      <w:r w:rsidR="1CD95D5B" w:rsidRPr="00D86314" w:rsidDel="00B221F2">
        <w:rPr>
          <w:rFonts w:eastAsia="Times New Roman"/>
          <w:noProof/>
        </w:rPr>
        <w:t>confirming that the vast majority of 5G deployment has been driven by private investment. This trend is expected to continue in the future, with public financing limited to cases of demonstrated market failure.</w:t>
      </w:r>
    </w:p>
    <w:p w14:paraId="622F2660" w14:textId="3F48F2F0" w:rsidR="00347870" w:rsidRPr="00D86314" w:rsidRDefault="004A0ED0" w:rsidP="004A0ED0">
      <w:pPr>
        <w:rPr>
          <w:rFonts w:eastAsiaTheme="minorEastAsia"/>
          <w:noProof/>
        </w:rPr>
      </w:pPr>
      <w:r w:rsidRPr="00D86314" w:rsidDel="004A0ED0">
        <w:rPr>
          <w:rFonts w:eastAsiaTheme="minorEastAsia"/>
          <w:noProof/>
        </w:rPr>
        <w:t>According to the Commission study</w:t>
      </w:r>
      <w:r w:rsidRPr="00D86314" w:rsidDel="00B221F2">
        <w:rPr>
          <w:rStyle w:val="FootnoteReference"/>
          <w:rFonts w:eastAsiaTheme="minorEastAsia"/>
          <w:noProof/>
        </w:rPr>
        <w:footnoteReference w:id="163"/>
      </w:r>
      <w:r w:rsidRPr="00D86314" w:rsidDel="004A0ED0">
        <w:rPr>
          <w:rFonts w:eastAsiaTheme="minorEastAsia"/>
          <w:noProof/>
        </w:rPr>
        <w:t xml:space="preserve">, the limited use of State aid for 5G </w:t>
      </w:r>
      <w:r w:rsidRPr="00D86314" w:rsidDel="3CFF741A">
        <w:rPr>
          <w:rFonts w:eastAsiaTheme="minorEastAsia"/>
          <w:noProof/>
        </w:rPr>
        <w:t>may have</w:t>
      </w:r>
      <w:r w:rsidRPr="00D86314" w:rsidDel="004A0ED0">
        <w:rPr>
          <w:rFonts w:eastAsiaTheme="minorEastAsia"/>
          <w:noProof/>
        </w:rPr>
        <w:t xml:space="preserve"> constrained support for higher-risk investments, </w:t>
      </w:r>
      <w:r w:rsidRPr="00D86314" w:rsidDel="0BB44F12">
        <w:rPr>
          <w:rFonts w:eastAsiaTheme="minorEastAsia"/>
          <w:noProof/>
        </w:rPr>
        <w:t xml:space="preserve">in particular </w:t>
      </w:r>
      <w:r w:rsidRPr="00D86314" w:rsidDel="244191D9">
        <w:rPr>
          <w:rFonts w:eastAsiaTheme="minorEastAsia"/>
          <w:noProof/>
        </w:rPr>
        <w:t>given</w:t>
      </w:r>
      <w:r w:rsidRPr="00D86314" w:rsidDel="0BB44F12">
        <w:rPr>
          <w:rFonts w:eastAsiaTheme="minorEastAsia"/>
          <w:noProof/>
        </w:rPr>
        <w:t xml:space="preserve"> </w:t>
      </w:r>
      <w:r w:rsidRPr="00D86314" w:rsidDel="4EADA527">
        <w:rPr>
          <w:rFonts w:eastAsiaTheme="minorEastAsia"/>
          <w:noProof/>
        </w:rPr>
        <w:t xml:space="preserve">that </w:t>
      </w:r>
      <w:r w:rsidRPr="00D86314" w:rsidDel="4EADA527">
        <w:rPr>
          <w:rFonts w:eastAsia="Times New Roman"/>
          <w:noProof/>
        </w:rPr>
        <w:t>demand for innovative applications enabled by 5G is still at an early stage.</w:t>
      </w:r>
    </w:p>
    <w:p w14:paraId="49A7CE98" w14:textId="038A3C0F" w:rsidR="00415274" w:rsidRPr="00D86314" w:rsidRDefault="00B85BCF" w:rsidP="00112994">
      <w:pPr>
        <w:pStyle w:val="Heading2"/>
        <w:ind w:left="1202"/>
        <w:rPr>
          <w:noProof/>
        </w:rPr>
      </w:pPr>
      <w:bookmarkStart w:id="221" w:name="_Toc219718421"/>
      <w:r w:rsidRPr="00D86314">
        <w:rPr>
          <w:noProof/>
        </w:rPr>
        <w:t xml:space="preserve">Satellite: </w:t>
      </w:r>
      <w:r w:rsidR="00526956" w:rsidRPr="00D86314">
        <w:rPr>
          <w:noProof/>
        </w:rPr>
        <w:t xml:space="preserve">Barriers to the development of </w:t>
      </w:r>
      <w:r w:rsidR="000C7704" w:rsidRPr="00D86314">
        <w:rPr>
          <w:noProof/>
        </w:rPr>
        <w:t xml:space="preserve">advanced and </w:t>
      </w:r>
      <w:r w:rsidR="00526956" w:rsidRPr="00D86314">
        <w:rPr>
          <w:noProof/>
        </w:rPr>
        <w:t>resilient connectivity</w:t>
      </w:r>
      <w:bookmarkEnd w:id="221"/>
    </w:p>
    <w:p w14:paraId="178A3CF1" w14:textId="7F8C5724" w:rsidR="00543A9E" w:rsidRPr="00D86314" w:rsidRDefault="00543A9E" w:rsidP="00F1196A">
      <w:pPr>
        <w:spacing w:after="120"/>
        <w:rPr>
          <w:noProof/>
        </w:rPr>
      </w:pPr>
      <w:r w:rsidRPr="00D86314">
        <w:rPr>
          <w:noProof/>
        </w:rPr>
        <w:t>Before turning to the specific barriers to develop resilient connectivity</w:t>
      </w:r>
      <w:r w:rsidR="00475DF0" w:rsidRPr="00D86314">
        <w:rPr>
          <w:noProof/>
        </w:rPr>
        <w:t xml:space="preserve"> though pan-European satellite services</w:t>
      </w:r>
      <w:r w:rsidRPr="00D86314">
        <w:rPr>
          <w:noProof/>
        </w:rPr>
        <w:t xml:space="preserve">, it is important to outline the technological context to clarify the broader policy implications. </w:t>
      </w:r>
    </w:p>
    <w:p w14:paraId="6C594116" w14:textId="2C888AD8" w:rsidR="00B97E0B" w:rsidRPr="00D86314" w:rsidRDefault="00B97E0B" w:rsidP="00703057">
      <w:pPr>
        <w:pStyle w:val="Heading3"/>
        <w:rPr>
          <w:noProof/>
        </w:rPr>
      </w:pPr>
      <w:bookmarkStart w:id="222" w:name="_Toc219718422"/>
      <w:r w:rsidRPr="00D86314">
        <w:rPr>
          <w:rFonts w:eastAsiaTheme="minorHAnsi"/>
          <w:noProof/>
        </w:rPr>
        <w:t>Non</w:t>
      </w:r>
      <w:r w:rsidRPr="00D86314">
        <w:rPr>
          <w:noProof/>
        </w:rPr>
        <w:t>-Terrestrial Networ</w:t>
      </w:r>
      <w:r w:rsidR="00DF5CAE" w:rsidRPr="00D86314">
        <w:rPr>
          <w:noProof/>
        </w:rPr>
        <w:t>ks in 5G and 6G</w:t>
      </w:r>
      <w:bookmarkEnd w:id="222"/>
    </w:p>
    <w:p w14:paraId="7E571D08" w14:textId="394D97CE" w:rsidR="00A4290D" w:rsidRPr="00D86314" w:rsidRDefault="00A4290D" w:rsidP="00F1196A">
      <w:pPr>
        <w:spacing w:after="120"/>
        <w:rPr>
          <w:noProof/>
        </w:rPr>
      </w:pPr>
      <w:r w:rsidRPr="00D86314">
        <w:rPr>
          <w:noProof/>
        </w:rPr>
        <w:t>Synergies between mobile (terrestrial) and satellite (non-terrestrial) network components began emerging within the 5G ecosystem, marked notably by the 3GPP’s standardization of 5G over Non-Terrestrial Networks (NTN) in Release 17 in 2022. Rel-17 provided detailed specifications enabling 5G systems to incorporate satellite components, thereby unlocking new possibilities of communication and innovative services over satellite networks. Since then, numerous partnerships between telecommunications companies and satellite operators have been announced worldwide</w:t>
      </w:r>
      <w:r w:rsidRPr="00D86314">
        <w:rPr>
          <w:rStyle w:val="FootnoteReference"/>
          <w:noProof/>
        </w:rPr>
        <w:footnoteReference w:id="164"/>
      </w:r>
      <w:r w:rsidRPr="00D86314">
        <w:rPr>
          <w:noProof/>
        </w:rPr>
        <w:t>. In nearly every country, satellite operators are actively seeking market access, while regulators face increasing pressure to establish appropriate regulatory frameworks.</w:t>
      </w:r>
    </w:p>
    <w:p w14:paraId="25B22377" w14:textId="3EE42BB2" w:rsidR="00A4290D" w:rsidRPr="00D86314" w:rsidRDefault="00A4290D" w:rsidP="004769C9">
      <w:pPr>
        <w:spacing w:after="120"/>
        <w:rPr>
          <w:rFonts w:eastAsia="Times New Roman"/>
          <w:noProof/>
        </w:rPr>
      </w:pPr>
      <w:r w:rsidRPr="00D86314">
        <w:rPr>
          <w:rFonts w:eastAsia="Times New Roman"/>
          <w:noProof/>
        </w:rPr>
        <w:t>One of the fundamental technological advancements introduced by 6G will be the seamless integration of terrestrial and non-terrestrial networks (NTNs) into a unified system architecture. This hybrid approach will combine traditional ground-based infrastructure (for example base stations) with non-terrestrial components—most notably Low Earth Orbit (LEO) satellite constellations—enabling ubiquitous, resilient, and high-performance connectivity on a global scale.</w:t>
      </w:r>
    </w:p>
    <w:p w14:paraId="7DA2F312" w14:textId="06D2E58A" w:rsidR="00A4290D" w:rsidRPr="00D86314" w:rsidRDefault="00A4290D" w:rsidP="00623C8D">
      <w:pPr>
        <w:keepNext/>
        <w:keepLines/>
        <w:spacing w:before="240" w:line="276" w:lineRule="auto"/>
        <w:rPr>
          <w:rFonts w:eastAsia="Times New Roman"/>
          <w:i/>
          <w:noProof/>
          <w:sz w:val="22"/>
          <w:szCs w:val="22"/>
        </w:rPr>
      </w:pPr>
      <w:r w:rsidRPr="00D86314">
        <w:rPr>
          <w:i/>
          <w:noProof/>
          <w:sz w:val="22"/>
          <w:szCs w:val="22"/>
        </w:rPr>
        <w:t xml:space="preserve">Figure </w:t>
      </w:r>
      <w:r w:rsidR="009B4619" w:rsidRPr="00D86314">
        <w:rPr>
          <w:i/>
          <w:noProof/>
          <w:sz w:val="22"/>
          <w:szCs w:val="22"/>
        </w:rPr>
        <w:t>A7</w:t>
      </w:r>
      <w:r w:rsidR="00A13DA8">
        <w:rPr>
          <w:i/>
          <w:noProof/>
          <w:sz w:val="22"/>
          <w:szCs w:val="22"/>
        </w:rPr>
        <w:t xml:space="preserve"> </w:t>
      </w:r>
      <w:r w:rsidR="009B4619" w:rsidRPr="00D86314">
        <w:rPr>
          <w:i/>
          <w:noProof/>
          <w:sz w:val="22"/>
          <w:szCs w:val="22"/>
        </w:rPr>
        <w:t>1-</w:t>
      </w:r>
      <w:r w:rsidR="009D0B43" w:rsidRPr="00D86314">
        <w:rPr>
          <w:i/>
          <w:noProof/>
          <w:sz w:val="22"/>
          <w:szCs w:val="22"/>
        </w:rPr>
        <w:t>5</w:t>
      </w:r>
      <w:r w:rsidR="00496CEF" w:rsidRPr="00D86314">
        <w:rPr>
          <w:i/>
          <w:noProof/>
          <w:sz w:val="22"/>
          <w:szCs w:val="22"/>
        </w:rPr>
        <w:t>:</w:t>
      </w:r>
      <w:r w:rsidRPr="00D86314">
        <w:rPr>
          <w:i/>
          <w:noProof/>
          <w:sz w:val="22"/>
          <w:szCs w:val="22"/>
        </w:rPr>
        <w:t xml:space="preserve"> 6G-NTN network architecture</w:t>
      </w:r>
    </w:p>
    <w:p w14:paraId="6F53FB76" w14:textId="77777777" w:rsidR="00A4290D" w:rsidRPr="00D86314" w:rsidRDefault="00A4290D" w:rsidP="00A4290D">
      <w:pPr>
        <w:spacing w:line="276" w:lineRule="auto"/>
        <w:rPr>
          <w:rFonts w:eastAsia="Times New Roman"/>
          <w:b/>
          <w:bCs/>
          <w:noProof/>
        </w:rPr>
      </w:pPr>
      <w:r w:rsidRPr="00CA2C0B">
        <w:rPr>
          <w:noProof/>
          <w:lang w:eastAsia="en-GB"/>
        </w:rPr>
        <w:drawing>
          <wp:inline distT="0" distB="0" distL="0" distR="0" wp14:anchorId="41710899" wp14:editId="2863B3B2">
            <wp:extent cx="5275646" cy="2562225"/>
            <wp:effectExtent l="0" t="0" r="1270" b="0"/>
            <wp:docPr id="942993420" name="Picture 1" descr="A diagram of a satellite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93420" name="Picture 1" descr="A diagram of a satellite network&#10;&#10;AI-generated content may be incorrect."/>
                    <pic:cNvPicPr/>
                  </pic:nvPicPr>
                  <pic:blipFill>
                    <a:blip r:embed="rId125"/>
                    <a:stretch>
                      <a:fillRect/>
                    </a:stretch>
                  </pic:blipFill>
                  <pic:spPr>
                    <a:xfrm>
                      <a:off x="0" y="0"/>
                      <a:ext cx="5295130" cy="2571688"/>
                    </a:xfrm>
                    <a:prstGeom prst="rect">
                      <a:avLst/>
                    </a:prstGeom>
                  </pic:spPr>
                </pic:pic>
              </a:graphicData>
            </a:graphic>
          </wp:inline>
        </w:drawing>
      </w:r>
    </w:p>
    <w:p w14:paraId="03E2DCE0" w14:textId="1E2A2C43" w:rsidR="00A4290D" w:rsidRPr="00D86314" w:rsidRDefault="00A4290D" w:rsidP="00A4290D">
      <w:pPr>
        <w:spacing w:line="276" w:lineRule="auto"/>
        <w:rPr>
          <w:rFonts w:eastAsia="Times New Roman"/>
          <w:b/>
          <w:noProof/>
          <w:sz w:val="16"/>
          <w:szCs w:val="16"/>
        </w:rPr>
      </w:pPr>
      <w:r w:rsidRPr="00D86314">
        <w:rPr>
          <w:rFonts w:eastAsia="Times New Roman"/>
          <w:b/>
          <w:noProof/>
          <w:sz w:val="16"/>
          <w:szCs w:val="16"/>
        </w:rPr>
        <w:t>Source: 6G-NTN project</w:t>
      </w:r>
    </w:p>
    <w:p w14:paraId="31402C5B" w14:textId="77777777" w:rsidR="00A4290D" w:rsidRPr="00D86314" w:rsidRDefault="00A4290D" w:rsidP="004769C9">
      <w:pPr>
        <w:spacing w:after="120"/>
        <w:rPr>
          <w:rFonts w:eastAsia="Times New Roman"/>
          <w:noProof/>
        </w:rPr>
      </w:pPr>
      <w:r w:rsidRPr="00D86314">
        <w:rPr>
          <w:rFonts w:eastAsia="Times New Roman"/>
          <w:noProof/>
        </w:rPr>
        <w:t xml:space="preserve">A </w:t>
      </w:r>
      <w:r w:rsidRPr="00D86314">
        <w:rPr>
          <w:rFonts w:eastAsia="Times New Roman"/>
          <w:b/>
          <w:noProof/>
        </w:rPr>
        <w:t>disruptive capability</w:t>
      </w:r>
      <w:r w:rsidRPr="00D86314">
        <w:rPr>
          <w:rFonts w:eastAsia="Times New Roman"/>
          <w:noProof/>
        </w:rPr>
        <w:t xml:space="preserve"> of NTN components—such as LEO satellite constellations—is their ability to </w:t>
      </w:r>
      <w:r w:rsidRPr="00D86314">
        <w:rPr>
          <w:rFonts w:eastAsia="Times New Roman"/>
          <w:b/>
          <w:noProof/>
        </w:rPr>
        <w:t>provide direct-to-device (D2D) connectivity</w:t>
      </w:r>
      <w:r w:rsidRPr="00D86314">
        <w:rPr>
          <w:rFonts w:eastAsia="Times New Roman"/>
          <w:noProof/>
        </w:rPr>
        <w:t>. This means they can deliver seamless, high-speed access to smartphones, to antennas mounted on moving platforms like trains, aircraft, or ships, as well as to IoT sensors deployed in remote agricultural fields via non-terrestrial connectivity systems.</w:t>
      </w:r>
    </w:p>
    <w:p w14:paraId="565FA4E6" w14:textId="2AE798CC" w:rsidR="00A4290D" w:rsidRPr="00D86314" w:rsidRDefault="00A4290D" w:rsidP="004769C9">
      <w:pPr>
        <w:spacing w:after="120"/>
        <w:rPr>
          <w:rFonts w:eastAsia="Times New Roman"/>
          <w:noProof/>
        </w:rPr>
      </w:pPr>
      <w:r w:rsidRPr="00D86314">
        <w:rPr>
          <w:rFonts w:eastAsia="Times New Roman"/>
          <w:noProof/>
        </w:rPr>
        <w:t xml:space="preserve">While satellite connectivity was primarily used for backhauling traffic from remote base stations (satellite broadband services), with the advent of 6G, a major shift is underway. Emerging NTN platforms—including LEO satellites, high-altitude platforms (HAPS), and drone-based networks—are now being designed to offer direct connectivity to end users. This evolution marks a significant transformation in network architecture, enabling ubiquitous, reliable access without reliance on ground infrastructure. Most importantly, it poses a structural challenge to existing regulatory frameworks, which have traditionally maintained a strict separation between terrestrial mobile communications (IMT) and satellite communications. The convergence of these two domains under </w:t>
      </w:r>
      <w:r w:rsidRPr="00D86314">
        <w:rPr>
          <w:rFonts w:eastAsia="Times New Roman"/>
          <w:b/>
          <w:noProof/>
        </w:rPr>
        <w:t>6G's hybrid architecture necessitates a reconsideration of EU spectrum policy</w:t>
      </w:r>
      <w:r w:rsidRPr="00D86314">
        <w:rPr>
          <w:rFonts w:eastAsia="Times New Roman"/>
          <w:noProof/>
        </w:rPr>
        <w:t>, regulation and governance structures, paving the way for a more integrated and harmonised regulatory approach.</w:t>
      </w:r>
    </w:p>
    <w:p w14:paraId="4E975629" w14:textId="0F52E9BE" w:rsidR="00A4290D" w:rsidRPr="00D86314" w:rsidRDefault="004C09F9" w:rsidP="00703057">
      <w:pPr>
        <w:pStyle w:val="Heading3"/>
        <w:rPr>
          <w:noProof/>
        </w:rPr>
      </w:pPr>
      <w:bookmarkStart w:id="223" w:name="_Toc219718423"/>
      <w:r w:rsidRPr="00D86314">
        <w:rPr>
          <w:noProof/>
        </w:rPr>
        <w:t>Pan-European satellite services</w:t>
      </w:r>
      <w:bookmarkEnd w:id="223"/>
    </w:p>
    <w:p w14:paraId="061A88E1" w14:textId="63BC9E4C" w:rsidR="00ED0BD2" w:rsidRPr="00D86314" w:rsidRDefault="6B4B0076" w:rsidP="005F6BF0">
      <w:pPr>
        <w:rPr>
          <w:rFonts w:eastAsia="Times New Roman"/>
          <w:noProof/>
        </w:rPr>
      </w:pPr>
      <w:r w:rsidRPr="00D86314">
        <w:rPr>
          <w:rFonts w:eastAsia="Times New Roman"/>
          <w:noProof/>
        </w:rPr>
        <w:t>In an unstable geopolitical situation of growing security risks and attacks of different nature against EU connectivity infrastructure</w:t>
      </w:r>
      <w:r w:rsidR="00FC5EE8" w:rsidRPr="00D86314">
        <w:rPr>
          <w:rFonts w:eastAsia="Times New Roman"/>
          <w:noProof/>
        </w:rPr>
        <w:t>s</w:t>
      </w:r>
      <w:r w:rsidRPr="00D86314">
        <w:rPr>
          <w:rFonts w:eastAsia="Times New Roman"/>
          <w:noProof/>
        </w:rPr>
        <w:t xml:space="preserve"> and services, from natural disasters due to climate change to jamming or spoofing of signals used for navigation, </w:t>
      </w:r>
      <w:r w:rsidRPr="00D86314">
        <w:rPr>
          <w:rFonts w:eastAsia="Times New Roman"/>
          <w:b/>
          <w:bCs/>
          <w:noProof/>
        </w:rPr>
        <w:t>satellite</w:t>
      </w:r>
      <w:r w:rsidRPr="00D86314">
        <w:rPr>
          <w:rFonts w:eastAsia="Times New Roman"/>
          <w:noProof/>
        </w:rPr>
        <w:t xml:space="preserve"> connectivity has become an essential component of a sovereign, secure and resilient connectivity ecosystem, thanks to technical progress, reduced costs and improved launch and manufacturing. Low Earth Orbit (LEO) providers now offer or develop advanced connectivity services such as Direct-to-Device (D2D), and Internet of Things (IoT) services, comparable to terrestrial mobile or fixed connectivity services. At the ITU level, the vision, requirements and evaluation guidelines for 5G satellite radio interfaces were defined</w:t>
      </w:r>
      <w:r w:rsidR="00ED0BD2" w:rsidRPr="00D86314">
        <w:rPr>
          <w:rStyle w:val="FootnoteReference"/>
          <w:rFonts w:eastAsia="Times New Roman"/>
          <w:noProof/>
        </w:rPr>
        <w:footnoteReference w:id="165"/>
      </w:r>
      <w:r w:rsidRPr="00D86314">
        <w:rPr>
          <w:rFonts w:eastAsia="Times New Roman"/>
          <w:noProof/>
        </w:rPr>
        <w:t>, and 3GPP</w:t>
      </w:r>
      <w:r w:rsidR="00691A53" w:rsidRPr="00D86314">
        <w:rPr>
          <w:rFonts w:eastAsia="Times New Roman"/>
          <w:noProof/>
        </w:rPr>
        <w:t xml:space="preserve"> (a</w:t>
      </w:r>
      <w:r w:rsidR="009A658D" w:rsidRPr="00D86314">
        <w:rPr>
          <w:rFonts w:eastAsia="Times New Roman"/>
          <w:noProof/>
        </w:rPr>
        <w:t xml:space="preserve"> global organisation that defines the technical standards for mobile networks)</w:t>
      </w:r>
      <w:r w:rsidRPr="00D86314">
        <w:rPr>
          <w:rFonts w:eastAsia="Times New Roman"/>
          <w:noProof/>
        </w:rPr>
        <w:t xml:space="preserve"> has been developing specifications for 5G non-terrestrial networks (NTN), including satellite, following the acceleration of the convergence of TN and NTN</w:t>
      </w:r>
      <w:r w:rsidR="00ED0BD2" w:rsidRPr="00D86314">
        <w:rPr>
          <w:rStyle w:val="FootnoteReference"/>
          <w:rFonts w:eastAsia="Times New Roman"/>
          <w:noProof/>
        </w:rPr>
        <w:footnoteReference w:id="166"/>
      </w:r>
      <w:r w:rsidRPr="00D86314">
        <w:rPr>
          <w:rFonts w:eastAsia="Times New Roman"/>
          <w:noProof/>
        </w:rPr>
        <w:t xml:space="preserve"> (Figure </w:t>
      </w:r>
      <w:r w:rsidR="00092D1E" w:rsidRPr="00D86314">
        <w:rPr>
          <w:rFonts w:eastAsia="Times New Roman"/>
          <w:noProof/>
        </w:rPr>
        <w:t>A7</w:t>
      </w:r>
      <w:r w:rsidR="00A13DA8">
        <w:rPr>
          <w:rFonts w:eastAsia="Times New Roman"/>
          <w:noProof/>
        </w:rPr>
        <w:t>-</w:t>
      </w:r>
      <w:r w:rsidR="00092D1E" w:rsidRPr="00D86314">
        <w:rPr>
          <w:rFonts w:eastAsia="Times New Roman"/>
          <w:noProof/>
        </w:rPr>
        <w:t>1-6</w:t>
      </w:r>
      <w:r w:rsidRPr="00D86314">
        <w:rPr>
          <w:rFonts w:eastAsia="Times New Roman"/>
          <w:noProof/>
        </w:rPr>
        <w:t xml:space="preserve">). Satellite will be native in 6G. </w:t>
      </w:r>
    </w:p>
    <w:p w14:paraId="118E9A4D" w14:textId="5611B3AB" w:rsidR="009C21E2" w:rsidRPr="00D86314" w:rsidRDefault="00620497" w:rsidP="001341A4">
      <w:pPr>
        <w:keepNext/>
        <w:keepLines/>
        <w:spacing w:line="276" w:lineRule="auto"/>
        <w:rPr>
          <w:rStyle w:val="BoldItalic"/>
          <w:noProof/>
        </w:rPr>
      </w:pPr>
      <w:r w:rsidRPr="00D86314">
        <w:rPr>
          <w:i/>
          <w:noProof/>
          <w:sz w:val="22"/>
          <w:szCs w:val="22"/>
        </w:rPr>
        <w:t xml:space="preserve">Figure </w:t>
      </w:r>
      <w:r w:rsidR="009B4619" w:rsidRPr="00D86314">
        <w:rPr>
          <w:i/>
          <w:noProof/>
          <w:sz w:val="22"/>
          <w:szCs w:val="22"/>
        </w:rPr>
        <w:t>A7</w:t>
      </w:r>
      <w:r w:rsidR="00A13DA8">
        <w:rPr>
          <w:i/>
          <w:noProof/>
          <w:sz w:val="22"/>
          <w:szCs w:val="22"/>
        </w:rPr>
        <w:t xml:space="preserve"> </w:t>
      </w:r>
      <w:r w:rsidR="009B4619" w:rsidRPr="00D86314">
        <w:rPr>
          <w:i/>
          <w:noProof/>
          <w:sz w:val="22"/>
          <w:szCs w:val="22"/>
        </w:rPr>
        <w:t>1-</w:t>
      </w:r>
      <w:r w:rsidR="00484BD4" w:rsidRPr="00D86314">
        <w:rPr>
          <w:i/>
          <w:noProof/>
          <w:sz w:val="22"/>
          <w:szCs w:val="22"/>
        </w:rPr>
        <w:t>6</w:t>
      </w:r>
      <w:r w:rsidR="003D409D" w:rsidRPr="00D86314">
        <w:rPr>
          <w:i/>
          <w:noProof/>
          <w:sz w:val="22"/>
          <w:szCs w:val="22"/>
        </w:rPr>
        <w:t>:</w:t>
      </w:r>
      <w:r w:rsidRPr="00D86314">
        <w:rPr>
          <w:i/>
          <w:noProof/>
          <w:sz w:val="22"/>
          <w:szCs w:val="22"/>
        </w:rPr>
        <w:t xml:space="preserve"> </w:t>
      </w:r>
      <w:r w:rsidR="009C21E2" w:rsidRPr="00D86314">
        <w:rPr>
          <w:i/>
          <w:noProof/>
          <w:sz w:val="22"/>
          <w:szCs w:val="22"/>
        </w:rPr>
        <w:t>6G: Towards a fully integrated ecosystem (source: GSOA</w:t>
      </w:r>
      <w:r w:rsidR="009C21E2" w:rsidRPr="00D86314">
        <w:rPr>
          <w:i/>
          <w:noProof/>
        </w:rPr>
        <w:t>)</w:t>
      </w:r>
    </w:p>
    <w:p w14:paraId="03CB3322" w14:textId="77777777" w:rsidR="009C21E2" w:rsidRPr="00D86314" w:rsidRDefault="009C21E2" w:rsidP="006A6726">
      <w:pPr>
        <w:spacing w:after="120"/>
        <w:rPr>
          <w:noProof/>
        </w:rPr>
      </w:pPr>
      <w:r w:rsidRPr="00CA2C0B">
        <w:rPr>
          <w:noProof/>
          <w:lang w:eastAsia="en-GB"/>
        </w:rPr>
        <w:drawing>
          <wp:inline distT="0" distB="0" distL="0" distR="0" wp14:anchorId="25754FE8" wp14:editId="208745BC">
            <wp:extent cx="5472430" cy="2635250"/>
            <wp:effectExtent l="0" t="0" r="0" b="0"/>
            <wp:docPr id="1057288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72430" cy="2635250"/>
                    </a:xfrm>
                    <a:prstGeom prst="rect">
                      <a:avLst/>
                    </a:prstGeom>
                    <a:noFill/>
                    <a:ln>
                      <a:noFill/>
                    </a:ln>
                  </pic:spPr>
                </pic:pic>
              </a:graphicData>
            </a:graphic>
          </wp:inline>
        </w:drawing>
      </w:r>
    </w:p>
    <w:p w14:paraId="5BC08C75" w14:textId="77777777" w:rsidR="00AE5479" w:rsidRPr="00D86314" w:rsidRDefault="00AE5479" w:rsidP="004769C9">
      <w:pPr>
        <w:spacing w:after="120"/>
        <w:rPr>
          <w:rFonts w:eastAsia="Times New Roman"/>
          <w:noProof/>
        </w:rPr>
      </w:pPr>
      <w:r w:rsidRPr="00D86314">
        <w:rPr>
          <w:rFonts w:eastAsia="Times New Roman"/>
          <w:noProof/>
        </w:rPr>
        <w:t>Since the 3G-PPP publication of Rel-17 in mid-2022, NTN has been integrated into the 5G/6G landscape, marking a significant milestone for the satellite community by being the first terrestrial standard to natively incorporate a space component</w:t>
      </w:r>
      <w:r w:rsidRPr="00D86314">
        <w:rPr>
          <w:rFonts w:eastAsia="Times New Roman"/>
          <w:noProof/>
          <w:vertAlign w:val="superscript"/>
        </w:rPr>
        <w:footnoteReference w:id="167"/>
      </w:r>
      <w:r w:rsidRPr="00D86314">
        <w:rPr>
          <w:rFonts w:eastAsia="Times New Roman"/>
          <w:noProof/>
        </w:rPr>
        <w:t xml:space="preserve">. </w:t>
      </w:r>
    </w:p>
    <w:p w14:paraId="04D949F6" w14:textId="0026986B" w:rsidR="00AE5479" w:rsidRPr="00D86314" w:rsidRDefault="00AE5479" w:rsidP="00DD661C">
      <w:pPr>
        <w:keepNext/>
        <w:keepLines/>
        <w:spacing w:after="120" w:line="276" w:lineRule="auto"/>
        <w:rPr>
          <w:rFonts w:eastAsia="Times New Roman"/>
          <w:i/>
          <w:noProof/>
          <w:sz w:val="22"/>
          <w:szCs w:val="22"/>
        </w:rPr>
      </w:pPr>
      <w:r w:rsidRPr="00D86314">
        <w:rPr>
          <w:rFonts w:eastAsia="Times New Roman"/>
          <w:i/>
          <w:noProof/>
          <w:sz w:val="22"/>
          <w:szCs w:val="22"/>
        </w:rPr>
        <w:t xml:space="preserve">Figure </w:t>
      </w:r>
      <w:r w:rsidR="0061334C" w:rsidRPr="00D86314">
        <w:rPr>
          <w:rFonts w:eastAsia="Times New Roman"/>
          <w:i/>
          <w:noProof/>
          <w:sz w:val="22"/>
          <w:szCs w:val="22"/>
        </w:rPr>
        <w:t>A7</w:t>
      </w:r>
      <w:r w:rsidR="00A13DA8">
        <w:rPr>
          <w:rFonts w:eastAsia="Times New Roman"/>
          <w:i/>
          <w:noProof/>
          <w:sz w:val="22"/>
          <w:szCs w:val="22"/>
        </w:rPr>
        <w:t xml:space="preserve"> </w:t>
      </w:r>
      <w:r w:rsidR="0061334C" w:rsidRPr="00D86314">
        <w:rPr>
          <w:rFonts w:eastAsia="Times New Roman"/>
          <w:i/>
          <w:noProof/>
          <w:sz w:val="22"/>
          <w:szCs w:val="22"/>
        </w:rPr>
        <w:t>1-</w:t>
      </w:r>
      <w:r w:rsidR="00484BD4" w:rsidRPr="00D86314">
        <w:rPr>
          <w:rFonts w:eastAsia="Times New Roman"/>
          <w:i/>
          <w:noProof/>
          <w:sz w:val="22"/>
          <w:szCs w:val="22"/>
        </w:rPr>
        <w:t>7</w:t>
      </w:r>
      <w:r w:rsidRPr="00D86314">
        <w:rPr>
          <w:rFonts w:eastAsia="Times New Roman"/>
          <w:i/>
          <w:noProof/>
          <w:sz w:val="22"/>
          <w:szCs w:val="22"/>
        </w:rPr>
        <w:t>: 3G-PPP standardisation plan for 6G</w:t>
      </w:r>
    </w:p>
    <w:p w14:paraId="1EF71399" w14:textId="77777777" w:rsidR="00AE5479" w:rsidRPr="00D86314" w:rsidRDefault="00AE5479" w:rsidP="006A6726">
      <w:pPr>
        <w:spacing w:after="120" w:line="276" w:lineRule="auto"/>
        <w:rPr>
          <w:rFonts w:eastAsia="Times New Roman"/>
          <w:noProof/>
        </w:rPr>
      </w:pPr>
      <w:r w:rsidRPr="00CA2C0B">
        <w:rPr>
          <w:rFonts w:eastAsia="Times New Roman"/>
          <w:noProof/>
          <w:lang w:eastAsia="en-GB"/>
        </w:rPr>
        <w:drawing>
          <wp:inline distT="0" distB="0" distL="0" distR="0" wp14:anchorId="5C1C5C6E" wp14:editId="4712D356">
            <wp:extent cx="5760720" cy="1099820"/>
            <wp:effectExtent l="0" t="0" r="0" b="5080"/>
            <wp:docPr id="16952577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257716" name="Picture 1" descr="A screenshot of a computer&#10;&#10;AI-generated content may be incorrect."/>
                    <pic:cNvPicPr/>
                  </pic:nvPicPr>
                  <pic:blipFill>
                    <a:blip r:embed="rId127"/>
                    <a:stretch>
                      <a:fillRect/>
                    </a:stretch>
                  </pic:blipFill>
                  <pic:spPr>
                    <a:xfrm>
                      <a:off x="0" y="0"/>
                      <a:ext cx="5760720" cy="1099820"/>
                    </a:xfrm>
                    <a:prstGeom prst="rect">
                      <a:avLst/>
                    </a:prstGeom>
                  </pic:spPr>
                </pic:pic>
              </a:graphicData>
            </a:graphic>
          </wp:inline>
        </w:drawing>
      </w:r>
    </w:p>
    <w:p w14:paraId="28DCC2C0" w14:textId="38DE93F8" w:rsidR="00AE5479" w:rsidRPr="00D86314" w:rsidRDefault="00AE5479" w:rsidP="004769C9">
      <w:pPr>
        <w:spacing w:after="120"/>
        <w:rPr>
          <w:rFonts w:eastAsia="Times New Roman"/>
          <w:noProof/>
        </w:rPr>
      </w:pPr>
      <w:r w:rsidRPr="00D86314">
        <w:rPr>
          <w:rFonts w:eastAsia="Times New Roman"/>
          <w:noProof/>
        </w:rPr>
        <w:t>The dramatic drop in launch cost in recent years thanks to improved technology is enabling business models that would not have been viable in the past, resulting in a dramatic increase in planned satellite deployments. The great majority of this activity has been for Low Earth Orbit (LEO) constellations, each of which entails a great many satellites.</w:t>
      </w:r>
      <w:r w:rsidRPr="00D86314">
        <w:rPr>
          <w:rFonts w:eastAsia="Times New Roman"/>
          <w:noProof/>
          <w:vertAlign w:val="superscript"/>
        </w:rPr>
        <w:footnoteReference w:id="168"/>
      </w:r>
      <w:r w:rsidRPr="00D86314">
        <w:rPr>
          <w:rFonts w:eastAsia="Times New Roman"/>
          <w:noProof/>
        </w:rPr>
        <w:t xml:space="preserve"> A summary of NewSpace data by Detecon (2025)</w:t>
      </w:r>
      <w:r w:rsidRPr="00D86314">
        <w:rPr>
          <w:rFonts w:eastAsia="Times New Roman"/>
          <w:noProof/>
          <w:vertAlign w:val="superscript"/>
        </w:rPr>
        <w:footnoteReference w:id="169"/>
      </w:r>
      <w:r w:rsidRPr="00D86314">
        <w:rPr>
          <w:rFonts w:eastAsia="Times New Roman"/>
          <w:noProof/>
        </w:rPr>
        <w:t xml:space="preserve"> makes clear that the number of constellations early in the planning or prototyping stages is large (see</w:t>
      </w:r>
      <w:r w:rsidR="004C69A4">
        <w:rPr>
          <w:rFonts w:eastAsia="Times New Roman"/>
          <w:noProof/>
        </w:rPr>
        <w:t xml:space="preserve"> Figure A7 1-</w:t>
      </w:r>
      <w:r w:rsidR="00ED125C">
        <w:rPr>
          <w:rFonts w:eastAsia="Times New Roman"/>
          <w:noProof/>
        </w:rPr>
        <w:t>8</w:t>
      </w:r>
      <w:r w:rsidRPr="00D86314">
        <w:rPr>
          <w:rFonts w:eastAsia="Times New Roman"/>
          <w:noProof/>
        </w:rPr>
        <w:t>). The number of new satellites planned, either as extensions to existing constellations or as new constellations, totally dwarfs the total number of satellites in service today, even when one discounts the most speculative plans. This has also implication on the number of expected authorisation requests.</w:t>
      </w:r>
    </w:p>
    <w:p w14:paraId="382802BD" w14:textId="3336470C" w:rsidR="00AE5479" w:rsidRPr="00D86314" w:rsidRDefault="00AE5479" w:rsidP="00DD661C">
      <w:pPr>
        <w:keepNext/>
        <w:spacing w:after="120" w:line="276" w:lineRule="auto"/>
        <w:rPr>
          <w:rFonts w:eastAsia="Times New Roman"/>
          <w:i/>
          <w:noProof/>
        </w:rPr>
      </w:pPr>
      <w:bookmarkStart w:id="224" w:name="_Ref208228817"/>
      <w:bookmarkStart w:id="225" w:name="_Toc208340441"/>
      <w:r w:rsidRPr="00D86314">
        <w:rPr>
          <w:rFonts w:eastAsia="Times New Roman"/>
          <w:i/>
          <w:noProof/>
          <w:sz w:val="22"/>
          <w:szCs w:val="22"/>
        </w:rPr>
        <w:t xml:space="preserve">Figure </w:t>
      </w:r>
      <w:bookmarkEnd w:id="224"/>
      <w:r w:rsidR="0061334C" w:rsidRPr="00D86314">
        <w:rPr>
          <w:rFonts w:eastAsia="Times New Roman"/>
          <w:i/>
          <w:noProof/>
          <w:sz w:val="22"/>
          <w:szCs w:val="22"/>
        </w:rPr>
        <w:t>A7 1-</w:t>
      </w:r>
      <w:r w:rsidR="00484BD4" w:rsidRPr="00D86314">
        <w:rPr>
          <w:rFonts w:eastAsia="Times New Roman"/>
          <w:i/>
          <w:noProof/>
          <w:sz w:val="22"/>
          <w:szCs w:val="22"/>
        </w:rPr>
        <w:t>8:</w:t>
      </w:r>
      <w:r w:rsidR="00B259A9" w:rsidRPr="00D86314">
        <w:rPr>
          <w:rFonts w:eastAsia="Times New Roman"/>
          <w:i/>
          <w:noProof/>
          <w:sz w:val="22"/>
          <w:szCs w:val="22"/>
        </w:rPr>
        <w:t xml:space="preserve"> </w:t>
      </w:r>
      <w:r w:rsidRPr="00D86314">
        <w:rPr>
          <w:rFonts w:eastAsia="Times New Roman"/>
          <w:i/>
          <w:noProof/>
          <w:sz w:val="22"/>
          <w:szCs w:val="22"/>
        </w:rPr>
        <w:t>Satellite constellations launched and planned</w:t>
      </w:r>
      <w:r w:rsidRPr="00D86314">
        <w:rPr>
          <w:rFonts w:eastAsia="Times New Roman"/>
          <w:i/>
          <w:noProof/>
        </w:rPr>
        <w:t>.</w:t>
      </w:r>
      <w:bookmarkEnd w:id="225"/>
    </w:p>
    <w:p w14:paraId="71FDCEF8" w14:textId="77777777" w:rsidR="00AE5479" w:rsidRPr="00D86314" w:rsidRDefault="00AE5479" w:rsidP="006A6726">
      <w:pPr>
        <w:spacing w:after="120" w:line="276" w:lineRule="auto"/>
        <w:rPr>
          <w:rFonts w:eastAsia="Times New Roman"/>
          <w:noProof/>
        </w:rPr>
      </w:pPr>
      <w:r w:rsidRPr="00CA2C0B">
        <w:rPr>
          <w:rFonts w:eastAsia="Times New Roman"/>
          <w:noProof/>
          <w:lang w:eastAsia="en-GB"/>
        </w:rPr>
        <w:drawing>
          <wp:inline distT="0" distB="0" distL="0" distR="0" wp14:anchorId="38425459" wp14:editId="63AAA675">
            <wp:extent cx="5733415" cy="3413760"/>
            <wp:effectExtent l="0" t="0" r="635" b="0"/>
            <wp:docPr id="573809483" name="Picture 1" descr="A graph showing a number of constell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09483" name="Picture 1" descr="A graph showing a number of constellations&#10;&#10;AI-generated content may be incorrect."/>
                    <pic:cNvPicPr/>
                  </pic:nvPicPr>
                  <pic:blipFill>
                    <a:blip r:embed="rId128"/>
                    <a:stretch>
                      <a:fillRect/>
                    </a:stretch>
                  </pic:blipFill>
                  <pic:spPr>
                    <a:xfrm>
                      <a:off x="0" y="0"/>
                      <a:ext cx="5733415" cy="3413760"/>
                    </a:xfrm>
                    <a:prstGeom prst="rect">
                      <a:avLst/>
                    </a:prstGeom>
                  </pic:spPr>
                </pic:pic>
              </a:graphicData>
            </a:graphic>
          </wp:inline>
        </w:drawing>
      </w:r>
    </w:p>
    <w:p w14:paraId="4C836F5A" w14:textId="02179A52" w:rsidR="00C514ED" w:rsidRPr="00D86314" w:rsidRDefault="00AE5479" w:rsidP="008A3074">
      <w:pPr>
        <w:spacing w:after="120" w:line="276" w:lineRule="auto"/>
        <w:rPr>
          <w:rFonts w:eastAsia="Times New Roman"/>
          <w:noProof/>
        </w:rPr>
      </w:pPr>
      <w:r w:rsidRPr="00D86314">
        <w:rPr>
          <w:rFonts w:eastAsia="Times New Roman"/>
          <w:i/>
          <w:noProof/>
          <w:sz w:val="18"/>
          <w:szCs w:val="18"/>
        </w:rPr>
        <w:t xml:space="preserve">Source: newspace.im, March 2025 as reported in Majoor, R. and Perty, H.-P. (2025). Study on mobile satellite services (MSS) in the 2 GHz band in the EU: Implementation of the current regulatory framework and an overview of the satellite connectivity market, Study by Detecon for the European Commission, pp. 104-109: </w:t>
      </w:r>
      <w:hyperlink r:id="rId129" w:history="1">
        <w:r w:rsidR="00713755" w:rsidRPr="00D86314">
          <w:rPr>
            <w:rStyle w:val="Hyperlink"/>
            <w:rFonts w:eastAsia="Times New Roman"/>
            <w:i/>
            <w:noProof/>
            <w:sz w:val="18"/>
            <w:szCs w:val="18"/>
          </w:rPr>
          <w:t>https://op.europa.eu/en/publication-detail/-/publication/5c28e25b-41b3-11f0-b9f2-01aa75ed71a1/language-en</w:t>
        </w:r>
      </w:hyperlink>
      <w:r w:rsidRPr="00D86314">
        <w:rPr>
          <w:rFonts w:eastAsia="Times New Roman"/>
          <w:i/>
          <w:noProof/>
          <w:sz w:val="18"/>
          <w:szCs w:val="18"/>
        </w:rPr>
        <w:t>.</w:t>
      </w:r>
      <w:r w:rsidR="00713755" w:rsidRPr="00D86314">
        <w:rPr>
          <w:rFonts w:eastAsia="Times New Roman"/>
          <w:i/>
          <w:noProof/>
          <w:sz w:val="18"/>
          <w:szCs w:val="18"/>
        </w:rPr>
        <w:t xml:space="preserve"> </w:t>
      </w:r>
      <w:bookmarkStart w:id="226" w:name="_Hlk208405470"/>
    </w:p>
    <w:p w14:paraId="55FE74F1" w14:textId="4DDF5B1F" w:rsidR="00AE5479" w:rsidRPr="00D86314" w:rsidRDefault="00C514ED" w:rsidP="008A3074">
      <w:pPr>
        <w:spacing w:before="240" w:after="120"/>
        <w:rPr>
          <w:rFonts w:eastAsia="Times New Roman"/>
          <w:noProof/>
        </w:rPr>
      </w:pPr>
      <w:r w:rsidRPr="00D86314">
        <w:rPr>
          <w:rFonts w:eastAsia="Times New Roman"/>
          <w:noProof/>
        </w:rPr>
        <w:t>Although Europe used to be a frontrunner in satellite communications, it has failed to anticipate the innovation potential of this market and was slow to invest in LEO constellation deployment</w:t>
      </w:r>
      <w:r w:rsidRPr="00D86314">
        <w:rPr>
          <w:rFonts w:eastAsia="Times New Roman"/>
          <w:noProof/>
          <w:vertAlign w:val="superscript"/>
        </w:rPr>
        <w:footnoteReference w:id="170"/>
      </w:r>
      <w:r w:rsidRPr="00D86314">
        <w:rPr>
          <w:rFonts w:eastAsia="Times New Roman"/>
          <w:noProof/>
        </w:rPr>
        <w:t xml:space="preserve">. </w:t>
      </w:r>
      <w:r w:rsidR="00C57529" w:rsidRPr="00D86314">
        <w:rPr>
          <w:rFonts w:eastAsia="Times New Roman"/>
          <w:noProof/>
        </w:rPr>
        <w:t>The EU is facing critical capacity, competitiveness and sovereignty challenges, as regards launching capacity and deployment of LEO constellations as illustrated in section 2.1.2. with only 773 LEO satellites launched and 3120 planned, the EU lags behind China (i.e. 220 launched, 27 198 planned)</w:t>
      </w:r>
      <w:r w:rsidR="00C57529" w:rsidRPr="00D86314">
        <w:rPr>
          <w:rFonts w:eastAsia="Times New Roman"/>
          <w:noProof/>
          <w:vertAlign w:val="superscript"/>
        </w:rPr>
        <w:t xml:space="preserve"> </w:t>
      </w:r>
      <w:r w:rsidR="00DD0433" w:rsidRPr="00D86314">
        <w:rPr>
          <w:rFonts w:eastAsia="Times New Roman"/>
          <w:noProof/>
          <w:vertAlign w:val="superscript"/>
        </w:rPr>
        <w:footnoteReference w:id="171"/>
      </w:r>
      <w:r w:rsidR="00DD0433" w:rsidRPr="00D86314">
        <w:rPr>
          <w:rFonts w:eastAsia="Times New Roman"/>
          <w:noProof/>
        </w:rPr>
        <w:t>.</w:t>
      </w:r>
      <w:r w:rsidR="00C57529" w:rsidRPr="00D86314">
        <w:rPr>
          <w:rFonts w:eastAsia="Times New Roman"/>
          <w:noProof/>
        </w:rPr>
        <w:t xml:space="preserve"> and the USA (i.e. 7 633 launched, 33 397 planned).</w:t>
      </w:r>
      <w:r w:rsidR="00F0627D" w:rsidRPr="00D86314">
        <w:rPr>
          <w:rFonts w:eastAsia="Times New Roman"/>
          <w:noProof/>
        </w:rPr>
        <w:t xml:space="preserve"> </w:t>
      </w:r>
      <w:r w:rsidRPr="00D86314">
        <w:rPr>
          <w:rFonts w:eastAsia="Times New Roman"/>
          <w:noProof/>
        </w:rPr>
        <w:t xml:space="preserve">The increasing dependence on third country constellations raises concerns around lock-in effects, creates the risk of “shut down” and challenges European security and strategic autonomy. Moreover, existing and planned constellations of thousands of satellites from third countries risk accumulating orbit and spectrum resources for their commercial interests, rather than EU’s strategic ones. </w:t>
      </w:r>
    </w:p>
    <w:bookmarkEnd w:id="226"/>
    <w:p w14:paraId="7048522B" w14:textId="0A639679" w:rsidR="008B4397" w:rsidRPr="00D86314" w:rsidRDefault="00AE283E" w:rsidP="00E85AB1">
      <w:pPr>
        <w:spacing w:after="120"/>
        <w:rPr>
          <w:rFonts w:eastAsia="Times New Roman"/>
          <w:noProof/>
        </w:rPr>
      </w:pPr>
      <w:r w:rsidRPr="00D86314">
        <w:rPr>
          <w:rFonts w:eastAsia="Times New Roman"/>
          <w:noProof/>
        </w:rPr>
        <w:t xml:space="preserve">The convergence of satellite and mobile technologies within the 6G ecosystem represents a </w:t>
      </w:r>
      <w:r w:rsidRPr="00D86314">
        <w:rPr>
          <w:rFonts w:eastAsia="Times New Roman"/>
          <w:b/>
          <w:bCs/>
          <w:noProof/>
        </w:rPr>
        <w:t>structural disruption to long-standing regulatory paradigms</w:t>
      </w:r>
      <w:r w:rsidRPr="00D86314">
        <w:rPr>
          <w:rFonts w:eastAsia="Times New Roman"/>
          <w:noProof/>
        </w:rPr>
        <w:t>. Historically, mobile communications—governed under the IMT (International Mobile Telecommunications) framework—and satellite communications have been treated as distinct domains, each with different spectrum allocations, authorisation-licensing regimes, and other operational assumptions (i.e. national spectrum planning, regulatory bodies and other governance structures, etc).</w:t>
      </w:r>
      <w:r w:rsidR="00C57529" w:rsidRPr="00D86314">
        <w:rPr>
          <w:rFonts w:eastAsia="Times New Roman"/>
          <w:noProof/>
        </w:rPr>
        <w:t xml:space="preserve"> </w:t>
      </w:r>
      <w:r w:rsidR="657504C0" w:rsidRPr="00D86314">
        <w:rPr>
          <w:rFonts w:eastAsia="Times New Roman"/>
          <w:noProof/>
        </w:rPr>
        <w:t xml:space="preserve">Furthermore, the increasing </w:t>
      </w:r>
      <w:r w:rsidR="4DC54FD0" w:rsidRPr="00D86314">
        <w:rPr>
          <w:rFonts w:eastAsia="Times New Roman"/>
          <w:noProof/>
        </w:rPr>
        <w:t xml:space="preserve">need for </w:t>
      </w:r>
      <w:r w:rsidR="657504C0" w:rsidRPr="00D86314">
        <w:rPr>
          <w:rFonts w:eastAsia="Times New Roman"/>
          <w:noProof/>
        </w:rPr>
        <w:t xml:space="preserve">shared use of terrestrial mobile spectrum by satellite systems </w:t>
      </w:r>
      <w:r w:rsidR="4DC54FD0" w:rsidRPr="00D86314">
        <w:rPr>
          <w:rFonts w:eastAsia="Times New Roman"/>
          <w:noProof/>
        </w:rPr>
        <w:t>to</w:t>
      </w:r>
      <w:r w:rsidR="657504C0" w:rsidRPr="00D86314">
        <w:rPr>
          <w:rFonts w:eastAsia="Times New Roman"/>
          <w:noProof/>
        </w:rPr>
        <w:t xml:space="preserve"> provid</w:t>
      </w:r>
      <w:r w:rsidR="4DC54FD0" w:rsidRPr="00D86314">
        <w:rPr>
          <w:rFonts w:eastAsia="Times New Roman"/>
          <w:noProof/>
        </w:rPr>
        <w:t>e</w:t>
      </w:r>
      <w:r w:rsidR="657504C0" w:rsidRPr="00D86314">
        <w:rPr>
          <w:rFonts w:eastAsia="Times New Roman"/>
          <w:noProof/>
        </w:rPr>
        <w:t xml:space="preserve"> complementary coverage in remote and scarcely populated regions exerts pressure </w:t>
      </w:r>
      <w:r w:rsidR="6AA0ABCE" w:rsidRPr="00D86314">
        <w:rPr>
          <w:rFonts w:eastAsia="Times New Roman"/>
          <w:noProof/>
        </w:rPr>
        <w:t xml:space="preserve">for a revision of </w:t>
      </w:r>
      <w:r w:rsidR="657504C0" w:rsidRPr="00D86314">
        <w:rPr>
          <w:rFonts w:eastAsia="Times New Roman"/>
          <w:noProof/>
        </w:rPr>
        <w:t xml:space="preserve">the ITU framework </w:t>
      </w:r>
      <w:r w:rsidR="6AA0ABCE" w:rsidRPr="00D86314">
        <w:rPr>
          <w:rFonts w:eastAsia="Times New Roman"/>
          <w:noProof/>
        </w:rPr>
        <w:t xml:space="preserve">to </w:t>
      </w:r>
      <w:r w:rsidR="3B66C1EA" w:rsidRPr="00D86314">
        <w:rPr>
          <w:rFonts w:eastAsia="Times New Roman"/>
          <w:noProof/>
        </w:rPr>
        <w:t xml:space="preserve">globally </w:t>
      </w:r>
      <w:r w:rsidR="6AA0ABCE" w:rsidRPr="00D86314">
        <w:rPr>
          <w:rFonts w:eastAsia="Times New Roman"/>
          <w:noProof/>
        </w:rPr>
        <w:t xml:space="preserve">allow </w:t>
      </w:r>
      <w:r w:rsidR="104694E2" w:rsidRPr="00D86314">
        <w:rPr>
          <w:rFonts w:eastAsia="Times New Roman"/>
          <w:noProof/>
        </w:rPr>
        <w:t>converge</w:t>
      </w:r>
      <w:r w:rsidR="55BD3E59" w:rsidRPr="00D86314">
        <w:rPr>
          <w:rFonts w:eastAsia="Times New Roman"/>
          <w:noProof/>
        </w:rPr>
        <w:t>nce of</w:t>
      </w:r>
      <w:r w:rsidR="104694E2" w:rsidRPr="00D86314">
        <w:rPr>
          <w:rFonts w:eastAsia="Times New Roman"/>
          <w:noProof/>
        </w:rPr>
        <w:t xml:space="preserve"> terrestrial</w:t>
      </w:r>
      <w:r w:rsidR="7E4BC4A6" w:rsidRPr="00D86314">
        <w:rPr>
          <w:rFonts w:eastAsia="Times New Roman"/>
          <w:noProof/>
        </w:rPr>
        <w:t xml:space="preserve"> and </w:t>
      </w:r>
      <w:r w:rsidR="104694E2" w:rsidRPr="00D86314">
        <w:rPr>
          <w:rFonts w:eastAsia="Times New Roman"/>
          <w:noProof/>
        </w:rPr>
        <w:t xml:space="preserve">satellite spectrum use. </w:t>
      </w:r>
      <w:r w:rsidR="55BD3E59" w:rsidRPr="00D86314">
        <w:rPr>
          <w:rFonts w:eastAsia="Times New Roman"/>
          <w:noProof/>
        </w:rPr>
        <w:t>Th</w:t>
      </w:r>
      <w:r w:rsidR="088196D3" w:rsidRPr="00D86314">
        <w:rPr>
          <w:rFonts w:eastAsia="Times New Roman"/>
          <w:noProof/>
        </w:rPr>
        <w:t>is</w:t>
      </w:r>
      <w:r w:rsidR="55BD3E59" w:rsidRPr="00D86314">
        <w:rPr>
          <w:rFonts w:eastAsia="Times New Roman"/>
          <w:noProof/>
        </w:rPr>
        <w:t xml:space="preserve"> calls for reinforced EU-coordination for the establishment of rules in </w:t>
      </w:r>
      <w:r w:rsidR="3C5BF7AB" w:rsidRPr="00D86314">
        <w:rPr>
          <w:rFonts w:eastAsia="Times New Roman"/>
          <w:noProof/>
        </w:rPr>
        <w:t xml:space="preserve">support of </w:t>
      </w:r>
      <w:r w:rsidR="55BD3E59" w:rsidRPr="00D86314">
        <w:rPr>
          <w:rFonts w:eastAsia="Times New Roman"/>
          <w:noProof/>
        </w:rPr>
        <w:t xml:space="preserve">the single market and their promotion in the ITU regulatory process. </w:t>
      </w:r>
      <w:r w:rsidR="6E93AD5F" w:rsidRPr="00D86314">
        <w:rPr>
          <w:rFonts w:eastAsia="Times New Roman"/>
          <w:noProof/>
        </w:rPr>
        <w:t xml:space="preserve">These must address </w:t>
      </w:r>
      <w:r w:rsidR="287FB0F2" w:rsidRPr="00D86314">
        <w:rPr>
          <w:rFonts w:eastAsia="Times New Roman"/>
          <w:noProof/>
        </w:rPr>
        <w:t>t</w:t>
      </w:r>
      <w:r w:rsidR="37C3FB1D" w:rsidRPr="00D86314">
        <w:rPr>
          <w:rFonts w:eastAsia="Times New Roman"/>
          <w:noProof/>
        </w:rPr>
        <w:t xml:space="preserve">he </w:t>
      </w:r>
      <w:r w:rsidR="6E93AD5F" w:rsidRPr="00D86314">
        <w:rPr>
          <w:rFonts w:eastAsia="Times New Roman"/>
          <w:noProof/>
        </w:rPr>
        <w:t xml:space="preserve">risk of interference from </w:t>
      </w:r>
      <w:r w:rsidR="4497D8E0" w:rsidRPr="00D86314">
        <w:rPr>
          <w:rFonts w:eastAsia="Times New Roman"/>
          <w:noProof/>
        </w:rPr>
        <w:t>satellite mega-constellations</w:t>
      </w:r>
      <w:r w:rsidR="230FA34F" w:rsidRPr="00D86314">
        <w:rPr>
          <w:rFonts w:eastAsia="Times New Roman"/>
          <w:noProof/>
        </w:rPr>
        <w:t xml:space="preserve">, and </w:t>
      </w:r>
      <w:r w:rsidR="2E4A040E" w:rsidRPr="00D86314">
        <w:rPr>
          <w:rFonts w:eastAsia="Times New Roman"/>
          <w:noProof/>
        </w:rPr>
        <w:t xml:space="preserve">underpin its </w:t>
      </w:r>
      <w:r w:rsidR="5B030AE4" w:rsidRPr="00D86314">
        <w:rPr>
          <w:rFonts w:eastAsia="Times New Roman"/>
          <w:noProof/>
        </w:rPr>
        <w:t xml:space="preserve">monitoring and </w:t>
      </w:r>
      <w:r w:rsidR="6B37B66B" w:rsidRPr="00D86314">
        <w:rPr>
          <w:rFonts w:eastAsia="Times New Roman"/>
          <w:noProof/>
        </w:rPr>
        <w:t>prevention</w:t>
      </w:r>
      <w:r w:rsidR="4497D8E0" w:rsidRPr="00D86314">
        <w:rPr>
          <w:rFonts w:eastAsia="Times New Roman"/>
          <w:noProof/>
        </w:rPr>
        <w:t xml:space="preserve">, </w:t>
      </w:r>
      <w:r w:rsidR="2E4A040E" w:rsidRPr="00D86314">
        <w:rPr>
          <w:rFonts w:eastAsia="Times New Roman"/>
          <w:noProof/>
        </w:rPr>
        <w:t>In this regard, serious interference cases have been reported vis-à-vis EU’s radio</w:t>
      </w:r>
      <w:r w:rsidR="62CDA634" w:rsidRPr="00D86314">
        <w:rPr>
          <w:rFonts w:eastAsia="Times New Roman"/>
          <w:noProof/>
        </w:rPr>
        <w:t xml:space="preserve"> astronomy services </w:t>
      </w:r>
      <w:r w:rsidR="38D26939" w:rsidRPr="00D86314">
        <w:rPr>
          <w:rFonts w:eastAsia="Times New Roman"/>
          <w:noProof/>
        </w:rPr>
        <w:t xml:space="preserve">from </w:t>
      </w:r>
      <w:r w:rsidR="6A232620" w:rsidRPr="00D86314">
        <w:rPr>
          <w:rFonts w:eastAsia="Times New Roman"/>
          <w:noProof/>
        </w:rPr>
        <w:t xml:space="preserve">LEO constellation such as </w:t>
      </w:r>
      <w:r w:rsidR="38D26939" w:rsidRPr="00D86314">
        <w:rPr>
          <w:rFonts w:eastAsia="Times New Roman"/>
          <w:noProof/>
        </w:rPr>
        <w:t>Starlink satellites</w:t>
      </w:r>
      <w:r w:rsidR="00365C9E" w:rsidRPr="00D86314">
        <w:rPr>
          <w:rStyle w:val="FootnoteReference"/>
          <w:rFonts w:eastAsia="Times New Roman"/>
          <w:noProof/>
        </w:rPr>
        <w:footnoteReference w:id="172"/>
      </w:r>
      <w:r w:rsidR="006A6726" w:rsidRPr="00D86314">
        <w:rPr>
          <w:rFonts w:eastAsia="Times New Roman"/>
          <w:noProof/>
        </w:rPr>
        <w:t xml:space="preserve"> </w:t>
      </w:r>
      <w:r w:rsidR="131BCF9C" w:rsidRPr="00D86314">
        <w:rPr>
          <w:rFonts w:eastAsia="Times New Roman"/>
          <w:noProof/>
        </w:rPr>
        <w:t xml:space="preserve">could be high enough to seriously disturb </w:t>
      </w:r>
      <w:r w:rsidR="7EAA2089" w:rsidRPr="00D86314">
        <w:rPr>
          <w:rFonts w:eastAsia="Times New Roman"/>
          <w:noProof/>
        </w:rPr>
        <w:t xml:space="preserve">ground-based observatories and space-based telescopes. </w:t>
      </w:r>
      <w:r w:rsidR="0753299D" w:rsidRPr="00D86314">
        <w:rPr>
          <w:rFonts w:eastAsia="Times New Roman"/>
          <w:noProof/>
        </w:rPr>
        <w:t>Stakeholders f</w:t>
      </w:r>
      <w:r w:rsidR="7C53198C" w:rsidRPr="00D86314">
        <w:rPr>
          <w:rFonts w:eastAsia="Times New Roman"/>
          <w:noProof/>
        </w:rPr>
        <w:t>ro</w:t>
      </w:r>
      <w:r w:rsidR="0753299D" w:rsidRPr="00D86314">
        <w:rPr>
          <w:rFonts w:eastAsia="Times New Roman"/>
          <w:noProof/>
        </w:rPr>
        <w:t xml:space="preserve">m the radioastronomy sector stress the need of </w:t>
      </w:r>
      <w:r w:rsidR="7C53198C" w:rsidRPr="00D86314">
        <w:rPr>
          <w:rFonts w:eastAsia="Times New Roman"/>
          <w:noProof/>
        </w:rPr>
        <w:t>a minim</w:t>
      </w:r>
      <w:r w:rsidR="01BE214E" w:rsidRPr="00D86314">
        <w:rPr>
          <w:rFonts w:eastAsia="Times New Roman"/>
          <w:noProof/>
        </w:rPr>
        <w:t>ally</w:t>
      </w:r>
      <w:r w:rsidR="7EAA2089" w:rsidRPr="00D86314">
        <w:rPr>
          <w:rFonts w:eastAsia="Times New Roman"/>
          <w:noProof/>
        </w:rPr>
        <w:t xml:space="preserve"> disturbed dark and radio-quiet sky for conducting fundamental research in astronomy and important public services such as planetary defence, technology development, and high-precision geolocation</w:t>
      </w:r>
      <w:r w:rsidR="00131630" w:rsidRPr="00D86314">
        <w:rPr>
          <w:rStyle w:val="FootnoteReference"/>
          <w:rFonts w:eastAsia="Times New Roman"/>
          <w:noProof/>
        </w:rPr>
        <w:footnoteReference w:id="173"/>
      </w:r>
      <w:r w:rsidR="1D40893B" w:rsidRPr="00D86314">
        <w:rPr>
          <w:rFonts w:eastAsia="Times New Roman"/>
          <w:noProof/>
        </w:rPr>
        <w:t xml:space="preserve"> Similarly (unintended) LEO </w:t>
      </w:r>
      <w:r w:rsidR="6A546EBD" w:rsidRPr="00D86314">
        <w:rPr>
          <w:rFonts w:eastAsia="Times New Roman"/>
          <w:noProof/>
        </w:rPr>
        <w:t>satellite</w:t>
      </w:r>
      <w:r w:rsidR="1D40893B" w:rsidRPr="00D86314">
        <w:rPr>
          <w:rFonts w:eastAsia="Times New Roman"/>
          <w:noProof/>
        </w:rPr>
        <w:t xml:space="preserve"> interference could </w:t>
      </w:r>
      <w:r w:rsidR="091830E2" w:rsidRPr="00D86314">
        <w:rPr>
          <w:rFonts w:eastAsia="Times New Roman"/>
          <w:noProof/>
        </w:rPr>
        <w:t>potentially</w:t>
      </w:r>
      <w:r w:rsidR="1D40893B" w:rsidRPr="00D86314">
        <w:rPr>
          <w:rFonts w:eastAsia="Times New Roman"/>
          <w:noProof/>
        </w:rPr>
        <w:t xml:space="preserve"> affect other </w:t>
      </w:r>
      <w:r w:rsidR="091830E2" w:rsidRPr="00D86314">
        <w:rPr>
          <w:rFonts w:eastAsia="Times New Roman"/>
          <w:noProof/>
        </w:rPr>
        <w:t xml:space="preserve">satellite </w:t>
      </w:r>
      <w:r w:rsidR="1D40893B" w:rsidRPr="00D86314">
        <w:rPr>
          <w:rFonts w:eastAsia="Times New Roman"/>
          <w:noProof/>
        </w:rPr>
        <w:t xml:space="preserve">applications, including earth observation or </w:t>
      </w:r>
      <w:r w:rsidR="1AE3B73D" w:rsidRPr="00D86314">
        <w:rPr>
          <w:rFonts w:eastAsia="Times New Roman"/>
          <w:noProof/>
        </w:rPr>
        <w:t xml:space="preserve">space </w:t>
      </w:r>
      <w:r w:rsidR="1D40893B" w:rsidRPr="00D86314">
        <w:rPr>
          <w:rFonts w:eastAsia="Times New Roman"/>
          <w:noProof/>
        </w:rPr>
        <w:t xml:space="preserve">connectivity. </w:t>
      </w:r>
      <w:r w:rsidR="00B64B76" w:rsidRPr="00D86314">
        <w:rPr>
          <w:noProof/>
        </w:rPr>
        <w:t>This ineffective and uncoordinated enforcement of ITU interference rules against harmful radio frequency interference at EU is likely to become more challenging</w:t>
      </w:r>
      <w:r w:rsidR="004A0353" w:rsidRPr="00D86314">
        <w:rPr>
          <w:noProof/>
        </w:rPr>
        <w:t xml:space="preserve"> with the growing global demand </w:t>
      </w:r>
      <w:r w:rsidR="009C2E8F" w:rsidRPr="00D86314">
        <w:rPr>
          <w:noProof/>
        </w:rPr>
        <w:t xml:space="preserve">of </w:t>
      </w:r>
      <w:r w:rsidR="004A0353" w:rsidRPr="00D86314">
        <w:rPr>
          <w:noProof/>
        </w:rPr>
        <w:t>LEOs satellites</w:t>
      </w:r>
      <w:r w:rsidR="009C2E8F" w:rsidRPr="00D86314">
        <w:rPr>
          <w:noProof/>
        </w:rPr>
        <w:t xml:space="preserve"> to access satellite spectrum.</w:t>
      </w:r>
    </w:p>
    <w:p w14:paraId="4301CE6B" w14:textId="081BD057" w:rsidR="00ED0BD2" w:rsidRPr="00D86314" w:rsidRDefault="6B4B0076" w:rsidP="00E85AB1">
      <w:pPr>
        <w:spacing w:after="120"/>
        <w:rPr>
          <w:rFonts w:eastAsia="Times New Roman"/>
          <w:noProof/>
        </w:rPr>
      </w:pPr>
      <w:r w:rsidRPr="00D86314">
        <w:rPr>
          <w:rFonts w:eastAsia="Times New Roman"/>
          <w:noProof/>
        </w:rPr>
        <w:t>In response, the EU Infrastructure for Resilience, Interconnectivity and Security by Satellite (IRIS2)</w:t>
      </w:r>
      <w:r w:rsidR="00ED0BD2" w:rsidRPr="00D86314">
        <w:rPr>
          <w:rStyle w:val="FootnoteReference"/>
          <w:rFonts w:eastAsia="Times New Roman"/>
          <w:noProof/>
        </w:rPr>
        <w:footnoteReference w:id="174"/>
      </w:r>
      <w:r w:rsidRPr="00D86314">
        <w:rPr>
          <w:rFonts w:eastAsia="Times New Roman"/>
          <w:noProof/>
        </w:rPr>
        <w:t xml:space="preserve"> consortium up to 2030 was developed to provide secure connectivity services to the EU and its Member States as well as broadband connectivity for governmental authorities, private companies and European citizens, including in underserved areas. </w:t>
      </w:r>
      <w:r w:rsidR="000D318B" w:rsidRPr="00D86314">
        <w:rPr>
          <w:rFonts w:eastAsia="Times New Roman"/>
          <w:noProof/>
        </w:rPr>
        <w:t>Among others, the current barriers would impede IRIS2 constellations access to the spectrum.</w:t>
      </w:r>
    </w:p>
    <w:p w14:paraId="321317B2" w14:textId="7FD35AE8" w:rsidR="002B2C7B" w:rsidRPr="00D86314" w:rsidRDefault="00E643FF" w:rsidP="00703057">
      <w:pPr>
        <w:pStyle w:val="Heading3"/>
        <w:rPr>
          <w:noProof/>
        </w:rPr>
      </w:pPr>
      <w:bookmarkStart w:id="227" w:name="_Toc219718424"/>
      <w:r w:rsidRPr="00D86314">
        <w:rPr>
          <w:noProof/>
        </w:rPr>
        <w:t>Fragmentation in</w:t>
      </w:r>
      <w:r w:rsidR="00A42E19" w:rsidRPr="00D86314">
        <w:rPr>
          <w:noProof/>
        </w:rPr>
        <w:t xml:space="preserve"> satellite</w:t>
      </w:r>
      <w:r w:rsidRPr="00D86314">
        <w:rPr>
          <w:noProof/>
        </w:rPr>
        <w:t xml:space="preserve"> authorisation</w:t>
      </w:r>
      <w:bookmarkEnd w:id="227"/>
    </w:p>
    <w:p w14:paraId="737975F2" w14:textId="77777777" w:rsidR="00444DE3" w:rsidRPr="00D86314" w:rsidRDefault="00444DE3" w:rsidP="00E85AB1">
      <w:pPr>
        <w:pStyle w:val="EYBodytextwithparaspace"/>
        <w:spacing w:before="0"/>
        <w:rPr>
          <w:rFonts w:ascii="Times New Roman" w:hAnsi="Times New Roman"/>
          <w:noProof/>
        </w:rPr>
      </w:pPr>
      <w:r w:rsidRPr="00D86314">
        <w:rPr>
          <w:rFonts w:ascii="Times New Roman" w:hAnsi="Times New Roman"/>
          <w:noProof/>
        </w:rPr>
        <w:t>There is wide evidence on the fragmentation of the satellite authorisation systems in 27 MS as confirmed by a recent study on MSS</w:t>
      </w:r>
      <w:r w:rsidRPr="00D86314">
        <w:rPr>
          <w:rFonts w:ascii="Times New Roman" w:hAnsi="Times New Roman"/>
          <w:noProof/>
          <w:vertAlign w:val="superscript"/>
        </w:rPr>
        <w:footnoteReference w:id="175"/>
      </w:r>
      <w:r w:rsidRPr="00D86314">
        <w:rPr>
          <w:rFonts w:ascii="Times New Roman" w:hAnsi="Times New Roman"/>
          <w:noProof/>
        </w:rPr>
        <w:t>, previous studies</w:t>
      </w:r>
      <w:r w:rsidRPr="00D86314">
        <w:rPr>
          <w:rFonts w:ascii="Times New Roman" w:hAnsi="Times New Roman"/>
          <w:noProof/>
          <w:vertAlign w:val="superscript"/>
        </w:rPr>
        <w:footnoteReference w:id="176"/>
      </w:r>
      <w:r w:rsidRPr="00D86314">
        <w:rPr>
          <w:rFonts w:ascii="Times New Roman" w:hAnsi="Times New Roman"/>
          <w:noProof/>
        </w:rPr>
        <w:t xml:space="preserve"> and as described in Section 2.2.4.</w:t>
      </w:r>
    </w:p>
    <w:p w14:paraId="1212E8FD" w14:textId="00A84E96" w:rsidR="00114B08" w:rsidRPr="00D86314" w:rsidRDefault="00ED0BD2" w:rsidP="00E85AB1">
      <w:pPr>
        <w:spacing w:after="120"/>
        <w:rPr>
          <w:rFonts w:eastAsia="Times New Roman"/>
          <w:noProof/>
        </w:rPr>
      </w:pPr>
      <w:r w:rsidRPr="00D86314">
        <w:rPr>
          <w:rFonts w:eastAsia="Times New Roman"/>
          <w:noProof/>
        </w:rPr>
        <w:t xml:space="preserve">Against this background of exponential growth of the number of satellites, and of by </w:t>
      </w:r>
      <w:r w:rsidR="765AC91B" w:rsidRPr="00D86314">
        <w:rPr>
          <w:rFonts w:eastAsia="Times New Roman"/>
          <w:noProof/>
        </w:rPr>
        <w:t xml:space="preserve">default </w:t>
      </w:r>
      <w:r w:rsidRPr="00D86314">
        <w:rPr>
          <w:rFonts w:eastAsia="Times New Roman"/>
          <w:noProof/>
        </w:rPr>
        <w:t xml:space="preserve">limited availability of spectrum resources, there </w:t>
      </w:r>
      <w:r w:rsidR="30C0A022" w:rsidRPr="00D86314">
        <w:rPr>
          <w:rFonts w:eastAsia="Times New Roman"/>
          <w:noProof/>
        </w:rPr>
        <w:t>are several barriers that can prevent the development of EU wide services</w:t>
      </w:r>
      <w:r w:rsidR="5458248D" w:rsidRPr="00D86314">
        <w:rPr>
          <w:rFonts w:eastAsia="Times New Roman"/>
          <w:noProof/>
        </w:rPr>
        <w:t xml:space="preserve">. </w:t>
      </w:r>
      <w:r w:rsidR="6F49504B" w:rsidRPr="00D86314">
        <w:rPr>
          <w:rFonts w:eastAsia="Times New Roman"/>
          <w:noProof/>
        </w:rPr>
        <w:t>An important barrier is the</w:t>
      </w:r>
      <w:r w:rsidRPr="00D86314">
        <w:rPr>
          <w:rFonts w:eastAsia="Times New Roman"/>
          <w:noProof/>
        </w:rPr>
        <w:t xml:space="preserve"> </w:t>
      </w:r>
      <w:r w:rsidRPr="00D86314">
        <w:rPr>
          <w:rFonts w:eastAsia="Times New Roman"/>
          <w:b/>
          <w:bCs/>
          <w:noProof/>
        </w:rPr>
        <w:t xml:space="preserve">increasing risk of interference </w:t>
      </w:r>
      <w:r w:rsidR="5264F387" w:rsidRPr="00D86314">
        <w:rPr>
          <w:rFonts w:eastAsia="Times New Roman"/>
          <w:b/>
          <w:bCs/>
          <w:noProof/>
        </w:rPr>
        <w:t xml:space="preserve">that can </w:t>
      </w:r>
      <w:r w:rsidR="321CEE48" w:rsidRPr="00D86314">
        <w:rPr>
          <w:rFonts w:eastAsia="Times New Roman"/>
          <w:b/>
          <w:bCs/>
          <w:noProof/>
        </w:rPr>
        <w:t>distort competition</w:t>
      </w:r>
      <w:r w:rsidRPr="00D86314">
        <w:rPr>
          <w:rFonts w:eastAsia="Times New Roman"/>
          <w:b/>
          <w:bCs/>
          <w:noProof/>
        </w:rPr>
        <w:t xml:space="preserve"> </w:t>
      </w:r>
      <w:r w:rsidR="47C027A6" w:rsidRPr="00D86314">
        <w:rPr>
          <w:rFonts w:eastAsia="Times New Roman"/>
          <w:b/>
          <w:bCs/>
          <w:noProof/>
        </w:rPr>
        <w:t xml:space="preserve">especially if </w:t>
      </w:r>
      <w:r w:rsidR="321CEE48" w:rsidRPr="00D86314">
        <w:rPr>
          <w:rFonts w:eastAsia="Times New Roman"/>
          <w:b/>
          <w:bCs/>
          <w:noProof/>
        </w:rPr>
        <w:t xml:space="preserve">enforcement mechanisms </w:t>
      </w:r>
      <w:r w:rsidR="47C027A6" w:rsidRPr="00D86314">
        <w:rPr>
          <w:rFonts w:eastAsia="Times New Roman"/>
          <w:b/>
          <w:bCs/>
          <w:noProof/>
        </w:rPr>
        <w:t>a</w:t>
      </w:r>
      <w:r w:rsidR="6191EF66" w:rsidRPr="00D86314">
        <w:rPr>
          <w:rFonts w:eastAsia="Times New Roman"/>
          <w:b/>
          <w:bCs/>
          <w:noProof/>
        </w:rPr>
        <w:t xml:space="preserve">re not effective, </w:t>
      </w:r>
      <w:r w:rsidR="11DC0748" w:rsidRPr="00D86314">
        <w:rPr>
          <w:rFonts w:eastAsia="Times New Roman"/>
          <w:b/>
          <w:bCs/>
          <w:noProof/>
        </w:rPr>
        <w:t xml:space="preserve">and do not </w:t>
      </w:r>
      <w:r w:rsidR="11DC0748" w:rsidRPr="00D86314">
        <w:rPr>
          <w:rFonts w:eastAsia="Times New Roman"/>
          <w:noProof/>
        </w:rPr>
        <w:t>ensure a level playing field in accessing spectrum resources</w:t>
      </w:r>
      <w:r w:rsidR="133ED1A3" w:rsidRPr="00D86314">
        <w:rPr>
          <w:rFonts w:eastAsia="Times New Roman"/>
          <w:noProof/>
        </w:rPr>
        <w:t xml:space="preserve"> leading to</w:t>
      </w:r>
      <w:r w:rsidR="11DC0748" w:rsidRPr="00D86314">
        <w:rPr>
          <w:rFonts w:eastAsia="Times New Roman"/>
          <w:noProof/>
        </w:rPr>
        <w:t xml:space="preserve"> </w:t>
      </w:r>
      <w:r w:rsidRPr="00D86314">
        <w:rPr>
          <w:rFonts w:eastAsia="Times New Roman"/>
          <w:b/>
          <w:bCs/>
          <w:noProof/>
        </w:rPr>
        <w:t>inefficient use of resources</w:t>
      </w:r>
      <w:r w:rsidR="7DDF5C97" w:rsidRPr="00D86314">
        <w:rPr>
          <w:rFonts w:eastAsia="Times New Roman"/>
          <w:noProof/>
        </w:rPr>
        <w:t>. An additional barrier is also represented by</w:t>
      </w:r>
      <w:r w:rsidRPr="00D86314">
        <w:rPr>
          <w:rFonts w:eastAsia="Times New Roman"/>
          <w:noProof/>
        </w:rPr>
        <w:t xml:space="preserve"> technical and legal obstacles to the provision of cross-border satellite services, </w:t>
      </w:r>
      <w:r w:rsidR="3AB2D40E" w:rsidRPr="00D86314">
        <w:rPr>
          <w:rFonts w:eastAsia="Times New Roman"/>
          <w:noProof/>
        </w:rPr>
        <w:t>and</w:t>
      </w:r>
      <w:r w:rsidR="1DB66B75" w:rsidRPr="00D86314">
        <w:rPr>
          <w:rFonts w:eastAsia="Times New Roman"/>
          <w:noProof/>
        </w:rPr>
        <w:t xml:space="preserve"> navigate through</w:t>
      </w:r>
      <w:r w:rsidR="7DDF5C97" w:rsidRPr="00D86314">
        <w:rPr>
          <w:rFonts w:eastAsia="Times New Roman"/>
          <w:noProof/>
        </w:rPr>
        <w:t xml:space="preserve"> </w:t>
      </w:r>
      <w:r w:rsidR="61AA821D" w:rsidRPr="00D86314">
        <w:rPr>
          <w:rFonts w:eastAsia="Times New Roman"/>
          <w:noProof/>
        </w:rPr>
        <w:t>different authori</w:t>
      </w:r>
      <w:r w:rsidR="274C8730" w:rsidRPr="00D86314">
        <w:rPr>
          <w:rFonts w:eastAsia="Times New Roman"/>
          <w:noProof/>
        </w:rPr>
        <w:t>s</w:t>
      </w:r>
      <w:r w:rsidR="61AA821D" w:rsidRPr="00D86314">
        <w:rPr>
          <w:rFonts w:eastAsia="Times New Roman"/>
          <w:noProof/>
        </w:rPr>
        <w:t>ations in each Member State with different procedures, national conditions and fees</w:t>
      </w:r>
      <w:r w:rsidR="7D69E037" w:rsidRPr="00D86314">
        <w:rPr>
          <w:rFonts w:eastAsia="Times New Roman"/>
          <w:noProof/>
        </w:rPr>
        <w:t xml:space="preserve"> and the risk that the service is</w:t>
      </w:r>
      <w:r w:rsidR="0DB79A45" w:rsidRPr="00D86314">
        <w:rPr>
          <w:rFonts w:eastAsia="Times New Roman"/>
          <w:noProof/>
        </w:rPr>
        <w:t xml:space="preserve"> not authori</w:t>
      </w:r>
      <w:r w:rsidR="1DB66B75" w:rsidRPr="00D86314">
        <w:rPr>
          <w:rFonts w:eastAsia="Times New Roman"/>
          <w:noProof/>
        </w:rPr>
        <w:t>s</w:t>
      </w:r>
      <w:r w:rsidR="0DB79A45" w:rsidRPr="00D86314">
        <w:rPr>
          <w:rFonts w:eastAsia="Times New Roman"/>
          <w:noProof/>
        </w:rPr>
        <w:t>ed in all MS</w:t>
      </w:r>
      <w:r w:rsidR="61AA821D" w:rsidRPr="00D86314">
        <w:rPr>
          <w:rFonts w:eastAsia="Times New Roman"/>
          <w:noProof/>
        </w:rPr>
        <w:t>.</w:t>
      </w:r>
    </w:p>
    <w:p w14:paraId="73603F04" w14:textId="63D93BED" w:rsidR="00CF4389" w:rsidRPr="00D86314" w:rsidRDefault="00A136AC" w:rsidP="000A7BF6">
      <w:pPr>
        <w:spacing w:after="120"/>
        <w:rPr>
          <w:noProof/>
        </w:rPr>
      </w:pPr>
      <w:r w:rsidRPr="00D86314">
        <w:rPr>
          <w:rFonts w:eastAsia="Times New Roman"/>
          <w:noProof/>
        </w:rPr>
        <w:t>Evidence of this fragmentation is presented in studies related to the MSS authorisation process in all M</w:t>
      </w:r>
      <w:r w:rsidR="00805805" w:rsidRPr="00D86314">
        <w:rPr>
          <w:rFonts w:eastAsia="Times New Roman"/>
          <w:noProof/>
        </w:rPr>
        <w:t xml:space="preserve">ember </w:t>
      </w:r>
      <w:r w:rsidRPr="00D86314">
        <w:rPr>
          <w:rFonts w:eastAsia="Times New Roman"/>
          <w:noProof/>
        </w:rPr>
        <w:t>S</w:t>
      </w:r>
      <w:r w:rsidR="00805805" w:rsidRPr="00D86314">
        <w:rPr>
          <w:rFonts w:eastAsia="Times New Roman"/>
          <w:noProof/>
        </w:rPr>
        <w:t>tates</w:t>
      </w:r>
      <w:r w:rsidRPr="00D86314">
        <w:rPr>
          <w:rFonts w:eastAsia="Times New Roman"/>
          <w:noProof/>
        </w:rPr>
        <w:t xml:space="preserve"> conducted for the Commission in 2014</w:t>
      </w:r>
      <w:r w:rsidRPr="00C20A01">
        <w:rPr>
          <w:rFonts w:eastAsia="Times New Roman"/>
          <w:noProof/>
          <w:vertAlign w:val="superscript"/>
        </w:rPr>
        <w:footnoteReference w:id="177"/>
      </w:r>
      <w:r w:rsidR="00BE1C7A">
        <w:rPr>
          <w:rFonts w:eastAsia="Times New Roman"/>
          <w:noProof/>
        </w:rPr>
        <w:t xml:space="preserve">, </w:t>
      </w:r>
      <w:r w:rsidRPr="00D86314">
        <w:rPr>
          <w:rFonts w:eastAsia="Times New Roman"/>
          <w:noProof/>
        </w:rPr>
        <w:t>2019</w:t>
      </w:r>
      <w:r w:rsidRPr="00C20A01">
        <w:rPr>
          <w:rFonts w:eastAsia="Times New Roman"/>
          <w:noProof/>
          <w:vertAlign w:val="superscript"/>
        </w:rPr>
        <w:footnoteReference w:id="178"/>
      </w:r>
      <w:r w:rsidR="00BE1C7A">
        <w:rPr>
          <w:rFonts w:eastAsia="Times New Roman"/>
          <w:noProof/>
        </w:rPr>
        <w:t xml:space="preserve">, </w:t>
      </w:r>
      <w:r w:rsidRPr="00D86314">
        <w:rPr>
          <w:rFonts w:eastAsia="Times New Roman"/>
          <w:noProof/>
        </w:rPr>
        <w:t>and 2025</w:t>
      </w:r>
      <w:r w:rsidRPr="00C20A01">
        <w:rPr>
          <w:rFonts w:eastAsia="Times New Roman"/>
          <w:noProof/>
          <w:vertAlign w:val="superscript"/>
        </w:rPr>
        <w:footnoteReference w:id="179"/>
      </w:r>
      <w:r w:rsidRPr="00D86314">
        <w:rPr>
          <w:rFonts w:eastAsia="Times New Roman"/>
          <w:noProof/>
        </w:rPr>
        <w:t xml:space="preserve"> that clearly demonstrate that there was a great deal of variability in (1) the nature of the authorisation and spectrum assignment, (2) when it was authorised with spectrum assigned, (3) the fees that the selected MSS operators had to pay to each Member State, and (4)</w:t>
      </w:r>
      <w:r w:rsidR="000C7D73" w:rsidRPr="00D86314">
        <w:rPr>
          <w:rFonts w:eastAsia="Times New Roman"/>
          <w:noProof/>
        </w:rPr>
        <w:t xml:space="preserve"> </w:t>
      </w:r>
      <w:r w:rsidRPr="00D86314">
        <w:rPr>
          <w:rFonts w:eastAsia="Times New Roman"/>
          <w:noProof/>
        </w:rPr>
        <w:t>the handling of CGCs.</w:t>
      </w:r>
    </w:p>
    <w:p w14:paraId="02F11C91" w14:textId="77777777" w:rsidR="00CF4389" w:rsidRPr="00D86314" w:rsidRDefault="00CF4389" w:rsidP="006A6726">
      <w:pPr>
        <w:pStyle w:val="EYBodytextwithparaspace"/>
        <w:rPr>
          <w:rFonts w:ascii="Times New Roman" w:hAnsi="Times New Roman"/>
          <w:noProof/>
        </w:rPr>
      </w:pPr>
      <w:r w:rsidRPr="00D86314">
        <w:rPr>
          <w:rFonts w:ascii="Times New Roman" w:hAnsi="Times New Roman"/>
          <w:noProof/>
        </w:rPr>
        <w:t>As far as the nature of the authorisation and spectrum assignment, the situation as of 2019 was:</w:t>
      </w:r>
      <w:r w:rsidRPr="00D86314">
        <w:rPr>
          <w:rStyle w:val="FootnoteReference"/>
          <w:rFonts w:ascii="Times New Roman" w:hAnsi="Times New Roman"/>
          <w:noProof/>
        </w:rPr>
        <w:footnoteReference w:id="180"/>
      </w:r>
    </w:p>
    <w:p w14:paraId="76E19BA6" w14:textId="77777777" w:rsidR="00CF4389" w:rsidRPr="00D86314" w:rsidRDefault="00CF4389" w:rsidP="00A00C17">
      <w:pPr>
        <w:pStyle w:val="EYBodytextwithparaspace"/>
        <w:numPr>
          <w:ilvl w:val="0"/>
          <w:numId w:val="29"/>
        </w:numPr>
        <w:spacing w:before="0"/>
        <w:ind w:left="714" w:hanging="357"/>
        <w:rPr>
          <w:rFonts w:ascii="Times New Roman" w:hAnsi="Times New Roman"/>
          <w:noProof/>
        </w:rPr>
      </w:pPr>
      <w:r w:rsidRPr="00D86314">
        <w:rPr>
          <w:rFonts w:ascii="Times New Roman" w:hAnsi="Times New Roman"/>
          <w:b/>
          <w:noProof/>
        </w:rPr>
        <w:t>License exemption (i.e. no license required):</w:t>
      </w:r>
      <w:r w:rsidRPr="00D86314">
        <w:rPr>
          <w:rFonts w:ascii="Times New Roman" w:hAnsi="Times New Roman"/>
          <w:noProof/>
        </w:rPr>
        <w:t xml:space="preserve"> Austria.</w:t>
      </w:r>
    </w:p>
    <w:p w14:paraId="481D1941" w14:textId="77777777" w:rsidR="00CF4389" w:rsidRPr="00D86314" w:rsidRDefault="00CF4389" w:rsidP="00A00C17">
      <w:pPr>
        <w:pStyle w:val="EYBodytextwithparaspace"/>
        <w:numPr>
          <w:ilvl w:val="0"/>
          <w:numId w:val="29"/>
        </w:numPr>
        <w:spacing w:before="0"/>
        <w:ind w:left="714" w:hanging="357"/>
        <w:rPr>
          <w:rFonts w:ascii="Times New Roman" w:hAnsi="Times New Roman"/>
          <w:noProof/>
        </w:rPr>
      </w:pPr>
      <w:r w:rsidRPr="00D86314">
        <w:rPr>
          <w:rFonts w:ascii="Times New Roman" w:hAnsi="Times New Roman"/>
          <w:b/>
          <w:noProof/>
        </w:rPr>
        <w:t>General authorisation:</w:t>
      </w:r>
      <w:r w:rsidRPr="00D86314">
        <w:rPr>
          <w:rFonts w:ascii="Times New Roman" w:hAnsi="Times New Roman"/>
          <w:noProof/>
        </w:rPr>
        <w:t xml:space="preserve"> Belgium, Croatia, The Czech Republic, Denmark, Estonia, Finland, Hungary, Ireland, Lithuania, Luxembourg, The Netherlands, Poland and Sweden.</w:t>
      </w:r>
    </w:p>
    <w:p w14:paraId="1F5EBD63" w14:textId="77777777" w:rsidR="00CF4389" w:rsidRPr="00D86314" w:rsidRDefault="00CF4389" w:rsidP="00A00C17">
      <w:pPr>
        <w:pStyle w:val="EYBodytextwithparaspace"/>
        <w:numPr>
          <w:ilvl w:val="0"/>
          <w:numId w:val="29"/>
        </w:numPr>
        <w:spacing w:before="0"/>
        <w:ind w:left="714" w:hanging="357"/>
        <w:rPr>
          <w:rFonts w:ascii="Times New Roman" w:hAnsi="Times New Roman"/>
          <w:noProof/>
        </w:rPr>
      </w:pPr>
      <w:r w:rsidRPr="00D86314">
        <w:rPr>
          <w:rFonts w:ascii="Times New Roman" w:hAnsi="Times New Roman"/>
          <w:b/>
          <w:noProof/>
        </w:rPr>
        <w:t>Individual rights of use:</w:t>
      </w:r>
      <w:r w:rsidRPr="00D86314">
        <w:rPr>
          <w:rFonts w:ascii="Times New Roman" w:hAnsi="Times New Roman"/>
          <w:noProof/>
        </w:rPr>
        <w:t xml:space="preserve"> Bulgaria, Cyprus, France, Germany, Greece, Italy, Latvia, Malta, Portugal, Romania, Slovakia, Slovenia, Spain, United Kingdom.</w:t>
      </w:r>
    </w:p>
    <w:p w14:paraId="10945297" w14:textId="77777777" w:rsidR="00CF4389" w:rsidRPr="00D86314" w:rsidRDefault="00CF4389" w:rsidP="002917C2">
      <w:pPr>
        <w:pStyle w:val="EYBodytextwithparaspace"/>
        <w:spacing w:before="0"/>
        <w:rPr>
          <w:rFonts w:ascii="Times New Roman" w:hAnsi="Times New Roman"/>
          <w:noProof/>
        </w:rPr>
      </w:pPr>
      <w:r w:rsidRPr="00D86314">
        <w:rPr>
          <w:rFonts w:ascii="Times New Roman" w:hAnsi="Times New Roman"/>
          <w:noProof/>
        </w:rPr>
        <w:t>The individual rights of use granted in Bulgaria, Cyprus, Germany, Greece and Portugal covered both the satellite and terrestrial CGC component, thus facilitating implementation of an integrated MSS and CGC network. Elsewhere, MSS and CGC rights are distinct.</w:t>
      </w:r>
    </w:p>
    <w:p w14:paraId="2531133E" w14:textId="046FC825" w:rsidR="00CF4389" w:rsidRPr="00D86314" w:rsidRDefault="00CF4389" w:rsidP="002917C2">
      <w:pPr>
        <w:pStyle w:val="EYBodytextwithparaspace"/>
        <w:spacing w:before="0"/>
        <w:rPr>
          <w:rFonts w:ascii="Times New Roman" w:hAnsi="Times New Roman"/>
          <w:noProof/>
        </w:rPr>
      </w:pPr>
      <w:r w:rsidRPr="00D86314">
        <w:rPr>
          <w:rFonts w:ascii="Times New Roman" w:hAnsi="Times New Roman"/>
          <w:noProof/>
        </w:rPr>
        <w:t xml:space="preserve">As for </w:t>
      </w:r>
      <w:r w:rsidRPr="00D86314">
        <w:rPr>
          <w:rFonts w:ascii="Times New Roman" w:hAnsi="Times New Roman"/>
          <w:b/>
          <w:bCs/>
          <w:noProof/>
        </w:rPr>
        <w:t>when each selected company was authorised with spectrum assigned</w:t>
      </w:r>
      <w:r w:rsidRPr="00D86314">
        <w:rPr>
          <w:rFonts w:ascii="Times New Roman" w:hAnsi="Times New Roman"/>
          <w:noProof/>
        </w:rPr>
        <w:t>, the steps taken at the EU level probably accelerated the process, but it was still slow and highly variable. Even though the selection was completed in 2009, five years later it was still early days. “As of the end of March 2014, Solaris [was] entitled to use the specific radiofrequencies and to operate a mobile satellite system (MSS component) in seventeen Member States. Inmarsat [was] entitled in nine. As of the end of March 2014, Solaris [was] entitled to provide CGCs in four Member States. Inmarsat [was] entitled only in one jurisdiction.</w:t>
      </w:r>
      <w:r w:rsidR="00600859" w:rsidRPr="00D86314">
        <w:rPr>
          <w:rFonts w:ascii="Times New Roman" w:hAnsi="Times New Roman"/>
          <w:noProof/>
        </w:rPr>
        <w:t>”</w:t>
      </w:r>
      <w:r w:rsidRPr="00D86314">
        <w:rPr>
          <w:rStyle w:val="FootnoteReference"/>
          <w:rFonts w:ascii="Times New Roman" w:hAnsi="Times New Roman"/>
          <w:noProof/>
        </w:rPr>
        <w:footnoteReference w:id="181"/>
      </w:r>
    </w:p>
    <w:p w14:paraId="66BC07B0" w14:textId="33CA335D" w:rsidR="00CF4389" w:rsidRPr="00D86314" w:rsidRDefault="00CF4389" w:rsidP="002917C2">
      <w:pPr>
        <w:spacing w:after="120"/>
        <w:rPr>
          <w:rFonts w:eastAsia="Times New Roman"/>
          <w:noProof/>
        </w:rPr>
      </w:pPr>
      <w:r w:rsidRPr="00D86314">
        <w:rPr>
          <w:rFonts w:eastAsia="Times New Roman"/>
          <w:noProof/>
        </w:rPr>
        <w:t>As regards fees</w:t>
      </w:r>
      <w:r w:rsidR="008A3353" w:rsidRPr="00D86314">
        <w:rPr>
          <w:rFonts w:eastAsia="Times New Roman"/>
          <w:noProof/>
        </w:rPr>
        <w:t>,</w:t>
      </w:r>
      <w:r w:rsidRPr="00D86314">
        <w:rPr>
          <w:rFonts w:eastAsia="Times New Roman"/>
          <w:noProof/>
        </w:rPr>
        <w:t xml:space="preserve"> Table </w:t>
      </w:r>
      <w:r w:rsidR="007A6322" w:rsidRPr="00D86314">
        <w:rPr>
          <w:rFonts w:eastAsia="Times New Roman"/>
          <w:noProof/>
        </w:rPr>
        <w:t>A7 1-</w:t>
      </w:r>
      <w:r w:rsidR="0035718E" w:rsidRPr="00D86314">
        <w:rPr>
          <w:rFonts w:eastAsia="Times New Roman"/>
          <w:noProof/>
        </w:rPr>
        <w:t>1</w:t>
      </w:r>
      <w:r w:rsidRPr="00D86314">
        <w:rPr>
          <w:rFonts w:eastAsia="Times New Roman"/>
          <w:noProof/>
        </w:rPr>
        <w:t xml:space="preserve"> presents the high level of variability in the fee structure for satellite authorisation in the MSS band with conditions covering the full range of options no fees, one-time administrative/assignment/authorisation fees, annual radio spectrum use fees and other annual fees. </w:t>
      </w:r>
    </w:p>
    <w:p w14:paraId="2BD86C7D" w14:textId="3B82EC24" w:rsidR="00286E6E" w:rsidRPr="00D86314" w:rsidRDefault="00286E6E" w:rsidP="007A6322">
      <w:pPr>
        <w:keepNext/>
        <w:spacing w:before="240" w:after="120"/>
        <w:rPr>
          <w:rFonts w:eastAsia="Times New Roman"/>
          <w:iCs/>
          <w:noProof/>
          <w:sz w:val="20"/>
          <w:szCs w:val="20"/>
        </w:rPr>
      </w:pPr>
      <w:r w:rsidRPr="00D86314">
        <w:rPr>
          <w:rFonts w:eastAsia="Times New Roman"/>
          <w:iCs/>
          <w:noProof/>
          <w:sz w:val="20"/>
          <w:szCs w:val="20"/>
        </w:rPr>
        <w:t xml:space="preserve">Table </w:t>
      </w:r>
      <w:r w:rsidR="00CE2012" w:rsidRPr="00D86314">
        <w:rPr>
          <w:rFonts w:eastAsia="Times New Roman"/>
          <w:iCs/>
          <w:noProof/>
          <w:sz w:val="20"/>
          <w:szCs w:val="20"/>
        </w:rPr>
        <w:t>A7</w:t>
      </w:r>
      <w:r w:rsidR="00277F11" w:rsidRPr="00D86314">
        <w:rPr>
          <w:rFonts w:eastAsia="Times New Roman"/>
          <w:iCs/>
          <w:noProof/>
          <w:sz w:val="20"/>
          <w:szCs w:val="20"/>
        </w:rPr>
        <w:t xml:space="preserve"> </w:t>
      </w:r>
      <w:r w:rsidR="00496CEF" w:rsidRPr="00D86314">
        <w:rPr>
          <w:rFonts w:eastAsia="Times New Roman"/>
          <w:iCs/>
          <w:noProof/>
          <w:sz w:val="20"/>
          <w:szCs w:val="20"/>
        </w:rPr>
        <w:t>1</w:t>
      </w:r>
      <w:r w:rsidR="00277F11" w:rsidRPr="00D86314">
        <w:rPr>
          <w:rFonts w:eastAsia="Times New Roman"/>
          <w:iCs/>
          <w:noProof/>
          <w:sz w:val="20"/>
          <w:szCs w:val="20"/>
        </w:rPr>
        <w:t>-1</w:t>
      </w:r>
      <w:r w:rsidRPr="00D86314">
        <w:rPr>
          <w:rFonts w:eastAsia="Times New Roman"/>
          <w:iCs/>
          <w:noProof/>
          <w:sz w:val="20"/>
          <w:szCs w:val="20"/>
        </w:rPr>
        <w:t>: MSS fee structure, per Member State (as of 2019)</w:t>
      </w:r>
    </w:p>
    <w:tbl>
      <w:tblPr>
        <w:tblStyle w:val="Table-standard2"/>
        <w:tblW w:w="8789" w:type="dxa"/>
        <w:tblLook w:val="04A0" w:firstRow="1" w:lastRow="0" w:firstColumn="1" w:lastColumn="0" w:noHBand="0" w:noVBand="1"/>
      </w:tblPr>
      <w:tblGrid>
        <w:gridCol w:w="1696"/>
        <w:gridCol w:w="2835"/>
        <w:gridCol w:w="4258"/>
      </w:tblGrid>
      <w:tr w:rsidR="001E5566" w:rsidRPr="00D86314" w14:paraId="41242DD8" w14:textId="77777777" w:rsidTr="00E2588E">
        <w:trPr>
          <w:cnfStyle w:val="100000000000" w:firstRow="1" w:lastRow="0" w:firstColumn="0" w:lastColumn="0" w:oddVBand="0" w:evenVBand="0" w:oddHBand="0" w:evenHBand="0" w:firstRowFirstColumn="0" w:firstRowLastColumn="0" w:lastRowFirstColumn="0" w:lastRowLastColumn="0"/>
          <w:tblHeader/>
        </w:trPr>
        <w:tc>
          <w:tcPr>
            <w:tcW w:w="4531" w:type="dxa"/>
            <w:gridSpan w:val="2"/>
            <w:tcBorders>
              <w:top w:val="single" w:sz="4" w:space="0" w:color="auto"/>
              <w:left w:val="single" w:sz="4" w:space="0" w:color="auto"/>
              <w:bottom w:val="single" w:sz="4" w:space="0" w:color="auto"/>
              <w:right w:val="single" w:sz="4" w:space="0" w:color="auto"/>
            </w:tcBorders>
          </w:tcPr>
          <w:p w14:paraId="11F06A65" w14:textId="77777777" w:rsidR="00E12A5D" w:rsidRPr="00D86314" w:rsidRDefault="00E12A5D" w:rsidP="006A6726">
            <w:pPr>
              <w:spacing w:before="120" w:after="120"/>
              <w:rPr>
                <w:b/>
                <w:noProof/>
                <w:kern w:val="12"/>
                <w:sz w:val="20"/>
                <w:szCs w:val="20"/>
                <w:lang w:val="en-GB"/>
              </w:rPr>
            </w:pPr>
            <w:r w:rsidRPr="00A36024">
              <w:rPr>
                <w:b/>
                <w:noProof/>
                <w:kern w:val="12"/>
                <w:sz w:val="20"/>
                <w:szCs w:val="20"/>
              </w:rPr>
              <w:t>Applicable fees</w:t>
            </w:r>
          </w:p>
        </w:tc>
        <w:tc>
          <w:tcPr>
            <w:tcW w:w="4258" w:type="dxa"/>
            <w:tcBorders>
              <w:top w:val="single" w:sz="4" w:space="0" w:color="auto"/>
              <w:left w:val="single" w:sz="4" w:space="0" w:color="auto"/>
              <w:bottom w:val="single" w:sz="4" w:space="0" w:color="auto"/>
              <w:right w:val="single" w:sz="4" w:space="0" w:color="auto"/>
            </w:tcBorders>
          </w:tcPr>
          <w:p w14:paraId="4F2E5FF6" w14:textId="77777777" w:rsidR="00E12A5D" w:rsidRPr="00D86314" w:rsidRDefault="00E12A5D" w:rsidP="006A6726">
            <w:pPr>
              <w:spacing w:before="120" w:after="120"/>
              <w:rPr>
                <w:b/>
                <w:noProof/>
                <w:kern w:val="12"/>
                <w:sz w:val="20"/>
                <w:szCs w:val="20"/>
                <w:lang w:val="en-GB"/>
              </w:rPr>
            </w:pPr>
            <w:r w:rsidRPr="00A36024">
              <w:rPr>
                <w:b/>
                <w:noProof/>
                <w:kern w:val="12"/>
                <w:sz w:val="20"/>
                <w:szCs w:val="20"/>
              </w:rPr>
              <w:t>Member States</w:t>
            </w:r>
          </w:p>
        </w:tc>
      </w:tr>
      <w:tr w:rsidR="00051A09" w:rsidRPr="00F53F9A" w14:paraId="3EDB152E" w14:textId="77777777" w:rsidTr="00E2588E">
        <w:tc>
          <w:tcPr>
            <w:tcW w:w="4531" w:type="dxa"/>
            <w:gridSpan w:val="2"/>
            <w:tcBorders>
              <w:top w:val="single" w:sz="4" w:space="0" w:color="auto"/>
              <w:left w:val="single" w:sz="4" w:space="0" w:color="auto"/>
              <w:bottom w:val="single" w:sz="4" w:space="0" w:color="auto"/>
              <w:right w:val="single" w:sz="4" w:space="0" w:color="auto"/>
            </w:tcBorders>
          </w:tcPr>
          <w:p w14:paraId="23FF8A44" w14:textId="77777777" w:rsidR="00E12A5D" w:rsidRPr="00D86314" w:rsidRDefault="00E12A5D" w:rsidP="006A6726">
            <w:pPr>
              <w:spacing w:before="120" w:after="120"/>
              <w:rPr>
                <w:noProof/>
                <w:kern w:val="12"/>
                <w:sz w:val="20"/>
                <w:szCs w:val="20"/>
                <w:lang w:val="en-GB"/>
              </w:rPr>
            </w:pPr>
            <w:r w:rsidRPr="00A36024">
              <w:rPr>
                <w:noProof/>
                <w:kern w:val="12"/>
                <w:sz w:val="20"/>
                <w:szCs w:val="20"/>
              </w:rPr>
              <w:t>No fees</w:t>
            </w:r>
          </w:p>
        </w:tc>
        <w:tc>
          <w:tcPr>
            <w:tcW w:w="4258" w:type="dxa"/>
            <w:tcBorders>
              <w:top w:val="single" w:sz="4" w:space="0" w:color="auto"/>
              <w:left w:val="single" w:sz="4" w:space="0" w:color="auto"/>
              <w:bottom w:val="single" w:sz="4" w:space="0" w:color="auto"/>
              <w:right w:val="single" w:sz="4" w:space="0" w:color="auto"/>
            </w:tcBorders>
          </w:tcPr>
          <w:p w14:paraId="1D682188" w14:textId="77777777" w:rsidR="00E12A5D" w:rsidRPr="00C20A01" w:rsidRDefault="00E12A5D" w:rsidP="006A6726">
            <w:pPr>
              <w:spacing w:before="120" w:after="120"/>
              <w:rPr>
                <w:noProof/>
                <w:kern w:val="12"/>
                <w:sz w:val="20"/>
                <w:lang w:val="de-DE"/>
              </w:rPr>
            </w:pPr>
            <w:r w:rsidRPr="00C20A01">
              <w:rPr>
                <w:noProof/>
                <w:kern w:val="12"/>
                <w:sz w:val="20"/>
                <w:lang w:val="de-DE"/>
              </w:rPr>
              <w:t>AT, HR, DK, EE, FI, IE, LV, LT, LU, NL</w:t>
            </w:r>
          </w:p>
        </w:tc>
      </w:tr>
      <w:tr w:rsidR="00051A09" w:rsidRPr="00D86314" w14:paraId="1CD0EE03" w14:textId="77777777" w:rsidTr="00E2588E">
        <w:tc>
          <w:tcPr>
            <w:tcW w:w="4531" w:type="dxa"/>
            <w:gridSpan w:val="2"/>
            <w:tcBorders>
              <w:top w:val="single" w:sz="4" w:space="0" w:color="auto"/>
              <w:left w:val="single" w:sz="4" w:space="0" w:color="auto"/>
              <w:bottom w:val="single" w:sz="4" w:space="0" w:color="auto"/>
              <w:right w:val="single" w:sz="4" w:space="0" w:color="auto"/>
            </w:tcBorders>
          </w:tcPr>
          <w:p w14:paraId="75C85715" w14:textId="77777777" w:rsidR="00E12A5D" w:rsidRPr="00D86314" w:rsidRDefault="00E12A5D" w:rsidP="006A6726">
            <w:pPr>
              <w:spacing w:before="120" w:after="120"/>
              <w:rPr>
                <w:noProof/>
                <w:kern w:val="12"/>
                <w:sz w:val="20"/>
                <w:szCs w:val="20"/>
                <w:lang w:val="en-GB"/>
              </w:rPr>
            </w:pPr>
            <w:r w:rsidRPr="00D86314">
              <w:rPr>
                <w:noProof/>
                <w:kern w:val="12"/>
                <w:sz w:val="20"/>
                <w:szCs w:val="20"/>
                <w:lang w:val="en-GB"/>
              </w:rPr>
              <w:t>One-time administrative/ application fee</w:t>
            </w:r>
          </w:p>
        </w:tc>
        <w:tc>
          <w:tcPr>
            <w:tcW w:w="4258" w:type="dxa"/>
            <w:tcBorders>
              <w:top w:val="single" w:sz="4" w:space="0" w:color="auto"/>
              <w:left w:val="single" w:sz="4" w:space="0" w:color="auto"/>
              <w:bottom w:val="single" w:sz="4" w:space="0" w:color="auto"/>
              <w:right w:val="single" w:sz="4" w:space="0" w:color="auto"/>
            </w:tcBorders>
          </w:tcPr>
          <w:p w14:paraId="21C1A483" w14:textId="77777777" w:rsidR="00E12A5D" w:rsidRPr="00D86314" w:rsidRDefault="00E12A5D" w:rsidP="006A6726">
            <w:pPr>
              <w:spacing w:before="120" w:after="120"/>
              <w:rPr>
                <w:noProof/>
                <w:kern w:val="12"/>
                <w:sz w:val="20"/>
                <w:szCs w:val="20"/>
                <w:lang w:val="en-GB"/>
              </w:rPr>
            </w:pPr>
            <w:r w:rsidRPr="00D86314">
              <w:rPr>
                <w:noProof/>
                <w:kern w:val="12"/>
                <w:sz w:val="20"/>
                <w:szCs w:val="20"/>
                <w:lang w:val="en-GB"/>
              </w:rPr>
              <w:t>BE, CZ, EL, ES, HU, IT, MT, PT, SE, SK</w:t>
            </w:r>
          </w:p>
        </w:tc>
      </w:tr>
      <w:tr w:rsidR="00AD4331" w:rsidRPr="00D86314" w14:paraId="2CBFF2EF" w14:textId="77777777" w:rsidTr="00E2588E">
        <w:tc>
          <w:tcPr>
            <w:tcW w:w="1696" w:type="dxa"/>
            <w:vMerge w:val="restart"/>
            <w:tcBorders>
              <w:top w:val="single" w:sz="4" w:space="0" w:color="auto"/>
              <w:left w:val="single" w:sz="4" w:space="0" w:color="auto"/>
              <w:bottom w:val="single" w:sz="4" w:space="0" w:color="auto"/>
              <w:right w:val="single" w:sz="4" w:space="0" w:color="auto"/>
            </w:tcBorders>
          </w:tcPr>
          <w:p w14:paraId="1647BA51" w14:textId="1E096F09" w:rsidR="00E12A5D" w:rsidRPr="00D86314" w:rsidRDefault="00E12A5D" w:rsidP="006A6726">
            <w:pPr>
              <w:spacing w:before="120" w:after="120"/>
              <w:jc w:val="center"/>
              <w:rPr>
                <w:noProof/>
                <w:kern w:val="12"/>
                <w:sz w:val="20"/>
                <w:szCs w:val="20"/>
                <w:lang w:val="en-GB"/>
              </w:rPr>
            </w:pPr>
            <w:r w:rsidRPr="00D86314">
              <w:rPr>
                <w:noProof/>
                <w:kern w:val="12"/>
                <w:sz w:val="20"/>
                <w:szCs w:val="20"/>
                <w:lang w:val="en-GB"/>
              </w:rPr>
              <w:t>Annual radio spectrum use</w:t>
            </w:r>
            <w:r w:rsidR="0089386B" w:rsidRPr="00D86314">
              <w:rPr>
                <w:noProof/>
                <w:kern w:val="12"/>
                <w:sz w:val="20"/>
                <w:szCs w:val="20"/>
                <w:lang w:val="en-GB"/>
              </w:rPr>
              <w:t>r</w:t>
            </w:r>
            <w:r w:rsidRPr="00D86314">
              <w:rPr>
                <w:noProof/>
                <w:kern w:val="12"/>
                <w:sz w:val="20"/>
                <w:szCs w:val="20"/>
                <w:lang w:val="en-GB"/>
              </w:rPr>
              <w:t xml:space="preserve"> fees</w:t>
            </w: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58C36501" w14:textId="77777777" w:rsidR="00E12A5D" w:rsidRPr="00D86314" w:rsidRDefault="00E12A5D" w:rsidP="006A6726">
            <w:pPr>
              <w:spacing w:before="120" w:after="120"/>
              <w:rPr>
                <w:noProof/>
                <w:kern w:val="12"/>
                <w:sz w:val="20"/>
                <w:szCs w:val="20"/>
                <w:lang w:val="en-GB"/>
              </w:rPr>
            </w:pPr>
            <w:r w:rsidRPr="00A36024">
              <w:rPr>
                <w:noProof/>
                <w:kern w:val="12"/>
                <w:sz w:val="20"/>
                <w:szCs w:val="20"/>
              </w:rPr>
              <w:t>Fixed amount</w:t>
            </w:r>
          </w:p>
        </w:tc>
        <w:tc>
          <w:tcPr>
            <w:tcW w:w="4258" w:type="dxa"/>
            <w:tcBorders>
              <w:top w:val="single" w:sz="4" w:space="0" w:color="auto"/>
              <w:left w:val="single" w:sz="4" w:space="0" w:color="auto"/>
              <w:bottom w:val="single" w:sz="4" w:space="0" w:color="auto"/>
              <w:right w:val="single" w:sz="4" w:space="0" w:color="auto"/>
            </w:tcBorders>
          </w:tcPr>
          <w:p w14:paraId="5B06BE50" w14:textId="77777777" w:rsidR="00E12A5D" w:rsidRPr="00D86314" w:rsidRDefault="00E12A5D" w:rsidP="006A6726">
            <w:pPr>
              <w:spacing w:before="120" w:after="120"/>
              <w:rPr>
                <w:noProof/>
                <w:kern w:val="12"/>
                <w:sz w:val="20"/>
                <w:szCs w:val="20"/>
                <w:lang w:val="en-GB"/>
              </w:rPr>
            </w:pPr>
            <w:r w:rsidRPr="00D86314">
              <w:rPr>
                <w:noProof/>
                <w:kern w:val="12"/>
                <w:sz w:val="20"/>
                <w:szCs w:val="20"/>
                <w:lang w:val="en-GB"/>
              </w:rPr>
              <w:t>BG, EL, IT, MT, PL, RO</w:t>
            </w:r>
          </w:p>
        </w:tc>
      </w:tr>
      <w:tr w:rsidR="00AD4331" w:rsidRPr="00D86314" w14:paraId="2FEFEEC6" w14:textId="77777777" w:rsidTr="00E2588E">
        <w:tc>
          <w:tcPr>
            <w:tcW w:w="1696" w:type="dxa"/>
            <w:vMerge/>
            <w:tcBorders>
              <w:top w:val="single" w:sz="4" w:space="0" w:color="auto"/>
              <w:left w:val="single" w:sz="4" w:space="0" w:color="auto"/>
              <w:bottom w:val="single" w:sz="4" w:space="0" w:color="auto"/>
              <w:right w:val="single" w:sz="4" w:space="0" w:color="auto"/>
            </w:tcBorders>
          </w:tcPr>
          <w:p w14:paraId="5AD77591" w14:textId="77777777" w:rsidR="00E12A5D" w:rsidRPr="00D86314" w:rsidRDefault="00E12A5D" w:rsidP="006A6726">
            <w:pPr>
              <w:spacing w:before="120" w:after="120"/>
              <w:rPr>
                <w:noProof/>
                <w:kern w:val="12"/>
                <w:sz w:val="20"/>
                <w:szCs w:val="20"/>
                <w:lang w:val="en-GB"/>
              </w:rPr>
            </w:pP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16C6251A" w14:textId="77777777" w:rsidR="00E12A5D" w:rsidRPr="00D86314" w:rsidRDefault="00E12A5D" w:rsidP="006A6726">
            <w:pPr>
              <w:spacing w:before="120" w:after="120"/>
              <w:rPr>
                <w:noProof/>
                <w:kern w:val="12"/>
                <w:sz w:val="20"/>
                <w:szCs w:val="20"/>
                <w:lang w:val="en-GB"/>
              </w:rPr>
            </w:pPr>
            <w:r w:rsidRPr="00A36024">
              <w:rPr>
                <w:noProof/>
                <w:kern w:val="12"/>
                <w:sz w:val="20"/>
                <w:szCs w:val="20"/>
              </w:rPr>
              <w:t>Radio spectrum reserved/ bandwidth</w:t>
            </w:r>
          </w:p>
        </w:tc>
        <w:tc>
          <w:tcPr>
            <w:tcW w:w="4258" w:type="dxa"/>
            <w:tcBorders>
              <w:top w:val="single" w:sz="4" w:space="0" w:color="auto"/>
              <w:left w:val="single" w:sz="4" w:space="0" w:color="auto"/>
              <w:bottom w:val="single" w:sz="4" w:space="0" w:color="auto"/>
              <w:right w:val="single" w:sz="4" w:space="0" w:color="auto"/>
            </w:tcBorders>
          </w:tcPr>
          <w:p w14:paraId="4A8A1FBA" w14:textId="77777777" w:rsidR="00E12A5D" w:rsidRPr="00D86314" w:rsidRDefault="00E12A5D" w:rsidP="006A6726">
            <w:pPr>
              <w:spacing w:before="120" w:after="120"/>
              <w:rPr>
                <w:noProof/>
                <w:kern w:val="12"/>
                <w:sz w:val="20"/>
                <w:szCs w:val="20"/>
                <w:lang w:val="en-GB"/>
              </w:rPr>
            </w:pPr>
            <w:r w:rsidRPr="00A36024">
              <w:rPr>
                <w:noProof/>
                <w:kern w:val="12"/>
                <w:sz w:val="20"/>
                <w:szCs w:val="20"/>
              </w:rPr>
              <w:t>FR, SI, SK ES</w:t>
            </w:r>
          </w:p>
        </w:tc>
      </w:tr>
      <w:tr w:rsidR="00051A09" w:rsidRPr="00D86314" w14:paraId="61592CBF" w14:textId="77777777" w:rsidTr="00E2588E">
        <w:tc>
          <w:tcPr>
            <w:tcW w:w="4531" w:type="dxa"/>
            <w:gridSpan w:val="2"/>
            <w:tcBorders>
              <w:top w:val="single" w:sz="4" w:space="0" w:color="auto"/>
              <w:left w:val="single" w:sz="4" w:space="0" w:color="auto"/>
              <w:bottom w:val="single" w:sz="4" w:space="0" w:color="auto"/>
              <w:right w:val="single" w:sz="4" w:space="0" w:color="auto"/>
            </w:tcBorders>
          </w:tcPr>
          <w:p w14:paraId="22A7F15B" w14:textId="77777777" w:rsidR="00E12A5D" w:rsidRPr="00D86314" w:rsidRDefault="00E12A5D" w:rsidP="006A6726">
            <w:pPr>
              <w:spacing w:before="120" w:after="120"/>
              <w:rPr>
                <w:noProof/>
                <w:kern w:val="12"/>
                <w:sz w:val="20"/>
                <w:szCs w:val="20"/>
                <w:lang w:val="en-GB"/>
              </w:rPr>
            </w:pPr>
            <w:r w:rsidRPr="00D86314">
              <w:rPr>
                <w:noProof/>
                <w:kern w:val="12"/>
                <w:sz w:val="20"/>
                <w:szCs w:val="20"/>
                <w:lang w:val="en-GB"/>
              </w:rPr>
              <w:t>One-time assignment/ authorisation fee</w:t>
            </w:r>
          </w:p>
        </w:tc>
        <w:tc>
          <w:tcPr>
            <w:tcW w:w="4258" w:type="dxa"/>
            <w:tcBorders>
              <w:top w:val="single" w:sz="4" w:space="0" w:color="auto"/>
              <w:left w:val="single" w:sz="4" w:space="0" w:color="auto"/>
              <w:bottom w:val="single" w:sz="4" w:space="0" w:color="auto"/>
              <w:right w:val="single" w:sz="4" w:space="0" w:color="auto"/>
            </w:tcBorders>
          </w:tcPr>
          <w:p w14:paraId="1FE2F838" w14:textId="77777777" w:rsidR="00E12A5D" w:rsidRPr="00D86314" w:rsidRDefault="00E12A5D" w:rsidP="006A6726">
            <w:pPr>
              <w:spacing w:before="120" w:after="120"/>
              <w:rPr>
                <w:noProof/>
                <w:kern w:val="12"/>
                <w:sz w:val="20"/>
                <w:szCs w:val="20"/>
                <w:lang w:val="en-GB"/>
              </w:rPr>
            </w:pPr>
            <w:r w:rsidRPr="00A36024">
              <w:rPr>
                <w:noProof/>
                <w:kern w:val="12"/>
                <w:sz w:val="20"/>
                <w:szCs w:val="20"/>
              </w:rPr>
              <w:t>BG, DE</w:t>
            </w:r>
          </w:p>
        </w:tc>
      </w:tr>
      <w:tr w:rsidR="00B04C87" w:rsidRPr="00F57DAF" w14:paraId="25246264" w14:textId="77777777" w:rsidTr="00E2588E">
        <w:tc>
          <w:tcPr>
            <w:tcW w:w="4531" w:type="dxa"/>
            <w:gridSpan w:val="2"/>
            <w:tcBorders>
              <w:top w:val="single" w:sz="4" w:space="0" w:color="auto"/>
              <w:left w:val="single" w:sz="4" w:space="0" w:color="auto"/>
              <w:bottom w:val="single" w:sz="4" w:space="0" w:color="auto"/>
              <w:right w:val="single" w:sz="4" w:space="0" w:color="auto"/>
            </w:tcBorders>
          </w:tcPr>
          <w:p w14:paraId="35168244" w14:textId="6D039754" w:rsidR="00E12A5D" w:rsidRPr="00D86314" w:rsidRDefault="00E12A5D" w:rsidP="006A6726">
            <w:pPr>
              <w:spacing w:before="120" w:after="120"/>
              <w:rPr>
                <w:noProof/>
                <w:kern w:val="12"/>
                <w:sz w:val="20"/>
                <w:szCs w:val="20"/>
                <w:lang w:val="en-GB"/>
              </w:rPr>
            </w:pPr>
            <w:r w:rsidRPr="00A36024">
              <w:rPr>
                <w:noProof/>
                <w:kern w:val="12"/>
                <w:sz w:val="20"/>
                <w:szCs w:val="20"/>
              </w:rPr>
              <w:t>Othe</w:t>
            </w:r>
            <w:r w:rsidR="00C15C9E" w:rsidRPr="00A36024">
              <w:rPr>
                <w:noProof/>
                <w:kern w:val="12"/>
                <w:sz w:val="20"/>
                <w:szCs w:val="20"/>
              </w:rPr>
              <w:t>r</w:t>
            </w:r>
            <w:r w:rsidRPr="00A36024">
              <w:rPr>
                <w:noProof/>
                <w:kern w:val="12"/>
                <w:sz w:val="20"/>
                <w:szCs w:val="20"/>
              </w:rPr>
              <w:t xml:space="preserve"> annual fees</w:t>
            </w:r>
          </w:p>
        </w:tc>
        <w:tc>
          <w:tcPr>
            <w:tcW w:w="4258" w:type="dxa"/>
            <w:tcBorders>
              <w:top w:val="single" w:sz="4" w:space="0" w:color="auto"/>
              <w:left w:val="single" w:sz="4" w:space="0" w:color="auto"/>
              <w:bottom w:val="single" w:sz="4" w:space="0" w:color="auto"/>
              <w:right w:val="single" w:sz="4" w:space="0" w:color="auto"/>
            </w:tcBorders>
          </w:tcPr>
          <w:p w14:paraId="3B902D3D" w14:textId="77777777" w:rsidR="00E12A5D" w:rsidRPr="00E122E2" w:rsidRDefault="00E12A5D" w:rsidP="006A6726">
            <w:pPr>
              <w:spacing w:before="120" w:after="120"/>
              <w:rPr>
                <w:noProof/>
                <w:kern w:val="12"/>
                <w:sz w:val="20"/>
                <w:lang w:val="es-ES"/>
              </w:rPr>
            </w:pPr>
            <w:r w:rsidRPr="00E122E2">
              <w:rPr>
                <w:noProof/>
                <w:kern w:val="12"/>
                <w:sz w:val="20"/>
                <w:lang w:val="es-ES"/>
              </w:rPr>
              <w:t>BE, BG, CY, EL, ES, FR, PT, SE, SI SK</w:t>
            </w:r>
          </w:p>
        </w:tc>
      </w:tr>
    </w:tbl>
    <w:p w14:paraId="22A7A47F" w14:textId="77777777" w:rsidR="000530A3" w:rsidRPr="00E122E2" w:rsidRDefault="000530A3" w:rsidP="006A6726">
      <w:pPr>
        <w:spacing w:after="120" w:line="276" w:lineRule="auto"/>
        <w:rPr>
          <w:noProof/>
          <w:sz w:val="20"/>
          <w:lang w:val="es-ES"/>
        </w:rPr>
      </w:pPr>
    </w:p>
    <w:p w14:paraId="023ABF0A" w14:textId="23850299" w:rsidR="000530A3" w:rsidRPr="00F57DAF" w:rsidRDefault="00286E6E" w:rsidP="00623C8D">
      <w:pPr>
        <w:spacing w:after="120"/>
        <w:rPr>
          <w:noProof/>
          <w:lang w:val="es-ES"/>
        </w:rPr>
      </w:pPr>
      <w:r w:rsidRPr="00F57DAF">
        <w:rPr>
          <w:noProof/>
          <w:sz w:val="18"/>
          <w:szCs w:val="18"/>
          <w:lang w:val="es-ES"/>
        </w:rPr>
        <w:t xml:space="preserve">Source: Based on Pujol, Frédéric, Manero, Carole, Enjalbal, Ariane, Carle, Basile and Victoria Gerus (2019). Mobile Satellite Services (MSS) authorisation regimes, authorisations and enforcement in the EU Member States, study for the European Commission: </w:t>
      </w:r>
      <w:hyperlink r:id="rId130">
        <w:r w:rsidR="3D65701D" w:rsidRPr="00F57DAF">
          <w:rPr>
            <w:rStyle w:val="Hyperlink"/>
            <w:noProof/>
            <w:sz w:val="18"/>
            <w:szCs w:val="18"/>
            <w:lang w:val="es-ES"/>
          </w:rPr>
          <w:t>https://op.europa.eu/en/publication-detail/-/publication/7997aa72-d865-11e9-9c4e-01aa75ed71a1/language-en</w:t>
        </w:r>
      </w:hyperlink>
      <w:r w:rsidR="00F832BB" w:rsidRPr="00F57DAF">
        <w:rPr>
          <w:noProof/>
          <w:lang w:val="es-ES"/>
        </w:rPr>
        <w:t>.</w:t>
      </w:r>
    </w:p>
    <w:p w14:paraId="28D4094E" w14:textId="32991F54" w:rsidR="00286E6E" w:rsidRPr="00D86314" w:rsidRDefault="00737CF7" w:rsidP="002917C2">
      <w:pPr>
        <w:spacing w:after="120"/>
        <w:rPr>
          <w:rFonts w:eastAsia="Times New Roman"/>
          <w:noProof/>
        </w:rPr>
      </w:pPr>
      <w:r w:rsidRPr="00D86314">
        <w:rPr>
          <w:rFonts w:eastAsia="Times New Roman"/>
          <w:noProof/>
        </w:rPr>
        <w:t xml:space="preserve">The </w:t>
      </w:r>
      <w:r w:rsidR="00286E6E" w:rsidRPr="00D86314">
        <w:rPr>
          <w:rFonts w:eastAsia="Times New Roman"/>
          <w:noProof/>
        </w:rPr>
        <w:t>conditions for CGCs are even more varied. Recital 18 of the MSS Decision explains the following: “Complementary ground components are an integral part of a mobile satellite system and are used, typically, to enhance the services offered via the satellite in areas where it may not be possible to retain a continuous line of sight with the satellite due to obstructions in the skyline caused by buildings and terrain. In accordance with Decision 2007/98/EC, complementary ground components use the same frequency bands as MSS (1980 to 2010 MHz and 2170 to 2200 MHz</w:t>
      </w:r>
      <w:r w:rsidR="009851EF" w:rsidRPr="00D86314">
        <w:rPr>
          <w:rFonts w:eastAsia="Times New Roman"/>
          <w:noProof/>
        </w:rPr>
        <w:t>).</w:t>
      </w:r>
    </w:p>
    <w:p w14:paraId="16E382D9" w14:textId="668AD2E5" w:rsidR="00E55CF7" w:rsidRPr="00D86314" w:rsidRDefault="00E55CF7" w:rsidP="002917C2">
      <w:pPr>
        <w:spacing w:after="120"/>
        <w:rPr>
          <w:rFonts w:eastAsia="Times New Roman"/>
          <w:noProof/>
        </w:rPr>
      </w:pPr>
      <w:r w:rsidRPr="00D86314">
        <w:rPr>
          <w:noProof/>
        </w:rPr>
        <w:t>A more recent study</w:t>
      </w:r>
      <w:r w:rsidRPr="00D86314">
        <w:rPr>
          <w:rStyle w:val="FootnoteReference"/>
          <w:noProof/>
        </w:rPr>
        <w:footnoteReference w:id="182"/>
      </w:r>
      <w:r w:rsidRPr="00D86314">
        <w:rPr>
          <w:noProof/>
        </w:rPr>
        <w:t xml:space="preserve"> confirms that though many Member States are authorising satellites under general authorisation, the conditions attached to the general authorisation differ significantly and, according satellite operators, are not always suitable for satellite operators. The Ground segment requires individual authorisations in all Member States, which is accompanied with lengthy coordination procedures and complex requirements especially in some Member States. While such requirements can be met by large, experienced market operators, they are difficult to satisfy for new-comers, New Space SMEs and startups</w:t>
      </w:r>
      <w:r w:rsidRPr="00D86314">
        <w:rPr>
          <w:rStyle w:val="FootnoteReference"/>
          <w:noProof/>
        </w:rPr>
        <w:footnoteReference w:id="183"/>
      </w:r>
      <w:r w:rsidRPr="00D86314">
        <w:rPr>
          <w:noProof/>
        </w:rPr>
        <w:t>.</w:t>
      </w:r>
    </w:p>
    <w:p w14:paraId="6A47F5B0" w14:textId="0743EF68" w:rsidR="006C1E3B" w:rsidRPr="00D86314" w:rsidRDefault="006C1E3B" w:rsidP="00703057">
      <w:pPr>
        <w:pStyle w:val="Heading3"/>
        <w:rPr>
          <w:noProof/>
        </w:rPr>
      </w:pPr>
      <w:bookmarkStart w:id="228" w:name="_Toc219718425"/>
      <w:r w:rsidRPr="00D86314">
        <w:rPr>
          <w:noProof/>
        </w:rPr>
        <w:t xml:space="preserve">D2D </w:t>
      </w:r>
      <w:r w:rsidR="008509BE" w:rsidRPr="00D86314">
        <w:rPr>
          <w:noProof/>
        </w:rPr>
        <w:t>communications market potential</w:t>
      </w:r>
      <w:bookmarkEnd w:id="228"/>
    </w:p>
    <w:p w14:paraId="1A6F9B44" w14:textId="77C296C5" w:rsidR="00383232" w:rsidRPr="00D86314" w:rsidRDefault="00286E6E" w:rsidP="002917C2">
      <w:pPr>
        <w:spacing w:after="120"/>
        <w:rPr>
          <w:rFonts w:eastAsia="Times New Roman"/>
          <w:noProof/>
        </w:rPr>
      </w:pPr>
      <w:r w:rsidRPr="00D86314">
        <w:rPr>
          <w:rFonts w:eastAsia="Times New Roman"/>
          <w:noProof/>
        </w:rPr>
        <w:t>With 6G enabling direct-to-device (D2D) communications, the clear demarcation between terrestrial and satellite networks is becoming increasingly obsolete. This blurring of boundaries necessitates an integrated regulatory response to avoid fragmentation and interference issues, especially in spectrum bands that will be shared across terrestrial and satellite operators. Therefore, to fully capitalize on the potential of future hybrid connectivity scenarios in Europe—where users seamlessly transition between terrestrial base stations and non-terrestrial network (NTN) satellite nodes—it is required to: i) issue EU harmonised spectrum authorisations for operators providing hybrid services and ii) promote spectrum sharing between terrestrial and satellite systems as endorsed in the RSPG opinion on 6G vision.</w:t>
      </w:r>
      <w:r w:rsidR="00297935" w:rsidRPr="00D86314">
        <w:rPr>
          <w:rFonts w:eastAsia="Times New Roman"/>
          <w:noProof/>
        </w:rPr>
        <w:t xml:space="preserve"> </w:t>
      </w:r>
      <w:r w:rsidR="6B4B0076" w:rsidRPr="00D86314">
        <w:rPr>
          <w:rFonts w:eastAsia="Times New Roman"/>
          <w:noProof/>
        </w:rPr>
        <w:t xml:space="preserve">Ultimately, the risk for the EU </w:t>
      </w:r>
      <w:r w:rsidR="14CD1C99" w:rsidRPr="00D86314">
        <w:rPr>
          <w:rFonts w:eastAsia="Times New Roman"/>
          <w:noProof/>
        </w:rPr>
        <w:t xml:space="preserve">is </w:t>
      </w:r>
      <w:r w:rsidR="6B4B0076" w:rsidRPr="00D86314">
        <w:rPr>
          <w:rFonts w:eastAsia="Times New Roman"/>
          <w:noProof/>
        </w:rPr>
        <w:t xml:space="preserve">to miss the opportunity for the </w:t>
      </w:r>
      <w:r w:rsidR="73C413AA" w:rsidRPr="00D86314">
        <w:rPr>
          <w:rFonts w:eastAsia="Times New Roman"/>
          <w:noProof/>
        </w:rPr>
        <w:t xml:space="preserve">timely </w:t>
      </w:r>
      <w:r w:rsidR="6B4B0076" w:rsidRPr="00D86314">
        <w:rPr>
          <w:rFonts w:eastAsia="Times New Roman"/>
          <w:noProof/>
        </w:rPr>
        <w:t>de</w:t>
      </w:r>
      <w:r w:rsidR="73C413AA" w:rsidRPr="00D86314">
        <w:rPr>
          <w:rFonts w:eastAsia="Times New Roman"/>
          <w:noProof/>
        </w:rPr>
        <w:t>ploy</w:t>
      </w:r>
      <w:r w:rsidR="6B4B0076" w:rsidRPr="00D86314">
        <w:rPr>
          <w:rFonts w:eastAsia="Times New Roman"/>
          <w:noProof/>
        </w:rPr>
        <w:t xml:space="preserve">ment of autonomous and sovereign </w:t>
      </w:r>
      <w:r w:rsidR="491011FD" w:rsidRPr="00D86314">
        <w:rPr>
          <w:rFonts w:eastAsia="Times New Roman"/>
          <w:noProof/>
        </w:rPr>
        <w:t xml:space="preserve">satellite systems, in </w:t>
      </w:r>
      <w:r w:rsidR="73C413AA" w:rsidRPr="00D86314">
        <w:rPr>
          <w:rFonts w:eastAsia="Times New Roman"/>
          <w:noProof/>
        </w:rPr>
        <w:t xml:space="preserve">particular </w:t>
      </w:r>
      <w:r w:rsidR="7F6C7CCE" w:rsidRPr="00D86314">
        <w:rPr>
          <w:rFonts w:eastAsia="Times New Roman"/>
          <w:noProof/>
        </w:rPr>
        <w:t>for</w:t>
      </w:r>
      <w:r w:rsidR="73C413AA" w:rsidRPr="00D86314">
        <w:rPr>
          <w:rFonts w:eastAsia="Times New Roman"/>
          <w:noProof/>
        </w:rPr>
        <w:t xml:space="preserve"> catch</w:t>
      </w:r>
      <w:r w:rsidR="7F6C7CCE" w:rsidRPr="00D86314">
        <w:rPr>
          <w:rFonts w:eastAsia="Times New Roman"/>
          <w:noProof/>
        </w:rPr>
        <w:t>ing</w:t>
      </w:r>
      <w:r w:rsidR="73C413AA" w:rsidRPr="00D86314">
        <w:rPr>
          <w:rFonts w:eastAsia="Times New Roman"/>
          <w:noProof/>
        </w:rPr>
        <w:t xml:space="preserve"> up with the </w:t>
      </w:r>
      <w:r w:rsidR="7A0C1F21" w:rsidRPr="00D86314">
        <w:rPr>
          <w:rFonts w:eastAsia="Times New Roman"/>
          <w:noProof/>
        </w:rPr>
        <w:t>advance</w:t>
      </w:r>
      <w:r w:rsidR="217F898C" w:rsidRPr="00D86314">
        <w:rPr>
          <w:rFonts w:eastAsia="Times New Roman"/>
          <w:noProof/>
        </w:rPr>
        <w:t xml:space="preserve"> </w:t>
      </w:r>
      <w:r w:rsidR="75EC7825" w:rsidRPr="00D86314">
        <w:rPr>
          <w:rFonts w:eastAsia="Times New Roman"/>
          <w:noProof/>
        </w:rPr>
        <w:t>of</w:t>
      </w:r>
      <w:r w:rsidR="7A0C1F21" w:rsidRPr="00D86314">
        <w:rPr>
          <w:rFonts w:eastAsia="Times New Roman"/>
          <w:noProof/>
        </w:rPr>
        <w:t xml:space="preserve"> large-scale </w:t>
      </w:r>
      <w:r w:rsidR="22247FAD" w:rsidRPr="00D86314">
        <w:rPr>
          <w:rFonts w:eastAsia="Times New Roman"/>
          <w:noProof/>
        </w:rPr>
        <w:t>LEO/MEO</w:t>
      </w:r>
      <w:r w:rsidR="491011FD" w:rsidRPr="00D86314">
        <w:rPr>
          <w:rFonts w:eastAsia="Times New Roman"/>
          <w:noProof/>
        </w:rPr>
        <w:t xml:space="preserve"> </w:t>
      </w:r>
      <w:r w:rsidR="6205C29A" w:rsidRPr="00D86314">
        <w:rPr>
          <w:rFonts w:eastAsia="Times New Roman"/>
          <w:noProof/>
        </w:rPr>
        <w:t>satellite constellation</w:t>
      </w:r>
      <w:r w:rsidR="22247FAD" w:rsidRPr="00D86314">
        <w:rPr>
          <w:rFonts w:eastAsia="Times New Roman"/>
          <w:noProof/>
        </w:rPr>
        <w:t>s</w:t>
      </w:r>
      <w:r w:rsidR="1BA70373" w:rsidRPr="00D86314">
        <w:rPr>
          <w:rFonts w:eastAsia="Times New Roman"/>
          <w:noProof/>
        </w:rPr>
        <w:t xml:space="preserve">, </w:t>
      </w:r>
      <w:r w:rsidR="66B59D1A" w:rsidRPr="00D86314">
        <w:rPr>
          <w:rFonts w:eastAsia="Times New Roman"/>
          <w:noProof/>
        </w:rPr>
        <w:t xml:space="preserve">in order </w:t>
      </w:r>
      <w:r w:rsidR="607C5B9C" w:rsidRPr="00D86314">
        <w:rPr>
          <w:rFonts w:eastAsia="Times New Roman"/>
          <w:noProof/>
        </w:rPr>
        <w:t xml:space="preserve">to </w:t>
      </w:r>
      <w:r w:rsidR="66B59D1A" w:rsidRPr="00D86314">
        <w:rPr>
          <w:rFonts w:eastAsia="Times New Roman"/>
          <w:noProof/>
        </w:rPr>
        <w:t xml:space="preserve">secure </w:t>
      </w:r>
      <w:r w:rsidR="607C5B9C" w:rsidRPr="00D86314">
        <w:rPr>
          <w:rFonts w:eastAsia="Times New Roman"/>
          <w:noProof/>
        </w:rPr>
        <w:t>self-sustained</w:t>
      </w:r>
      <w:r w:rsidR="1BA70373" w:rsidRPr="00D86314">
        <w:rPr>
          <w:rFonts w:eastAsia="Times New Roman"/>
          <w:noProof/>
        </w:rPr>
        <w:t xml:space="preserve"> </w:t>
      </w:r>
      <w:r w:rsidR="58F6C72A" w:rsidRPr="00D86314">
        <w:rPr>
          <w:rFonts w:eastAsia="Times New Roman"/>
          <w:noProof/>
        </w:rPr>
        <w:t xml:space="preserve">global, low-latency broadband </w:t>
      </w:r>
      <w:r w:rsidR="38128376" w:rsidRPr="00D86314">
        <w:rPr>
          <w:rFonts w:eastAsia="Times New Roman"/>
          <w:noProof/>
        </w:rPr>
        <w:t>services</w:t>
      </w:r>
      <w:r w:rsidR="75EC7825" w:rsidRPr="00D86314">
        <w:rPr>
          <w:rFonts w:eastAsia="Times New Roman"/>
          <w:noProof/>
        </w:rPr>
        <w:t xml:space="preserve"> </w:t>
      </w:r>
      <w:r w:rsidR="607C5B9C" w:rsidRPr="00D86314">
        <w:rPr>
          <w:rFonts w:eastAsia="Times New Roman"/>
          <w:noProof/>
        </w:rPr>
        <w:t>both</w:t>
      </w:r>
      <w:r w:rsidR="4351B226" w:rsidRPr="00D86314">
        <w:rPr>
          <w:rFonts w:eastAsia="Times New Roman"/>
          <w:noProof/>
        </w:rPr>
        <w:t>,</w:t>
      </w:r>
      <w:r w:rsidR="607C5B9C" w:rsidRPr="00D86314">
        <w:rPr>
          <w:rFonts w:eastAsia="Times New Roman"/>
          <w:noProof/>
        </w:rPr>
        <w:t xml:space="preserve"> </w:t>
      </w:r>
      <w:r w:rsidR="1D9EFFFA" w:rsidRPr="00D86314">
        <w:rPr>
          <w:rFonts w:eastAsia="Times New Roman"/>
          <w:noProof/>
        </w:rPr>
        <w:t>for</w:t>
      </w:r>
      <w:r w:rsidR="1B0BBD32" w:rsidRPr="00D86314">
        <w:rPr>
          <w:rFonts w:eastAsia="Times New Roman"/>
          <w:noProof/>
        </w:rPr>
        <w:t xml:space="preserve"> </w:t>
      </w:r>
      <w:r w:rsidR="66B59D1A" w:rsidRPr="00D86314">
        <w:rPr>
          <w:rFonts w:eastAsia="Times New Roman"/>
          <w:noProof/>
        </w:rPr>
        <w:t xml:space="preserve">the </w:t>
      </w:r>
      <w:r w:rsidR="1B0BBD32" w:rsidRPr="00D86314">
        <w:rPr>
          <w:rFonts w:eastAsia="Times New Roman"/>
          <w:noProof/>
        </w:rPr>
        <w:t xml:space="preserve">governmental and business use cases. </w:t>
      </w:r>
      <w:r w:rsidR="4351B226" w:rsidRPr="00D86314">
        <w:rPr>
          <w:rFonts w:eastAsia="Times New Roman"/>
          <w:noProof/>
        </w:rPr>
        <w:t>Such</w:t>
      </w:r>
      <w:r w:rsidR="1C70C69A" w:rsidRPr="00D86314">
        <w:rPr>
          <w:rFonts w:eastAsia="Times New Roman"/>
          <w:noProof/>
        </w:rPr>
        <w:t xml:space="preserve"> </w:t>
      </w:r>
      <w:r w:rsidR="1D9EFFFA" w:rsidRPr="00D86314">
        <w:rPr>
          <w:rFonts w:eastAsia="Times New Roman"/>
          <w:noProof/>
        </w:rPr>
        <w:t>satellite</w:t>
      </w:r>
      <w:r w:rsidR="1C70C69A" w:rsidRPr="00D86314">
        <w:rPr>
          <w:rFonts w:eastAsia="Times New Roman"/>
          <w:noProof/>
        </w:rPr>
        <w:t xml:space="preserve"> </w:t>
      </w:r>
      <w:r w:rsidR="7748A707" w:rsidRPr="00D86314">
        <w:rPr>
          <w:rFonts w:eastAsia="Times New Roman"/>
          <w:noProof/>
        </w:rPr>
        <w:t>systems are crucial for the provision of</w:t>
      </w:r>
      <w:r w:rsidR="1C70C69A" w:rsidRPr="00D86314">
        <w:rPr>
          <w:rFonts w:eastAsia="Times New Roman"/>
          <w:noProof/>
        </w:rPr>
        <w:t xml:space="preserve"> </w:t>
      </w:r>
      <w:r w:rsidR="7F00D657" w:rsidRPr="00D86314">
        <w:rPr>
          <w:rFonts w:eastAsia="Times New Roman"/>
          <w:noProof/>
        </w:rPr>
        <w:t>(D2D)</w:t>
      </w:r>
      <w:r w:rsidR="38128376" w:rsidRPr="00D86314">
        <w:rPr>
          <w:rFonts w:eastAsia="Times New Roman"/>
          <w:noProof/>
        </w:rPr>
        <w:t xml:space="preserve"> connectivity</w:t>
      </w:r>
      <w:r w:rsidR="29CA49C6" w:rsidRPr="00D86314">
        <w:rPr>
          <w:rFonts w:eastAsia="Times New Roman"/>
          <w:noProof/>
        </w:rPr>
        <w:t xml:space="preserve">, i.e. satellite </w:t>
      </w:r>
      <w:r w:rsidR="38128376" w:rsidRPr="00D86314">
        <w:rPr>
          <w:rFonts w:eastAsia="Times New Roman"/>
          <w:noProof/>
        </w:rPr>
        <w:t>communications</w:t>
      </w:r>
      <w:r w:rsidR="29CA49C6" w:rsidRPr="00D86314">
        <w:rPr>
          <w:rFonts w:eastAsia="Times New Roman"/>
          <w:noProof/>
        </w:rPr>
        <w:t xml:space="preserve"> directly to</w:t>
      </w:r>
      <w:r w:rsidR="1186BB82" w:rsidRPr="00D86314">
        <w:rPr>
          <w:rFonts w:eastAsia="Times New Roman"/>
          <w:noProof/>
        </w:rPr>
        <w:t xml:space="preserve"> </w:t>
      </w:r>
      <w:r w:rsidR="449BFA29" w:rsidRPr="00D86314">
        <w:rPr>
          <w:rFonts w:eastAsia="Times New Roman"/>
          <w:noProof/>
        </w:rPr>
        <w:t xml:space="preserve">mobile or </w:t>
      </w:r>
      <w:r w:rsidR="53B27155" w:rsidRPr="00D86314">
        <w:rPr>
          <w:rFonts w:eastAsia="Times New Roman"/>
          <w:noProof/>
        </w:rPr>
        <w:t>fixed</w:t>
      </w:r>
      <w:r w:rsidR="74E46FC7" w:rsidRPr="00D86314">
        <w:rPr>
          <w:rFonts w:eastAsia="Times New Roman"/>
          <w:noProof/>
        </w:rPr>
        <w:t xml:space="preserve"> </w:t>
      </w:r>
      <w:r w:rsidR="79D4C68F" w:rsidRPr="00D86314">
        <w:rPr>
          <w:rFonts w:eastAsia="Times New Roman"/>
          <w:noProof/>
        </w:rPr>
        <w:t>mass market equipment</w:t>
      </w:r>
      <w:r w:rsidR="0FE20AAE" w:rsidRPr="00D86314">
        <w:rPr>
          <w:rFonts w:eastAsia="Times New Roman"/>
          <w:noProof/>
        </w:rPr>
        <w:t xml:space="preserve"> </w:t>
      </w:r>
      <w:r w:rsidR="79D4C68F" w:rsidRPr="00D86314">
        <w:rPr>
          <w:rFonts w:eastAsia="Times New Roman"/>
          <w:noProof/>
        </w:rPr>
        <w:t>such as off-the-shelf mobile phones</w:t>
      </w:r>
      <w:r w:rsidR="7C07C0B8" w:rsidRPr="00D86314">
        <w:rPr>
          <w:rFonts w:eastAsia="Times New Roman"/>
          <w:noProof/>
        </w:rPr>
        <w:t xml:space="preserve">, </w:t>
      </w:r>
      <w:r w:rsidR="408DB069" w:rsidRPr="00D86314">
        <w:rPr>
          <w:rFonts w:eastAsia="Times New Roman"/>
          <w:noProof/>
        </w:rPr>
        <w:t xml:space="preserve">modules </w:t>
      </w:r>
      <w:r w:rsidR="66B59D1A" w:rsidRPr="00D86314">
        <w:rPr>
          <w:rFonts w:eastAsia="Times New Roman"/>
          <w:noProof/>
        </w:rPr>
        <w:t>on board</w:t>
      </w:r>
      <w:r w:rsidR="21C75956" w:rsidRPr="00D86314">
        <w:rPr>
          <w:rFonts w:eastAsia="Times New Roman"/>
          <w:noProof/>
        </w:rPr>
        <w:t xml:space="preserve"> </w:t>
      </w:r>
      <w:r w:rsidR="7C07C0B8" w:rsidRPr="00D86314">
        <w:rPr>
          <w:rFonts w:eastAsia="Times New Roman"/>
          <w:noProof/>
        </w:rPr>
        <w:t xml:space="preserve">transport vehicles or IoT </w:t>
      </w:r>
      <w:r w:rsidR="3FA6A63B" w:rsidRPr="00D86314">
        <w:rPr>
          <w:rFonts w:eastAsia="Times New Roman"/>
          <w:noProof/>
        </w:rPr>
        <w:t>sensors</w:t>
      </w:r>
      <w:r w:rsidR="285C045E" w:rsidRPr="00D86314">
        <w:rPr>
          <w:rFonts w:eastAsia="Times New Roman"/>
          <w:noProof/>
        </w:rPr>
        <w:t>,</w:t>
      </w:r>
      <w:r w:rsidR="106AA59B" w:rsidRPr="00D86314">
        <w:rPr>
          <w:rFonts w:eastAsia="Times New Roman"/>
          <w:noProof/>
        </w:rPr>
        <w:t xml:space="preserve"> using either terrestrial of dedicated mobile satellite spectrum (such as the </w:t>
      </w:r>
      <w:r w:rsidR="285C045E" w:rsidRPr="00D86314">
        <w:rPr>
          <w:rFonts w:eastAsia="Times New Roman"/>
          <w:noProof/>
        </w:rPr>
        <w:t xml:space="preserve">EU-harmonised </w:t>
      </w:r>
      <w:r w:rsidR="106AA59B" w:rsidRPr="00D86314">
        <w:rPr>
          <w:rFonts w:eastAsia="Times New Roman"/>
          <w:noProof/>
        </w:rPr>
        <w:t>2 GHz/S-band</w:t>
      </w:r>
      <w:r w:rsidR="215F0B00" w:rsidRPr="00D86314">
        <w:rPr>
          <w:rFonts w:eastAsia="Times New Roman"/>
          <w:noProof/>
        </w:rPr>
        <w:t>)</w:t>
      </w:r>
      <w:r w:rsidR="106AA59B" w:rsidRPr="00D86314">
        <w:rPr>
          <w:rFonts w:eastAsia="Times New Roman"/>
          <w:noProof/>
        </w:rPr>
        <w:t>.</w:t>
      </w:r>
      <w:r w:rsidR="15FF278E" w:rsidRPr="00D86314">
        <w:rPr>
          <w:rFonts w:eastAsia="Times New Roman"/>
          <w:noProof/>
        </w:rPr>
        <w:t xml:space="preserve"> </w:t>
      </w:r>
      <w:r w:rsidR="03051D2C" w:rsidRPr="00D86314">
        <w:rPr>
          <w:rFonts w:eastAsia="Times New Roman"/>
          <w:noProof/>
        </w:rPr>
        <w:t>Th</w:t>
      </w:r>
      <w:r w:rsidR="6A3D4B52" w:rsidRPr="00D86314">
        <w:rPr>
          <w:rFonts w:eastAsia="Times New Roman"/>
          <w:noProof/>
        </w:rPr>
        <w:t>e</w:t>
      </w:r>
      <w:r w:rsidR="7F586535" w:rsidRPr="00D86314">
        <w:rPr>
          <w:rFonts w:eastAsia="Times New Roman"/>
          <w:noProof/>
        </w:rPr>
        <w:t xml:space="preserve"> benefits of</w:t>
      </w:r>
      <w:r w:rsidR="6ED17F13" w:rsidRPr="00D86314">
        <w:rPr>
          <w:rFonts w:eastAsia="Times New Roman"/>
          <w:noProof/>
        </w:rPr>
        <w:t xml:space="preserve"> sovereign </w:t>
      </w:r>
      <w:r w:rsidR="66887D89" w:rsidRPr="00D86314">
        <w:rPr>
          <w:rFonts w:eastAsia="Times New Roman"/>
          <w:noProof/>
        </w:rPr>
        <w:t>D2D</w:t>
      </w:r>
      <w:r w:rsidR="7F586535" w:rsidRPr="00D86314">
        <w:rPr>
          <w:rFonts w:eastAsia="Times New Roman"/>
          <w:noProof/>
        </w:rPr>
        <w:t xml:space="preserve"> </w:t>
      </w:r>
      <w:r w:rsidR="408DB069" w:rsidRPr="00D86314">
        <w:rPr>
          <w:rFonts w:eastAsia="Times New Roman"/>
          <w:noProof/>
        </w:rPr>
        <w:t xml:space="preserve">service </w:t>
      </w:r>
      <w:r w:rsidR="4237E112" w:rsidRPr="00D86314">
        <w:rPr>
          <w:rFonts w:eastAsia="Times New Roman"/>
          <w:noProof/>
        </w:rPr>
        <w:t xml:space="preserve">availability </w:t>
      </w:r>
      <w:r w:rsidR="7F586535" w:rsidRPr="00D86314">
        <w:rPr>
          <w:rFonts w:eastAsia="Times New Roman"/>
          <w:noProof/>
        </w:rPr>
        <w:t>include the removal of</w:t>
      </w:r>
      <w:r w:rsidR="15FF278E" w:rsidRPr="00D86314">
        <w:rPr>
          <w:rFonts w:eastAsia="Times New Roman"/>
          <w:noProof/>
        </w:rPr>
        <w:t xml:space="preserve"> </w:t>
      </w:r>
      <w:r w:rsidR="6A3D4B52" w:rsidRPr="00D86314">
        <w:rPr>
          <w:rFonts w:eastAsia="Times New Roman"/>
          <w:noProof/>
        </w:rPr>
        <w:t>the present</w:t>
      </w:r>
      <w:r w:rsidR="6B4B0076" w:rsidRPr="00D86314">
        <w:rPr>
          <w:rFonts w:eastAsia="Times New Roman"/>
          <w:noProof/>
        </w:rPr>
        <w:t xml:space="preserve"> dependen</w:t>
      </w:r>
      <w:r w:rsidR="6A3D4B52" w:rsidRPr="00D86314">
        <w:rPr>
          <w:rFonts w:eastAsia="Times New Roman"/>
          <w:noProof/>
        </w:rPr>
        <w:t>ce</w:t>
      </w:r>
      <w:r w:rsidR="6B4B0076" w:rsidRPr="00D86314">
        <w:rPr>
          <w:rFonts w:eastAsia="Times New Roman"/>
          <w:noProof/>
        </w:rPr>
        <w:t xml:space="preserve"> </w:t>
      </w:r>
      <w:r w:rsidR="6A3D4B52" w:rsidRPr="00D86314">
        <w:rPr>
          <w:rFonts w:eastAsia="Times New Roman"/>
          <w:noProof/>
        </w:rPr>
        <w:t>on</w:t>
      </w:r>
      <w:r w:rsidR="6B4B0076" w:rsidRPr="00D86314">
        <w:rPr>
          <w:rFonts w:eastAsia="Times New Roman"/>
          <w:noProof/>
        </w:rPr>
        <w:t xml:space="preserve"> non-EU </w:t>
      </w:r>
      <w:r w:rsidR="4237E112" w:rsidRPr="00D86314">
        <w:rPr>
          <w:rFonts w:eastAsia="Times New Roman"/>
          <w:noProof/>
        </w:rPr>
        <w:t>satellite operators</w:t>
      </w:r>
      <w:r w:rsidR="6ED17F13" w:rsidRPr="00D86314">
        <w:rPr>
          <w:rFonts w:eastAsia="Times New Roman"/>
          <w:noProof/>
        </w:rPr>
        <w:t>,</w:t>
      </w:r>
      <w:r w:rsidR="7F586535" w:rsidRPr="00D86314">
        <w:rPr>
          <w:rFonts w:eastAsia="Times New Roman"/>
          <w:noProof/>
        </w:rPr>
        <w:t xml:space="preserve"> and the deployment of convergent</w:t>
      </w:r>
      <w:r w:rsidR="7E798FAA" w:rsidRPr="00D86314">
        <w:rPr>
          <w:rFonts w:eastAsia="Times New Roman"/>
          <w:noProof/>
        </w:rPr>
        <w:t>,</w:t>
      </w:r>
      <w:r w:rsidR="7F586535" w:rsidRPr="00D86314">
        <w:rPr>
          <w:rFonts w:eastAsia="Times New Roman"/>
          <w:noProof/>
        </w:rPr>
        <w:t xml:space="preserve"> ubiquitous</w:t>
      </w:r>
      <w:r w:rsidR="2309A0D4" w:rsidRPr="00D86314">
        <w:rPr>
          <w:rFonts w:eastAsia="Times New Roman"/>
          <w:noProof/>
        </w:rPr>
        <w:t xml:space="preserve">, secure and resilient </w:t>
      </w:r>
      <w:r w:rsidR="687FC9A6" w:rsidRPr="00D86314">
        <w:rPr>
          <w:rFonts w:eastAsia="Times New Roman"/>
          <w:noProof/>
        </w:rPr>
        <w:t>wireless services across the Union</w:t>
      </w:r>
      <w:r w:rsidR="44C0D210" w:rsidRPr="00D86314">
        <w:rPr>
          <w:rFonts w:eastAsia="Times New Roman"/>
          <w:noProof/>
        </w:rPr>
        <w:t>, especially for emergency situations and PPDR</w:t>
      </w:r>
      <w:r w:rsidR="687FC9A6" w:rsidRPr="00D86314">
        <w:rPr>
          <w:rFonts w:eastAsia="Times New Roman"/>
          <w:noProof/>
        </w:rPr>
        <w:t xml:space="preserve">. </w:t>
      </w:r>
      <w:r w:rsidR="2AD342B7" w:rsidRPr="00D86314">
        <w:rPr>
          <w:rFonts w:eastAsia="Times New Roman"/>
          <w:noProof/>
        </w:rPr>
        <w:t>It should be noted</w:t>
      </w:r>
      <w:r w:rsidR="099DC0E0" w:rsidRPr="00D86314">
        <w:rPr>
          <w:rFonts w:eastAsia="Times New Roman"/>
          <w:noProof/>
        </w:rPr>
        <w:t xml:space="preserve">, that the D2D market </w:t>
      </w:r>
      <w:r w:rsidR="794D94DA" w:rsidRPr="00D86314">
        <w:rPr>
          <w:rFonts w:eastAsia="Times New Roman"/>
          <w:noProof/>
        </w:rPr>
        <w:t>is rendered a</w:t>
      </w:r>
      <w:r w:rsidR="099DC0E0" w:rsidRPr="00D86314">
        <w:rPr>
          <w:rFonts w:eastAsia="Times New Roman"/>
          <w:noProof/>
        </w:rPr>
        <w:t>n important economic potential.</w:t>
      </w:r>
      <w:r w:rsidR="228626A5" w:rsidRPr="00D86314">
        <w:rPr>
          <w:rFonts w:eastAsia="Times New Roman"/>
          <w:noProof/>
        </w:rPr>
        <w:t xml:space="preserve"> According to </w:t>
      </w:r>
      <w:r w:rsidR="0D09CF49" w:rsidRPr="00D86314">
        <w:rPr>
          <w:rFonts w:eastAsia="Times New Roman"/>
          <w:noProof/>
        </w:rPr>
        <w:t>GSMA intelligence</w:t>
      </w:r>
      <w:r w:rsidR="00E8081F" w:rsidRPr="00D86314">
        <w:rPr>
          <w:rStyle w:val="FootnoteReference"/>
          <w:rFonts w:eastAsia="Times New Roman"/>
          <w:noProof/>
        </w:rPr>
        <w:footnoteReference w:id="184"/>
      </w:r>
      <w:r w:rsidR="47087B3F" w:rsidRPr="00D86314">
        <w:rPr>
          <w:rFonts w:eastAsia="Times New Roman"/>
          <w:noProof/>
        </w:rPr>
        <w:t xml:space="preserve">, the </w:t>
      </w:r>
      <w:r w:rsidR="1EA5B045" w:rsidRPr="00D86314">
        <w:rPr>
          <w:rFonts w:eastAsia="Times New Roman"/>
          <w:noProof/>
        </w:rPr>
        <w:t>global market size for D2D is set to rise from</w:t>
      </w:r>
      <w:r w:rsidR="00677A46" w:rsidRPr="00D86314">
        <w:rPr>
          <w:rFonts w:eastAsia="Times New Roman"/>
          <w:noProof/>
        </w:rPr>
        <w:t xml:space="preserve"> 25</w:t>
      </w:r>
      <w:r w:rsidR="07445D92" w:rsidRPr="00D86314">
        <w:rPr>
          <w:rFonts w:eastAsia="Times New Roman"/>
          <w:noProof/>
        </w:rPr>
        <w:t>.</w:t>
      </w:r>
      <w:r w:rsidR="00677A46" w:rsidRPr="00D86314">
        <w:rPr>
          <w:rFonts w:eastAsia="Times New Roman"/>
          <w:noProof/>
        </w:rPr>
        <w:t xml:space="preserve">88 </w:t>
      </w:r>
      <w:r w:rsidR="1EA5B045" w:rsidRPr="00D86314">
        <w:rPr>
          <w:rFonts w:eastAsia="Times New Roman"/>
          <w:noProof/>
        </w:rPr>
        <w:t xml:space="preserve">in 2025 to </w:t>
      </w:r>
      <w:r w:rsidR="006160D5" w:rsidRPr="00D86314">
        <w:rPr>
          <w:rFonts w:eastAsia="Times New Roman"/>
          <w:noProof/>
        </w:rPr>
        <w:t>USD </w:t>
      </w:r>
      <w:r w:rsidR="50F1E71C" w:rsidRPr="00D86314">
        <w:rPr>
          <w:rFonts w:eastAsia="Times New Roman"/>
          <w:noProof/>
        </w:rPr>
        <w:t xml:space="preserve">32.74 </w:t>
      </w:r>
      <w:r w:rsidR="00625C42" w:rsidRPr="00D86314">
        <w:rPr>
          <w:rFonts w:eastAsia="Times New Roman"/>
          <w:noProof/>
        </w:rPr>
        <w:t>b</w:t>
      </w:r>
      <w:r w:rsidR="00ED2C04" w:rsidRPr="00D86314">
        <w:rPr>
          <w:rFonts w:eastAsia="Times New Roman"/>
          <w:noProof/>
        </w:rPr>
        <w:t>illio</w:t>
      </w:r>
      <w:r w:rsidR="00625C42" w:rsidRPr="00D86314">
        <w:rPr>
          <w:rFonts w:eastAsia="Times New Roman"/>
          <w:noProof/>
        </w:rPr>
        <w:t xml:space="preserve">n </w:t>
      </w:r>
      <w:r w:rsidR="1EA5B045" w:rsidRPr="00D86314">
        <w:rPr>
          <w:rFonts w:eastAsia="Times New Roman"/>
          <w:noProof/>
        </w:rPr>
        <w:t>in 2035</w:t>
      </w:r>
      <w:r w:rsidR="000E5E85" w:rsidRPr="00D86314">
        <w:rPr>
          <w:rStyle w:val="FootnoteReference"/>
          <w:rFonts w:eastAsia="Times New Roman"/>
          <w:noProof/>
        </w:rPr>
        <w:footnoteReference w:id="185"/>
      </w:r>
      <w:r w:rsidR="306E6B25" w:rsidRPr="00D86314">
        <w:rPr>
          <w:rFonts w:eastAsia="Times New Roman"/>
          <w:noProof/>
        </w:rPr>
        <w:t xml:space="preserve"> </w:t>
      </w:r>
      <w:r w:rsidR="3DC4345C" w:rsidRPr="00D86314">
        <w:rPr>
          <w:rFonts w:eastAsia="Times New Roman"/>
          <w:noProof/>
        </w:rPr>
        <w:t>(an increase of 26.5%)</w:t>
      </w:r>
      <w:r w:rsidR="35913585" w:rsidRPr="00D86314">
        <w:rPr>
          <w:rFonts w:eastAsia="Times New Roman"/>
          <w:noProof/>
        </w:rPr>
        <w:t xml:space="preserve"> the whole </w:t>
      </w:r>
      <w:r w:rsidR="51631D35" w:rsidRPr="00D86314">
        <w:rPr>
          <w:rFonts w:eastAsia="Times New Roman"/>
          <w:noProof/>
        </w:rPr>
        <w:t>market.</w:t>
      </w:r>
      <w:r w:rsidR="228626A5" w:rsidRPr="00D86314">
        <w:rPr>
          <w:rFonts w:eastAsia="Times New Roman"/>
          <w:noProof/>
        </w:rPr>
        <w:t xml:space="preserve"> </w:t>
      </w:r>
    </w:p>
    <w:p w14:paraId="7EB826BC" w14:textId="130A3ECC" w:rsidR="004F0F5C" w:rsidRPr="00D86314" w:rsidRDefault="004829A2" w:rsidP="00537399">
      <w:pPr>
        <w:rPr>
          <w:noProof/>
        </w:rPr>
      </w:pPr>
      <w:r w:rsidRPr="00D86314">
        <w:rPr>
          <w:noProof/>
        </w:rPr>
        <w:t>According to Analys</w:t>
      </w:r>
      <w:r w:rsidR="00F84E6C" w:rsidRPr="00D86314">
        <w:rPr>
          <w:noProof/>
        </w:rPr>
        <w:t>y</w:t>
      </w:r>
      <w:r w:rsidRPr="00D86314">
        <w:rPr>
          <w:noProof/>
        </w:rPr>
        <w:t>s Mason the global satellite direct-to-device market could generate USD</w:t>
      </w:r>
      <w:r w:rsidR="003137F8" w:rsidRPr="00D86314">
        <w:rPr>
          <w:noProof/>
        </w:rPr>
        <w:t> </w:t>
      </w:r>
      <w:r w:rsidRPr="00D86314">
        <w:rPr>
          <w:noProof/>
        </w:rPr>
        <w:t>137 billion in cumulative service revenue between 2022 and 2023</w:t>
      </w:r>
      <w:r w:rsidR="001156F6" w:rsidRPr="00D86314">
        <w:rPr>
          <w:noProof/>
        </w:rPr>
        <w:t>.</w:t>
      </w:r>
    </w:p>
    <w:p w14:paraId="79B2FD58" w14:textId="0B17C2AC" w:rsidR="004F0F5C" w:rsidRPr="00D86314" w:rsidRDefault="004F0F5C" w:rsidP="0078188A">
      <w:pPr>
        <w:keepNext/>
        <w:keepLines/>
        <w:spacing w:after="120" w:line="276" w:lineRule="auto"/>
        <w:rPr>
          <w:rFonts w:eastAsia="Times New Roman"/>
          <w:noProof/>
          <w:sz w:val="22"/>
          <w:szCs w:val="22"/>
        </w:rPr>
      </w:pPr>
      <w:r w:rsidRPr="00D86314">
        <w:rPr>
          <w:rFonts w:eastAsia="Times New Roman"/>
          <w:i/>
          <w:noProof/>
          <w:sz w:val="22"/>
          <w:szCs w:val="22"/>
        </w:rPr>
        <w:t xml:space="preserve">Figure </w:t>
      </w:r>
      <w:r w:rsidR="00DF642C" w:rsidRPr="00D86314">
        <w:rPr>
          <w:rFonts w:eastAsia="Times New Roman"/>
          <w:i/>
          <w:noProof/>
          <w:sz w:val="22"/>
          <w:szCs w:val="22"/>
        </w:rPr>
        <w:t>A</w:t>
      </w:r>
      <w:r w:rsidR="00B259A9" w:rsidRPr="00D86314">
        <w:rPr>
          <w:rFonts w:eastAsia="Times New Roman"/>
          <w:i/>
          <w:noProof/>
          <w:sz w:val="22"/>
          <w:szCs w:val="22"/>
        </w:rPr>
        <w:t>7</w:t>
      </w:r>
      <w:r w:rsidR="00253F16" w:rsidRPr="00D86314">
        <w:rPr>
          <w:rFonts w:eastAsia="Times New Roman"/>
          <w:i/>
          <w:noProof/>
          <w:sz w:val="22"/>
          <w:szCs w:val="22"/>
        </w:rPr>
        <w:t xml:space="preserve"> 1-</w:t>
      </w:r>
      <w:r w:rsidR="003D409D" w:rsidRPr="00D86314">
        <w:rPr>
          <w:rFonts w:eastAsia="Times New Roman"/>
          <w:i/>
          <w:noProof/>
          <w:sz w:val="22"/>
          <w:szCs w:val="22"/>
        </w:rPr>
        <w:t>9</w:t>
      </w:r>
      <w:r w:rsidRPr="00D86314">
        <w:rPr>
          <w:rFonts w:eastAsia="Times New Roman"/>
          <w:i/>
          <w:noProof/>
          <w:sz w:val="22"/>
          <w:szCs w:val="22"/>
        </w:rPr>
        <w:t>: Satellite D2D service revenue, worldwide, 2022–2032</w:t>
      </w:r>
    </w:p>
    <w:p w14:paraId="62AE0D55" w14:textId="77777777" w:rsidR="004F0F5C" w:rsidRPr="00D86314" w:rsidRDefault="004F0F5C" w:rsidP="006A6726">
      <w:pPr>
        <w:spacing w:after="120" w:line="276" w:lineRule="auto"/>
        <w:rPr>
          <w:rFonts w:eastAsia="Times New Roman"/>
          <w:noProof/>
        </w:rPr>
      </w:pPr>
      <w:r w:rsidRPr="00CA2C0B">
        <w:rPr>
          <w:noProof/>
          <w:lang w:eastAsia="en-GB"/>
        </w:rPr>
        <w:drawing>
          <wp:inline distT="0" distB="0" distL="0" distR="0" wp14:anchorId="041EF39A" wp14:editId="3273FED6">
            <wp:extent cx="5472430" cy="3015615"/>
            <wp:effectExtent l="0" t="0" r="0" b="0"/>
            <wp:docPr id="1796369729" name="Picture 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69729" name="Picture 1" descr="A graph with numbers and a bar&#10;&#10;AI-generated content may be incorrect."/>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472430" cy="3015615"/>
                    </a:xfrm>
                    <a:prstGeom prst="rect">
                      <a:avLst/>
                    </a:prstGeom>
                    <a:noFill/>
                    <a:ln>
                      <a:noFill/>
                    </a:ln>
                  </pic:spPr>
                </pic:pic>
              </a:graphicData>
            </a:graphic>
          </wp:inline>
        </w:drawing>
      </w:r>
    </w:p>
    <w:p w14:paraId="4A42532A" w14:textId="77777777" w:rsidR="004F0F5C" w:rsidRPr="00D86314" w:rsidRDefault="004F0F5C" w:rsidP="006A6726">
      <w:pPr>
        <w:spacing w:after="120" w:line="276" w:lineRule="auto"/>
        <w:rPr>
          <w:rFonts w:eastAsia="Times New Roman"/>
          <w:noProof/>
          <w:sz w:val="18"/>
          <w:szCs w:val="18"/>
        </w:rPr>
      </w:pPr>
      <w:r w:rsidRPr="00D86314">
        <w:rPr>
          <w:rFonts w:eastAsia="Times New Roman"/>
          <w:noProof/>
          <w:sz w:val="18"/>
          <w:szCs w:val="18"/>
        </w:rPr>
        <w:t>Source: NSR</w:t>
      </w:r>
    </w:p>
    <w:p w14:paraId="6D7D5190" w14:textId="394F0B2D" w:rsidR="004F0F5C" w:rsidRPr="00D86314" w:rsidRDefault="004F0F5C" w:rsidP="002917C2">
      <w:pPr>
        <w:spacing w:after="120"/>
        <w:rPr>
          <w:noProof/>
        </w:rPr>
      </w:pPr>
      <w:r w:rsidRPr="00D86314">
        <w:rPr>
          <w:noProof/>
        </w:rPr>
        <w:t xml:space="preserve">Recently, alternative business models have begun to take shape, diversifying the landscape of the industry. While </w:t>
      </w:r>
      <w:r w:rsidR="007C5698" w:rsidRPr="00D86314">
        <w:rPr>
          <w:noProof/>
        </w:rPr>
        <w:t xml:space="preserve">today </w:t>
      </w:r>
      <w:r w:rsidR="000F21A5" w:rsidRPr="00D86314">
        <w:rPr>
          <w:noProof/>
        </w:rPr>
        <w:t xml:space="preserve">some </w:t>
      </w:r>
      <w:r w:rsidRPr="00D86314">
        <w:rPr>
          <w:noProof/>
        </w:rPr>
        <w:t>model</w:t>
      </w:r>
      <w:r w:rsidR="000F21A5" w:rsidRPr="00D86314">
        <w:rPr>
          <w:noProof/>
        </w:rPr>
        <w:t>s</w:t>
      </w:r>
      <w:r w:rsidRPr="00D86314">
        <w:rPr>
          <w:noProof/>
        </w:rPr>
        <w:t xml:space="preserve"> rel</w:t>
      </w:r>
      <w:r w:rsidR="000F21A5" w:rsidRPr="00D86314">
        <w:rPr>
          <w:noProof/>
        </w:rPr>
        <w:t>y</w:t>
      </w:r>
      <w:r w:rsidRPr="00D86314">
        <w:rPr>
          <w:noProof/>
        </w:rPr>
        <w:t xml:space="preserve"> heavily on customer acquisition and significant capital investment (each new user requires the purchase and installation of hardware such as a dish and a router), </w:t>
      </w:r>
      <w:r w:rsidR="000F21A5" w:rsidRPr="00D86314">
        <w:rPr>
          <w:noProof/>
        </w:rPr>
        <w:t xml:space="preserve">other </w:t>
      </w:r>
      <w:r w:rsidR="004975AB" w:rsidRPr="00D86314">
        <w:rPr>
          <w:noProof/>
        </w:rPr>
        <w:t xml:space="preserve">strategies </w:t>
      </w:r>
      <w:r w:rsidR="009323E9" w:rsidRPr="00D86314">
        <w:rPr>
          <w:noProof/>
        </w:rPr>
        <w:t xml:space="preserve">consist of </w:t>
      </w:r>
      <w:r w:rsidRPr="00D86314">
        <w:rPr>
          <w:noProof/>
        </w:rPr>
        <w:t xml:space="preserve">developing space-based mobile networks designed to connect directly to unmodified smartphones. This </w:t>
      </w:r>
      <w:r w:rsidR="000B47E5" w:rsidRPr="00D86314">
        <w:rPr>
          <w:noProof/>
        </w:rPr>
        <w:t xml:space="preserve">latter </w:t>
      </w:r>
      <w:r w:rsidR="00300B2D" w:rsidRPr="00D86314">
        <w:rPr>
          <w:noProof/>
        </w:rPr>
        <w:t>approach</w:t>
      </w:r>
      <w:r w:rsidR="000B47E5" w:rsidRPr="00D86314">
        <w:rPr>
          <w:noProof/>
        </w:rPr>
        <w:t xml:space="preserve"> </w:t>
      </w:r>
      <w:r w:rsidRPr="00D86314">
        <w:rPr>
          <w:noProof/>
        </w:rPr>
        <w:t xml:space="preserve">circumvents the traditional hardware requirement by deploying satellites equipped with large phased-array antennas that function as orbiting cell towers (similar to terrestrial base stations in the space), delivering mobile broadband directly to users’ smartphones, which eliminates the need for dishes, satellite phones, or any additional user hardware. </w:t>
      </w:r>
    </w:p>
    <w:p w14:paraId="12F0F6B4" w14:textId="03A8F078" w:rsidR="004829A2" w:rsidRPr="00D86314" w:rsidRDefault="003D725F" w:rsidP="002917C2">
      <w:pPr>
        <w:spacing w:after="120"/>
        <w:rPr>
          <w:rFonts w:eastAsia="Times New Roman"/>
          <w:noProof/>
        </w:rPr>
      </w:pPr>
      <w:r w:rsidRPr="00D86314">
        <w:rPr>
          <w:rFonts w:eastAsia="Times New Roman"/>
          <w:noProof/>
        </w:rPr>
        <w:t xml:space="preserve">Currently, smartphones do not support </w:t>
      </w:r>
      <w:r w:rsidR="00BF47C7" w:rsidRPr="00D86314">
        <w:rPr>
          <w:rFonts w:eastAsia="Times New Roman"/>
          <w:noProof/>
        </w:rPr>
        <w:t xml:space="preserve">3GPP </w:t>
      </w:r>
      <w:r w:rsidRPr="00D86314">
        <w:rPr>
          <w:rFonts w:eastAsia="Times New Roman"/>
          <w:noProof/>
        </w:rPr>
        <w:t>NTN (Non-Terrestrial Network) standards, so satellite operators must partner with mobile network operators to access terrestrial frequencies and reach smartphone users.</w:t>
      </w:r>
      <w:r w:rsidR="00D26E32" w:rsidRPr="00D86314">
        <w:rPr>
          <w:rFonts w:eastAsia="Times New Roman"/>
          <w:noProof/>
        </w:rPr>
        <w:t xml:space="preserve"> Th</w:t>
      </w:r>
      <w:r w:rsidR="00FF30DA" w:rsidRPr="00D86314">
        <w:rPr>
          <w:rFonts w:eastAsia="Times New Roman"/>
          <w:noProof/>
        </w:rPr>
        <w:t>ese</w:t>
      </w:r>
      <w:r w:rsidR="004F0F5C" w:rsidRPr="00D86314" w:rsidDel="00DC4F38">
        <w:rPr>
          <w:rFonts w:eastAsia="Times New Roman"/>
          <w:noProof/>
        </w:rPr>
        <w:t xml:space="preserve"> </w:t>
      </w:r>
      <w:r w:rsidR="004F0F5C" w:rsidRPr="00D86314">
        <w:rPr>
          <w:rFonts w:eastAsia="Times New Roman"/>
          <w:noProof/>
        </w:rPr>
        <w:t xml:space="preserve">models </w:t>
      </w:r>
      <w:r w:rsidR="00FF30DA" w:rsidRPr="00D86314">
        <w:rPr>
          <w:rFonts w:eastAsia="Times New Roman"/>
          <w:noProof/>
        </w:rPr>
        <w:t xml:space="preserve">are </w:t>
      </w:r>
      <w:r w:rsidR="004F0F5C" w:rsidRPr="00D86314">
        <w:rPr>
          <w:rFonts w:eastAsia="Times New Roman"/>
          <w:noProof/>
        </w:rPr>
        <w:t>proposed by AST SpaceMobile (who has already an agreement in Europe with Vodafone</w:t>
      </w:r>
      <w:r w:rsidR="004F0F5C" w:rsidRPr="00D86314">
        <w:rPr>
          <w:rFonts w:eastAsia="Times New Roman"/>
          <w:noProof/>
          <w:vertAlign w:val="superscript"/>
        </w:rPr>
        <w:footnoteReference w:id="186"/>
      </w:r>
      <w:r w:rsidR="004F0F5C" w:rsidRPr="00D86314">
        <w:rPr>
          <w:rFonts w:eastAsia="Times New Roman"/>
          <w:noProof/>
        </w:rPr>
        <w:t xml:space="preserve">) or Skylo (who uses satellites from Viasat and Echostar both licensees the 2GHz MSS band), </w:t>
      </w:r>
      <w:r w:rsidR="0026194B" w:rsidRPr="00D86314">
        <w:rPr>
          <w:rFonts w:eastAsia="Times New Roman"/>
          <w:noProof/>
        </w:rPr>
        <w:t xml:space="preserve">that </w:t>
      </w:r>
      <w:r w:rsidR="004F0F5C" w:rsidRPr="00D86314">
        <w:rPr>
          <w:rFonts w:eastAsia="Times New Roman"/>
          <w:noProof/>
        </w:rPr>
        <w:t xml:space="preserve">completely change the economic approach by focusing on the smartphone—the device already </w:t>
      </w:r>
      <w:r w:rsidR="004F0F5C" w:rsidRPr="00D86314">
        <w:rPr>
          <w:noProof/>
        </w:rPr>
        <w:t>used</w:t>
      </w:r>
      <w:r w:rsidR="004F0F5C" w:rsidRPr="00D86314">
        <w:rPr>
          <w:rFonts w:eastAsia="Times New Roman"/>
          <w:noProof/>
        </w:rPr>
        <w:t xml:space="preserve"> by around five billion people globally. Through a single </w:t>
      </w:r>
      <w:r w:rsidR="00730229" w:rsidRPr="00D86314">
        <w:rPr>
          <w:rFonts w:eastAsia="Times New Roman"/>
          <w:noProof/>
        </w:rPr>
        <w:t>commercial</w:t>
      </w:r>
      <w:r w:rsidR="004F0F5C" w:rsidRPr="00D86314">
        <w:rPr>
          <w:rFonts w:eastAsia="Times New Roman"/>
          <w:noProof/>
        </w:rPr>
        <w:t xml:space="preserve"> agreement with a </w:t>
      </w:r>
      <w:r w:rsidR="00EB1301" w:rsidRPr="00D86314">
        <w:rPr>
          <w:rFonts w:eastAsia="Times New Roman"/>
          <w:noProof/>
        </w:rPr>
        <w:t>mobile</w:t>
      </w:r>
      <w:r w:rsidR="004F0F5C" w:rsidRPr="00D86314">
        <w:rPr>
          <w:rFonts w:eastAsia="Times New Roman"/>
          <w:noProof/>
        </w:rPr>
        <w:t xml:space="preserve"> carrier (who increases network coverage without substantial CAPEX</w:t>
      </w:r>
      <w:r w:rsidR="00C80202" w:rsidRPr="00D86314">
        <w:rPr>
          <w:rFonts w:eastAsia="Times New Roman"/>
          <w:noProof/>
        </w:rPr>
        <w:t xml:space="preserve"> </w:t>
      </w:r>
      <w:r w:rsidR="00C15B4D" w:rsidRPr="00D86314">
        <w:rPr>
          <w:rFonts w:eastAsia="Times New Roman"/>
          <w:noProof/>
        </w:rPr>
        <w:t xml:space="preserve">given </w:t>
      </w:r>
      <w:r w:rsidR="00A45767" w:rsidRPr="00D86314">
        <w:rPr>
          <w:rFonts w:eastAsia="Times New Roman"/>
          <w:noProof/>
        </w:rPr>
        <w:t>that</w:t>
      </w:r>
      <w:r w:rsidR="00626E0D" w:rsidRPr="00D86314">
        <w:rPr>
          <w:rFonts w:eastAsia="Times New Roman"/>
          <w:noProof/>
        </w:rPr>
        <w:t xml:space="preserve"> </w:t>
      </w:r>
      <w:r w:rsidR="00784E07" w:rsidRPr="00D86314">
        <w:rPr>
          <w:rFonts w:eastAsia="Times New Roman"/>
          <w:noProof/>
        </w:rPr>
        <w:t>satellite</w:t>
      </w:r>
      <w:r w:rsidR="00C15B4D" w:rsidRPr="00D86314">
        <w:rPr>
          <w:rFonts w:eastAsia="Times New Roman"/>
          <w:noProof/>
        </w:rPr>
        <w:t xml:space="preserve"> networks </w:t>
      </w:r>
      <w:r w:rsidR="00626E0D" w:rsidRPr="00D86314">
        <w:rPr>
          <w:rFonts w:eastAsia="Times New Roman"/>
          <w:noProof/>
        </w:rPr>
        <w:t xml:space="preserve">can </w:t>
      </w:r>
      <w:r w:rsidR="00EE4FF7" w:rsidRPr="00D86314">
        <w:rPr>
          <w:rFonts w:eastAsia="Times New Roman"/>
          <w:noProof/>
        </w:rPr>
        <w:t xml:space="preserve">already </w:t>
      </w:r>
      <w:r w:rsidR="00626E0D" w:rsidRPr="00D86314">
        <w:rPr>
          <w:rFonts w:eastAsia="Times New Roman"/>
          <w:noProof/>
        </w:rPr>
        <w:t>cov</w:t>
      </w:r>
      <w:r w:rsidR="00C25D0C" w:rsidRPr="00D86314">
        <w:rPr>
          <w:rFonts w:eastAsia="Times New Roman"/>
          <w:noProof/>
        </w:rPr>
        <w:t>er large territories</w:t>
      </w:r>
      <w:r w:rsidR="004F0F5C" w:rsidRPr="00D86314">
        <w:rPr>
          <w:rFonts w:eastAsia="Times New Roman"/>
          <w:noProof/>
        </w:rPr>
        <w:t xml:space="preserve">), millions of users can be reached at once. </w:t>
      </w:r>
      <w:r w:rsidR="00D71434" w:rsidRPr="00D86314">
        <w:rPr>
          <w:rFonts w:eastAsia="Times New Roman"/>
          <w:noProof/>
        </w:rPr>
        <w:t xml:space="preserve">However, </w:t>
      </w:r>
      <w:r w:rsidR="00442935" w:rsidRPr="00D86314">
        <w:rPr>
          <w:noProof/>
        </w:rPr>
        <w:t>these</w:t>
      </w:r>
      <w:r w:rsidR="00D71434" w:rsidRPr="00D86314">
        <w:rPr>
          <w:noProof/>
        </w:rPr>
        <w:t xml:space="preserve"> partnerships with mobile operators are likely a transitional solution. Once</w:t>
      </w:r>
      <w:r w:rsidR="00632774" w:rsidRPr="00D86314">
        <w:rPr>
          <w:noProof/>
        </w:rPr>
        <w:t xml:space="preserve"> the chips in the</w:t>
      </w:r>
      <w:r w:rsidR="00D71434" w:rsidRPr="00D86314">
        <w:rPr>
          <w:noProof/>
        </w:rPr>
        <w:t xml:space="preserve"> smartphones begin to support 3GPP NTN standards, LEO (Low Earth Orbit) satellites will be able to connect directly to smartphones, eliminating the need to rely on terrestrial networks.</w:t>
      </w:r>
      <w:r w:rsidR="008574A8" w:rsidRPr="00D86314">
        <w:rPr>
          <w:noProof/>
        </w:rPr>
        <w:t xml:space="preserve"> </w:t>
      </w:r>
      <w:r w:rsidR="00646F9E" w:rsidRPr="00D86314">
        <w:rPr>
          <w:rFonts w:eastAsia="Times New Roman"/>
          <w:noProof/>
        </w:rPr>
        <w:t xml:space="preserve">This </w:t>
      </w:r>
      <w:r w:rsidR="00405749" w:rsidRPr="00D86314">
        <w:rPr>
          <w:rFonts w:eastAsia="Times New Roman"/>
          <w:noProof/>
        </w:rPr>
        <w:t xml:space="preserve">particular </w:t>
      </w:r>
      <w:r w:rsidR="004F0F5C" w:rsidRPr="00D86314" w:rsidDel="00CB1E9D">
        <w:rPr>
          <w:rFonts w:eastAsia="Times New Roman"/>
          <w:noProof/>
        </w:rPr>
        <w:t>model</w:t>
      </w:r>
      <w:r w:rsidR="00CB1E9D" w:rsidRPr="00D86314">
        <w:rPr>
          <w:rFonts w:eastAsia="Times New Roman"/>
          <w:noProof/>
        </w:rPr>
        <w:t xml:space="preserve"> </w:t>
      </w:r>
      <w:r w:rsidR="006E1FFA" w:rsidRPr="00D86314">
        <w:rPr>
          <w:rFonts w:eastAsia="Times New Roman"/>
          <w:noProof/>
        </w:rPr>
        <w:t xml:space="preserve">proposed </w:t>
      </w:r>
      <w:r w:rsidR="00D1687F" w:rsidRPr="00D86314">
        <w:rPr>
          <w:rFonts w:eastAsia="Times New Roman"/>
          <w:noProof/>
        </w:rPr>
        <w:t>by S</w:t>
      </w:r>
      <w:r w:rsidR="00B671F8" w:rsidRPr="00D86314">
        <w:rPr>
          <w:rFonts w:eastAsia="Times New Roman"/>
          <w:noProof/>
        </w:rPr>
        <w:t>paceX</w:t>
      </w:r>
      <w:r w:rsidR="00EE2B37" w:rsidRPr="00D86314">
        <w:rPr>
          <w:rStyle w:val="FootnoteReference"/>
          <w:rFonts w:eastAsia="Times New Roman"/>
          <w:noProof/>
        </w:rPr>
        <w:footnoteReference w:id="187"/>
      </w:r>
      <w:r w:rsidR="004F0F5C" w:rsidRPr="00D86314">
        <w:rPr>
          <w:rFonts w:eastAsia="Times New Roman"/>
          <w:noProof/>
        </w:rPr>
        <w:t xml:space="preserve"> </w:t>
      </w:r>
      <w:r w:rsidR="006E2247" w:rsidRPr="00D86314">
        <w:rPr>
          <w:rFonts w:eastAsia="Times New Roman"/>
          <w:noProof/>
        </w:rPr>
        <w:t>w</w:t>
      </w:r>
      <w:r w:rsidR="00EE2B37" w:rsidRPr="00D86314">
        <w:rPr>
          <w:rFonts w:eastAsia="Times New Roman"/>
          <w:noProof/>
        </w:rPr>
        <w:t>ill</w:t>
      </w:r>
      <w:r w:rsidR="006E2247" w:rsidRPr="00D86314">
        <w:rPr>
          <w:rFonts w:eastAsia="Times New Roman"/>
          <w:noProof/>
        </w:rPr>
        <w:t xml:space="preserve"> </w:t>
      </w:r>
      <w:r w:rsidR="007035FE" w:rsidRPr="00D86314">
        <w:rPr>
          <w:rFonts w:eastAsia="Times New Roman"/>
          <w:noProof/>
        </w:rPr>
        <w:t>put emphasis on the large-scale connectivity</w:t>
      </w:r>
      <w:r w:rsidR="008D02A2" w:rsidRPr="00D86314">
        <w:rPr>
          <w:rFonts w:eastAsia="Times New Roman"/>
          <w:noProof/>
        </w:rPr>
        <w:t xml:space="preserve"> </w:t>
      </w:r>
      <w:r w:rsidR="009F6F42" w:rsidRPr="00D86314">
        <w:rPr>
          <w:rFonts w:eastAsia="Times New Roman"/>
          <w:noProof/>
        </w:rPr>
        <w:t>establishing</w:t>
      </w:r>
      <w:r w:rsidR="009653AF" w:rsidRPr="00D86314">
        <w:rPr>
          <w:rFonts w:eastAsia="Times New Roman"/>
          <w:noProof/>
        </w:rPr>
        <w:t xml:space="preserve"> </w:t>
      </w:r>
      <w:r w:rsidR="00375133" w:rsidRPr="00D86314">
        <w:rPr>
          <w:rFonts w:eastAsia="Times New Roman"/>
          <w:noProof/>
        </w:rPr>
        <w:t>a new</w:t>
      </w:r>
      <w:r w:rsidR="005A25FC" w:rsidRPr="00D86314">
        <w:rPr>
          <w:rFonts w:eastAsia="Times New Roman"/>
          <w:noProof/>
        </w:rPr>
        <w:t xml:space="preserve"> </w:t>
      </w:r>
      <w:r w:rsidR="0021107C" w:rsidRPr="00D86314">
        <w:rPr>
          <w:rFonts w:eastAsia="Times New Roman"/>
          <w:noProof/>
        </w:rPr>
        <w:t>connectivity market</w:t>
      </w:r>
      <w:r w:rsidR="00375133" w:rsidRPr="00D86314">
        <w:rPr>
          <w:rFonts w:eastAsia="Times New Roman"/>
          <w:noProof/>
        </w:rPr>
        <w:t xml:space="preserve"> with global scale</w:t>
      </w:r>
      <w:r w:rsidR="007035FE" w:rsidRPr="00D86314">
        <w:rPr>
          <w:rFonts w:eastAsia="Times New Roman"/>
          <w:noProof/>
        </w:rPr>
        <w:t xml:space="preserve">, i.e. billions of </w:t>
      </w:r>
      <w:r w:rsidR="00422410" w:rsidRPr="00D86314">
        <w:rPr>
          <w:rFonts w:eastAsia="Times New Roman"/>
          <w:noProof/>
        </w:rPr>
        <w:t>world-wide</w:t>
      </w:r>
      <w:r w:rsidR="007035FE" w:rsidRPr="00D86314">
        <w:rPr>
          <w:rFonts w:eastAsia="Times New Roman"/>
          <w:noProof/>
        </w:rPr>
        <w:t xml:space="preserve"> smar</w:t>
      </w:r>
      <w:r w:rsidR="00CB1E9D" w:rsidRPr="00D86314">
        <w:rPr>
          <w:rFonts w:eastAsia="Times New Roman"/>
          <w:noProof/>
        </w:rPr>
        <w:t>tphone users,</w:t>
      </w:r>
      <w:r w:rsidR="007035FE" w:rsidRPr="00D86314">
        <w:rPr>
          <w:rFonts w:eastAsia="Times New Roman"/>
          <w:noProof/>
        </w:rPr>
        <w:t xml:space="preserve"> rather than individual sales and/or wholesales, and this difference, in the telecommunications sector</w:t>
      </w:r>
      <w:r w:rsidR="00067066" w:rsidRPr="00D86314">
        <w:rPr>
          <w:rFonts w:eastAsia="Times New Roman"/>
          <w:noProof/>
        </w:rPr>
        <w:t>,</w:t>
      </w:r>
      <w:r w:rsidR="007035FE" w:rsidRPr="00D86314">
        <w:rPr>
          <w:rFonts w:eastAsia="Times New Roman"/>
          <w:noProof/>
        </w:rPr>
        <w:t xml:space="preserve"> is highly significant with major regulatory implications.</w:t>
      </w:r>
    </w:p>
    <w:p w14:paraId="344C4BCC" w14:textId="683D5516" w:rsidR="00B940AF" w:rsidRPr="00D86314" w:rsidRDefault="00B940AF" w:rsidP="00B940AF">
      <w:pPr>
        <w:pStyle w:val="Heading1"/>
        <w:rPr>
          <w:noProof/>
          <w:lang w:val="en-GB"/>
        </w:rPr>
      </w:pPr>
      <w:bookmarkStart w:id="229" w:name="_Toc219718426"/>
      <w:r w:rsidRPr="00D86314">
        <w:rPr>
          <w:noProof/>
          <w:lang w:val="en-GB"/>
        </w:rPr>
        <w:t>Problem drivers</w:t>
      </w:r>
      <w:bookmarkEnd w:id="229"/>
      <w:r w:rsidRPr="00D86314">
        <w:rPr>
          <w:noProof/>
          <w:lang w:val="en-GB"/>
        </w:rPr>
        <w:t xml:space="preserve"> </w:t>
      </w:r>
    </w:p>
    <w:p w14:paraId="2E75AC1C" w14:textId="12221192" w:rsidR="00B940AF" w:rsidRPr="00D86314" w:rsidRDefault="00FE253A" w:rsidP="000C405C">
      <w:pPr>
        <w:spacing w:after="120"/>
        <w:rPr>
          <w:rFonts w:eastAsia="Times New Roman"/>
          <w:noProof/>
        </w:rPr>
      </w:pPr>
      <w:r w:rsidRPr="00D86314">
        <w:rPr>
          <w:rFonts w:eastAsia="Times New Roman"/>
          <w:noProof/>
        </w:rPr>
        <w:t>This section provi</w:t>
      </w:r>
      <w:r w:rsidR="00DF5046" w:rsidRPr="00D86314">
        <w:rPr>
          <w:rFonts w:eastAsia="Times New Roman"/>
          <w:noProof/>
        </w:rPr>
        <w:t>des additional details for the problem drivers presented in Section 2.2</w:t>
      </w:r>
      <w:r w:rsidR="000549B1" w:rsidRPr="00D86314">
        <w:rPr>
          <w:rFonts w:eastAsia="Times New Roman"/>
          <w:noProof/>
        </w:rPr>
        <w:t xml:space="preserve"> of the main document</w:t>
      </w:r>
      <w:r w:rsidR="00DF5046" w:rsidRPr="00D86314">
        <w:rPr>
          <w:rFonts w:eastAsia="Times New Roman"/>
          <w:noProof/>
        </w:rPr>
        <w:t>.</w:t>
      </w:r>
    </w:p>
    <w:p w14:paraId="34DC9BED" w14:textId="44ADA692" w:rsidR="00CB0621" w:rsidRPr="00D86314" w:rsidRDefault="018443CB" w:rsidP="00CB0621">
      <w:pPr>
        <w:pStyle w:val="Heading2"/>
        <w:rPr>
          <w:noProof/>
        </w:rPr>
      </w:pPr>
      <w:bookmarkStart w:id="230" w:name="_Toc219718427"/>
      <w:r w:rsidRPr="00D86314">
        <w:rPr>
          <w:noProof/>
        </w:rPr>
        <w:t>Factors slowing down the deployment and adoption of fibre networks/services</w:t>
      </w:r>
      <w:bookmarkEnd w:id="230"/>
    </w:p>
    <w:p w14:paraId="6E6A6328" w14:textId="54DC0368" w:rsidR="00CB0621" w:rsidRPr="00D86314" w:rsidRDefault="018443CB" w:rsidP="00703057">
      <w:pPr>
        <w:pStyle w:val="Heading3"/>
        <w:rPr>
          <w:noProof/>
        </w:rPr>
      </w:pPr>
      <w:bookmarkStart w:id="231" w:name="_Toc219718428"/>
      <w:r w:rsidRPr="00D86314">
        <w:rPr>
          <w:noProof/>
        </w:rPr>
        <w:t>Regulatory approaches, business choices and persistence of copper networks</w:t>
      </w:r>
      <w:bookmarkEnd w:id="231"/>
    </w:p>
    <w:p w14:paraId="1B36A871" w14:textId="7BF07083" w:rsidR="00CB0621" w:rsidRPr="00D86314" w:rsidRDefault="0A9C0D08" w:rsidP="356F916C">
      <w:pPr>
        <w:spacing w:after="160" w:line="257" w:lineRule="auto"/>
        <w:rPr>
          <w:rFonts w:eastAsia="Times New Roman"/>
          <w:i/>
          <w:iCs/>
          <w:noProof/>
        </w:rPr>
      </w:pPr>
      <w:r w:rsidRPr="00D86314">
        <w:rPr>
          <w:rFonts w:eastAsia="Times New Roman"/>
          <w:noProof/>
        </w:rPr>
        <w:t>The table bel</w:t>
      </w:r>
      <w:r w:rsidR="51AB48DC" w:rsidRPr="00D86314">
        <w:rPr>
          <w:rFonts w:eastAsia="Times New Roman"/>
          <w:noProof/>
        </w:rPr>
        <w:t xml:space="preserve">ow </w:t>
      </w:r>
      <w:r w:rsidR="373EDDAE" w:rsidRPr="00D86314">
        <w:rPr>
          <w:rFonts w:eastAsia="Times New Roman"/>
          <w:noProof/>
        </w:rPr>
        <w:t xml:space="preserve">provides </w:t>
      </w:r>
      <w:r w:rsidR="3E9F91AA" w:rsidRPr="00D86314">
        <w:rPr>
          <w:rFonts w:eastAsia="Times New Roman"/>
          <w:noProof/>
        </w:rPr>
        <w:t>an overview of</w:t>
      </w:r>
      <w:r w:rsidR="51AB48DC" w:rsidRPr="00D86314">
        <w:rPr>
          <w:rFonts w:eastAsia="Times New Roman"/>
          <w:noProof/>
        </w:rPr>
        <w:t xml:space="preserve"> the application by NRAs of </w:t>
      </w:r>
      <w:r w:rsidR="3F2572F9" w:rsidRPr="00D86314">
        <w:rPr>
          <w:rFonts w:eastAsia="Times New Roman"/>
          <w:noProof/>
        </w:rPr>
        <w:t xml:space="preserve">provisions related to SMP findings and access obligations. </w:t>
      </w:r>
      <w:r w:rsidR="72FD0948" w:rsidRPr="00D86314">
        <w:rPr>
          <w:rFonts w:eastAsia="Times New Roman"/>
          <w:noProof/>
        </w:rPr>
        <w:t>The differing regulatory approaches by NRA</w:t>
      </w:r>
      <w:r w:rsidR="3DD0257C" w:rsidRPr="00D86314">
        <w:rPr>
          <w:rFonts w:eastAsia="Times New Roman"/>
          <w:noProof/>
        </w:rPr>
        <w:t>s</w:t>
      </w:r>
      <w:r w:rsidR="72FD0948" w:rsidRPr="00D86314">
        <w:rPr>
          <w:rFonts w:eastAsia="Times New Roman"/>
          <w:noProof/>
        </w:rPr>
        <w:t xml:space="preserve"> contributed to the variations in fibre deployment and take-up. </w:t>
      </w:r>
    </w:p>
    <w:p w14:paraId="65F8D7AC" w14:textId="749DA5A2" w:rsidR="00CB0621" w:rsidRPr="00D86314" w:rsidRDefault="15A8298F" w:rsidP="008574A8">
      <w:pPr>
        <w:keepNext/>
        <w:keepLines/>
        <w:spacing w:after="160"/>
        <w:rPr>
          <w:rFonts w:eastAsia="Times New Roman"/>
          <w:i/>
          <w:noProof/>
          <w:sz w:val="22"/>
          <w:szCs w:val="22"/>
        </w:rPr>
      </w:pPr>
      <w:r w:rsidRPr="00D86314">
        <w:rPr>
          <w:rFonts w:eastAsia="Times New Roman"/>
          <w:i/>
          <w:noProof/>
          <w:sz w:val="22"/>
          <w:szCs w:val="22"/>
        </w:rPr>
        <w:t>Figure</w:t>
      </w:r>
      <w:r w:rsidR="23652905" w:rsidRPr="00D86314">
        <w:rPr>
          <w:rFonts w:eastAsia="Times New Roman"/>
          <w:i/>
          <w:noProof/>
          <w:sz w:val="22"/>
          <w:szCs w:val="22"/>
        </w:rPr>
        <w:t xml:space="preserve"> </w:t>
      </w:r>
      <w:r w:rsidR="008574A8" w:rsidRPr="00D86314">
        <w:rPr>
          <w:rFonts w:eastAsia="Times New Roman"/>
          <w:i/>
          <w:iCs/>
          <w:noProof/>
          <w:sz w:val="22"/>
          <w:szCs w:val="22"/>
        </w:rPr>
        <w:t xml:space="preserve">A7 </w:t>
      </w:r>
      <w:r w:rsidR="00770981">
        <w:rPr>
          <w:rFonts w:eastAsia="Times New Roman"/>
          <w:i/>
          <w:iCs/>
          <w:noProof/>
          <w:sz w:val="22"/>
          <w:szCs w:val="22"/>
        </w:rPr>
        <w:t>2</w:t>
      </w:r>
      <w:r w:rsidR="008574A8" w:rsidRPr="00D86314">
        <w:rPr>
          <w:rFonts w:eastAsia="Times New Roman"/>
          <w:i/>
          <w:iCs/>
          <w:noProof/>
          <w:sz w:val="22"/>
          <w:szCs w:val="22"/>
        </w:rPr>
        <w:t>-1</w:t>
      </w:r>
      <w:r w:rsidRPr="00D86314">
        <w:rPr>
          <w:rFonts w:eastAsia="Times New Roman"/>
          <w:i/>
          <w:noProof/>
          <w:sz w:val="22"/>
          <w:szCs w:val="22"/>
        </w:rPr>
        <w:t>: Overview of application of EECC provisions Articles 22, 26, 61 (3), 72-80</w:t>
      </w:r>
    </w:p>
    <w:p w14:paraId="284A542E" w14:textId="4B9902A9" w:rsidR="00CB0621" w:rsidRPr="00D86314" w:rsidRDefault="15A8298F" w:rsidP="327625EE">
      <w:pPr>
        <w:spacing w:after="160" w:line="257" w:lineRule="auto"/>
        <w:rPr>
          <w:noProof/>
        </w:rPr>
      </w:pPr>
      <w:r w:rsidRPr="00D86314">
        <w:rPr>
          <w:rFonts w:ascii="Aptos" w:eastAsia="Aptos" w:hAnsi="Aptos" w:cs="Aptos"/>
          <w:noProof/>
          <w:sz w:val="22"/>
          <w:szCs w:val="22"/>
        </w:rPr>
        <w:t xml:space="preserve"> </w:t>
      </w:r>
      <w:r w:rsidRPr="00CA2C0B">
        <w:rPr>
          <w:noProof/>
          <w:lang w:eastAsia="en-GB"/>
        </w:rPr>
        <w:drawing>
          <wp:inline distT="0" distB="0" distL="0" distR="0" wp14:anchorId="7FC151B7" wp14:editId="39E661D1">
            <wp:extent cx="6239541" cy="4210333"/>
            <wp:effectExtent l="0" t="0" r="0" b="0"/>
            <wp:docPr id="10544256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25663" name=""/>
                    <pic:cNvPicPr/>
                  </pic:nvPicPr>
                  <pic:blipFill>
                    <a:blip r:embed="rId132">
                      <a:extLst>
                        <a:ext uri="{28A0092B-C50C-407E-A947-70E740481C1C}">
                          <a14:useLocalDpi xmlns:a14="http://schemas.microsoft.com/office/drawing/2010/main"/>
                        </a:ext>
                      </a:extLst>
                    </a:blip>
                    <a:stretch>
                      <a:fillRect/>
                    </a:stretch>
                  </pic:blipFill>
                  <pic:spPr>
                    <a:xfrm>
                      <a:off x="0" y="0"/>
                      <a:ext cx="6239541" cy="4210333"/>
                    </a:xfrm>
                    <a:prstGeom prst="rect">
                      <a:avLst/>
                    </a:prstGeom>
                  </pic:spPr>
                </pic:pic>
              </a:graphicData>
            </a:graphic>
          </wp:inline>
        </w:drawing>
      </w:r>
    </w:p>
    <w:p w14:paraId="6878AEE4" w14:textId="35B69C93" w:rsidR="00CB0621" w:rsidRPr="00D86314" w:rsidRDefault="102D3B83" w:rsidP="356F916C">
      <w:pPr>
        <w:pStyle w:val="Text2"/>
        <w:rPr>
          <w:noProof/>
          <w:sz w:val="20"/>
        </w:rPr>
      </w:pPr>
      <w:r w:rsidRPr="00D86314">
        <w:rPr>
          <w:noProof/>
          <w:sz w:val="20"/>
        </w:rPr>
        <w:t>Source: WIK</w:t>
      </w:r>
      <w:r w:rsidR="38773722" w:rsidRPr="00D86314">
        <w:rPr>
          <w:noProof/>
          <w:sz w:val="20"/>
        </w:rPr>
        <w:t>’s</w:t>
      </w:r>
      <w:r w:rsidRPr="00D86314">
        <w:rPr>
          <w:noProof/>
          <w:sz w:val="20"/>
        </w:rPr>
        <w:t xml:space="preserve"> interim </w:t>
      </w:r>
      <w:r w:rsidR="6B317695" w:rsidRPr="00D86314">
        <w:rPr>
          <w:noProof/>
          <w:sz w:val="20"/>
        </w:rPr>
        <w:t>r</w:t>
      </w:r>
      <w:r w:rsidRPr="00D86314">
        <w:rPr>
          <w:noProof/>
          <w:sz w:val="20"/>
        </w:rPr>
        <w:t>eport</w:t>
      </w:r>
    </w:p>
    <w:p w14:paraId="7C4530F6" w14:textId="01B409DF" w:rsidR="000E5769" w:rsidRPr="00D86314" w:rsidRDefault="00F83900" w:rsidP="00331510">
      <w:pPr>
        <w:spacing w:after="160" w:line="257" w:lineRule="auto"/>
        <w:rPr>
          <w:rFonts w:eastAsia="Times New Roman"/>
          <w:noProof/>
        </w:rPr>
      </w:pPr>
      <w:r w:rsidRPr="00D86314">
        <w:rPr>
          <w:rFonts w:eastAsia="Times New Roman"/>
          <w:noProof/>
        </w:rPr>
        <w:t>In addition</w:t>
      </w:r>
      <w:r w:rsidR="00960F2A" w:rsidRPr="00D86314">
        <w:rPr>
          <w:rFonts w:eastAsia="Times New Roman"/>
          <w:noProof/>
        </w:rPr>
        <w:t xml:space="preserve">, </w:t>
      </w:r>
      <w:r w:rsidR="000D3D70" w:rsidRPr="00D86314">
        <w:rPr>
          <w:rFonts w:eastAsia="Times New Roman"/>
          <w:noProof/>
        </w:rPr>
        <w:t xml:space="preserve">the following table provides an overview of the degree of infrastructure competition and regulatory approaches taken towards FTTC / VDSL and FTTH in a sample of 15 European countries (14 EU + the UK) and juxtaposes these against outcomes in terms of FTTH coverage, take-up, retail competition (via HHI), and retail pricing. </w:t>
      </w:r>
    </w:p>
    <w:p w14:paraId="45850873" w14:textId="0B9EDB26" w:rsidR="00604878" w:rsidRPr="00D86314" w:rsidRDefault="00D624EC" w:rsidP="006C7E21">
      <w:pPr>
        <w:spacing w:after="160"/>
        <w:ind w:left="1474" w:hanging="1474"/>
        <w:rPr>
          <w:rFonts w:eastAsia="Times New Roman"/>
          <w:i/>
          <w:noProof/>
          <w:sz w:val="22"/>
          <w:szCs w:val="22"/>
        </w:rPr>
      </w:pPr>
      <w:r w:rsidRPr="00D86314">
        <w:rPr>
          <w:rFonts w:eastAsia="Times New Roman"/>
          <w:i/>
          <w:noProof/>
          <w:sz w:val="22"/>
          <w:szCs w:val="22"/>
        </w:rPr>
        <w:t xml:space="preserve">Figure </w:t>
      </w:r>
      <w:r w:rsidR="006C7E21" w:rsidRPr="00D86314">
        <w:rPr>
          <w:rFonts w:eastAsia="Times New Roman"/>
          <w:i/>
          <w:iCs/>
          <w:noProof/>
          <w:sz w:val="22"/>
          <w:szCs w:val="22"/>
        </w:rPr>
        <w:t xml:space="preserve">A7 </w:t>
      </w:r>
      <w:r w:rsidR="00770981">
        <w:rPr>
          <w:rFonts w:eastAsia="Times New Roman"/>
          <w:i/>
          <w:iCs/>
          <w:noProof/>
          <w:sz w:val="22"/>
          <w:szCs w:val="22"/>
        </w:rPr>
        <w:t>2-2</w:t>
      </w:r>
      <w:r w:rsidRPr="00D86314">
        <w:rPr>
          <w:rFonts w:eastAsia="Times New Roman"/>
          <w:i/>
          <w:noProof/>
          <w:sz w:val="22"/>
          <w:szCs w:val="22"/>
        </w:rPr>
        <w:t xml:space="preserve">: Overview of </w:t>
      </w:r>
      <w:r w:rsidR="00B90266" w:rsidRPr="00D86314">
        <w:rPr>
          <w:rFonts w:eastAsia="Times New Roman"/>
          <w:i/>
          <w:noProof/>
          <w:sz w:val="22"/>
          <w:szCs w:val="22"/>
        </w:rPr>
        <w:t xml:space="preserve">degree of infrastructure competition and regulatory approaches with outcomes in terms of FTTH coverage, take-up, retail competition and retail pricing. </w:t>
      </w:r>
    </w:p>
    <w:p w14:paraId="38953DF0" w14:textId="77777777" w:rsidR="00837F6B" w:rsidRPr="00D86314" w:rsidRDefault="00837F6B" w:rsidP="00331510">
      <w:pPr>
        <w:spacing w:after="160" w:line="257" w:lineRule="auto"/>
        <w:rPr>
          <w:rFonts w:eastAsia="Times New Roman"/>
          <w:noProof/>
        </w:rPr>
      </w:pPr>
    </w:p>
    <w:p w14:paraId="0264BDF4" w14:textId="77777777" w:rsidR="00861C44" w:rsidRPr="00D86314" w:rsidRDefault="00861C44" w:rsidP="00331510">
      <w:pPr>
        <w:spacing w:after="160" w:line="257" w:lineRule="auto"/>
        <w:rPr>
          <w:rFonts w:eastAsia="Times New Roman"/>
          <w:noProof/>
        </w:rPr>
      </w:pPr>
    </w:p>
    <w:p w14:paraId="3A60CB28" w14:textId="77777777" w:rsidR="009F44AF" w:rsidRPr="00D86314" w:rsidRDefault="009F44AF" w:rsidP="00331510">
      <w:pPr>
        <w:spacing w:after="160" w:line="257" w:lineRule="auto"/>
        <w:rPr>
          <w:rFonts w:eastAsia="Times New Roman"/>
          <w:noProof/>
        </w:rPr>
        <w:sectPr w:rsidR="009F44AF" w:rsidRPr="00D86314" w:rsidSect="00331510">
          <w:headerReference w:type="even" r:id="rId133"/>
          <w:headerReference w:type="default" r:id="rId134"/>
          <w:footerReference w:type="even" r:id="rId135"/>
          <w:footerReference w:type="default" r:id="rId136"/>
          <w:headerReference w:type="first" r:id="rId137"/>
          <w:footerReference w:type="first" r:id="rId138"/>
          <w:pgSz w:w="11906" w:h="16838"/>
          <w:pgMar w:top="1020" w:right="1701" w:bottom="1020" w:left="1587" w:header="601" w:footer="1077" w:gutter="0"/>
          <w:cols w:space="720"/>
          <w:titlePg/>
          <w:docGrid w:linePitch="326"/>
        </w:sectPr>
      </w:pPr>
    </w:p>
    <w:p w14:paraId="3C6A6310" w14:textId="77777777" w:rsidR="00861C44" w:rsidRPr="00D86314" w:rsidRDefault="00861C44" w:rsidP="00331510">
      <w:pPr>
        <w:spacing w:after="160" w:line="257" w:lineRule="auto"/>
        <w:rPr>
          <w:rFonts w:eastAsia="Times New Roman"/>
          <w:noProof/>
        </w:rPr>
      </w:pPr>
    </w:p>
    <w:tbl>
      <w:tblPr>
        <w:tblStyle w:val="TableGrid"/>
        <w:tblW w:w="13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992"/>
        <w:gridCol w:w="1046"/>
        <w:gridCol w:w="1051"/>
        <w:gridCol w:w="1051"/>
        <w:gridCol w:w="1054"/>
        <w:gridCol w:w="1066"/>
        <w:gridCol w:w="954"/>
        <w:gridCol w:w="784"/>
        <w:gridCol w:w="1414"/>
        <w:gridCol w:w="649"/>
        <w:gridCol w:w="791"/>
        <w:gridCol w:w="649"/>
        <w:gridCol w:w="130"/>
        <w:gridCol w:w="20"/>
        <w:gridCol w:w="589"/>
        <w:gridCol w:w="236"/>
      </w:tblGrid>
      <w:tr w:rsidR="00C07B58" w:rsidRPr="00D86314" w14:paraId="225CBD4A" w14:textId="77777777" w:rsidTr="007B4150">
        <w:trPr>
          <w:gridAfter w:val="2"/>
          <w:wAfter w:w="825" w:type="dxa"/>
        </w:trPr>
        <w:tc>
          <w:tcPr>
            <w:tcW w:w="960" w:type="dxa"/>
          </w:tcPr>
          <w:p w14:paraId="69C3E9DA" w14:textId="77777777" w:rsidR="00C07B58" w:rsidRPr="00D86314" w:rsidRDefault="00C07B58">
            <w:pPr>
              <w:rPr>
                <w:bCs/>
                <w:noProof/>
                <w:sz w:val="20"/>
                <w:szCs w:val="20"/>
              </w:rPr>
            </w:pPr>
          </w:p>
        </w:tc>
        <w:tc>
          <w:tcPr>
            <w:tcW w:w="6260" w:type="dxa"/>
            <w:gridSpan w:val="6"/>
          </w:tcPr>
          <w:p w14:paraId="1BEF502D" w14:textId="77777777" w:rsidR="00C07B58" w:rsidRPr="00D86314" w:rsidRDefault="00C07B58">
            <w:pPr>
              <w:rPr>
                <w:bCs/>
                <w:noProof/>
                <w:sz w:val="20"/>
                <w:szCs w:val="20"/>
              </w:rPr>
            </w:pPr>
            <w:r w:rsidRPr="00D86314">
              <w:rPr>
                <w:bCs/>
                <w:noProof/>
                <w:sz w:val="20"/>
                <w:szCs w:val="20"/>
              </w:rPr>
              <w:t>Regulatory approach</w:t>
            </w:r>
          </w:p>
        </w:tc>
        <w:tc>
          <w:tcPr>
            <w:tcW w:w="5391" w:type="dxa"/>
            <w:gridSpan w:val="8"/>
          </w:tcPr>
          <w:p w14:paraId="46E38B1D" w14:textId="77777777" w:rsidR="00C07B58" w:rsidRPr="00D86314" w:rsidRDefault="00C07B58">
            <w:pPr>
              <w:rPr>
                <w:bCs/>
                <w:noProof/>
                <w:sz w:val="20"/>
                <w:szCs w:val="20"/>
              </w:rPr>
            </w:pPr>
            <w:r w:rsidRPr="00D86314">
              <w:rPr>
                <w:bCs/>
                <w:noProof/>
                <w:sz w:val="20"/>
                <w:szCs w:val="20"/>
              </w:rPr>
              <w:t>Outcomes</w:t>
            </w:r>
          </w:p>
        </w:tc>
      </w:tr>
      <w:tr w:rsidR="00C07B58" w:rsidRPr="00D86314" w14:paraId="5F0208A7" w14:textId="77777777" w:rsidTr="007B4150">
        <w:trPr>
          <w:gridAfter w:val="3"/>
          <w:wAfter w:w="845" w:type="dxa"/>
          <w:cantSplit/>
          <w:trHeight w:val="3109"/>
        </w:trPr>
        <w:tc>
          <w:tcPr>
            <w:tcW w:w="960" w:type="dxa"/>
          </w:tcPr>
          <w:p w14:paraId="5AD68CFC" w14:textId="77777777" w:rsidR="00C07B58" w:rsidRPr="00D86314" w:rsidRDefault="00C07B58">
            <w:pPr>
              <w:rPr>
                <w:bCs/>
                <w:noProof/>
                <w:sz w:val="20"/>
                <w:szCs w:val="20"/>
              </w:rPr>
            </w:pPr>
            <w:r w:rsidRPr="00D86314">
              <w:rPr>
                <w:bCs/>
                <w:noProof/>
                <w:sz w:val="20"/>
                <w:szCs w:val="20"/>
              </w:rPr>
              <w:t>Country</w:t>
            </w:r>
          </w:p>
        </w:tc>
        <w:tc>
          <w:tcPr>
            <w:tcW w:w="992" w:type="dxa"/>
            <w:textDirection w:val="btLr"/>
          </w:tcPr>
          <w:p w14:paraId="73EB75DD" w14:textId="77777777" w:rsidR="00C07B58" w:rsidRPr="00D86314" w:rsidRDefault="00C07B58">
            <w:pPr>
              <w:ind w:left="113" w:right="113"/>
              <w:rPr>
                <w:bCs/>
                <w:noProof/>
                <w:sz w:val="20"/>
                <w:szCs w:val="20"/>
              </w:rPr>
            </w:pPr>
            <w:r w:rsidRPr="00D86314">
              <w:rPr>
                <w:bCs/>
                <w:noProof/>
                <w:sz w:val="20"/>
                <w:szCs w:val="20"/>
              </w:rPr>
              <w:t>Strong SMP PIA (to support alternative deployment) Y / N</w:t>
            </w:r>
          </w:p>
        </w:tc>
        <w:tc>
          <w:tcPr>
            <w:tcW w:w="1046" w:type="dxa"/>
            <w:textDirection w:val="btLr"/>
          </w:tcPr>
          <w:p w14:paraId="2B1582B7" w14:textId="77777777" w:rsidR="00C07B58" w:rsidRPr="00D86314" w:rsidRDefault="00C07B58">
            <w:pPr>
              <w:ind w:left="113" w:right="113"/>
              <w:rPr>
                <w:bCs/>
                <w:noProof/>
                <w:sz w:val="20"/>
                <w:szCs w:val="20"/>
              </w:rPr>
            </w:pPr>
            <w:r w:rsidRPr="00D86314">
              <w:rPr>
                <w:bCs/>
                <w:noProof/>
                <w:sz w:val="20"/>
                <w:szCs w:val="20"/>
              </w:rPr>
              <w:t>Role of infrastructure competition (pre-existing + regulatory focus)</w:t>
            </w:r>
          </w:p>
        </w:tc>
        <w:tc>
          <w:tcPr>
            <w:tcW w:w="1051" w:type="dxa"/>
            <w:textDirection w:val="btLr"/>
          </w:tcPr>
          <w:p w14:paraId="734481D1" w14:textId="7D631CF9" w:rsidR="00C07B58" w:rsidRPr="00D86314" w:rsidRDefault="00C07B58">
            <w:pPr>
              <w:ind w:left="113" w:right="113"/>
              <w:rPr>
                <w:noProof/>
                <w:sz w:val="20"/>
                <w:szCs w:val="20"/>
              </w:rPr>
            </w:pPr>
            <w:r w:rsidRPr="00D86314">
              <w:rPr>
                <w:noProof/>
                <w:sz w:val="20"/>
                <w:szCs w:val="20"/>
              </w:rPr>
              <w:t>Use of Art 61(3)?</w:t>
            </w:r>
          </w:p>
        </w:tc>
        <w:tc>
          <w:tcPr>
            <w:tcW w:w="1051" w:type="dxa"/>
            <w:textDirection w:val="btLr"/>
          </w:tcPr>
          <w:p w14:paraId="263518E0" w14:textId="6048ABFA" w:rsidR="00C07B58" w:rsidRPr="00D86314" w:rsidRDefault="00C07B58">
            <w:pPr>
              <w:ind w:left="113" w:right="113"/>
              <w:rPr>
                <w:noProof/>
                <w:sz w:val="20"/>
                <w:szCs w:val="20"/>
              </w:rPr>
            </w:pPr>
            <w:r w:rsidRPr="00D86314">
              <w:rPr>
                <w:bCs/>
                <w:noProof/>
                <w:sz w:val="20"/>
                <w:szCs w:val="20"/>
              </w:rPr>
              <w:t>Declarations to deploy consistent with Art 22 EECC?</w:t>
            </w:r>
          </w:p>
        </w:tc>
        <w:tc>
          <w:tcPr>
            <w:tcW w:w="1054" w:type="dxa"/>
            <w:textDirection w:val="btLr"/>
          </w:tcPr>
          <w:p w14:paraId="5E081D38" w14:textId="77777777" w:rsidR="00C07B58" w:rsidRPr="00D86314" w:rsidRDefault="00C07B58">
            <w:pPr>
              <w:ind w:left="113" w:right="113"/>
              <w:rPr>
                <w:bCs/>
                <w:noProof/>
                <w:sz w:val="20"/>
                <w:szCs w:val="20"/>
              </w:rPr>
            </w:pPr>
            <w:r w:rsidRPr="00D86314">
              <w:rPr>
                <w:bCs/>
                <w:noProof/>
                <w:sz w:val="20"/>
                <w:szCs w:val="20"/>
              </w:rPr>
              <w:t>Support for FTTC / VDSL deployment e.g. through low SLU price or long-term pricing / pricing flexibility?</w:t>
            </w:r>
          </w:p>
        </w:tc>
        <w:tc>
          <w:tcPr>
            <w:tcW w:w="1066" w:type="dxa"/>
            <w:textDirection w:val="btLr"/>
          </w:tcPr>
          <w:p w14:paraId="7855D0FF" w14:textId="77777777" w:rsidR="00C07B58" w:rsidRPr="00D86314" w:rsidRDefault="00C07B58">
            <w:pPr>
              <w:ind w:left="113" w:right="113"/>
              <w:rPr>
                <w:bCs/>
                <w:noProof/>
                <w:sz w:val="20"/>
                <w:szCs w:val="20"/>
              </w:rPr>
            </w:pPr>
            <w:r w:rsidRPr="00D86314">
              <w:rPr>
                <w:bCs/>
                <w:noProof/>
                <w:sz w:val="20"/>
                <w:szCs w:val="20"/>
              </w:rPr>
              <w:t>Flexibility or forbearance on regulation of FTTH?</w:t>
            </w:r>
          </w:p>
        </w:tc>
        <w:tc>
          <w:tcPr>
            <w:tcW w:w="954" w:type="dxa"/>
            <w:textDirection w:val="btLr"/>
          </w:tcPr>
          <w:p w14:paraId="0F3FB6CF" w14:textId="77777777" w:rsidR="00C07B58" w:rsidRPr="00D86314" w:rsidRDefault="00C07B58">
            <w:pPr>
              <w:ind w:left="113" w:right="113"/>
              <w:rPr>
                <w:bCs/>
                <w:noProof/>
                <w:sz w:val="20"/>
                <w:szCs w:val="20"/>
              </w:rPr>
            </w:pPr>
            <w:r w:rsidRPr="00D86314">
              <w:rPr>
                <w:bCs/>
                <w:noProof/>
                <w:sz w:val="20"/>
                <w:szCs w:val="20"/>
              </w:rPr>
              <w:t>FTTH coverage = FTTH homes passed / total household (Digital Decade DESI 2025)</w:t>
            </w:r>
          </w:p>
        </w:tc>
        <w:tc>
          <w:tcPr>
            <w:tcW w:w="784" w:type="dxa"/>
            <w:textDirection w:val="btLr"/>
          </w:tcPr>
          <w:p w14:paraId="1A54D388" w14:textId="77777777" w:rsidR="00C07B58" w:rsidRPr="00D86314" w:rsidRDefault="00C07B58">
            <w:pPr>
              <w:ind w:left="113" w:right="113"/>
              <w:rPr>
                <w:bCs/>
                <w:noProof/>
                <w:sz w:val="20"/>
                <w:szCs w:val="20"/>
              </w:rPr>
            </w:pPr>
            <w:r w:rsidRPr="00D86314">
              <w:rPr>
                <w:bCs/>
                <w:noProof/>
                <w:sz w:val="20"/>
                <w:szCs w:val="20"/>
              </w:rPr>
              <w:t>FTTH take-up = FTTH subscriptions / total FTTH homes passed (data for 2024 from FTTH Council)</w:t>
            </w:r>
          </w:p>
        </w:tc>
        <w:tc>
          <w:tcPr>
            <w:tcW w:w="1414" w:type="dxa"/>
            <w:textDirection w:val="btLr"/>
          </w:tcPr>
          <w:p w14:paraId="1974744D" w14:textId="77777777" w:rsidR="00C07B58" w:rsidRPr="00D86314" w:rsidRDefault="00C07B58">
            <w:pPr>
              <w:ind w:left="113" w:right="113"/>
              <w:rPr>
                <w:bCs/>
                <w:noProof/>
                <w:sz w:val="20"/>
                <w:szCs w:val="20"/>
              </w:rPr>
            </w:pPr>
            <w:r w:rsidRPr="00D86314">
              <w:rPr>
                <w:bCs/>
                <w:noProof/>
                <w:sz w:val="20"/>
                <w:szCs w:val="20"/>
              </w:rPr>
              <w:t>HHI</w:t>
            </w:r>
          </w:p>
        </w:tc>
        <w:tc>
          <w:tcPr>
            <w:tcW w:w="649" w:type="dxa"/>
            <w:textDirection w:val="btLr"/>
          </w:tcPr>
          <w:p w14:paraId="239E6C77" w14:textId="77777777" w:rsidR="00C07B58" w:rsidRPr="00D86314" w:rsidRDefault="00C07B58">
            <w:pPr>
              <w:ind w:left="113" w:right="113"/>
              <w:rPr>
                <w:bCs/>
                <w:noProof/>
                <w:sz w:val="20"/>
                <w:szCs w:val="20"/>
              </w:rPr>
            </w:pPr>
            <w:r w:rsidRPr="00D86314">
              <w:rPr>
                <w:bCs/>
                <w:noProof/>
                <w:sz w:val="20"/>
                <w:szCs w:val="20"/>
              </w:rPr>
              <w:t>Gigabit take as % BB lines (DESI 2025)</w:t>
            </w:r>
          </w:p>
        </w:tc>
        <w:tc>
          <w:tcPr>
            <w:tcW w:w="791" w:type="dxa"/>
            <w:textDirection w:val="btLr"/>
          </w:tcPr>
          <w:p w14:paraId="0FB3D771" w14:textId="77777777" w:rsidR="00C07B58" w:rsidRPr="00D86314" w:rsidRDefault="00C07B58">
            <w:pPr>
              <w:ind w:left="113" w:right="113"/>
              <w:rPr>
                <w:bCs/>
                <w:noProof/>
                <w:sz w:val="20"/>
                <w:szCs w:val="20"/>
              </w:rPr>
            </w:pPr>
            <w:r w:rsidRPr="00D86314">
              <w:rPr>
                <w:bCs/>
                <w:noProof/>
                <w:sz w:val="20"/>
                <w:szCs w:val="20"/>
              </w:rPr>
              <w:t>Gigabit pricing absolute per month, double play</w:t>
            </w:r>
          </w:p>
        </w:tc>
        <w:tc>
          <w:tcPr>
            <w:tcW w:w="779" w:type="dxa"/>
            <w:gridSpan w:val="2"/>
            <w:textDirection w:val="btLr"/>
          </w:tcPr>
          <w:p w14:paraId="015CC519" w14:textId="77777777" w:rsidR="00C07B58" w:rsidRPr="00D86314" w:rsidRDefault="00C07B58">
            <w:pPr>
              <w:ind w:left="113" w:right="113"/>
              <w:rPr>
                <w:bCs/>
                <w:noProof/>
                <w:sz w:val="20"/>
                <w:szCs w:val="20"/>
              </w:rPr>
            </w:pPr>
            <w:r w:rsidRPr="00D86314">
              <w:rPr>
                <w:bCs/>
                <w:noProof/>
                <w:sz w:val="20"/>
                <w:szCs w:val="20"/>
              </w:rPr>
              <w:t>100 Mbit/s FTTH or cable pricing in relation to 30Mbit/s %</w:t>
            </w:r>
          </w:p>
        </w:tc>
      </w:tr>
      <w:tr w:rsidR="00C07B58" w:rsidRPr="00D86314" w14:paraId="48D91F8B" w14:textId="77777777" w:rsidTr="007B4150">
        <w:trPr>
          <w:gridAfter w:val="2"/>
          <w:wAfter w:w="825" w:type="dxa"/>
        </w:trPr>
        <w:tc>
          <w:tcPr>
            <w:tcW w:w="960" w:type="dxa"/>
          </w:tcPr>
          <w:p w14:paraId="6C12CDD3" w14:textId="77777777" w:rsidR="00C07B58" w:rsidRPr="00D86314" w:rsidRDefault="00C07B58">
            <w:pPr>
              <w:rPr>
                <w:bCs/>
                <w:noProof/>
                <w:sz w:val="20"/>
                <w:szCs w:val="20"/>
              </w:rPr>
            </w:pPr>
          </w:p>
        </w:tc>
        <w:tc>
          <w:tcPr>
            <w:tcW w:w="11651" w:type="dxa"/>
            <w:gridSpan w:val="14"/>
          </w:tcPr>
          <w:p w14:paraId="286F172F" w14:textId="77777777" w:rsidR="00C07B58" w:rsidRPr="00D86314" w:rsidRDefault="00C07B58">
            <w:pPr>
              <w:rPr>
                <w:bCs/>
                <w:noProof/>
                <w:sz w:val="20"/>
                <w:szCs w:val="20"/>
              </w:rPr>
            </w:pPr>
            <w:r w:rsidRPr="00D86314">
              <w:rPr>
                <w:bCs/>
                <w:noProof/>
                <w:sz w:val="20"/>
                <w:szCs w:val="20"/>
              </w:rPr>
              <w:t>FTTC / VDSL focus</w:t>
            </w:r>
          </w:p>
        </w:tc>
      </w:tr>
      <w:tr w:rsidR="009F44AF" w:rsidRPr="00D86314" w14:paraId="58CAE727" w14:textId="77777777" w:rsidTr="007B4150">
        <w:trPr>
          <w:gridAfter w:val="3"/>
          <w:wAfter w:w="845" w:type="dxa"/>
        </w:trPr>
        <w:tc>
          <w:tcPr>
            <w:tcW w:w="960" w:type="dxa"/>
          </w:tcPr>
          <w:p w14:paraId="4C9BFD8C" w14:textId="77777777" w:rsidR="00C07B58" w:rsidRPr="00D86314" w:rsidRDefault="00C07B58">
            <w:pPr>
              <w:rPr>
                <w:bCs/>
                <w:noProof/>
                <w:sz w:val="20"/>
                <w:szCs w:val="20"/>
              </w:rPr>
            </w:pPr>
            <w:r w:rsidRPr="00D86314">
              <w:rPr>
                <w:bCs/>
                <w:noProof/>
                <w:sz w:val="20"/>
                <w:szCs w:val="20"/>
              </w:rPr>
              <w:t>Germany</w:t>
            </w:r>
          </w:p>
        </w:tc>
        <w:tc>
          <w:tcPr>
            <w:tcW w:w="992" w:type="dxa"/>
          </w:tcPr>
          <w:p w14:paraId="175ACCD6" w14:textId="77777777" w:rsidR="00C07B58" w:rsidRPr="00D86314" w:rsidRDefault="00C07B58">
            <w:pPr>
              <w:rPr>
                <w:bCs/>
                <w:noProof/>
                <w:sz w:val="20"/>
                <w:szCs w:val="20"/>
              </w:rPr>
            </w:pPr>
            <w:r w:rsidRPr="00D86314">
              <w:rPr>
                <w:bCs/>
                <w:noProof/>
                <w:sz w:val="20"/>
                <w:szCs w:val="20"/>
              </w:rPr>
              <w:t>N (SMP PIA Ref Offer since 2024)</w:t>
            </w:r>
          </w:p>
        </w:tc>
        <w:tc>
          <w:tcPr>
            <w:tcW w:w="1046" w:type="dxa"/>
          </w:tcPr>
          <w:p w14:paraId="1170F394" w14:textId="77777777" w:rsidR="00C07B58" w:rsidRPr="00D86314" w:rsidRDefault="00C07B58">
            <w:pPr>
              <w:rPr>
                <w:bCs/>
                <w:noProof/>
                <w:sz w:val="20"/>
                <w:szCs w:val="20"/>
              </w:rPr>
            </w:pPr>
            <w:r w:rsidRPr="00D86314">
              <w:rPr>
                <w:bCs/>
                <w:noProof/>
                <w:sz w:val="20"/>
                <w:szCs w:val="20"/>
              </w:rPr>
              <w:t>Pre-existing cable but partial coverage</w:t>
            </w:r>
          </w:p>
        </w:tc>
        <w:tc>
          <w:tcPr>
            <w:tcW w:w="1051" w:type="dxa"/>
          </w:tcPr>
          <w:p w14:paraId="353D3355" w14:textId="77777777" w:rsidR="00C07B58" w:rsidRPr="00D86314" w:rsidRDefault="00C07B58">
            <w:pPr>
              <w:rPr>
                <w:bCs/>
                <w:noProof/>
                <w:sz w:val="20"/>
                <w:szCs w:val="20"/>
              </w:rPr>
            </w:pPr>
            <w:r w:rsidRPr="00D86314">
              <w:rPr>
                <w:bCs/>
                <w:noProof/>
                <w:sz w:val="20"/>
                <w:szCs w:val="20"/>
              </w:rPr>
              <w:t>Y (in-building only)</w:t>
            </w:r>
          </w:p>
        </w:tc>
        <w:tc>
          <w:tcPr>
            <w:tcW w:w="1051" w:type="dxa"/>
          </w:tcPr>
          <w:p w14:paraId="07E7110F" w14:textId="77777777" w:rsidR="00C07B58" w:rsidRPr="00D86314" w:rsidRDefault="00C07B58">
            <w:pPr>
              <w:rPr>
                <w:bCs/>
                <w:noProof/>
                <w:sz w:val="20"/>
                <w:szCs w:val="20"/>
              </w:rPr>
            </w:pPr>
          </w:p>
        </w:tc>
        <w:tc>
          <w:tcPr>
            <w:tcW w:w="1054" w:type="dxa"/>
          </w:tcPr>
          <w:p w14:paraId="4686235F" w14:textId="77777777" w:rsidR="00C07B58" w:rsidRPr="00D86314" w:rsidRDefault="00C07B58">
            <w:pPr>
              <w:rPr>
                <w:bCs/>
                <w:noProof/>
                <w:sz w:val="20"/>
                <w:szCs w:val="20"/>
              </w:rPr>
            </w:pPr>
            <w:r w:rsidRPr="00D86314">
              <w:rPr>
                <w:bCs/>
                <w:noProof/>
                <w:sz w:val="20"/>
                <w:szCs w:val="20"/>
              </w:rPr>
              <w:t>Y vectoring + long-term pricing</w:t>
            </w:r>
          </w:p>
        </w:tc>
        <w:tc>
          <w:tcPr>
            <w:tcW w:w="1066" w:type="dxa"/>
          </w:tcPr>
          <w:p w14:paraId="2307D2D3" w14:textId="77777777" w:rsidR="00C07B58" w:rsidRPr="00D86314" w:rsidRDefault="00C07B58">
            <w:pPr>
              <w:rPr>
                <w:bCs/>
                <w:noProof/>
                <w:sz w:val="20"/>
                <w:szCs w:val="20"/>
              </w:rPr>
            </w:pPr>
            <w:r w:rsidRPr="00D86314">
              <w:rPr>
                <w:bCs/>
                <w:noProof/>
                <w:sz w:val="20"/>
                <w:szCs w:val="20"/>
              </w:rPr>
              <w:t>Y (ERT)</w:t>
            </w:r>
          </w:p>
        </w:tc>
        <w:tc>
          <w:tcPr>
            <w:tcW w:w="954" w:type="dxa"/>
            <w:shd w:val="clear" w:color="auto" w:fill="EE0000"/>
          </w:tcPr>
          <w:p w14:paraId="7E2F9DEC" w14:textId="77777777" w:rsidR="00C07B58" w:rsidRPr="00D86314" w:rsidRDefault="00C07B58">
            <w:pPr>
              <w:rPr>
                <w:bCs/>
                <w:noProof/>
                <w:sz w:val="20"/>
                <w:szCs w:val="20"/>
              </w:rPr>
            </w:pPr>
            <w:r w:rsidRPr="00D86314">
              <w:rPr>
                <w:bCs/>
                <w:noProof/>
                <w:sz w:val="20"/>
                <w:szCs w:val="20"/>
              </w:rPr>
              <w:t>37</w:t>
            </w:r>
          </w:p>
        </w:tc>
        <w:tc>
          <w:tcPr>
            <w:tcW w:w="784" w:type="dxa"/>
            <w:shd w:val="clear" w:color="auto" w:fill="EE0000"/>
          </w:tcPr>
          <w:p w14:paraId="03CA6C8F" w14:textId="7A46C7A4" w:rsidR="00C07B58" w:rsidRPr="00D86314" w:rsidRDefault="00C07B58">
            <w:pPr>
              <w:rPr>
                <w:bCs/>
                <w:noProof/>
                <w:sz w:val="20"/>
                <w:szCs w:val="20"/>
              </w:rPr>
            </w:pPr>
            <w:r w:rsidRPr="00D86314">
              <w:rPr>
                <w:bCs/>
                <w:noProof/>
                <w:sz w:val="20"/>
                <w:szCs w:val="20"/>
              </w:rPr>
              <w:t>26</w:t>
            </w:r>
            <w:r w:rsidR="00990D88">
              <w:rPr>
                <w:bCs/>
                <w:noProof/>
                <w:sz w:val="20"/>
                <w:szCs w:val="20"/>
              </w:rPr>
              <w:t>,</w:t>
            </w:r>
            <w:r w:rsidRPr="00D86314">
              <w:rPr>
                <w:bCs/>
                <w:noProof/>
                <w:sz w:val="20"/>
                <w:szCs w:val="20"/>
              </w:rPr>
              <w:t>4</w:t>
            </w:r>
          </w:p>
        </w:tc>
        <w:tc>
          <w:tcPr>
            <w:tcW w:w="1414" w:type="dxa"/>
          </w:tcPr>
          <w:p w14:paraId="097554DB" w14:textId="77777777" w:rsidR="00C07B58" w:rsidRPr="00D86314" w:rsidRDefault="00C07B58">
            <w:pPr>
              <w:rPr>
                <w:bCs/>
                <w:noProof/>
                <w:sz w:val="20"/>
                <w:szCs w:val="20"/>
              </w:rPr>
            </w:pPr>
            <w:r w:rsidRPr="00D86314">
              <w:rPr>
                <w:bCs/>
                <w:noProof/>
                <w:sz w:val="20"/>
                <w:szCs w:val="20"/>
              </w:rPr>
              <w:t>na</w:t>
            </w:r>
          </w:p>
        </w:tc>
        <w:tc>
          <w:tcPr>
            <w:tcW w:w="649" w:type="dxa"/>
            <w:shd w:val="clear" w:color="auto" w:fill="EE0000"/>
          </w:tcPr>
          <w:p w14:paraId="75451146" w14:textId="0865DAF6" w:rsidR="00C07B58" w:rsidRPr="00D86314" w:rsidRDefault="00C07B58">
            <w:pPr>
              <w:rPr>
                <w:bCs/>
                <w:noProof/>
                <w:sz w:val="20"/>
                <w:szCs w:val="20"/>
              </w:rPr>
            </w:pPr>
            <w:r w:rsidRPr="00D86314">
              <w:rPr>
                <w:bCs/>
                <w:noProof/>
                <w:sz w:val="20"/>
                <w:szCs w:val="20"/>
              </w:rPr>
              <w:t>5</w:t>
            </w:r>
            <w:r w:rsidR="00F11900">
              <w:rPr>
                <w:bCs/>
                <w:noProof/>
                <w:sz w:val="20"/>
                <w:szCs w:val="20"/>
              </w:rPr>
              <w:t>.</w:t>
            </w:r>
            <w:r w:rsidRPr="00D86314">
              <w:rPr>
                <w:bCs/>
                <w:noProof/>
                <w:sz w:val="20"/>
                <w:szCs w:val="20"/>
              </w:rPr>
              <w:t>7</w:t>
            </w:r>
          </w:p>
        </w:tc>
        <w:tc>
          <w:tcPr>
            <w:tcW w:w="791" w:type="dxa"/>
            <w:shd w:val="clear" w:color="auto" w:fill="FFFF00"/>
          </w:tcPr>
          <w:p w14:paraId="75B4A1B6" w14:textId="77777777" w:rsidR="00C07B58" w:rsidRPr="00D86314" w:rsidRDefault="00C07B58">
            <w:pPr>
              <w:rPr>
                <w:bCs/>
                <w:noProof/>
                <w:sz w:val="20"/>
                <w:szCs w:val="20"/>
              </w:rPr>
            </w:pPr>
          </w:p>
        </w:tc>
        <w:tc>
          <w:tcPr>
            <w:tcW w:w="779" w:type="dxa"/>
            <w:gridSpan w:val="2"/>
            <w:shd w:val="clear" w:color="auto" w:fill="EE0000"/>
          </w:tcPr>
          <w:p w14:paraId="2DACC9EA" w14:textId="77777777" w:rsidR="00C07B58" w:rsidRPr="00D86314" w:rsidRDefault="00C07B58">
            <w:pPr>
              <w:rPr>
                <w:bCs/>
                <w:noProof/>
                <w:sz w:val="20"/>
                <w:szCs w:val="20"/>
              </w:rPr>
            </w:pPr>
            <w:r w:rsidRPr="00D86314">
              <w:rPr>
                <w:bCs/>
                <w:noProof/>
                <w:sz w:val="20"/>
                <w:szCs w:val="20"/>
              </w:rPr>
              <w:t>18%</w:t>
            </w:r>
          </w:p>
        </w:tc>
      </w:tr>
      <w:tr w:rsidR="009F44AF" w:rsidRPr="00D86314" w14:paraId="0747D08F" w14:textId="77777777" w:rsidTr="007B4150">
        <w:trPr>
          <w:gridAfter w:val="3"/>
          <w:wAfter w:w="845" w:type="dxa"/>
        </w:trPr>
        <w:tc>
          <w:tcPr>
            <w:tcW w:w="960" w:type="dxa"/>
          </w:tcPr>
          <w:p w14:paraId="7B12B881" w14:textId="77777777" w:rsidR="00C07B58" w:rsidRPr="00D86314" w:rsidRDefault="00C07B58">
            <w:pPr>
              <w:rPr>
                <w:bCs/>
                <w:noProof/>
                <w:sz w:val="20"/>
                <w:szCs w:val="20"/>
              </w:rPr>
            </w:pPr>
            <w:r w:rsidRPr="00D86314">
              <w:rPr>
                <w:bCs/>
                <w:noProof/>
                <w:sz w:val="20"/>
                <w:szCs w:val="20"/>
              </w:rPr>
              <w:t>Austria</w:t>
            </w:r>
          </w:p>
        </w:tc>
        <w:tc>
          <w:tcPr>
            <w:tcW w:w="992" w:type="dxa"/>
          </w:tcPr>
          <w:p w14:paraId="183D17F0" w14:textId="77777777" w:rsidR="00C07B58" w:rsidRPr="00D86314" w:rsidRDefault="00C07B58">
            <w:pPr>
              <w:rPr>
                <w:bCs/>
                <w:noProof/>
                <w:sz w:val="20"/>
                <w:szCs w:val="20"/>
              </w:rPr>
            </w:pPr>
            <w:r w:rsidRPr="00D86314">
              <w:rPr>
                <w:bCs/>
                <w:noProof/>
                <w:sz w:val="20"/>
                <w:szCs w:val="20"/>
              </w:rPr>
              <w:t>N</w:t>
            </w:r>
          </w:p>
        </w:tc>
        <w:tc>
          <w:tcPr>
            <w:tcW w:w="1046" w:type="dxa"/>
          </w:tcPr>
          <w:p w14:paraId="7ACC1B64" w14:textId="77777777" w:rsidR="00C07B58" w:rsidRPr="00D86314" w:rsidRDefault="00C07B58">
            <w:pPr>
              <w:rPr>
                <w:bCs/>
                <w:noProof/>
                <w:sz w:val="20"/>
                <w:szCs w:val="20"/>
              </w:rPr>
            </w:pPr>
            <w:r w:rsidRPr="00D86314">
              <w:rPr>
                <w:bCs/>
                <w:noProof/>
                <w:sz w:val="20"/>
                <w:szCs w:val="20"/>
              </w:rPr>
              <w:t>Pre-existing cable but partial coverage</w:t>
            </w:r>
          </w:p>
        </w:tc>
        <w:tc>
          <w:tcPr>
            <w:tcW w:w="1051" w:type="dxa"/>
          </w:tcPr>
          <w:p w14:paraId="0343B6EE" w14:textId="77777777" w:rsidR="00C07B58" w:rsidRPr="00D86314" w:rsidRDefault="00C07B58">
            <w:pPr>
              <w:rPr>
                <w:bCs/>
                <w:noProof/>
                <w:sz w:val="20"/>
                <w:szCs w:val="20"/>
              </w:rPr>
            </w:pPr>
            <w:r w:rsidRPr="00D86314">
              <w:rPr>
                <w:bCs/>
                <w:noProof/>
                <w:sz w:val="20"/>
                <w:szCs w:val="20"/>
              </w:rPr>
              <w:t>N</w:t>
            </w:r>
          </w:p>
        </w:tc>
        <w:tc>
          <w:tcPr>
            <w:tcW w:w="1051" w:type="dxa"/>
          </w:tcPr>
          <w:p w14:paraId="57CD75A4" w14:textId="77777777" w:rsidR="00C07B58" w:rsidRPr="00D86314" w:rsidRDefault="00C07B58">
            <w:pPr>
              <w:rPr>
                <w:bCs/>
                <w:noProof/>
                <w:sz w:val="20"/>
                <w:szCs w:val="20"/>
              </w:rPr>
            </w:pPr>
          </w:p>
        </w:tc>
        <w:tc>
          <w:tcPr>
            <w:tcW w:w="1054" w:type="dxa"/>
          </w:tcPr>
          <w:p w14:paraId="002702BB" w14:textId="77777777" w:rsidR="00C07B58" w:rsidRPr="00D86314" w:rsidRDefault="00C07B58">
            <w:pPr>
              <w:rPr>
                <w:bCs/>
                <w:noProof/>
                <w:sz w:val="20"/>
                <w:szCs w:val="20"/>
              </w:rPr>
            </w:pPr>
            <w:r w:rsidRPr="00D86314">
              <w:rPr>
                <w:bCs/>
                <w:noProof/>
                <w:sz w:val="20"/>
                <w:szCs w:val="20"/>
              </w:rPr>
              <w:t>Y – retail minus / encouragement of vectoring, then commercial agreement</w:t>
            </w:r>
          </w:p>
        </w:tc>
        <w:tc>
          <w:tcPr>
            <w:tcW w:w="1066" w:type="dxa"/>
          </w:tcPr>
          <w:p w14:paraId="73A0647F" w14:textId="77777777" w:rsidR="00C07B58" w:rsidRPr="00D86314" w:rsidRDefault="00C07B58">
            <w:pPr>
              <w:rPr>
                <w:noProof/>
                <w:sz w:val="20"/>
                <w:szCs w:val="20"/>
              </w:rPr>
            </w:pPr>
            <w:r w:rsidRPr="00D86314">
              <w:rPr>
                <w:noProof/>
                <w:sz w:val="20"/>
                <w:szCs w:val="20"/>
              </w:rPr>
              <w:t>Y – retail minus, then commercial agreement</w:t>
            </w:r>
          </w:p>
        </w:tc>
        <w:tc>
          <w:tcPr>
            <w:tcW w:w="954" w:type="dxa"/>
            <w:shd w:val="clear" w:color="auto" w:fill="EE0000"/>
          </w:tcPr>
          <w:p w14:paraId="6B3C4E8D" w14:textId="77777777" w:rsidR="00C07B58" w:rsidRPr="00D86314" w:rsidRDefault="00C07B58">
            <w:pPr>
              <w:rPr>
                <w:bCs/>
                <w:noProof/>
                <w:sz w:val="20"/>
                <w:szCs w:val="20"/>
              </w:rPr>
            </w:pPr>
            <w:r w:rsidRPr="00D86314">
              <w:rPr>
                <w:bCs/>
                <w:noProof/>
                <w:sz w:val="20"/>
                <w:szCs w:val="20"/>
              </w:rPr>
              <w:t>45</w:t>
            </w:r>
          </w:p>
        </w:tc>
        <w:tc>
          <w:tcPr>
            <w:tcW w:w="784" w:type="dxa"/>
            <w:shd w:val="clear" w:color="auto" w:fill="EE0000"/>
          </w:tcPr>
          <w:p w14:paraId="039E6D8A" w14:textId="4A7B077B" w:rsidR="00C07B58" w:rsidRPr="00D86314" w:rsidRDefault="00C07B58">
            <w:pPr>
              <w:rPr>
                <w:bCs/>
                <w:noProof/>
                <w:sz w:val="20"/>
                <w:szCs w:val="20"/>
              </w:rPr>
            </w:pPr>
            <w:r w:rsidRPr="00D86314">
              <w:rPr>
                <w:bCs/>
                <w:noProof/>
                <w:sz w:val="20"/>
                <w:szCs w:val="20"/>
              </w:rPr>
              <w:t>24</w:t>
            </w:r>
            <w:r w:rsidR="00990D88">
              <w:rPr>
                <w:bCs/>
                <w:noProof/>
                <w:sz w:val="20"/>
                <w:szCs w:val="20"/>
              </w:rPr>
              <w:t>,</w:t>
            </w:r>
            <w:r w:rsidRPr="00D86314">
              <w:rPr>
                <w:bCs/>
                <w:noProof/>
                <w:sz w:val="20"/>
                <w:szCs w:val="20"/>
              </w:rPr>
              <w:t>7</w:t>
            </w:r>
          </w:p>
        </w:tc>
        <w:tc>
          <w:tcPr>
            <w:tcW w:w="1414" w:type="dxa"/>
          </w:tcPr>
          <w:p w14:paraId="0A7310C3" w14:textId="77777777" w:rsidR="00C07B58" w:rsidRPr="00D86314" w:rsidRDefault="00C07B58">
            <w:pPr>
              <w:rPr>
                <w:bCs/>
                <w:noProof/>
                <w:sz w:val="20"/>
                <w:szCs w:val="20"/>
              </w:rPr>
            </w:pPr>
            <w:r w:rsidRPr="00D86314">
              <w:rPr>
                <w:bCs/>
                <w:noProof/>
                <w:sz w:val="20"/>
                <w:szCs w:val="20"/>
              </w:rPr>
              <w:t>Higher than average, decreasing</w:t>
            </w:r>
          </w:p>
        </w:tc>
        <w:tc>
          <w:tcPr>
            <w:tcW w:w="649" w:type="dxa"/>
            <w:shd w:val="clear" w:color="auto" w:fill="EE0000"/>
          </w:tcPr>
          <w:p w14:paraId="7B56C800" w14:textId="6CDADB2A" w:rsidR="00C07B58" w:rsidRPr="00D86314" w:rsidRDefault="00C07B58">
            <w:pPr>
              <w:rPr>
                <w:bCs/>
                <w:noProof/>
                <w:sz w:val="20"/>
                <w:szCs w:val="20"/>
              </w:rPr>
            </w:pPr>
            <w:r w:rsidRPr="00D86314">
              <w:rPr>
                <w:bCs/>
                <w:noProof/>
                <w:sz w:val="20"/>
                <w:szCs w:val="20"/>
              </w:rPr>
              <w:t>1</w:t>
            </w:r>
            <w:r w:rsidR="00F11900">
              <w:rPr>
                <w:bCs/>
                <w:noProof/>
                <w:sz w:val="20"/>
                <w:szCs w:val="20"/>
              </w:rPr>
              <w:t>.</w:t>
            </w:r>
            <w:r w:rsidRPr="00D86314">
              <w:rPr>
                <w:bCs/>
                <w:noProof/>
                <w:sz w:val="20"/>
                <w:szCs w:val="20"/>
              </w:rPr>
              <w:t>2</w:t>
            </w:r>
          </w:p>
        </w:tc>
        <w:tc>
          <w:tcPr>
            <w:tcW w:w="791" w:type="dxa"/>
            <w:shd w:val="clear" w:color="auto" w:fill="EE0000"/>
          </w:tcPr>
          <w:p w14:paraId="4B43ACEC" w14:textId="77777777" w:rsidR="00C07B58" w:rsidRPr="00D86314" w:rsidRDefault="00C07B58">
            <w:pPr>
              <w:rPr>
                <w:bCs/>
                <w:noProof/>
                <w:sz w:val="20"/>
                <w:szCs w:val="20"/>
              </w:rPr>
            </w:pPr>
          </w:p>
        </w:tc>
        <w:tc>
          <w:tcPr>
            <w:tcW w:w="779" w:type="dxa"/>
            <w:gridSpan w:val="2"/>
            <w:shd w:val="clear" w:color="auto" w:fill="EE0000"/>
          </w:tcPr>
          <w:p w14:paraId="7E4DBC90" w14:textId="77777777" w:rsidR="00C07B58" w:rsidRPr="00D86314" w:rsidRDefault="00C07B58">
            <w:pPr>
              <w:rPr>
                <w:bCs/>
                <w:noProof/>
                <w:sz w:val="20"/>
                <w:szCs w:val="20"/>
              </w:rPr>
            </w:pPr>
            <w:r w:rsidRPr="00D86314">
              <w:rPr>
                <w:bCs/>
                <w:noProof/>
                <w:sz w:val="20"/>
                <w:szCs w:val="20"/>
              </w:rPr>
              <w:t>25%</w:t>
            </w:r>
          </w:p>
        </w:tc>
      </w:tr>
      <w:tr w:rsidR="00C07B58" w:rsidRPr="00D86314" w14:paraId="7334553A" w14:textId="77777777" w:rsidTr="007B4150">
        <w:trPr>
          <w:gridAfter w:val="3"/>
          <w:wAfter w:w="845" w:type="dxa"/>
        </w:trPr>
        <w:tc>
          <w:tcPr>
            <w:tcW w:w="960" w:type="dxa"/>
          </w:tcPr>
          <w:p w14:paraId="6918B552" w14:textId="77777777" w:rsidR="00C07B58" w:rsidRPr="00D86314" w:rsidRDefault="00C07B58">
            <w:pPr>
              <w:rPr>
                <w:bCs/>
                <w:noProof/>
                <w:sz w:val="20"/>
                <w:szCs w:val="20"/>
              </w:rPr>
            </w:pPr>
            <w:r w:rsidRPr="00D86314">
              <w:rPr>
                <w:bCs/>
                <w:noProof/>
                <w:sz w:val="20"/>
                <w:szCs w:val="20"/>
              </w:rPr>
              <w:t>UK</w:t>
            </w:r>
          </w:p>
        </w:tc>
        <w:tc>
          <w:tcPr>
            <w:tcW w:w="992" w:type="dxa"/>
          </w:tcPr>
          <w:p w14:paraId="73F0ED8B" w14:textId="77777777" w:rsidR="00C07B58" w:rsidRPr="00D86314" w:rsidRDefault="00C07B58">
            <w:pPr>
              <w:rPr>
                <w:bCs/>
                <w:noProof/>
                <w:sz w:val="20"/>
                <w:szCs w:val="20"/>
              </w:rPr>
            </w:pPr>
            <w:r w:rsidRPr="00D86314">
              <w:rPr>
                <w:bCs/>
                <w:noProof/>
                <w:sz w:val="20"/>
                <w:szCs w:val="20"/>
              </w:rPr>
              <w:t>Y (separate market)</w:t>
            </w:r>
          </w:p>
        </w:tc>
        <w:tc>
          <w:tcPr>
            <w:tcW w:w="1046" w:type="dxa"/>
          </w:tcPr>
          <w:p w14:paraId="7CD5D6C4" w14:textId="77777777" w:rsidR="00C07B58" w:rsidRPr="00D86314" w:rsidRDefault="00C07B58">
            <w:pPr>
              <w:rPr>
                <w:bCs/>
                <w:noProof/>
                <w:sz w:val="20"/>
                <w:szCs w:val="20"/>
              </w:rPr>
            </w:pPr>
            <w:r w:rsidRPr="00D86314">
              <w:rPr>
                <w:bCs/>
                <w:noProof/>
                <w:sz w:val="20"/>
                <w:szCs w:val="20"/>
              </w:rPr>
              <w:t>Pre-existing cable but partial coverage</w:t>
            </w:r>
          </w:p>
        </w:tc>
        <w:tc>
          <w:tcPr>
            <w:tcW w:w="1051" w:type="dxa"/>
          </w:tcPr>
          <w:p w14:paraId="329D2559" w14:textId="77777777" w:rsidR="00C07B58" w:rsidRPr="00D86314" w:rsidRDefault="00C07B58">
            <w:pPr>
              <w:rPr>
                <w:bCs/>
                <w:noProof/>
                <w:sz w:val="20"/>
                <w:szCs w:val="20"/>
              </w:rPr>
            </w:pPr>
          </w:p>
        </w:tc>
        <w:tc>
          <w:tcPr>
            <w:tcW w:w="1051" w:type="dxa"/>
          </w:tcPr>
          <w:p w14:paraId="51AEA2D2" w14:textId="77777777" w:rsidR="00C07B58" w:rsidRPr="00D86314" w:rsidRDefault="00C07B58">
            <w:pPr>
              <w:rPr>
                <w:bCs/>
                <w:noProof/>
                <w:sz w:val="20"/>
                <w:szCs w:val="20"/>
              </w:rPr>
            </w:pPr>
          </w:p>
        </w:tc>
        <w:tc>
          <w:tcPr>
            <w:tcW w:w="1054" w:type="dxa"/>
          </w:tcPr>
          <w:p w14:paraId="33A923D0" w14:textId="77777777" w:rsidR="00C07B58" w:rsidRPr="00D86314" w:rsidRDefault="00C07B58">
            <w:pPr>
              <w:rPr>
                <w:bCs/>
                <w:noProof/>
                <w:sz w:val="20"/>
                <w:szCs w:val="20"/>
              </w:rPr>
            </w:pPr>
            <w:r w:rsidRPr="00D86314">
              <w:rPr>
                <w:bCs/>
                <w:noProof/>
                <w:sz w:val="20"/>
                <w:szCs w:val="20"/>
              </w:rPr>
              <w:t>Y pricing flexibility FTTC / VULA</w:t>
            </w:r>
          </w:p>
        </w:tc>
        <w:tc>
          <w:tcPr>
            <w:tcW w:w="1066" w:type="dxa"/>
          </w:tcPr>
          <w:p w14:paraId="7ACFAE03" w14:textId="77777777" w:rsidR="00C07B58" w:rsidRPr="00D86314" w:rsidRDefault="00C07B58">
            <w:pPr>
              <w:rPr>
                <w:bCs/>
                <w:noProof/>
                <w:sz w:val="20"/>
                <w:szCs w:val="20"/>
              </w:rPr>
            </w:pPr>
            <w:r w:rsidRPr="00D86314">
              <w:rPr>
                <w:bCs/>
                <w:noProof/>
                <w:sz w:val="20"/>
                <w:szCs w:val="20"/>
              </w:rPr>
              <w:t>Y</w:t>
            </w:r>
          </w:p>
        </w:tc>
        <w:tc>
          <w:tcPr>
            <w:tcW w:w="954" w:type="dxa"/>
          </w:tcPr>
          <w:p w14:paraId="0C53A5ED" w14:textId="77777777" w:rsidR="00C07B58" w:rsidRPr="00D86314" w:rsidRDefault="00C07B58">
            <w:pPr>
              <w:rPr>
                <w:bCs/>
                <w:noProof/>
                <w:sz w:val="20"/>
                <w:szCs w:val="20"/>
              </w:rPr>
            </w:pPr>
            <w:r w:rsidRPr="00D86314">
              <w:rPr>
                <w:bCs/>
                <w:noProof/>
                <w:sz w:val="20"/>
                <w:szCs w:val="20"/>
              </w:rPr>
              <w:t>73</w:t>
            </w:r>
          </w:p>
        </w:tc>
        <w:tc>
          <w:tcPr>
            <w:tcW w:w="784" w:type="dxa"/>
          </w:tcPr>
          <w:p w14:paraId="001119E4" w14:textId="2316C02A" w:rsidR="00C07B58" w:rsidRPr="00D86314" w:rsidRDefault="00C07B58">
            <w:pPr>
              <w:rPr>
                <w:bCs/>
                <w:noProof/>
                <w:sz w:val="20"/>
                <w:szCs w:val="20"/>
              </w:rPr>
            </w:pPr>
            <w:r w:rsidRPr="00D86314">
              <w:rPr>
                <w:bCs/>
                <w:noProof/>
                <w:sz w:val="20"/>
                <w:szCs w:val="20"/>
              </w:rPr>
              <w:t>37</w:t>
            </w:r>
            <w:r w:rsidR="00F11900">
              <w:rPr>
                <w:bCs/>
                <w:noProof/>
                <w:sz w:val="20"/>
                <w:szCs w:val="20"/>
              </w:rPr>
              <w:t>.</w:t>
            </w:r>
            <w:r w:rsidRPr="00D86314">
              <w:rPr>
                <w:bCs/>
                <w:noProof/>
                <w:sz w:val="20"/>
                <w:szCs w:val="20"/>
              </w:rPr>
              <w:t>1</w:t>
            </w:r>
          </w:p>
        </w:tc>
        <w:tc>
          <w:tcPr>
            <w:tcW w:w="1414" w:type="dxa"/>
          </w:tcPr>
          <w:p w14:paraId="4505DCB9" w14:textId="77777777" w:rsidR="00C07B58" w:rsidRPr="00D86314" w:rsidRDefault="00C07B58">
            <w:pPr>
              <w:rPr>
                <w:bCs/>
                <w:noProof/>
                <w:sz w:val="20"/>
                <w:szCs w:val="20"/>
              </w:rPr>
            </w:pPr>
          </w:p>
        </w:tc>
        <w:tc>
          <w:tcPr>
            <w:tcW w:w="649" w:type="dxa"/>
          </w:tcPr>
          <w:p w14:paraId="0CF1845F" w14:textId="77777777" w:rsidR="00C07B58" w:rsidRPr="00D86314" w:rsidRDefault="00C07B58">
            <w:pPr>
              <w:rPr>
                <w:bCs/>
                <w:noProof/>
                <w:sz w:val="20"/>
                <w:szCs w:val="20"/>
              </w:rPr>
            </w:pPr>
            <w:r w:rsidRPr="00D86314">
              <w:rPr>
                <w:bCs/>
                <w:noProof/>
                <w:sz w:val="20"/>
                <w:szCs w:val="20"/>
              </w:rPr>
              <w:t>6</w:t>
            </w:r>
          </w:p>
        </w:tc>
        <w:tc>
          <w:tcPr>
            <w:tcW w:w="791" w:type="dxa"/>
          </w:tcPr>
          <w:p w14:paraId="286FD7DA" w14:textId="77777777" w:rsidR="00C07B58" w:rsidRPr="00D86314" w:rsidRDefault="00C07B58">
            <w:pPr>
              <w:rPr>
                <w:bCs/>
                <w:noProof/>
                <w:sz w:val="20"/>
                <w:szCs w:val="20"/>
              </w:rPr>
            </w:pPr>
          </w:p>
        </w:tc>
        <w:tc>
          <w:tcPr>
            <w:tcW w:w="779" w:type="dxa"/>
            <w:gridSpan w:val="2"/>
          </w:tcPr>
          <w:p w14:paraId="65B88788" w14:textId="77777777" w:rsidR="00C07B58" w:rsidRPr="00D86314" w:rsidRDefault="00C07B58">
            <w:pPr>
              <w:rPr>
                <w:bCs/>
                <w:noProof/>
                <w:sz w:val="20"/>
                <w:szCs w:val="20"/>
              </w:rPr>
            </w:pPr>
          </w:p>
        </w:tc>
      </w:tr>
      <w:tr w:rsidR="009F44AF" w:rsidRPr="00D86314" w14:paraId="5EF23511" w14:textId="77777777" w:rsidTr="007B4150">
        <w:trPr>
          <w:gridAfter w:val="3"/>
          <w:wAfter w:w="845" w:type="dxa"/>
        </w:trPr>
        <w:tc>
          <w:tcPr>
            <w:tcW w:w="960" w:type="dxa"/>
          </w:tcPr>
          <w:p w14:paraId="39B696B2" w14:textId="77777777" w:rsidR="00C07B58" w:rsidRPr="00D86314" w:rsidRDefault="00C07B58">
            <w:pPr>
              <w:rPr>
                <w:bCs/>
                <w:noProof/>
                <w:sz w:val="20"/>
                <w:szCs w:val="20"/>
              </w:rPr>
            </w:pPr>
            <w:r w:rsidRPr="00D86314">
              <w:rPr>
                <w:bCs/>
                <w:noProof/>
                <w:sz w:val="20"/>
                <w:szCs w:val="20"/>
              </w:rPr>
              <w:t>Greece</w:t>
            </w:r>
          </w:p>
        </w:tc>
        <w:tc>
          <w:tcPr>
            <w:tcW w:w="992" w:type="dxa"/>
          </w:tcPr>
          <w:p w14:paraId="2CBFF19F" w14:textId="77777777" w:rsidR="00C07B58" w:rsidRPr="00D86314" w:rsidRDefault="00C07B58">
            <w:pPr>
              <w:rPr>
                <w:bCs/>
                <w:noProof/>
                <w:sz w:val="20"/>
                <w:szCs w:val="20"/>
              </w:rPr>
            </w:pPr>
            <w:r w:rsidRPr="00D86314">
              <w:rPr>
                <w:bCs/>
                <w:noProof/>
                <w:sz w:val="20"/>
                <w:szCs w:val="20"/>
              </w:rPr>
              <w:t>Y (remedy M1)</w:t>
            </w:r>
          </w:p>
        </w:tc>
        <w:tc>
          <w:tcPr>
            <w:tcW w:w="1046" w:type="dxa"/>
          </w:tcPr>
          <w:p w14:paraId="5AA53B20" w14:textId="77777777" w:rsidR="00C07B58" w:rsidRPr="00D86314" w:rsidRDefault="00C07B58">
            <w:pPr>
              <w:rPr>
                <w:bCs/>
                <w:noProof/>
                <w:sz w:val="20"/>
                <w:szCs w:val="20"/>
              </w:rPr>
            </w:pPr>
            <w:r w:rsidRPr="00D86314">
              <w:rPr>
                <w:bCs/>
                <w:noProof/>
                <w:sz w:val="20"/>
                <w:szCs w:val="20"/>
              </w:rPr>
              <w:t>No cable, regulatory efforts to enable new entry</w:t>
            </w:r>
          </w:p>
        </w:tc>
        <w:tc>
          <w:tcPr>
            <w:tcW w:w="1051" w:type="dxa"/>
          </w:tcPr>
          <w:p w14:paraId="0FDA16B7" w14:textId="77777777" w:rsidR="00C07B58" w:rsidRPr="00D86314" w:rsidRDefault="00C07B58">
            <w:pPr>
              <w:rPr>
                <w:bCs/>
                <w:noProof/>
                <w:sz w:val="20"/>
                <w:szCs w:val="20"/>
              </w:rPr>
            </w:pPr>
            <w:r w:rsidRPr="00D86314">
              <w:rPr>
                <w:bCs/>
                <w:noProof/>
                <w:sz w:val="20"/>
                <w:szCs w:val="20"/>
              </w:rPr>
              <w:t>Y (in-building only)</w:t>
            </w:r>
          </w:p>
        </w:tc>
        <w:tc>
          <w:tcPr>
            <w:tcW w:w="1051" w:type="dxa"/>
          </w:tcPr>
          <w:p w14:paraId="3CA62706" w14:textId="77777777" w:rsidR="00C07B58" w:rsidRPr="00D86314" w:rsidRDefault="00C07B58">
            <w:pPr>
              <w:rPr>
                <w:bCs/>
                <w:noProof/>
                <w:sz w:val="20"/>
                <w:szCs w:val="20"/>
              </w:rPr>
            </w:pPr>
          </w:p>
        </w:tc>
        <w:tc>
          <w:tcPr>
            <w:tcW w:w="1054" w:type="dxa"/>
          </w:tcPr>
          <w:p w14:paraId="4D33E207" w14:textId="77777777" w:rsidR="00C07B58" w:rsidRPr="00D86314" w:rsidRDefault="00C07B58">
            <w:pPr>
              <w:rPr>
                <w:bCs/>
                <w:noProof/>
                <w:sz w:val="20"/>
                <w:szCs w:val="20"/>
              </w:rPr>
            </w:pPr>
            <w:r w:rsidRPr="00D86314">
              <w:rPr>
                <w:noProof/>
                <w:sz w:val="20"/>
                <w:szCs w:val="20"/>
              </w:rPr>
              <w:t>N?</w:t>
            </w:r>
          </w:p>
        </w:tc>
        <w:tc>
          <w:tcPr>
            <w:tcW w:w="1066" w:type="dxa"/>
          </w:tcPr>
          <w:p w14:paraId="5A730002" w14:textId="77777777" w:rsidR="00C07B58" w:rsidRPr="00D86314" w:rsidRDefault="00C07B58">
            <w:pPr>
              <w:rPr>
                <w:bCs/>
                <w:noProof/>
                <w:sz w:val="20"/>
                <w:szCs w:val="20"/>
              </w:rPr>
            </w:pPr>
            <w:r w:rsidRPr="00D86314">
              <w:rPr>
                <w:bCs/>
                <w:noProof/>
                <w:sz w:val="20"/>
                <w:szCs w:val="20"/>
              </w:rPr>
              <w:t>N (CO)</w:t>
            </w:r>
          </w:p>
        </w:tc>
        <w:tc>
          <w:tcPr>
            <w:tcW w:w="954" w:type="dxa"/>
            <w:shd w:val="clear" w:color="auto" w:fill="EE0000"/>
          </w:tcPr>
          <w:p w14:paraId="08D421EC" w14:textId="77777777" w:rsidR="00C07B58" w:rsidRPr="00D86314" w:rsidRDefault="00C07B58">
            <w:pPr>
              <w:rPr>
                <w:bCs/>
                <w:noProof/>
                <w:sz w:val="20"/>
                <w:szCs w:val="20"/>
              </w:rPr>
            </w:pPr>
            <w:r w:rsidRPr="00D86314">
              <w:rPr>
                <w:bCs/>
                <w:noProof/>
                <w:sz w:val="20"/>
                <w:szCs w:val="20"/>
              </w:rPr>
              <w:t>46</w:t>
            </w:r>
          </w:p>
        </w:tc>
        <w:tc>
          <w:tcPr>
            <w:tcW w:w="784" w:type="dxa"/>
            <w:shd w:val="clear" w:color="auto" w:fill="EE0000"/>
          </w:tcPr>
          <w:p w14:paraId="4D26225E" w14:textId="5B8E01E6" w:rsidR="00C07B58" w:rsidRPr="00D86314" w:rsidRDefault="00C07B58">
            <w:pPr>
              <w:rPr>
                <w:bCs/>
                <w:noProof/>
                <w:sz w:val="20"/>
                <w:szCs w:val="20"/>
              </w:rPr>
            </w:pPr>
            <w:r w:rsidRPr="00D86314">
              <w:rPr>
                <w:bCs/>
                <w:noProof/>
                <w:sz w:val="20"/>
                <w:szCs w:val="20"/>
              </w:rPr>
              <w:t>28</w:t>
            </w:r>
            <w:r w:rsidR="00B81929">
              <w:rPr>
                <w:bCs/>
                <w:noProof/>
                <w:sz w:val="20"/>
                <w:szCs w:val="20"/>
              </w:rPr>
              <w:t>,</w:t>
            </w:r>
            <w:r w:rsidRPr="00D86314">
              <w:rPr>
                <w:bCs/>
                <w:noProof/>
                <w:sz w:val="20"/>
                <w:szCs w:val="20"/>
              </w:rPr>
              <w:t>3</w:t>
            </w:r>
          </w:p>
        </w:tc>
        <w:tc>
          <w:tcPr>
            <w:tcW w:w="1414" w:type="dxa"/>
          </w:tcPr>
          <w:p w14:paraId="097AD7DD" w14:textId="77777777" w:rsidR="00C07B58" w:rsidRPr="00D86314" w:rsidRDefault="00C07B58">
            <w:pPr>
              <w:rPr>
                <w:bCs/>
                <w:noProof/>
                <w:sz w:val="20"/>
                <w:szCs w:val="20"/>
              </w:rPr>
            </w:pPr>
            <w:r w:rsidRPr="00D86314">
              <w:rPr>
                <w:bCs/>
                <w:noProof/>
                <w:sz w:val="20"/>
                <w:szCs w:val="20"/>
              </w:rPr>
              <w:t>na</w:t>
            </w:r>
          </w:p>
        </w:tc>
        <w:tc>
          <w:tcPr>
            <w:tcW w:w="649" w:type="dxa"/>
            <w:shd w:val="clear" w:color="auto" w:fill="EE0000"/>
          </w:tcPr>
          <w:p w14:paraId="48B7F933" w14:textId="77777777" w:rsidR="00C07B58" w:rsidRPr="00D86314" w:rsidRDefault="00C07B58">
            <w:pPr>
              <w:rPr>
                <w:bCs/>
                <w:noProof/>
                <w:sz w:val="20"/>
                <w:szCs w:val="20"/>
              </w:rPr>
            </w:pPr>
            <w:r w:rsidRPr="00D86314">
              <w:rPr>
                <w:bCs/>
                <w:noProof/>
                <w:sz w:val="20"/>
                <w:szCs w:val="20"/>
              </w:rPr>
              <w:t>0</w:t>
            </w:r>
          </w:p>
        </w:tc>
        <w:tc>
          <w:tcPr>
            <w:tcW w:w="791" w:type="dxa"/>
            <w:shd w:val="clear" w:color="auto" w:fill="FFFF00"/>
          </w:tcPr>
          <w:p w14:paraId="54DFF10B" w14:textId="77777777" w:rsidR="00C07B58" w:rsidRPr="00D86314" w:rsidRDefault="00C07B58">
            <w:pPr>
              <w:rPr>
                <w:bCs/>
                <w:noProof/>
                <w:sz w:val="20"/>
                <w:szCs w:val="20"/>
              </w:rPr>
            </w:pPr>
          </w:p>
        </w:tc>
        <w:tc>
          <w:tcPr>
            <w:tcW w:w="779" w:type="dxa"/>
            <w:gridSpan w:val="2"/>
            <w:shd w:val="clear" w:color="auto" w:fill="FFFF00"/>
          </w:tcPr>
          <w:p w14:paraId="2E2F12D5" w14:textId="77777777" w:rsidR="00C07B58" w:rsidRPr="00D86314" w:rsidRDefault="00C07B58">
            <w:pPr>
              <w:rPr>
                <w:bCs/>
                <w:noProof/>
                <w:sz w:val="20"/>
                <w:szCs w:val="20"/>
              </w:rPr>
            </w:pPr>
            <w:r w:rsidRPr="00D86314">
              <w:rPr>
                <w:bCs/>
                <w:noProof/>
                <w:sz w:val="20"/>
                <w:szCs w:val="20"/>
              </w:rPr>
              <w:t>4%</w:t>
            </w:r>
          </w:p>
        </w:tc>
      </w:tr>
      <w:tr w:rsidR="009F44AF" w:rsidRPr="00D86314" w14:paraId="45B63808" w14:textId="77777777" w:rsidTr="007B4150">
        <w:trPr>
          <w:gridAfter w:val="3"/>
          <w:wAfter w:w="845" w:type="dxa"/>
        </w:trPr>
        <w:tc>
          <w:tcPr>
            <w:tcW w:w="960" w:type="dxa"/>
          </w:tcPr>
          <w:p w14:paraId="0CEAB627" w14:textId="77777777" w:rsidR="00C07B58" w:rsidRPr="00D86314" w:rsidRDefault="00C07B58">
            <w:pPr>
              <w:rPr>
                <w:bCs/>
                <w:noProof/>
                <w:sz w:val="20"/>
                <w:szCs w:val="20"/>
              </w:rPr>
            </w:pPr>
            <w:r w:rsidRPr="00D86314">
              <w:rPr>
                <w:bCs/>
                <w:noProof/>
                <w:sz w:val="20"/>
                <w:szCs w:val="20"/>
              </w:rPr>
              <w:t>Czechia</w:t>
            </w:r>
          </w:p>
        </w:tc>
        <w:tc>
          <w:tcPr>
            <w:tcW w:w="992" w:type="dxa"/>
          </w:tcPr>
          <w:p w14:paraId="235ABC01" w14:textId="77777777" w:rsidR="00C07B58" w:rsidRPr="00D86314" w:rsidRDefault="00C07B58">
            <w:pPr>
              <w:rPr>
                <w:bCs/>
                <w:noProof/>
                <w:sz w:val="20"/>
                <w:szCs w:val="20"/>
              </w:rPr>
            </w:pPr>
            <w:r w:rsidRPr="00D86314">
              <w:rPr>
                <w:bCs/>
                <w:noProof/>
                <w:sz w:val="20"/>
                <w:szCs w:val="20"/>
              </w:rPr>
              <w:t>N</w:t>
            </w:r>
          </w:p>
        </w:tc>
        <w:tc>
          <w:tcPr>
            <w:tcW w:w="1046" w:type="dxa"/>
          </w:tcPr>
          <w:p w14:paraId="6AEB30ED" w14:textId="77777777" w:rsidR="00C07B58" w:rsidRPr="00D86314" w:rsidRDefault="00C07B58">
            <w:pPr>
              <w:rPr>
                <w:bCs/>
                <w:noProof/>
                <w:sz w:val="20"/>
                <w:szCs w:val="20"/>
              </w:rPr>
            </w:pPr>
            <w:r w:rsidRPr="00D86314">
              <w:rPr>
                <w:bCs/>
                <w:noProof/>
                <w:sz w:val="20"/>
                <w:szCs w:val="20"/>
              </w:rPr>
              <w:t>Pre-existing cable but partial coverage</w:t>
            </w:r>
          </w:p>
        </w:tc>
        <w:tc>
          <w:tcPr>
            <w:tcW w:w="1051" w:type="dxa"/>
          </w:tcPr>
          <w:p w14:paraId="5BC0E7A3" w14:textId="77777777" w:rsidR="00C07B58" w:rsidRPr="00D86314" w:rsidRDefault="00C07B58">
            <w:pPr>
              <w:rPr>
                <w:bCs/>
                <w:noProof/>
                <w:sz w:val="20"/>
                <w:szCs w:val="20"/>
              </w:rPr>
            </w:pPr>
            <w:r w:rsidRPr="00D86314">
              <w:rPr>
                <w:bCs/>
                <w:noProof/>
                <w:sz w:val="20"/>
                <w:szCs w:val="20"/>
              </w:rPr>
              <w:t>N</w:t>
            </w:r>
          </w:p>
        </w:tc>
        <w:tc>
          <w:tcPr>
            <w:tcW w:w="1051" w:type="dxa"/>
          </w:tcPr>
          <w:p w14:paraId="128335A7" w14:textId="77777777" w:rsidR="00C07B58" w:rsidRPr="00D86314" w:rsidRDefault="00C07B58">
            <w:pPr>
              <w:rPr>
                <w:bCs/>
                <w:noProof/>
                <w:sz w:val="20"/>
                <w:szCs w:val="20"/>
              </w:rPr>
            </w:pPr>
            <w:r w:rsidRPr="00D86314">
              <w:rPr>
                <w:bCs/>
                <w:noProof/>
                <w:sz w:val="20"/>
                <w:szCs w:val="20"/>
              </w:rPr>
              <w:t>Y</w:t>
            </w:r>
          </w:p>
        </w:tc>
        <w:tc>
          <w:tcPr>
            <w:tcW w:w="1054" w:type="dxa"/>
          </w:tcPr>
          <w:p w14:paraId="4EAE0E8D" w14:textId="77777777" w:rsidR="00C07B58" w:rsidRPr="00D86314" w:rsidRDefault="4631C61E">
            <w:pPr>
              <w:rPr>
                <w:bCs/>
                <w:noProof/>
                <w:sz w:val="20"/>
                <w:szCs w:val="20"/>
              </w:rPr>
            </w:pPr>
            <w:r w:rsidRPr="00D86314">
              <w:rPr>
                <w:noProof/>
                <w:sz w:val="20"/>
                <w:szCs w:val="20"/>
              </w:rPr>
              <w:t>Y (ERT)</w:t>
            </w:r>
            <w:r w:rsidR="00C07B58" w:rsidRPr="00D86314">
              <w:rPr>
                <w:rStyle w:val="FootnoteReference"/>
                <w:noProof/>
              </w:rPr>
              <w:footnoteReference w:id="188"/>
            </w:r>
          </w:p>
        </w:tc>
        <w:tc>
          <w:tcPr>
            <w:tcW w:w="1066" w:type="dxa"/>
          </w:tcPr>
          <w:p w14:paraId="06710A9F" w14:textId="77777777" w:rsidR="00C07B58" w:rsidRPr="00D86314" w:rsidRDefault="00C07B58">
            <w:pPr>
              <w:rPr>
                <w:bCs/>
                <w:noProof/>
                <w:sz w:val="20"/>
                <w:szCs w:val="20"/>
              </w:rPr>
            </w:pPr>
            <w:r w:rsidRPr="00D86314">
              <w:rPr>
                <w:bCs/>
                <w:noProof/>
                <w:sz w:val="20"/>
                <w:szCs w:val="20"/>
              </w:rPr>
              <w:t>Y (ERT)</w:t>
            </w:r>
          </w:p>
        </w:tc>
        <w:tc>
          <w:tcPr>
            <w:tcW w:w="954" w:type="dxa"/>
            <w:shd w:val="clear" w:color="auto" w:fill="EE0000"/>
          </w:tcPr>
          <w:p w14:paraId="39B12F9B" w14:textId="77777777" w:rsidR="00C07B58" w:rsidRPr="00D86314" w:rsidRDefault="00C07B58">
            <w:pPr>
              <w:rPr>
                <w:bCs/>
                <w:noProof/>
                <w:sz w:val="20"/>
                <w:szCs w:val="20"/>
              </w:rPr>
            </w:pPr>
            <w:r w:rsidRPr="00D86314">
              <w:rPr>
                <w:bCs/>
                <w:noProof/>
                <w:sz w:val="20"/>
                <w:szCs w:val="20"/>
              </w:rPr>
              <w:t>41</w:t>
            </w:r>
          </w:p>
        </w:tc>
        <w:tc>
          <w:tcPr>
            <w:tcW w:w="784" w:type="dxa"/>
            <w:shd w:val="clear" w:color="auto" w:fill="EE0000"/>
          </w:tcPr>
          <w:p w14:paraId="5D7C2FD6" w14:textId="7B1AD883" w:rsidR="00C07B58" w:rsidRPr="00D86314" w:rsidRDefault="00C07B58">
            <w:pPr>
              <w:rPr>
                <w:bCs/>
                <w:noProof/>
                <w:sz w:val="20"/>
                <w:szCs w:val="20"/>
              </w:rPr>
            </w:pPr>
            <w:r w:rsidRPr="00D86314">
              <w:rPr>
                <w:bCs/>
                <w:noProof/>
                <w:sz w:val="20"/>
                <w:szCs w:val="20"/>
              </w:rPr>
              <w:t>45</w:t>
            </w:r>
            <w:r w:rsidR="00B81929">
              <w:rPr>
                <w:bCs/>
                <w:noProof/>
                <w:sz w:val="20"/>
                <w:szCs w:val="20"/>
              </w:rPr>
              <w:t>,</w:t>
            </w:r>
            <w:r w:rsidRPr="00D86314">
              <w:rPr>
                <w:bCs/>
                <w:noProof/>
                <w:sz w:val="20"/>
                <w:szCs w:val="20"/>
              </w:rPr>
              <w:t>4</w:t>
            </w:r>
          </w:p>
        </w:tc>
        <w:tc>
          <w:tcPr>
            <w:tcW w:w="1414" w:type="dxa"/>
          </w:tcPr>
          <w:p w14:paraId="50785307" w14:textId="77777777" w:rsidR="00C07B58" w:rsidRPr="00D86314" w:rsidRDefault="00C07B58">
            <w:pPr>
              <w:rPr>
                <w:bCs/>
                <w:noProof/>
                <w:sz w:val="20"/>
                <w:szCs w:val="20"/>
              </w:rPr>
            </w:pPr>
            <w:r w:rsidRPr="00D86314">
              <w:rPr>
                <w:bCs/>
                <w:noProof/>
                <w:sz w:val="20"/>
                <w:szCs w:val="20"/>
              </w:rPr>
              <w:t>Lower than average, increasing</w:t>
            </w:r>
          </w:p>
        </w:tc>
        <w:tc>
          <w:tcPr>
            <w:tcW w:w="649" w:type="dxa"/>
            <w:shd w:val="clear" w:color="auto" w:fill="EE0000"/>
          </w:tcPr>
          <w:p w14:paraId="331606DE" w14:textId="7068C7A0" w:rsidR="00C07B58" w:rsidRPr="00D86314" w:rsidRDefault="00C07B58">
            <w:pPr>
              <w:rPr>
                <w:bCs/>
                <w:noProof/>
                <w:sz w:val="20"/>
                <w:szCs w:val="20"/>
              </w:rPr>
            </w:pPr>
            <w:r w:rsidRPr="00D86314">
              <w:rPr>
                <w:bCs/>
                <w:noProof/>
                <w:sz w:val="20"/>
                <w:szCs w:val="20"/>
              </w:rPr>
              <w:t>4</w:t>
            </w:r>
            <w:r w:rsidR="00D36A17">
              <w:rPr>
                <w:bCs/>
                <w:noProof/>
                <w:sz w:val="20"/>
                <w:szCs w:val="20"/>
              </w:rPr>
              <w:t>,</w:t>
            </w:r>
            <w:r w:rsidRPr="00D86314">
              <w:rPr>
                <w:bCs/>
                <w:noProof/>
                <w:sz w:val="20"/>
                <w:szCs w:val="20"/>
              </w:rPr>
              <w:t>3</w:t>
            </w:r>
          </w:p>
        </w:tc>
        <w:tc>
          <w:tcPr>
            <w:tcW w:w="791" w:type="dxa"/>
            <w:shd w:val="clear" w:color="auto" w:fill="00B050"/>
          </w:tcPr>
          <w:p w14:paraId="6F1233E9" w14:textId="77777777" w:rsidR="00C07B58" w:rsidRPr="00D86314" w:rsidRDefault="00C07B58">
            <w:pPr>
              <w:rPr>
                <w:bCs/>
                <w:noProof/>
                <w:sz w:val="20"/>
                <w:szCs w:val="20"/>
              </w:rPr>
            </w:pPr>
          </w:p>
        </w:tc>
        <w:tc>
          <w:tcPr>
            <w:tcW w:w="779" w:type="dxa"/>
            <w:gridSpan w:val="2"/>
            <w:shd w:val="clear" w:color="auto" w:fill="00B050"/>
          </w:tcPr>
          <w:p w14:paraId="285E5381" w14:textId="77777777" w:rsidR="00C07B58" w:rsidRPr="00D86314" w:rsidRDefault="00C07B58">
            <w:pPr>
              <w:rPr>
                <w:bCs/>
                <w:noProof/>
                <w:sz w:val="20"/>
                <w:szCs w:val="20"/>
              </w:rPr>
            </w:pPr>
          </w:p>
        </w:tc>
      </w:tr>
      <w:tr w:rsidR="009F44AF" w:rsidRPr="00D86314" w14:paraId="56E1EA79" w14:textId="77777777" w:rsidTr="007B4150">
        <w:trPr>
          <w:gridAfter w:val="3"/>
          <w:wAfter w:w="845" w:type="dxa"/>
        </w:trPr>
        <w:tc>
          <w:tcPr>
            <w:tcW w:w="960" w:type="dxa"/>
          </w:tcPr>
          <w:p w14:paraId="7A905F46" w14:textId="77777777" w:rsidR="00C07B58" w:rsidRPr="00D86314" w:rsidRDefault="00C07B58">
            <w:pPr>
              <w:rPr>
                <w:bCs/>
                <w:noProof/>
                <w:sz w:val="20"/>
                <w:szCs w:val="20"/>
              </w:rPr>
            </w:pPr>
            <w:r w:rsidRPr="00D86314">
              <w:rPr>
                <w:bCs/>
                <w:noProof/>
                <w:sz w:val="20"/>
                <w:szCs w:val="20"/>
              </w:rPr>
              <w:t>Italy</w:t>
            </w:r>
          </w:p>
        </w:tc>
        <w:tc>
          <w:tcPr>
            <w:tcW w:w="992" w:type="dxa"/>
          </w:tcPr>
          <w:p w14:paraId="0FA3EE81" w14:textId="77777777" w:rsidR="00C07B58" w:rsidRPr="00D86314" w:rsidRDefault="00C07B58">
            <w:pPr>
              <w:rPr>
                <w:bCs/>
                <w:noProof/>
                <w:sz w:val="20"/>
                <w:szCs w:val="20"/>
              </w:rPr>
            </w:pPr>
            <w:r w:rsidRPr="00D86314">
              <w:rPr>
                <w:bCs/>
                <w:noProof/>
                <w:sz w:val="20"/>
                <w:szCs w:val="20"/>
              </w:rPr>
              <w:t>Y</w:t>
            </w:r>
          </w:p>
        </w:tc>
        <w:tc>
          <w:tcPr>
            <w:tcW w:w="1046" w:type="dxa"/>
          </w:tcPr>
          <w:p w14:paraId="1F0177E6" w14:textId="77777777" w:rsidR="00C07B58" w:rsidRPr="00D86314" w:rsidRDefault="00C07B58">
            <w:pPr>
              <w:rPr>
                <w:bCs/>
                <w:noProof/>
                <w:sz w:val="20"/>
                <w:szCs w:val="20"/>
              </w:rPr>
            </w:pPr>
            <w:r w:rsidRPr="00D86314">
              <w:rPr>
                <w:bCs/>
                <w:noProof/>
                <w:sz w:val="20"/>
                <w:szCs w:val="20"/>
              </w:rPr>
              <w:t xml:space="preserve">No cable, regulatory efforts to enable new entry </w:t>
            </w:r>
          </w:p>
        </w:tc>
        <w:tc>
          <w:tcPr>
            <w:tcW w:w="1051" w:type="dxa"/>
          </w:tcPr>
          <w:p w14:paraId="16616C67" w14:textId="77777777" w:rsidR="00C07B58" w:rsidRPr="00D86314" w:rsidRDefault="00C07B58">
            <w:pPr>
              <w:rPr>
                <w:bCs/>
                <w:noProof/>
                <w:sz w:val="20"/>
                <w:szCs w:val="20"/>
              </w:rPr>
            </w:pPr>
            <w:r w:rsidRPr="00D86314">
              <w:rPr>
                <w:bCs/>
                <w:noProof/>
                <w:sz w:val="20"/>
                <w:szCs w:val="20"/>
              </w:rPr>
              <w:t>Y (in-building only)</w:t>
            </w:r>
          </w:p>
        </w:tc>
        <w:tc>
          <w:tcPr>
            <w:tcW w:w="1051" w:type="dxa"/>
          </w:tcPr>
          <w:p w14:paraId="32886796" w14:textId="77777777" w:rsidR="00C07B58" w:rsidRPr="00D86314" w:rsidRDefault="00C07B58">
            <w:pPr>
              <w:rPr>
                <w:bCs/>
                <w:noProof/>
                <w:sz w:val="20"/>
                <w:szCs w:val="20"/>
              </w:rPr>
            </w:pPr>
            <w:r w:rsidRPr="00D86314">
              <w:rPr>
                <w:bCs/>
                <w:noProof/>
                <w:sz w:val="20"/>
                <w:szCs w:val="20"/>
              </w:rPr>
              <w:t xml:space="preserve">Y </w:t>
            </w:r>
          </w:p>
        </w:tc>
        <w:tc>
          <w:tcPr>
            <w:tcW w:w="1054" w:type="dxa"/>
          </w:tcPr>
          <w:p w14:paraId="35FAB9DD" w14:textId="77777777" w:rsidR="00C07B58" w:rsidRPr="00D86314" w:rsidRDefault="00C07B58">
            <w:pPr>
              <w:rPr>
                <w:bCs/>
                <w:noProof/>
                <w:sz w:val="20"/>
                <w:szCs w:val="20"/>
              </w:rPr>
            </w:pPr>
            <w:r w:rsidRPr="00D86314">
              <w:rPr>
                <w:bCs/>
                <w:noProof/>
                <w:sz w:val="20"/>
                <w:szCs w:val="20"/>
              </w:rPr>
              <w:t xml:space="preserve">Y SLU pricing </w:t>
            </w:r>
          </w:p>
        </w:tc>
        <w:tc>
          <w:tcPr>
            <w:tcW w:w="1066" w:type="dxa"/>
          </w:tcPr>
          <w:p w14:paraId="6EB91AFD" w14:textId="77777777" w:rsidR="00C07B58" w:rsidRPr="00D86314" w:rsidRDefault="00C07B58">
            <w:pPr>
              <w:rPr>
                <w:bCs/>
                <w:noProof/>
                <w:sz w:val="20"/>
                <w:szCs w:val="20"/>
              </w:rPr>
            </w:pPr>
            <w:r w:rsidRPr="00D86314">
              <w:rPr>
                <w:bCs/>
                <w:noProof/>
                <w:sz w:val="20"/>
                <w:szCs w:val="20"/>
              </w:rPr>
              <w:t>N</w:t>
            </w:r>
          </w:p>
        </w:tc>
        <w:tc>
          <w:tcPr>
            <w:tcW w:w="954" w:type="dxa"/>
            <w:shd w:val="clear" w:color="auto" w:fill="FFFF00"/>
          </w:tcPr>
          <w:p w14:paraId="4E4D5598" w14:textId="77777777" w:rsidR="00C07B58" w:rsidRPr="00D86314" w:rsidRDefault="00C07B58">
            <w:pPr>
              <w:rPr>
                <w:bCs/>
                <w:noProof/>
                <w:sz w:val="20"/>
                <w:szCs w:val="20"/>
              </w:rPr>
            </w:pPr>
            <w:r w:rsidRPr="00D86314">
              <w:rPr>
                <w:bCs/>
                <w:noProof/>
                <w:sz w:val="20"/>
                <w:szCs w:val="20"/>
              </w:rPr>
              <w:t>71</w:t>
            </w:r>
          </w:p>
        </w:tc>
        <w:tc>
          <w:tcPr>
            <w:tcW w:w="784" w:type="dxa"/>
            <w:shd w:val="clear" w:color="auto" w:fill="EE0000"/>
          </w:tcPr>
          <w:p w14:paraId="07D98176" w14:textId="0BAB0FA4" w:rsidR="00C07B58" w:rsidRPr="00D86314" w:rsidRDefault="00C07B58">
            <w:pPr>
              <w:rPr>
                <w:bCs/>
                <w:noProof/>
                <w:sz w:val="20"/>
                <w:szCs w:val="20"/>
              </w:rPr>
            </w:pPr>
            <w:r w:rsidRPr="00D86314">
              <w:rPr>
                <w:bCs/>
                <w:noProof/>
                <w:sz w:val="20"/>
                <w:szCs w:val="20"/>
              </w:rPr>
              <w:t>27</w:t>
            </w:r>
            <w:r w:rsidR="00B81929">
              <w:rPr>
                <w:bCs/>
                <w:noProof/>
                <w:sz w:val="20"/>
                <w:szCs w:val="20"/>
              </w:rPr>
              <w:t>,</w:t>
            </w:r>
            <w:r w:rsidRPr="00D86314">
              <w:rPr>
                <w:bCs/>
                <w:noProof/>
                <w:sz w:val="20"/>
                <w:szCs w:val="20"/>
              </w:rPr>
              <w:t>6</w:t>
            </w:r>
          </w:p>
        </w:tc>
        <w:tc>
          <w:tcPr>
            <w:tcW w:w="1414" w:type="dxa"/>
          </w:tcPr>
          <w:p w14:paraId="769E6E86" w14:textId="77777777" w:rsidR="00C07B58" w:rsidRPr="00D86314" w:rsidRDefault="00C07B58">
            <w:pPr>
              <w:rPr>
                <w:bCs/>
                <w:noProof/>
                <w:sz w:val="20"/>
                <w:szCs w:val="20"/>
              </w:rPr>
            </w:pPr>
            <w:r w:rsidRPr="00D86314">
              <w:rPr>
                <w:bCs/>
                <w:noProof/>
                <w:sz w:val="20"/>
                <w:szCs w:val="20"/>
              </w:rPr>
              <w:t>Lower than average, decreasing</w:t>
            </w:r>
          </w:p>
        </w:tc>
        <w:tc>
          <w:tcPr>
            <w:tcW w:w="649" w:type="dxa"/>
            <w:shd w:val="clear" w:color="auto" w:fill="FFFF00"/>
          </w:tcPr>
          <w:p w14:paraId="3702FC46" w14:textId="263A691A" w:rsidR="00C07B58" w:rsidRPr="00D86314" w:rsidRDefault="00C07B58">
            <w:pPr>
              <w:rPr>
                <w:bCs/>
                <w:noProof/>
                <w:sz w:val="20"/>
                <w:szCs w:val="20"/>
              </w:rPr>
            </w:pPr>
            <w:r w:rsidRPr="00D86314">
              <w:rPr>
                <w:bCs/>
                <w:noProof/>
                <w:sz w:val="20"/>
                <w:szCs w:val="20"/>
              </w:rPr>
              <w:t>25</w:t>
            </w:r>
            <w:r w:rsidR="00D36A17">
              <w:rPr>
                <w:bCs/>
                <w:noProof/>
                <w:sz w:val="20"/>
                <w:szCs w:val="20"/>
              </w:rPr>
              <w:t>,</w:t>
            </w:r>
            <w:r w:rsidRPr="00D86314">
              <w:rPr>
                <w:bCs/>
                <w:noProof/>
                <w:sz w:val="20"/>
                <w:szCs w:val="20"/>
              </w:rPr>
              <w:t>2</w:t>
            </w:r>
          </w:p>
        </w:tc>
        <w:tc>
          <w:tcPr>
            <w:tcW w:w="791" w:type="dxa"/>
            <w:shd w:val="clear" w:color="auto" w:fill="FFFF00"/>
          </w:tcPr>
          <w:p w14:paraId="0894CAFF" w14:textId="77777777" w:rsidR="00C07B58" w:rsidRPr="00D86314" w:rsidRDefault="00C07B58">
            <w:pPr>
              <w:rPr>
                <w:bCs/>
                <w:noProof/>
                <w:sz w:val="20"/>
                <w:szCs w:val="20"/>
              </w:rPr>
            </w:pPr>
          </w:p>
        </w:tc>
        <w:tc>
          <w:tcPr>
            <w:tcW w:w="779" w:type="dxa"/>
            <w:gridSpan w:val="2"/>
            <w:shd w:val="clear" w:color="auto" w:fill="00B050"/>
          </w:tcPr>
          <w:p w14:paraId="4F3C49A4" w14:textId="77777777" w:rsidR="00C07B58" w:rsidRPr="00D86314" w:rsidRDefault="00C07B58">
            <w:pPr>
              <w:rPr>
                <w:bCs/>
                <w:noProof/>
                <w:sz w:val="20"/>
                <w:szCs w:val="20"/>
              </w:rPr>
            </w:pPr>
          </w:p>
        </w:tc>
      </w:tr>
      <w:tr w:rsidR="00C07B58" w:rsidRPr="00D86314" w14:paraId="02925A33" w14:textId="77777777" w:rsidTr="007B4150">
        <w:trPr>
          <w:gridAfter w:val="2"/>
          <w:wAfter w:w="825" w:type="dxa"/>
        </w:trPr>
        <w:tc>
          <w:tcPr>
            <w:tcW w:w="960" w:type="dxa"/>
          </w:tcPr>
          <w:p w14:paraId="33ED1241" w14:textId="77777777" w:rsidR="00C07B58" w:rsidRPr="00D86314" w:rsidRDefault="00C07B58">
            <w:pPr>
              <w:rPr>
                <w:bCs/>
                <w:noProof/>
                <w:sz w:val="20"/>
                <w:szCs w:val="20"/>
              </w:rPr>
            </w:pPr>
          </w:p>
        </w:tc>
        <w:tc>
          <w:tcPr>
            <w:tcW w:w="11651" w:type="dxa"/>
            <w:gridSpan w:val="14"/>
          </w:tcPr>
          <w:p w14:paraId="28E2097A" w14:textId="77777777" w:rsidR="00C07B58" w:rsidRPr="00D86314" w:rsidRDefault="00C07B58">
            <w:pPr>
              <w:rPr>
                <w:bCs/>
                <w:noProof/>
                <w:sz w:val="20"/>
                <w:szCs w:val="20"/>
              </w:rPr>
            </w:pPr>
            <w:r w:rsidRPr="00D86314">
              <w:rPr>
                <w:bCs/>
                <w:noProof/>
                <w:sz w:val="20"/>
                <w:szCs w:val="20"/>
              </w:rPr>
              <w:t>Early FTTH focus incl. SMP PIA in-building standards and access</w:t>
            </w:r>
          </w:p>
        </w:tc>
      </w:tr>
      <w:tr w:rsidR="009F44AF" w:rsidRPr="00D86314" w14:paraId="1B153A99" w14:textId="77777777" w:rsidTr="007B4150">
        <w:trPr>
          <w:gridAfter w:val="3"/>
          <w:wAfter w:w="845" w:type="dxa"/>
        </w:trPr>
        <w:tc>
          <w:tcPr>
            <w:tcW w:w="960" w:type="dxa"/>
          </w:tcPr>
          <w:p w14:paraId="439B17F1" w14:textId="77777777" w:rsidR="00C07B58" w:rsidRPr="00D86314" w:rsidRDefault="00C07B58">
            <w:pPr>
              <w:rPr>
                <w:bCs/>
                <w:noProof/>
                <w:sz w:val="20"/>
                <w:szCs w:val="20"/>
              </w:rPr>
            </w:pPr>
            <w:r w:rsidRPr="00D86314">
              <w:rPr>
                <w:bCs/>
                <w:noProof/>
                <w:sz w:val="20"/>
                <w:szCs w:val="20"/>
              </w:rPr>
              <w:t>France</w:t>
            </w:r>
          </w:p>
        </w:tc>
        <w:tc>
          <w:tcPr>
            <w:tcW w:w="992" w:type="dxa"/>
          </w:tcPr>
          <w:p w14:paraId="2FF241FC" w14:textId="77777777" w:rsidR="00C07B58" w:rsidRPr="00D86314" w:rsidRDefault="00C07B58">
            <w:pPr>
              <w:rPr>
                <w:bCs/>
                <w:noProof/>
                <w:sz w:val="20"/>
                <w:szCs w:val="20"/>
              </w:rPr>
            </w:pPr>
            <w:r w:rsidRPr="00D86314">
              <w:rPr>
                <w:bCs/>
                <w:noProof/>
                <w:sz w:val="20"/>
                <w:szCs w:val="20"/>
              </w:rPr>
              <w:t>Y (separate market)</w:t>
            </w:r>
          </w:p>
        </w:tc>
        <w:tc>
          <w:tcPr>
            <w:tcW w:w="1046" w:type="dxa"/>
          </w:tcPr>
          <w:p w14:paraId="7BDA2B52" w14:textId="77777777" w:rsidR="00C07B58" w:rsidRPr="00D86314" w:rsidRDefault="00C07B58">
            <w:pPr>
              <w:rPr>
                <w:bCs/>
                <w:noProof/>
                <w:sz w:val="20"/>
                <w:szCs w:val="20"/>
              </w:rPr>
            </w:pPr>
            <w:r w:rsidRPr="00D86314">
              <w:rPr>
                <w:bCs/>
                <w:noProof/>
                <w:sz w:val="20"/>
                <w:szCs w:val="20"/>
              </w:rPr>
              <w:t>No Mutualisation Art 61(3) -&gt; 80% HH monopoly in FTTH</w:t>
            </w:r>
          </w:p>
        </w:tc>
        <w:tc>
          <w:tcPr>
            <w:tcW w:w="1051" w:type="dxa"/>
          </w:tcPr>
          <w:p w14:paraId="7BBCF3A1" w14:textId="77777777" w:rsidR="00C07B58" w:rsidRPr="00D86314" w:rsidRDefault="00C07B58">
            <w:pPr>
              <w:rPr>
                <w:bCs/>
                <w:noProof/>
                <w:sz w:val="20"/>
                <w:szCs w:val="20"/>
              </w:rPr>
            </w:pPr>
            <w:r w:rsidRPr="00D86314">
              <w:rPr>
                <w:bCs/>
                <w:noProof/>
                <w:sz w:val="20"/>
                <w:szCs w:val="20"/>
              </w:rPr>
              <w:t>Y (first distrib point – 1,000 HH in less dense areas)</w:t>
            </w:r>
          </w:p>
        </w:tc>
        <w:tc>
          <w:tcPr>
            <w:tcW w:w="1051" w:type="dxa"/>
          </w:tcPr>
          <w:p w14:paraId="1ADB57A9" w14:textId="77777777" w:rsidR="00C07B58" w:rsidRPr="00D86314" w:rsidRDefault="00C07B58">
            <w:pPr>
              <w:rPr>
                <w:bCs/>
                <w:noProof/>
                <w:sz w:val="20"/>
                <w:szCs w:val="20"/>
              </w:rPr>
            </w:pPr>
            <w:r w:rsidRPr="00D86314">
              <w:rPr>
                <w:bCs/>
                <w:noProof/>
                <w:sz w:val="20"/>
                <w:szCs w:val="20"/>
              </w:rPr>
              <w:t>Y</w:t>
            </w:r>
          </w:p>
        </w:tc>
        <w:tc>
          <w:tcPr>
            <w:tcW w:w="1054" w:type="dxa"/>
          </w:tcPr>
          <w:p w14:paraId="6BBE9EB9" w14:textId="77777777" w:rsidR="00C07B58" w:rsidRPr="00D86314" w:rsidRDefault="00C07B58">
            <w:pPr>
              <w:rPr>
                <w:bCs/>
                <w:noProof/>
                <w:sz w:val="20"/>
                <w:szCs w:val="20"/>
              </w:rPr>
            </w:pPr>
            <w:r w:rsidRPr="00D86314">
              <w:rPr>
                <w:bCs/>
                <w:noProof/>
                <w:sz w:val="20"/>
                <w:szCs w:val="20"/>
              </w:rPr>
              <w:t>N</w:t>
            </w:r>
          </w:p>
        </w:tc>
        <w:tc>
          <w:tcPr>
            <w:tcW w:w="1066" w:type="dxa"/>
          </w:tcPr>
          <w:p w14:paraId="0ADBFF1E" w14:textId="77777777" w:rsidR="00C07B58" w:rsidRPr="00D86314" w:rsidRDefault="00C07B58">
            <w:pPr>
              <w:rPr>
                <w:bCs/>
                <w:noProof/>
                <w:sz w:val="20"/>
                <w:szCs w:val="20"/>
              </w:rPr>
            </w:pPr>
            <w:r w:rsidRPr="00D86314">
              <w:rPr>
                <w:bCs/>
                <w:noProof/>
                <w:sz w:val="20"/>
                <w:szCs w:val="20"/>
              </w:rPr>
              <w:t>N</w:t>
            </w:r>
          </w:p>
        </w:tc>
        <w:tc>
          <w:tcPr>
            <w:tcW w:w="954" w:type="dxa"/>
            <w:shd w:val="clear" w:color="auto" w:fill="00B050"/>
          </w:tcPr>
          <w:p w14:paraId="34D6E88F" w14:textId="77777777" w:rsidR="00C07B58" w:rsidRPr="00D86314" w:rsidRDefault="00C07B58">
            <w:pPr>
              <w:rPr>
                <w:bCs/>
                <w:noProof/>
                <w:sz w:val="20"/>
                <w:szCs w:val="20"/>
              </w:rPr>
            </w:pPr>
            <w:r w:rsidRPr="00D86314">
              <w:rPr>
                <w:bCs/>
                <w:noProof/>
                <w:sz w:val="20"/>
                <w:szCs w:val="20"/>
              </w:rPr>
              <w:t>87</w:t>
            </w:r>
          </w:p>
        </w:tc>
        <w:tc>
          <w:tcPr>
            <w:tcW w:w="784" w:type="dxa"/>
            <w:shd w:val="clear" w:color="auto" w:fill="00B050"/>
          </w:tcPr>
          <w:p w14:paraId="33A47471" w14:textId="64F46CB1" w:rsidR="00C07B58" w:rsidRPr="00D86314" w:rsidRDefault="00C07B58">
            <w:pPr>
              <w:rPr>
                <w:bCs/>
                <w:noProof/>
                <w:sz w:val="20"/>
                <w:szCs w:val="20"/>
              </w:rPr>
            </w:pPr>
            <w:r w:rsidRPr="00D86314">
              <w:rPr>
                <w:bCs/>
                <w:noProof/>
                <w:sz w:val="20"/>
                <w:szCs w:val="20"/>
              </w:rPr>
              <w:t>83</w:t>
            </w:r>
            <w:r w:rsidR="00B81929">
              <w:rPr>
                <w:bCs/>
                <w:noProof/>
                <w:sz w:val="20"/>
                <w:szCs w:val="20"/>
              </w:rPr>
              <w:t>,</w:t>
            </w:r>
            <w:r w:rsidRPr="00D86314">
              <w:rPr>
                <w:bCs/>
                <w:noProof/>
                <w:sz w:val="20"/>
                <w:szCs w:val="20"/>
              </w:rPr>
              <w:t>8</w:t>
            </w:r>
          </w:p>
        </w:tc>
        <w:tc>
          <w:tcPr>
            <w:tcW w:w="1414" w:type="dxa"/>
          </w:tcPr>
          <w:p w14:paraId="5F829A62" w14:textId="77777777" w:rsidR="00C07B58" w:rsidRPr="00D86314" w:rsidRDefault="00C07B58">
            <w:pPr>
              <w:rPr>
                <w:bCs/>
                <w:noProof/>
                <w:sz w:val="20"/>
                <w:szCs w:val="20"/>
              </w:rPr>
            </w:pPr>
            <w:r w:rsidRPr="00D86314">
              <w:rPr>
                <w:bCs/>
                <w:noProof/>
                <w:sz w:val="20"/>
                <w:szCs w:val="20"/>
              </w:rPr>
              <w:t>na</w:t>
            </w:r>
          </w:p>
        </w:tc>
        <w:tc>
          <w:tcPr>
            <w:tcW w:w="649" w:type="dxa"/>
            <w:shd w:val="clear" w:color="auto" w:fill="00B050"/>
          </w:tcPr>
          <w:p w14:paraId="30698089" w14:textId="202D35BF" w:rsidR="00C07B58" w:rsidRPr="00D86314" w:rsidRDefault="00C07B58">
            <w:pPr>
              <w:rPr>
                <w:bCs/>
                <w:noProof/>
                <w:sz w:val="20"/>
                <w:szCs w:val="20"/>
              </w:rPr>
            </w:pPr>
            <w:r w:rsidRPr="00D86314">
              <w:rPr>
                <w:bCs/>
                <w:noProof/>
                <w:sz w:val="20"/>
                <w:szCs w:val="20"/>
              </w:rPr>
              <w:t>58</w:t>
            </w:r>
            <w:r w:rsidR="00D36A17">
              <w:rPr>
                <w:bCs/>
                <w:noProof/>
                <w:sz w:val="20"/>
                <w:szCs w:val="20"/>
              </w:rPr>
              <w:t>,</w:t>
            </w:r>
            <w:r w:rsidRPr="00D86314">
              <w:rPr>
                <w:bCs/>
                <w:noProof/>
                <w:sz w:val="20"/>
                <w:szCs w:val="20"/>
              </w:rPr>
              <w:t>9</w:t>
            </w:r>
          </w:p>
        </w:tc>
        <w:tc>
          <w:tcPr>
            <w:tcW w:w="791" w:type="dxa"/>
            <w:shd w:val="clear" w:color="auto" w:fill="00B050"/>
          </w:tcPr>
          <w:p w14:paraId="5A74E6ED" w14:textId="77777777" w:rsidR="00C07B58" w:rsidRPr="00D86314" w:rsidRDefault="00C07B58">
            <w:pPr>
              <w:rPr>
                <w:bCs/>
                <w:noProof/>
                <w:sz w:val="20"/>
                <w:szCs w:val="20"/>
              </w:rPr>
            </w:pPr>
          </w:p>
        </w:tc>
        <w:tc>
          <w:tcPr>
            <w:tcW w:w="779" w:type="dxa"/>
            <w:gridSpan w:val="2"/>
            <w:shd w:val="clear" w:color="auto" w:fill="00B050"/>
          </w:tcPr>
          <w:p w14:paraId="51CC0629" w14:textId="77777777" w:rsidR="00C07B58" w:rsidRPr="00D86314" w:rsidRDefault="00C07B58">
            <w:pPr>
              <w:rPr>
                <w:bCs/>
                <w:noProof/>
                <w:sz w:val="20"/>
                <w:szCs w:val="20"/>
              </w:rPr>
            </w:pPr>
          </w:p>
        </w:tc>
      </w:tr>
      <w:tr w:rsidR="009F44AF" w:rsidRPr="00D86314" w14:paraId="4E044A9A" w14:textId="77777777" w:rsidTr="007B4150">
        <w:trPr>
          <w:gridAfter w:val="3"/>
          <w:wAfter w:w="845" w:type="dxa"/>
        </w:trPr>
        <w:tc>
          <w:tcPr>
            <w:tcW w:w="960" w:type="dxa"/>
          </w:tcPr>
          <w:p w14:paraId="1875C20C" w14:textId="77777777" w:rsidR="00C07B58" w:rsidRPr="00D86314" w:rsidRDefault="00C07B58">
            <w:pPr>
              <w:rPr>
                <w:bCs/>
                <w:noProof/>
                <w:sz w:val="20"/>
                <w:szCs w:val="20"/>
              </w:rPr>
            </w:pPr>
            <w:r w:rsidRPr="00D86314">
              <w:rPr>
                <w:bCs/>
                <w:noProof/>
                <w:sz w:val="20"/>
                <w:szCs w:val="20"/>
              </w:rPr>
              <w:t>Spain</w:t>
            </w:r>
          </w:p>
        </w:tc>
        <w:tc>
          <w:tcPr>
            <w:tcW w:w="992" w:type="dxa"/>
          </w:tcPr>
          <w:p w14:paraId="78A1FE41" w14:textId="77777777" w:rsidR="00C07B58" w:rsidRPr="00D86314" w:rsidRDefault="00C07B58">
            <w:pPr>
              <w:rPr>
                <w:bCs/>
                <w:noProof/>
                <w:sz w:val="20"/>
                <w:szCs w:val="20"/>
              </w:rPr>
            </w:pPr>
            <w:r w:rsidRPr="00D86314">
              <w:rPr>
                <w:bCs/>
                <w:noProof/>
                <w:sz w:val="20"/>
                <w:szCs w:val="20"/>
              </w:rPr>
              <w:t>Y Remedy M2)</w:t>
            </w:r>
          </w:p>
        </w:tc>
        <w:tc>
          <w:tcPr>
            <w:tcW w:w="1046" w:type="dxa"/>
          </w:tcPr>
          <w:p w14:paraId="79A3F0C8" w14:textId="77777777" w:rsidR="00C07B58" w:rsidRPr="00D86314" w:rsidRDefault="00C07B58">
            <w:pPr>
              <w:rPr>
                <w:bCs/>
                <w:noProof/>
                <w:sz w:val="20"/>
                <w:szCs w:val="20"/>
              </w:rPr>
            </w:pPr>
            <w:r w:rsidRPr="00D86314">
              <w:rPr>
                <w:bCs/>
                <w:noProof/>
                <w:sz w:val="20"/>
                <w:szCs w:val="20"/>
              </w:rPr>
              <w:t>Pre-existing cable partial coverage + regulatory focus on additional infrastructure competition</w:t>
            </w:r>
          </w:p>
        </w:tc>
        <w:tc>
          <w:tcPr>
            <w:tcW w:w="1051" w:type="dxa"/>
          </w:tcPr>
          <w:p w14:paraId="21591B86" w14:textId="77777777" w:rsidR="00C07B58" w:rsidRPr="00D86314" w:rsidRDefault="00C07B58">
            <w:pPr>
              <w:rPr>
                <w:bCs/>
                <w:noProof/>
                <w:sz w:val="20"/>
                <w:szCs w:val="20"/>
              </w:rPr>
            </w:pPr>
            <w:r w:rsidRPr="00D86314">
              <w:rPr>
                <w:bCs/>
                <w:noProof/>
                <w:sz w:val="20"/>
                <w:szCs w:val="20"/>
              </w:rPr>
              <w:t>Y (first distribution point, but with restricted no. HH)</w:t>
            </w:r>
          </w:p>
        </w:tc>
        <w:tc>
          <w:tcPr>
            <w:tcW w:w="1051" w:type="dxa"/>
          </w:tcPr>
          <w:p w14:paraId="7281A8B0" w14:textId="77777777" w:rsidR="00C07B58" w:rsidRPr="00D86314" w:rsidRDefault="00C07B58">
            <w:pPr>
              <w:rPr>
                <w:bCs/>
                <w:noProof/>
                <w:sz w:val="20"/>
                <w:szCs w:val="20"/>
              </w:rPr>
            </w:pPr>
          </w:p>
        </w:tc>
        <w:tc>
          <w:tcPr>
            <w:tcW w:w="1054" w:type="dxa"/>
          </w:tcPr>
          <w:p w14:paraId="73314CF0" w14:textId="77777777" w:rsidR="00C07B58" w:rsidRPr="00D86314" w:rsidRDefault="00C07B58">
            <w:pPr>
              <w:rPr>
                <w:bCs/>
                <w:noProof/>
                <w:sz w:val="20"/>
                <w:szCs w:val="20"/>
              </w:rPr>
            </w:pPr>
            <w:r w:rsidRPr="00D86314">
              <w:rPr>
                <w:bCs/>
                <w:noProof/>
                <w:sz w:val="20"/>
                <w:szCs w:val="20"/>
              </w:rPr>
              <w:t>N</w:t>
            </w:r>
          </w:p>
        </w:tc>
        <w:tc>
          <w:tcPr>
            <w:tcW w:w="1066" w:type="dxa"/>
          </w:tcPr>
          <w:p w14:paraId="45618DB2" w14:textId="77777777" w:rsidR="00C07B58" w:rsidRPr="00D86314" w:rsidRDefault="00C07B58">
            <w:pPr>
              <w:rPr>
                <w:bCs/>
                <w:noProof/>
                <w:sz w:val="20"/>
                <w:szCs w:val="20"/>
              </w:rPr>
            </w:pPr>
            <w:r w:rsidRPr="00D86314">
              <w:rPr>
                <w:bCs/>
                <w:noProof/>
                <w:sz w:val="20"/>
                <w:szCs w:val="20"/>
              </w:rPr>
              <w:t>Y</w:t>
            </w:r>
          </w:p>
        </w:tc>
        <w:tc>
          <w:tcPr>
            <w:tcW w:w="954" w:type="dxa"/>
            <w:shd w:val="clear" w:color="auto" w:fill="00B050"/>
          </w:tcPr>
          <w:p w14:paraId="4A85BEE7" w14:textId="77777777" w:rsidR="00C07B58" w:rsidRPr="00D86314" w:rsidRDefault="00C07B58">
            <w:pPr>
              <w:rPr>
                <w:bCs/>
                <w:noProof/>
                <w:sz w:val="20"/>
                <w:szCs w:val="20"/>
              </w:rPr>
            </w:pPr>
            <w:r w:rsidRPr="00D86314">
              <w:rPr>
                <w:bCs/>
                <w:noProof/>
                <w:sz w:val="20"/>
                <w:szCs w:val="20"/>
              </w:rPr>
              <w:t>95</w:t>
            </w:r>
          </w:p>
        </w:tc>
        <w:tc>
          <w:tcPr>
            <w:tcW w:w="784" w:type="dxa"/>
            <w:shd w:val="clear" w:color="auto" w:fill="00B050"/>
          </w:tcPr>
          <w:p w14:paraId="07F98A93" w14:textId="77777777" w:rsidR="00C07B58" w:rsidRPr="00D86314" w:rsidRDefault="00C07B58">
            <w:pPr>
              <w:rPr>
                <w:bCs/>
                <w:noProof/>
                <w:sz w:val="20"/>
                <w:szCs w:val="20"/>
              </w:rPr>
            </w:pPr>
            <w:r w:rsidRPr="00D86314">
              <w:rPr>
                <w:bCs/>
                <w:noProof/>
                <w:sz w:val="20"/>
                <w:szCs w:val="20"/>
              </w:rPr>
              <w:t>91</w:t>
            </w:r>
          </w:p>
        </w:tc>
        <w:tc>
          <w:tcPr>
            <w:tcW w:w="1414" w:type="dxa"/>
          </w:tcPr>
          <w:p w14:paraId="11573F80" w14:textId="77777777" w:rsidR="00C07B58" w:rsidRPr="00D86314" w:rsidRDefault="00C07B58">
            <w:pPr>
              <w:rPr>
                <w:bCs/>
                <w:noProof/>
                <w:sz w:val="20"/>
                <w:szCs w:val="20"/>
              </w:rPr>
            </w:pPr>
            <w:r w:rsidRPr="00D86314">
              <w:rPr>
                <w:bCs/>
                <w:noProof/>
                <w:sz w:val="20"/>
                <w:szCs w:val="20"/>
              </w:rPr>
              <w:t xml:space="preserve">Lower than average </w:t>
            </w:r>
          </w:p>
        </w:tc>
        <w:tc>
          <w:tcPr>
            <w:tcW w:w="649" w:type="dxa"/>
            <w:shd w:val="clear" w:color="auto" w:fill="FFFF00"/>
          </w:tcPr>
          <w:p w14:paraId="5B2BD310" w14:textId="4D776EDE" w:rsidR="00C07B58" w:rsidRPr="00D86314" w:rsidRDefault="00C07B58">
            <w:pPr>
              <w:rPr>
                <w:bCs/>
                <w:noProof/>
                <w:sz w:val="20"/>
                <w:szCs w:val="20"/>
              </w:rPr>
            </w:pPr>
            <w:r w:rsidRPr="00D86314">
              <w:rPr>
                <w:bCs/>
                <w:noProof/>
                <w:sz w:val="20"/>
                <w:szCs w:val="20"/>
              </w:rPr>
              <w:t>25</w:t>
            </w:r>
            <w:r w:rsidR="00D36A17">
              <w:rPr>
                <w:bCs/>
                <w:noProof/>
                <w:sz w:val="20"/>
                <w:szCs w:val="20"/>
              </w:rPr>
              <w:t>,</w:t>
            </w:r>
            <w:r w:rsidRPr="00D86314">
              <w:rPr>
                <w:bCs/>
                <w:noProof/>
                <w:sz w:val="20"/>
                <w:szCs w:val="20"/>
              </w:rPr>
              <w:t>4</w:t>
            </w:r>
          </w:p>
        </w:tc>
        <w:tc>
          <w:tcPr>
            <w:tcW w:w="791" w:type="dxa"/>
            <w:shd w:val="clear" w:color="auto" w:fill="92D050"/>
          </w:tcPr>
          <w:p w14:paraId="3B4CE42E" w14:textId="77777777" w:rsidR="00C07B58" w:rsidRPr="00D86314" w:rsidRDefault="00C07B58">
            <w:pPr>
              <w:rPr>
                <w:bCs/>
                <w:noProof/>
                <w:sz w:val="20"/>
                <w:szCs w:val="20"/>
              </w:rPr>
            </w:pPr>
          </w:p>
        </w:tc>
        <w:tc>
          <w:tcPr>
            <w:tcW w:w="779" w:type="dxa"/>
            <w:gridSpan w:val="2"/>
            <w:shd w:val="clear" w:color="auto" w:fill="00B050"/>
          </w:tcPr>
          <w:p w14:paraId="0FDA8A9C" w14:textId="77777777" w:rsidR="00C07B58" w:rsidRPr="00D86314" w:rsidRDefault="00C07B58">
            <w:pPr>
              <w:rPr>
                <w:bCs/>
                <w:noProof/>
                <w:sz w:val="20"/>
                <w:szCs w:val="20"/>
              </w:rPr>
            </w:pPr>
          </w:p>
        </w:tc>
      </w:tr>
      <w:tr w:rsidR="009F44AF" w:rsidRPr="00D86314" w14:paraId="353B8584" w14:textId="77777777" w:rsidTr="007B4150">
        <w:trPr>
          <w:gridAfter w:val="3"/>
          <w:wAfter w:w="845" w:type="dxa"/>
        </w:trPr>
        <w:tc>
          <w:tcPr>
            <w:tcW w:w="960" w:type="dxa"/>
          </w:tcPr>
          <w:p w14:paraId="15AEDE2C" w14:textId="77777777" w:rsidR="00C07B58" w:rsidRPr="00D86314" w:rsidRDefault="00C07B58">
            <w:pPr>
              <w:rPr>
                <w:bCs/>
                <w:noProof/>
                <w:sz w:val="20"/>
                <w:szCs w:val="20"/>
              </w:rPr>
            </w:pPr>
            <w:r w:rsidRPr="00D86314">
              <w:rPr>
                <w:bCs/>
                <w:noProof/>
                <w:sz w:val="20"/>
                <w:szCs w:val="20"/>
              </w:rPr>
              <w:t>Portugal</w:t>
            </w:r>
          </w:p>
        </w:tc>
        <w:tc>
          <w:tcPr>
            <w:tcW w:w="992" w:type="dxa"/>
          </w:tcPr>
          <w:p w14:paraId="708E0ADC" w14:textId="77777777" w:rsidR="00C07B58" w:rsidRPr="00D86314" w:rsidRDefault="00C07B58">
            <w:pPr>
              <w:rPr>
                <w:bCs/>
                <w:noProof/>
                <w:sz w:val="20"/>
                <w:szCs w:val="20"/>
              </w:rPr>
            </w:pPr>
            <w:r w:rsidRPr="00D86314">
              <w:rPr>
                <w:bCs/>
                <w:noProof/>
                <w:sz w:val="20"/>
                <w:szCs w:val="20"/>
              </w:rPr>
              <w:t>Y (separate market)</w:t>
            </w:r>
          </w:p>
        </w:tc>
        <w:tc>
          <w:tcPr>
            <w:tcW w:w="1046" w:type="dxa"/>
          </w:tcPr>
          <w:p w14:paraId="144381B3" w14:textId="77777777" w:rsidR="00C07B58" w:rsidRPr="00D86314" w:rsidRDefault="00C07B58">
            <w:pPr>
              <w:rPr>
                <w:bCs/>
                <w:noProof/>
                <w:sz w:val="20"/>
                <w:szCs w:val="20"/>
              </w:rPr>
            </w:pPr>
            <w:r w:rsidRPr="00D86314">
              <w:rPr>
                <w:bCs/>
                <w:noProof/>
                <w:sz w:val="20"/>
                <w:szCs w:val="20"/>
              </w:rPr>
              <w:t>Pre-existing cable (extensive) + regulatory focus on additional infrastructure comp</w:t>
            </w:r>
          </w:p>
        </w:tc>
        <w:tc>
          <w:tcPr>
            <w:tcW w:w="1051" w:type="dxa"/>
          </w:tcPr>
          <w:p w14:paraId="7CD37987" w14:textId="77777777" w:rsidR="00C07B58" w:rsidRPr="00D86314" w:rsidRDefault="00C07B58">
            <w:pPr>
              <w:rPr>
                <w:bCs/>
                <w:noProof/>
                <w:sz w:val="20"/>
                <w:szCs w:val="20"/>
              </w:rPr>
            </w:pPr>
            <w:r w:rsidRPr="00D86314">
              <w:rPr>
                <w:bCs/>
                <w:noProof/>
                <w:sz w:val="20"/>
                <w:szCs w:val="20"/>
              </w:rPr>
              <w:t>Y (in-building only)</w:t>
            </w:r>
          </w:p>
        </w:tc>
        <w:tc>
          <w:tcPr>
            <w:tcW w:w="1051" w:type="dxa"/>
          </w:tcPr>
          <w:p w14:paraId="57EA3783" w14:textId="77777777" w:rsidR="00C07B58" w:rsidRPr="00D86314" w:rsidRDefault="00C07B58">
            <w:pPr>
              <w:rPr>
                <w:bCs/>
                <w:noProof/>
                <w:sz w:val="20"/>
                <w:szCs w:val="20"/>
              </w:rPr>
            </w:pPr>
            <w:r w:rsidRPr="00D86314">
              <w:rPr>
                <w:bCs/>
                <w:noProof/>
                <w:sz w:val="20"/>
                <w:szCs w:val="20"/>
              </w:rPr>
              <w:t xml:space="preserve">Y </w:t>
            </w:r>
          </w:p>
        </w:tc>
        <w:tc>
          <w:tcPr>
            <w:tcW w:w="1054" w:type="dxa"/>
          </w:tcPr>
          <w:p w14:paraId="4F608603" w14:textId="77777777" w:rsidR="00C07B58" w:rsidRPr="00D86314" w:rsidRDefault="00C07B58">
            <w:pPr>
              <w:rPr>
                <w:bCs/>
                <w:noProof/>
                <w:sz w:val="20"/>
                <w:szCs w:val="20"/>
              </w:rPr>
            </w:pPr>
            <w:r w:rsidRPr="00D86314">
              <w:rPr>
                <w:bCs/>
                <w:noProof/>
                <w:sz w:val="20"/>
                <w:szCs w:val="20"/>
              </w:rPr>
              <w:t>N</w:t>
            </w:r>
          </w:p>
        </w:tc>
        <w:tc>
          <w:tcPr>
            <w:tcW w:w="1066" w:type="dxa"/>
          </w:tcPr>
          <w:p w14:paraId="450210BC" w14:textId="77777777" w:rsidR="00C07B58" w:rsidRPr="00D86314" w:rsidRDefault="00C07B58">
            <w:pPr>
              <w:rPr>
                <w:bCs/>
                <w:noProof/>
                <w:sz w:val="20"/>
                <w:szCs w:val="20"/>
              </w:rPr>
            </w:pPr>
            <w:r w:rsidRPr="00D86314">
              <w:rPr>
                <w:bCs/>
                <w:noProof/>
                <w:sz w:val="20"/>
                <w:szCs w:val="20"/>
              </w:rPr>
              <w:t>Y</w:t>
            </w:r>
          </w:p>
        </w:tc>
        <w:tc>
          <w:tcPr>
            <w:tcW w:w="954" w:type="dxa"/>
            <w:shd w:val="clear" w:color="auto" w:fill="00B050"/>
          </w:tcPr>
          <w:p w14:paraId="7B48C87F" w14:textId="77777777" w:rsidR="00C07B58" w:rsidRPr="00D86314" w:rsidRDefault="00C07B58">
            <w:pPr>
              <w:rPr>
                <w:bCs/>
                <w:noProof/>
                <w:sz w:val="20"/>
                <w:szCs w:val="20"/>
              </w:rPr>
            </w:pPr>
            <w:r w:rsidRPr="00D86314">
              <w:rPr>
                <w:bCs/>
                <w:noProof/>
                <w:sz w:val="20"/>
                <w:szCs w:val="20"/>
              </w:rPr>
              <w:t>93</w:t>
            </w:r>
          </w:p>
        </w:tc>
        <w:tc>
          <w:tcPr>
            <w:tcW w:w="784" w:type="dxa"/>
            <w:shd w:val="clear" w:color="auto" w:fill="00B050"/>
          </w:tcPr>
          <w:p w14:paraId="3240A5ED" w14:textId="6283F13D" w:rsidR="00C07B58" w:rsidRPr="00D86314" w:rsidRDefault="00C07B58">
            <w:pPr>
              <w:rPr>
                <w:bCs/>
                <w:noProof/>
                <w:sz w:val="20"/>
                <w:szCs w:val="20"/>
              </w:rPr>
            </w:pPr>
            <w:r w:rsidRPr="00D86314">
              <w:rPr>
                <w:bCs/>
                <w:noProof/>
                <w:sz w:val="20"/>
                <w:szCs w:val="20"/>
              </w:rPr>
              <w:t>89</w:t>
            </w:r>
            <w:r w:rsidR="00B81929">
              <w:rPr>
                <w:bCs/>
                <w:noProof/>
                <w:sz w:val="20"/>
                <w:szCs w:val="20"/>
              </w:rPr>
              <w:t>,</w:t>
            </w:r>
            <w:r w:rsidRPr="00D86314">
              <w:rPr>
                <w:bCs/>
                <w:noProof/>
                <w:sz w:val="20"/>
                <w:szCs w:val="20"/>
              </w:rPr>
              <w:t>9</w:t>
            </w:r>
          </w:p>
        </w:tc>
        <w:tc>
          <w:tcPr>
            <w:tcW w:w="1414" w:type="dxa"/>
          </w:tcPr>
          <w:p w14:paraId="707CBD61" w14:textId="77777777" w:rsidR="00C07B58" w:rsidRPr="00D86314" w:rsidRDefault="00C07B58">
            <w:pPr>
              <w:rPr>
                <w:bCs/>
                <w:noProof/>
                <w:sz w:val="20"/>
                <w:szCs w:val="20"/>
              </w:rPr>
            </w:pPr>
            <w:r w:rsidRPr="00D86314">
              <w:rPr>
                <w:bCs/>
                <w:noProof/>
                <w:sz w:val="20"/>
                <w:szCs w:val="20"/>
              </w:rPr>
              <w:t>na</w:t>
            </w:r>
          </w:p>
        </w:tc>
        <w:tc>
          <w:tcPr>
            <w:tcW w:w="649" w:type="dxa"/>
            <w:shd w:val="clear" w:color="auto" w:fill="FFC000"/>
          </w:tcPr>
          <w:p w14:paraId="7C7A1943" w14:textId="471552BE" w:rsidR="00C07B58" w:rsidRPr="00D86314" w:rsidRDefault="00C07B58">
            <w:pPr>
              <w:rPr>
                <w:bCs/>
                <w:noProof/>
                <w:sz w:val="20"/>
                <w:szCs w:val="20"/>
              </w:rPr>
            </w:pPr>
            <w:r w:rsidRPr="00D86314">
              <w:rPr>
                <w:bCs/>
                <w:noProof/>
                <w:sz w:val="20"/>
                <w:szCs w:val="20"/>
              </w:rPr>
              <w:t>15</w:t>
            </w:r>
            <w:r w:rsidR="00D36A17">
              <w:rPr>
                <w:bCs/>
                <w:noProof/>
                <w:sz w:val="20"/>
                <w:szCs w:val="20"/>
              </w:rPr>
              <w:t>,</w:t>
            </w:r>
            <w:r w:rsidRPr="00D86314">
              <w:rPr>
                <w:bCs/>
                <w:noProof/>
                <w:sz w:val="20"/>
                <w:szCs w:val="20"/>
              </w:rPr>
              <w:t>1</w:t>
            </w:r>
          </w:p>
        </w:tc>
        <w:tc>
          <w:tcPr>
            <w:tcW w:w="791" w:type="dxa"/>
            <w:shd w:val="clear" w:color="auto" w:fill="EE0000"/>
          </w:tcPr>
          <w:p w14:paraId="73281640" w14:textId="77777777" w:rsidR="00C07B58" w:rsidRPr="00D86314" w:rsidRDefault="00C07B58">
            <w:pPr>
              <w:rPr>
                <w:bCs/>
                <w:noProof/>
                <w:sz w:val="20"/>
                <w:szCs w:val="20"/>
              </w:rPr>
            </w:pPr>
          </w:p>
        </w:tc>
        <w:tc>
          <w:tcPr>
            <w:tcW w:w="779" w:type="dxa"/>
            <w:gridSpan w:val="2"/>
            <w:shd w:val="clear" w:color="auto" w:fill="FFFF00"/>
          </w:tcPr>
          <w:p w14:paraId="63EA7947" w14:textId="77777777" w:rsidR="00C07B58" w:rsidRPr="00D86314" w:rsidRDefault="00C07B58">
            <w:pPr>
              <w:rPr>
                <w:bCs/>
                <w:noProof/>
                <w:sz w:val="20"/>
                <w:szCs w:val="20"/>
              </w:rPr>
            </w:pPr>
            <w:r w:rsidRPr="00D86314">
              <w:rPr>
                <w:bCs/>
                <w:noProof/>
                <w:sz w:val="20"/>
                <w:szCs w:val="20"/>
              </w:rPr>
              <w:t>8%</w:t>
            </w:r>
          </w:p>
        </w:tc>
      </w:tr>
      <w:tr w:rsidR="00C07B58" w:rsidRPr="00D86314" w14:paraId="2489FBDD" w14:textId="77777777" w:rsidTr="007B4150">
        <w:trPr>
          <w:gridAfter w:val="2"/>
          <w:wAfter w:w="825" w:type="dxa"/>
        </w:trPr>
        <w:tc>
          <w:tcPr>
            <w:tcW w:w="960" w:type="dxa"/>
          </w:tcPr>
          <w:p w14:paraId="477DE1EF" w14:textId="77777777" w:rsidR="00C07B58" w:rsidRPr="00D86314" w:rsidRDefault="00C07B58">
            <w:pPr>
              <w:rPr>
                <w:bCs/>
                <w:noProof/>
                <w:sz w:val="20"/>
                <w:szCs w:val="20"/>
              </w:rPr>
            </w:pPr>
          </w:p>
        </w:tc>
        <w:tc>
          <w:tcPr>
            <w:tcW w:w="11651" w:type="dxa"/>
            <w:gridSpan w:val="14"/>
          </w:tcPr>
          <w:p w14:paraId="43516484" w14:textId="77777777" w:rsidR="00C07B58" w:rsidRPr="00D86314" w:rsidRDefault="00C07B58">
            <w:pPr>
              <w:rPr>
                <w:bCs/>
                <w:noProof/>
                <w:sz w:val="20"/>
                <w:szCs w:val="20"/>
              </w:rPr>
            </w:pPr>
            <w:r w:rsidRPr="00D86314">
              <w:rPr>
                <w:bCs/>
                <w:noProof/>
                <w:sz w:val="20"/>
                <w:szCs w:val="20"/>
              </w:rPr>
              <w:t>Duopoly – nationwide historic cable</w:t>
            </w:r>
          </w:p>
        </w:tc>
      </w:tr>
      <w:tr w:rsidR="009F44AF" w:rsidRPr="00D86314" w14:paraId="7FA2B324" w14:textId="77777777" w:rsidTr="007B4150">
        <w:trPr>
          <w:gridAfter w:val="3"/>
          <w:wAfter w:w="845" w:type="dxa"/>
        </w:trPr>
        <w:tc>
          <w:tcPr>
            <w:tcW w:w="960" w:type="dxa"/>
          </w:tcPr>
          <w:p w14:paraId="5C9013F1" w14:textId="77777777" w:rsidR="00C07B58" w:rsidRPr="00D86314" w:rsidRDefault="00C07B58">
            <w:pPr>
              <w:rPr>
                <w:bCs/>
                <w:noProof/>
                <w:sz w:val="20"/>
                <w:szCs w:val="20"/>
              </w:rPr>
            </w:pPr>
            <w:r w:rsidRPr="00D86314">
              <w:rPr>
                <w:bCs/>
                <w:noProof/>
                <w:sz w:val="20"/>
                <w:szCs w:val="20"/>
              </w:rPr>
              <w:t>Netherlands</w:t>
            </w:r>
          </w:p>
        </w:tc>
        <w:tc>
          <w:tcPr>
            <w:tcW w:w="992" w:type="dxa"/>
          </w:tcPr>
          <w:p w14:paraId="1E59E968" w14:textId="77777777" w:rsidR="00C07B58" w:rsidRPr="00D86314" w:rsidRDefault="00C07B58">
            <w:pPr>
              <w:rPr>
                <w:bCs/>
                <w:noProof/>
                <w:sz w:val="20"/>
                <w:szCs w:val="20"/>
              </w:rPr>
            </w:pPr>
            <w:r w:rsidRPr="00D86314">
              <w:rPr>
                <w:bCs/>
                <w:noProof/>
                <w:sz w:val="20"/>
                <w:szCs w:val="20"/>
              </w:rPr>
              <w:t>N</w:t>
            </w:r>
          </w:p>
        </w:tc>
        <w:tc>
          <w:tcPr>
            <w:tcW w:w="1046" w:type="dxa"/>
          </w:tcPr>
          <w:p w14:paraId="7A5C00FC" w14:textId="77777777" w:rsidR="00C07B58" w:rsidRPr="00D86314" w:rsidRDefault="00C07B58">
            <w:pPr>
              <w:rPr>
                <w:bCs/>
                <w:noProof/>
                <w:sz w:val="20"/>
                <w:szCs w:val="20"/>
              </w:rPr>
            </w:pPr>
            <w:r w:rsidRPr="00D86314">
              <w:rPr>
                <w:bCs/>
                <w:noProof/>
                <w:sz w:val="20"/>
                <w:szCs w:val="20"/>
              </w:rPr>
              <w:t>Pre-existing nationwide cable</w:t>
            </w:r>
          </w:p>
        </w:tc>
        <w:tc>
          <w:tcPr>
            <w:tcW w:w="1051" w:type="dxa"/>
          </w:tcPr>
          <w:p w14:paraId="369ECB51" w14:textId="77777777" w:rsidR="00C07B58" w:rsidRPr="00D86314" w:rsidRDefault="00C07B58">
            <w:pPr>
              <w:rPr>
                <w:bCs/>
                <w:noProof/>
                <w:sz w:val="20"/>
                <w:szCs w:val="20"/>
              </w:rPr>
            </w:pPr>
            <w:r w:rsidRPr="00D86314">
              <w:rPr>
                <w:bCs/>
                <w:noProof/>
                <w:sz w:val="20"/>
                <w:szCs w:val="20"/>
              </w:rPr>
              <w:t>N</w:t>
            </w:r>
          </w:p>
        </w:tc>
        <w:tc>
          <w:tcPr>
            <w:tcW w:w="1051" w:type="dxa"/>
          </w:tcPr>
          <w:p w14:paraId="04EAC15D" w14:textId="77777777" w:rsidR="00C07B58" w:rsidRPr="00D86314" w:rsidRDefault="00C07B58">
            <w:pPr>
              <w:rPr>
                <w:bCs/>
                <w:noProof/>
                <w:sz w:val="20"/>
                <w:szCs w:val="20"/>
              </w:rPr>
            </w:pPr>
          </w:p>
        </w:tc>
        <w:tc>
          <w:tcPr>
            <w:tcW w:w="1054" w:type="dxa"/>
          </w:tcPr>
          <w:p w14:paraId="3D08C595" w14:textId="77777777" w:rsidR="00C07B58" w:rsidRPr="00D86314" w:rsidRDefault="4631C61E">
            <w:pPr>
              <w:rPr>
                <w:bCs/>
                <w:noProof/>
                <w:sz w:val="20"/>
                <w:szCs w:val="20"/>
              </w:rPr>
            </w:pPr>
            <w:r w:rsidRPr="00D86314">
              <w:rPr>
                <w:noProof/>
                <w:sz w:val="20"/>
                <w:szCs w:val="20"/>
              </w:rPr>
              <w:t>Y – long-term pricing / commercial offers</w:t>
            </w:r>
            <w:r w:rsidR="00C07B58" w:rsidRPr="00D86314">
              <w:rPr>
                <w:rStyle w:val="FootnoteReference"/>
                <w:noProof/>
              </w:rPr>
              <w:footnoteReference w:id="189"/>
            </w:r>
          </w:p>
        </w:tc>
        <w:tc>
          <w:tcPr>
            <w:tcW w:w="1066" w:type="dxa"/>
          </w:tcPr>
          <w:p w14:paraId="1490B2D5" w14:textId="77777777" w:rsidR="00C07B58" w:rsidRPr="00D86314" w:rsidRDefault="00C07B58">
            <w:pPr>
              <w:rPr>
                <w:bCs/>
                <w:noProof/>
                <w:sz w:val="20"/>
                <w:szCs w:val="20"/>
              </w:rPr>
            </w:pPr>
            <w:r w:rsidRPr="00D86314">
              <w:rPr>
                <w:bCs/>
                <w:noProof/>
                <w:sz w:val="20"/>
                <w:szCs w:val="20"/>
              </w:rPr>
              <w:t>Y – long-term pricing / commercial offers</w:t>
            </w:r>
          </w:p>
        </w:tc>
        <w:tc>
          <w:tcPr>
            <w:tcW w:w="954" w:type="dxa"/>
            <w:shd w:val="clear" w:color="auto" w:fill="00B050"/>
          </w:tcPr>
          <w:p w14:paraId="0E2956B8" w14:textId="77777777" w:rsidR="00C07B58" w:rsidRPr="00D86314" w:rsidRDefault="00C07B58">
            <w:pPr>
              <w:rPr>
                <w:bCs/>
                <w:noProof/>
                <w:sz w:val="20"/>
                <w:szCs w:val="20"/>
              </w:rPr>
            </w:pPr>
            <w:r w:rsidRPr="00D86314">
              <w:rPr>
                <w:bCs/>
                <w:noProof/>
                <w:sz w:val="20"/>
                <w:szCs w:val="20"/>
              </w:rPr>
              <w:t>85</w:t>
            </w:r>
          </w:p>
        </w:tc>
        <w:tc>
          <w:tcPr>
            <w:tcW w:w="784" w:type="dxa"/>
            <w:shd w:val="clear" w:color="auto" w:fill="FFFF00"/>
          </w:tcPr>
          <w:p w14:paraId="62F0934E" w14:textId="77777777" w:rsidR="00C07B58" w:rsidRPr="00D86314" w:rsidRDefault="00C07B58">
            <w:pPr>
              <w:rPr>
                <w:bCs/>
                <w:noProof/>
                <w:sz w:val="20"/>
                <w:szCs w:val="20"/>
              </w:rPr>
            </w:pPr>
            <w:r w:rsidRPr="00D86314">
              <w:rPr>
                <w:bCs/>
                <w:noProof/>
                <w:sz w:val="20"/>
                <w:szCs w:val="20"/>
              </w:rPr>
              <w:t>38</w:t>
            </w:r>
          </w:p>
        </w:tc>
        <w:tc>
          <w:tcPr>
            <w:tcW w:w="1414" w:type="dxa"/>
          </w:tcPr>
          <w:p w14:paraId="108DB564" w14:textId="77777777" w:rsidR="00C07B58" w:rsidRPr="00D86314" w:rsidRDefault="00C07B58">
            <w:pPr>
              <w:rPr>
                <w:bCs/>
                <w:noProof/>
                <w:sz w:val="20"/>
                <w:szCs w:val="20"/>
              </w:rPr>
            </w:pPr>
            <w:r w:rsidRPr="00D86314">
              <w:rPr>
                <w:bCs/>
                <w:noProof/>
                <w:sz w:val="20"/>
                <w:szCs w:val="20"/>
              </w:rPr>
              <w:t>na</w:t>
            </w:r>
          </w:p>
        </w:tc>
        <w:tc>
          <w:tcPr>
            <w:tcW w:w="649" w:type="dxa"/>
            <w:shd w:val="clear" w:color="auto" w:fill="EE0000"/>
          </w:tcPr>
          <w:p w14:paraId="277489C2" w14:textId="54FAAF19" w:rsidR="00C07B58" w:rsidRPr="00D86314" w:rsidRDefault="00C07B58">
            <w:pPr>
              <w:rPr>
                <w:bCs/>
                <w:noProof/>
                <w:sz w:val="20"/>
                <w:szCs w:val="20"/>
              </w:rPr>
            </w:pPr>
            <w:r w:rsidRPr="00D86314">
              <w:rPr>
                <w:bCs/>
                <w:noProof/>
                <w:sz w:val="20"/>
                <w:szCs w:val="20"/>
              </w:rPr>
              <w:t>10</w:t>
            </w:r>
            <w:r w:rsidR="00D36A17">
              <w:rPr>
                <w:bCs/>
                <w:noProof/>
                <w:sz w:val="20"/>
                <w:szCs w:val="20"/>
              </w:rPr>
              <w:t>,</w:t>
            </w:r>
            <w:r w:rsidRPr="00D86314">
              <w:rPr>
                <w:bCs/>
                <w:noProof/>
                <w:sz w:val="20"/>
                <w:szCs w:val="20"/>
              </w:rPr>
              <w:t>5</w:t>
            </w:r>
          </w:p>
        </w:tc>
        <w:tc>
          <w:tcPr>
            <w:tcW w:w="791" w:type="dxa"/>
            <w:shd w:val="clear" w:color="auto" w:fill="EE0000"/>
          </w:tcPr>
          <w:p w14:paraId="3CD59571" w14:textId="77777777" w:rsidR="00C07B58" w:rsidRPr="00D86314" w:rsidRDefault="00C07B58">
            <w:pPr>
              <w:rPr>
                <w:bCs/>
                <w:noProof/>
                <w:sz w:val="20"/>
                <w:szCs w:val="20"/>
              </w:rPr>
            </w:pPr>
          </w:p>
        </w:tc>
        <w:tc>
          <w:tcPr>
            <w:tcW w:w="779" w:type="dxa"/>
            <w:gridSpan w:val="2"/>
            <w:shd w:val="clear" w:color="auto" w:fill="FFFF00"/>
          </w:tcPr>
          <w:p w14:paraId="68D2F234" w14:textId="77777777" w:rsidR="00C07B58" w:rsidRPr="00D86314" w:rsidRDefault="00C07B58">
            <w:pPr>
              <w:rPr>
                <w:bCs/>
                <w:noProof/>
                <w:sz w:val="20"/>
                <w:szCs w:val="20"/>
              </w:rPr>
            </w:pPr>
            <w:r w:rsidRPr="00D86314">
              <w:rPr>
                <w:bCs/>
                <w:noProof/>
                <w:sz w:val="20"/>
                <w:szCs w:val="20"/>
              </w:rPr>
              <w:t>6%</w:t>
            </w:r>
          </w:p>
        </w:tc>
      </w:tr>
      <w:tr w:rsidR="009F44AF" w:rsidRPr="00D86314" w14:paraId="4BAB3BA7" w14:textId="77777777" w:rsidTr="007B4150">
        <w:trPr>
          <w:gridAfter w:val="3"/>
          <w:wAfter w:w="845" w:type="dxa"/>
        </w:trPr>
        <w:tc>
          <w:tcPr>
            <w:tcW w:w="960" w:type="dxa"/>
          </w:tcPr>
          <w:p w14:paraId="1FBF6EC1" w14:textId="77777777" w:rsidR="00C07B58" w:rsidRPr="00D86314" w:rsidRDefault="00C07B58">
            <w:pPr>
              <w:rPr>
                <w:bCs/>
                <w:noProof/>
                <w:sz w:val="20"/>
                <w:szCs w:val="20"/>
              </w:rPr>
            </w:pPr>
            <w:r w:rsidRPr="00D86314">
              <w:rPr>
                <w:bCs/>
                <w:noProof/>
                <w:sz w:val="20"/>
                <w:szCs w:val="20"/>
              </w:rPr>
              <w:t>Belgium</w:t>
            </w:r>
          </w:p>
        </w:tc>
        <w:tc>
          <w:tcPr>
            <w:tcW w:w="992" w:type="dxa"/>
          </w:tcPr>
          <w:p w14:paraId="0E08B390" w14:textId="77777777" w:rsidR="00C07B58" w:rsidRPr="00D86314" w:rsidRDefault="00C07B58">
            <w:pPr>
              <w:rPr>
                <w:bCs/>
                <w:noProof/>
                <w:sz w:val="20"/>
                <w:szCs w:val="20"/>
              </w:rPr>
            </w:pPr>
            <w:r w:rsidRPr="00D86314">
              <w:rPr>
                <w:bCs/>
                <w:noProof/>
                <w:sz w:val="20"/>
                <w:szCs w:val="20"/>
              </w:rPr>
              <w:t>N remedy in M2, but limited ducts</w:t>
            </w:r>
          </w:p>
        </w:tc>
        <w:tc>
          <w:tcPr>
            <w:tcW w:w="1046" w:type="dxa"/>
          </w:tcPr>
          <w:p w14:paraId="7EDD5FCB" w14:textId="77777777" w:rsidR="00C07B58" w:rsidRPr="00D86314" w:rsidRDefault="00C07B58">
            <w:pPr>
              <w:rPr>
                <w:bCs/>
                <w:noProof/>
                <w:sz w:val="20"/>
                <w:szCs w:val="20"/>
              </w:rPr>
            </w:pPr>
            <w:r w:rsidRPr="00D86314">
              <w:rPr>
                <w:bCs/>
                <w:noProof/>
                <w:sz w:val="20"/>
                <w:szCs w:val="20"/>
              </w:rPr>
              <w:t>Pre-existing nationwide cable</w:t>
            </w:r>
          </w:p>
        </w:tc>
        <w:tc>
          <w:tcPr>
            <w:tcW w:w="1051" w:type="dxa"/>
          </w:tcPr>
          <w:p w14:paraId="0DB0EFB3" w14:textId="77777777" w:rsidR="00C07B58" w:rsidRPr="00D86314" w:rsidRDefault="00C07B58">
            <w:pPr>
              <w:rPr>
                <w:bCs/>
                <w:noProof/>
                <w:sz w:val="20"/>
                <w:szCs w:val="20"/>
              </w:rPr>
            </w:pPr>
            <w:r w:rsidRPr="00D86314">
              <w:rPr>
                <w:bCs/>
                <w:noProof/>
                <w:sz w:val="20"/>
                <w:szCs w:val="20"/>
              </w:rPr>
              <w:t>N</w:t>
            </w:r>
          </w:p>
        </w:tc>
        <w:tc>
          <w:tcPr>
            <w:tcW w:w="1051" w:type="dxa"/>
          </w:tcPr>
          <w:p w14:paraId="57E870BB" w14:textId="77777777" w:rsidR="00C07B58" w:rsidRPr="00D86314" w:rsidRDefault="00C07B58">
            <w:pPr>
              <w:rPr>
                <w:bCs/>
                <w:noProof/>
                <w:sz w:val="20"/>
                <w:szCs w:val="20"/>
              </w:rPr>
            </w:pPr>
            <w:r w:rsidRPr="00D86314">
              <w:rPr>
                <w:bCs/>
                <w:noProof/>
                <w:sz w:val="20"/>
                <w:szCs w:val="20"/>
              </w:rPr>
              <w:t>Y</w:t>
            </w:r>
          </w:p>
        </w:tc>
        <w:tc>
          <w:tcPr>
            <w:tcW w:w="1054" w:type="dxa"/>
          </w:tcPr>
          <w:p w14:paraId="0B399373" w14:textId="77777777" w:rsidR="00C07B58" w:rsidRPr="00D86314" w:rsidRDefault="00C07B58">
            <w:pPr>
              <w:rPr>
                <w:bCs/>
                <w:noProof/>
                <w:sz w:val="20"/>
                <w:szCs w:val="20"/>
              </w:rPr>
            </w:pPr>
          </w:p>
        </w:tc>
        <w:tc>
          <w:tcPr>
            <w:tcW w:w="1066" w:type="dxa"/>
          </w:tcPr>
          <w:p w14:paraId="3ADA4A44" w14:textId="77777777" w:rsidR="00C07B58" w:rsidRPr="00D86314" w:rsidRDefault="00C07B58">
            <w:pPr>
              <w:rPr>
                <w:bCs/>
                <w:noProof/>
                <w:sz w:val="20"/>
                <w:szCs w:val="20"/>
              </w:rPr>
            </w:pPr>
            <w:r w:rsidRPr="00D86314">
              <w:rPr>
                <w:bCs/>
                <w:noProof/>
                <w:sz w:val="20"/>
                <w:szCs w:val="20"/>
              </w:rPr>
              <w:t>Y (reasonable margin)</w:t>
            </w:r>
          </w:p>
        </w:tc>
        <w:tc>
          <w:tcPr>
            <w:tcW w:w="954" w:type="dxa"/>
            <w:shd w:val="clear" w:color="auto" w:fill="EE0000"/>
          </w:tcPr>
          <w:p w14:paraId="635FE1FA" w14:textId="77777777" w:rsidR="00C07B58" w:rsidRPr="00D86314" w:rsidRDefault="00C07B58">
            <w:pPr>
              <w:rPr>
                <w:bCs/>
                <w:noProof/>
                <w:sz w:val="20"/>
                <w:szCs w:val="20"/>
              </w:rPr>
            </w:pPr>
            <w:r w:rsidRPr="00D86314">
              <w:rPr>
                <w:bCs/>
                <w:noProof/>
                <w:sz w:val="20"/>
                <w:szCs w:val="20"/>
              </w:rPr>
              <w:t>31</w:t>
            </w:r>
          </w:p>
        </w:tc>
        <w:tc>
          <w:tcPr>
            <w:tcW w:w="784" w:type="dxa"/>
            <w:shd w:val="clear" w:color="auto" w:fill="EE0000"/>
          </w:tcPr>
          <w:p w14:paraId="706D1466" w14:textId="432715E8" w:rsidR="00C07B58" w:rsidRPr="00D86314" w:rsidRDefault="00C07B58">
            <w:pPr>
              <w:rPr>
                <w:bCs/>
                <w:noProof/>
                <w:sz w:val="20"/>
                <w:szCs w:val="20"/>
              </w:rPr>
            </w:pPr>
            <w:r w:rsidRPr="00D86314">
              <w:rPr>
                <w:bCs/>
                <w:noProof/>
                <w:sz w:val="20"/>
                <w:szCs w:val="20"/>
              </w:rPr>
              <w:t>35</w:t>
            </w:r>
            <w:r w:rsidR="00D36A17">
              <w:rPr>
                <w:bCs/>
                <w:noProof/>
                <w:sz w:val="20"/>
                <w:szCs w:val="20"/>
              </w:rPr>
              <w:t>,</w:t>
            </w:r>
            <w:r w:rsidRPr="00D86314">
              <w:rPr>
                <w:bCs/>
                <w:noProof/>
                <w:sz w:val="20"/>
                <w:szCs w:val="20"/>
              </w:rPr>
              <w:t>7</w:t>
            </w:r>
          </w:p>
        </w:tc>
        <w:tc>
          <w:tcPr>
            <w:tcW w:w="1414" w:type="dxa"/>
          </w:tcPr>
          <w:p w14:paraId="616245B9" w14:textId="77777777" w:rsidR="00C07B58" w:rsidRPr="00D86314" w:rsidRDefault="00C07B58">
            <w:pPr>
              <w:rPr>
                <w:bCs/>
                <w:noProof/>
                <w:sz w:val="20"/>
                <w:szCs w:val="20"/>
              </w:rPr>
            </w:pPr>
            <w:r w:rsidRPr="00D86314">
              <w:rPr>
                <w:bCs/>
                <w:noProof/>
                <w:sz w:val="20"/>
                <w:szCs w:val="20"/>
              </w:rPr>
              <w:t>Higher than average increasing</w:t>
            </w:r>
          </w:p>
        </w:tc>
        <w:tc>
          <w:tcPr>
            <w:tcW w:w="649" w:type="dxa"/>
            <w:shd w:val="clear" w:color="auto" w:fill="EE0000"/>
          </w:tcPr>
          <w:p w14:paraId="1219BA27" w14:textId="4D444B73" w:rsidR="00C07B58" w:rsidRPr="00D86314" w:rsidRDefault="00C07B58">
            <w:pPr>
              <w:rPr>
                <w:bCs/>
                <w:noProof/>
                <w:sz w:val="20"/>
                <w:szCs w:val="20"/>
              </w:rPr>
            </w:pPr>
            <w:r w:rsidRPr="00D86314">
              <w:rPr>
                <w:bCs/>
                <w:noProof/>
                <w:sz w:val="20"/>
                <w:szCs w:val="20"/>
              </w:rPr>
              <w:t>5</w:t>
            </w:r>
            <w:r w:rsidR="00D36A17">
              <w:rPr>
                <w:bCs/>
                <w:noProof/>
                <w:sz w:val="20"/>
                <w:szCs w:val="20"/>
              </w:rPr>
              <w:t>,</w:t>
            </w:r>
            <w:r w:rsidRPr="00D86314">
              <w:rPr>
                <w:bCs/>
                <w:noProof/>
                <w:sz w:val="20"/>
                <w:szCs w:val="20"/>
              </w:rPr>
              <w:t>5</w:t>
            </w:r>
          </w:p>
        </w:tc>
        <w:tc>
          <w:tcPr>
            <w:tcW w:w="791" w:type="dxa"/>
            <w:shd w:val="clear" w:color="auto" w:fill="EE0000"/>
          </w:tcPr>
          <w:p w14:paraId="00072BE2" w14:textId="77777777" w:rsidR="00C07B58" w:rsidRPr="00D86314" w:rsidRDefault="00C07B58">
            <w:pPr>
              <w:rPr>
                <w:bCs/>
                <w:noProof/>
                <w:sz w:val="20"/>
                <w:szCs w:val="20"/>
              </w:rPr>
            </w:pPr>
          </w:p>
        </w:tc>
        <w:tc>
          <w:tcPr>
            <w:tcW w:w="779" w:type="dxa"/>
            <w:gridSpan w:val="2"/>
            <w:shd w:val="clear" w:color="auto" w:fill="00B050"/>
          </w:tcPr>
          <w:p w14:paraId="2E2B3C0B" w14:textId="77777777" w:rsidR="00C07B58" w:rsidRPr="00D86314" w:rsidRDefault="00C07B58">
            <w:pPr>
              <w:rPr>
                <w:bCs/>
                <w:noProof/>
                <w:sz w:val="20"/>
                <w:szCs w:val="20"/>
              </w:rPr>
            </w:pPr>
          </w:p>
        </w:tc>
      </w:tr>
      <w:tr w:rsidR="009F44AF" w:rsidRPr="00D86314" w14:paraId="40546AF7" w14:textId="77777777" w:rsidTr="007B4150">
        <w:trPr>
          <w:gridAfter w:val="3"/>
          <w:wAfter w:w="845" w:type="dxa"/>
        </w:trPr>
        <w:tc>
          <w:tcPr>
            <w:tcW w:w="960" w:type="dxa"/>
          </w:tcPr>
          <w:p w14:paraId="031C4BFD" w14:textId="77777777" w:rsidR="00C07B58" w:rsidRPr="00D86314" w:rsidRDefault="00C07B58">
            <w:pPr>
              <w:rPr>
                <w:bCs/>
                <w:noProof/>
                <w:sz w:val="20"/>
                <w:szCs w:val="20"/>
              </w:rPr>
            </w:pPr>
            <w:r w:rsidRPr="00D86314">
              <w:rPr>
                <w:bCs/>
                <w:noProof/>
                <w:sz w:val="20"/>
                <w:szCs w:val="20"/>
              </w:rPr>
              <w:t>Malta</w:t>
            </w:r>
          </w:p>
        </w:tc>
        <w:tc>
          <w:tcPr>
            <w:tcW w:w="992" w:type="dxa"/>
          </w:tcPr>
          <w:p w14:paraId="6F9BE5F9" w14:textId="77777777" w:rsidR="00C07B58" w:rsidRPr="00D86314" w:rsidRDefault="00C07B58">
            <w:pPr>
              <w:rPr>
                <w:bCs/>
                <w:noProof/>
                <w:sz w:val="20"/>
                <w:szCs w:val="20"/>
              </w:rPr>
            </w:pPr>
            <w:r w:rsidRPr="00D86314">
              <w:rPr>
                <w:bCs/>
                <w:noProof/>
                <w:sz w:val="20"/>
                <w:szCs w:val="20"/>
              </w:rPr>
              <w:t>N</w:t>
            </w:r>
          </w:p>
        </w:tc>
        <w:tc>
          <w:tcPr>
            <w:tcW w:w="1046" w:type="dxa"/>
          </w:tcPr>
          <w:p w14:paraId="4AD28316" w14:textId="77777777" w:rsidR="00C07B58" w:rsidRPr="00D86314" w:rsidRDefault="00C07B58">
            <w:pPr>
              <w:rPr>
                <w:bCs/>
                <w:noProof/>
                <w:sz w:val="20"/>
                <w:szCs w:val="20"/>
              </w:rPr>
            </w:pPr>
            <w:r w:rsidRPr="00D86314">
              <w:rPr>
                <w:bCs/>
                <w:noProof/>
                <w:sz w:val="20"/>
                <w:szCs w:val="20"/>
              </w:rPr>
              <w:t>Pre-existing nationwide cable</w:t>
            </w:r>
          </w:p>
        </w:tc>
        <w:tc>
          <w:tcPr>
            <w:tcW w:w="1051" w:type="dxa"/>
          </w:tcPr>
          <w:p w14:paraId="08FBB6B1" w14:textId="77777777" w:rsidR="00C07B58" w:rsidRPr="00D86314" w:rsidRDefault="00C07B58">
            <w:pPr>
              <w:rPr>
                <w:bCs/>
                <w:noProof/>
                <w:sz w:val="20"/>
                <w:szCs w:val="20"/>
              </w:rPr>
            </w:pPr>
            <w:r w:rsidRPr="00D86314">
              <w:rPr>
                <w:bCs/>
                <w:noProof/>
                <w:sz w:val="20"/>
                <w:szCs w:val="20"/>
              </w:rPr>
              <w:t>N</w:t>
            </w:r>
          </w:p>
        </w:tc>
        <w:tc>
          <w:tcPr>
            <w:tcW w:w="1051" w:type="dxa"/>
          </w:tcPr>
          <w:p w14:paraId="3B9C53A8" w14:textId="77777777" w:rsidR="00C07B58" w:rsidRPr="00D86314" w:rsidRDefault="00C07B58">
            <w:pPr>
              <w:rPr>
                <w:bCs/>
                <w:noProof/>
                <w:sz w:val="20"/>
                <w:szCs w:val="20"/>
              </w:rPr>
            </w:pPr>
            <w:r w:rsidRPr="00D86314">
              <w:rPr>
                <w:bCs/>
                <w:noProof/>
                <w:sz w:val="20"/>
                <w:szCs w:val="20"/>
              </w:rPr>
              <w:t>N</w:t>
            </w:r>
          </w:p>
        </w:tc>
        <w:tc>
          <w:tcPr>
            <w:tcW w:w="1054" w:type="dxa"/>
          </w:tcPr>
          <w:p w14:paraId="77422613" w14:textId="77777777" w:rsidR="00C07B58" w:rsidRPr="00D86314" w:rsidRDefault="00C07B58">
            <w:pPr>
              <w:rPr>
                <w:bCs/>
                <w:noProof/>
                <w:sz w:val="20"/>
                <w:szCs w:val="20"/>
              </w:rPr>
            </w:pPr>
          </w:p>
        </w:tc>
        <w:tc>
          <w:tcPr>
            <w:tcW w:w="1066" w:type="dxa"/>
          </w:tcPr>
          <w:p w14:paraId="3FBBA322" w14:textId="77777777" w:rsidR="00C07B58" w:rsidRPr="00D86314" w:rsidRDefault="00C07B58">
            <w:pPr>
              <w:rPr>
                <w:bCs/>
                <w:noProof/>
                <w:sz w:val="20"/>
                <w:szCs w:val="20"/>
              </w:rPr>
            </w:pPr>
            <w:r w:rsidRPr="00D86314">
              <w:rPr>
                <w:bCs/>
                <w:noProof/>
                <w:sz w:val="20"/>
                <w:szCs w:val="20"/>
              </w:rPr>
              <w:t>Y (ERT)</w:t>
            </w:r>
          </w:p>
        </w:tc>
        <w:tc>
          <w:tcPr>
            <w:tcW w:w="954" w:type="dxa"/>
            <w:shd w:val="clear" w:color="auto" w:fill="00B050"/>
          </w:tcPr>
          <w:p w14:paraId="1C6E2F7D" w14:textId="77777777" w:rsidR="00C07B58" w:rsidRPr="00D86314" w:rsidRDefault="00C07B58">
            <w:pPr>
              <w:rPr>
                <w:bCs/>
                <w:noProof/>
                <w:sz w:val="20"/>
                <w:szCs w:val="20"/>
              </w:rPr>
            </w:pPr>
            <w:r w:rsidRPr="00D86314">
              <w:rPr>
                <w:bCs/>
                <w:noProof/>
                <w:sz w:val="20"/>
                <w:szCs w:val="20"/>
              </w:rPr>
              <w:t>86</w:t>
            </w:r>
          </w:p>
        </w:tc>
        <w:tc>
          <w:tcPr>
            <w:tcW w:w="784" w:type="dxa"/>
            <w:shd w:val="clear" w:color="auto" w:fill="FFFF00"/>
          </w:tcPr>
          <w:p w14:paraId="4A20839C" w14:textId="76EEC5EA" w:rsidR="00C07B58" w:rsidRPr="00D86314" w:rsidRDefault="00C07B58">
            <w:pPr>
              <w:rPr>
                <w:bCs/>
                <w:noProof/>
                <w:sz w:val="20"/>
                <w:szCs w:val="20"/>
              </w:rPr>
            </w:pPr>
            <w:r w:rsidRPr="00D86314">
              <w:rPr>
                <w:bCs/>
                <w:noProof/>
                <w:sz w:val="20"/>
                <w:szCs w:val="20"/>
              </w:rPr>
              <w:t>59</w:t>
            </w:r>
            <w:r w:rsidR="00D36A17">
              <w:rPr>
                <w:bCs/>
                <w:noProof/>
                <w:sz w:val="20"/>
                <w:szCs w:val="20"/>
              </w:rPr>
              <w:t>,</w:t>
            </w:r>
            <w:r w:rsidRPr="00D86314">
              <w:rPr>
                <w:bCs/>
                <w:noProof/>
                <w:sz w:val="20"/>
                <w:szCs w:val="20"/>
              </w:rPr>
              <w:t>4</w:t>
            </w:r>
          </w:p>
        </w:tc>
        <w:tc>
          <w:tcPr>
            <w:tcW w:w="1414" w:type="dxa"/>
          </w:tcPr>
          <w:p w14:paraId="48EFA297" w14:textId="77777777" w:rsidR="00C07B58" w:rsidRPr="00D86314" w:rsidRDefault="00C07B58">
            <w:pPr>
              <w:rPr>
                <w:bCs/>
                <w:noProof/>
                <w:sz w:val="20"/>
                <w:szCs w:val="20"/>
              </w:rPr>
            </w:pPr>
            <w:r w:rsidRPr="00D86314">
              <w:rPr>
                <w:bCs/>
                <w:noProof/>
                <w:sz w:val="20"/>
                <w:szCs w:val="20"/>
              </w:rPr>
              <w:t>Higher than average, stable</w:t>
            </w:r>
          </w:p>
        </w:tc>
        <w:tc>
          <w:tcPr>
            <w:tcW w:w="649" w:type="dxa"/>
            <w:shd w:val="clear" w:color="auto" w:fill="FFC000"/>
          </w:tcPr>
          <w:p w14:paraId="2C3D51B3" w14:textId="77777777" w:rsidR="00C07B58" w:rsidRPr="00D86314" w:rsidRDefault="00C07B58">
            <w:pPr>
              <w:rPr>
                <w:bCs/>
                <w:noProof/>
                <w:sz w:val="20"/>
                <w:szCs w:val="20"/>
              </w:rPr>
            </w:pPr>
            <w:r w:rsidRPr="00D86314">
              <w:rPr>
                <w:bCs/>
                <w:noProof/>
                <w:sz w:val="20"/>
                <w:szCs w:val="20"/>
              </w:rPr>
              <w:t>17</w:t>
            </w:r>
          </w:p>
        </w:tc>
        <w:tc>
          <w:tcPr>
            <w:tcW w:w="791" w:type="dxa"/>
            <w:shd w:val="clear" w:color="auto" w:fill="00B050"/>
          </w:tcPr>
          <w:p w14:paraId="47740782" w14:textId="77777777" w:rsidR="00C07B58" w:rsidRPr="00D86314" w:rsidRDefault="00C07B58">
            <w:pPr>
              <w:rPr>
                <w:bCs/>
                <w:noProof/>
                <w:sz w:val="20"/>
                <w:szCs w:val="20"/>
              </w:rPr>
            </w:pPr>
          </w:p>
        </w:tc>
        <w:tc>
          <w:tcPr>
            <w:tcW w:w="779" w:type="dxa"/>
            <w:gridSpan w:val="2"/>
            <w:shd w:val="clear" w:color="auto" w:fill="00B050"/>
          </w:tcPr>
          <w:p w14:paraId="4950EB01" w14:textId="77777777" w:rsidR="00C07B58" w:rsidRPr="00D86314" w:rsidRDefault="00C07B58">
            <w:pPr>
              <w:rPr>
                <w:bCs/>
                <w:noProof/>
                <w:sz w:val="20"/>
                <w:szCs w:val="20"/>
              </w:rPr>
            </w:pPr>
          </w:p>
        </w:tc>
      </w:tr>
      <w:tr w:rsidR="00C07B58" w:rsidRPr="00D86314" w14:paraId="6FDCE773" w14:textId="77777777" w:rsidTr="007B4150">
        <w:trPr>
          <w:gridAfter w:val="2"/>
          <w:wAfter w:w="825" w:type="dxa"/>
        </w:trPr>
        <w:tc>
          <w:tcPr>
            <w:tcW w:w="960" w:type="dxa"/>
          </w:tcPr>
          <w:p w14:paraId="01986B43" w14:textId="77777777" w:rsidR="00C07B58" w:rsidRPr="00D86314" w:rsidRDefault="00C07B58">
            <w:pPr>
              <w:rPr>
                <w:bCs/>
                <w:noProof/>
                <w:sz w:val="20"/>
                <w:szCs w:val="20"/>
              </w:rPr>
            </w:pPr>
          </w:p>
        </w:tc>
        <w:tc>
          <w:tcPr>
            <w:tcW w:w="11651" w:type="dxa"/>
            <w:gridSpan w:val="14"/>
          </w:tcPr>
          <w:p w14:paraId="4F57A189" w14:textId="77777777" w:rsidR="00C07B58" w:rsidRPr="00D86314" w:rsidRDefault="00C07B58">
            <w:pPr>
              <w:rPr>
                <w:bCs/>
                <w:noProof/>
                <w:sz w:val="20"/>
                <w:szCs w:val="20"/>
              </w:rPr>
            </w:pPr>
            <w:r w:rsidRPr="00D86314">
              <w:rPr>
                <w:bCs/>
                <w:noProof/>
                <w:sz w:val="20"/>
                <w:szCs w:val="20"/>
              </w:rPr>
              <w:t>Early regional / public / utility FTTH investors</w:t>
            </w:r>
          </w:p>
        </w:tc>
      </w:tr>
      <w:tr w:rsidR="00C07B58" w:rsidRPr="00D86314" w14:paraId="5AC7A39C" w14:textId="77777777" w:rsidTr="007B4150">
        <w:trPr>
          <w:gridAfter w:val="3"/>
          <w:wAfter w:w="845" w:type="dxa"/>
        </w:trPr>
        <w:tc>
          <w:tcPr>
            <w:tcW w:w="960" w:type="dxa"/>
          </w:tcPr>
          <w:p w14:paraId="08A8148D" w14:textId="77777777" w:rsidR="00C07B58" w:rsidRPr="00D86314" w:rsidRDefault="00C07B58">
            <w:pPr>
              <w:rPr>
                <w:bCs/>
                <w:noProof/>
                <w:sz w:val="20"/>
                <w:szCs w:val="20"/>
              </w:rPr>
            </w:pPr>
            <w:r w:rsidRPr="00D86314">
              <w:rPr>
                <w:bCs/>
                <w:noProof/>
                <w:sz w:val="20"/>
                <w:szCs w:val="20"/>
              </w:rPr>
              <w:t>Sweden</w:t>
            </w:r>
          </w:p>
        </w:tc>
        <w:tc>
          <w:tcPr>
            <w:tcW w:w="992" w:type="dxa"/>
          </w:tcPr>
          <w:p w14:paraId="33291CBF" w14:textId="77777777" w:rsidR="00C07B58" w:rsidRPr="00D86314" w:rsidRDefault="00C07B58">
            <w:pPr>
              <w:rPr>
                <w:bCs/>
                <w:noProof/>
                <w:sz w:val="20"/>
                <w:szCs w:val="20"/>
              </w:rPr>
            </w:pPr>
            <w:r w:rsidRPr="00D86314">
              <w:rPr>
                <w:bCs/>
                <w:noProof/>
                <w:sz w:val="20"/>
                <w:szCs w:val="20"/>
              </w:rPr>
              <w:t>N</w:t>
            </w:r>
          </w:p>
        </w:tc>
        <w:tc>
          <w:tcPr>
            <w:tcW w:w="1046" w:type="dxa"/>
          </w:tcPr>
          <w:p w14:paraId="4B4095B7" w14:textId="77777777" w:rsidR="00C07B58" w:rsidRPr="00D86314" w:rsidRDefault="00C07B58">
            <w:pPr>
              <w:rPr>
                <w:bCs/>
                <w:noProof/>
                <w:sz w:val="20"/>
                <w:szCs w:val="20"/>
              </w:rPr>
            </w:pPr>
            <w:r w:rsidRPr="00D86314">
              <w:rPr>
                <w:bCs/>
                <w:noProof/>
                <w:sz w:val="20"/>
                <w:szCs w:val="20"/>
              </w:rPr>
              <w:t>Municipal networks have significant coverage</w:t>
            </w:r>
          </w:p>
        </w:tc>
        <w:tc>
          <w:tcPr>
            <w:tcW w:w="1051" w:type="dxa"/>
          </w:tcPr>
          <w:p w14:paraId="07BC6E84" w14:textId="77777777" w:rsidR="00C07B58" w:rsidRPr="00D86314" w:rsidRDefault="00C07B58">
            <w:pPr>
              <w:rPr>
                <w:bCs/>
                <w:noProof/>
                <w:sz w:val="20"/>
                <w:szCs w:val="20"/>
              </w:rPr>
            </w:pPr>
            <w:r w:rsidRPr="00D86314">
              <w:rPr>
                <w:bCs/>
                <w:noProof/>
                <w:sz w:val="20"/>
                <w:szCs w:val="20"/>
              </w:rPr>
              <w:t>N</w:t>
            </w:r>
          </w:p>
        </w:tc>
        <w:tc>
          <w:tcPr>
            <w:tcW w:w="1051" w:type="dxa"/>
          </w:tcPr>
          <w:p w14:paraId="62E87A0B" w14:textId="77777777" w:rsidR="00C07B58" w:rsidRPr="00D86314" w:rsidRDefault="00C07B58">
            <w:pPr>
              <w:rPr>
                <w:bCs/>
                <w:noProof/>
                <w:sz w:val="20"/>
                <w:szCs w:val="20"/>
              </w:rPr>
            </w:pPr>
            <w:r w:rsidRPr="00D86314">
              <w:rPr>
                <w:bCs/>
                <w:noProof/>
                <w:sz w:val="20"/>
                <w:szCs w:val="20"/>
              </w:rPr>
              <w:t>Y</w:t>
            </w:r>
          </w:p>
        </w:tc>
        <w:tc>
          <w:tcPr>
            <w:tcW w:w="1054" w:type="dxa"/>
          </w:tcPr>
          <w:p w14:paraId="0B9EEBC4" w14:textId="77777777" w:rsidR="00C07B58" w:rsidRPr="00D86314" w:rsidRDefault="00C07B58">
            <w:pPr>
              <w:rPr>
                <w:bCs/>
                <w:noProof/>
                <w:sz w:val="20"/>
                <w:szCs w:val="20"/>
              </w:rPr>
            </w:pPr>
          </w:p>
        </w:tc>
        <w:tc>
          <w:tcPr>
            <w:tcW w:w="1066" w:type="dxa"/>
          </w:tcPr>
          <w:p w14:paraId="6AC763AA" w14:textId="77777777" w:rsidR="00C07B58" w:rsidRPr="00D86314" w:rsidRDefault="00C07B58">
            <w:pPr>
              <w:rPr>
                <w:bCs/>
                <w:noProof/>
                <w:sz w:val="20"/>
                <w:szCs w:val="20"/>
              </w:rPr>
            </w:pPr>
            <w:r w:rsidRPr="00D86314">
              <w:rPr>
                <w:bCs/>
                <w:noProof/>
                <w:sz w:val="20"/>
                <w:szCs w:val="20"/>
              </w:rPr>
              <w:t>Y (ERT)</w:t>
            </w:r>
          </w:p>
        </w:tc>
        <w:tc>
          <w:tcPr>
            <w:tcW w:w="954" w:type="dxa"/>
            <w:shd w:val="clear" w:color="auto" w:fill="00B050"/>
          </w:tcPr>
          <w:p w14:paraId="7E476A10" w14:textId="77777777" w:rsidR="00C07B58" w:rsidRPr="00D86314" w:rsidRDefault="00C07B58">
            <w:pPr>
              <w:rPr>
                <w:bCs/>
                <w:noProof/>
                <w:sz w:val="20"/>
                <w:szCs w:val="20"/>
              </w:rPr>
            </w:pPr>
            <w:r w:rsidRPr="00D86314">
              <w:rPr>
                <w:bCs/>
                <w:noProof/>
                <w:sz w:val="20"/>
                <w:szCs w:val="20"/>
              </w:rPr>
              <w:t>86</w:t>
            </w:r>
          </w:p>
        </w:tc>
        <w:tc>
          <w:tcPr>
            <w:tcW w:w="784" w:type="dxa"/>
            <w:shd w:val="clear" w:color="auto" w:fill="00B050"/>
          </w:tcPr>
          <w:p w14:paraId="14BCEB04" w14:textId="3E406E4D" w:rsidR="00C07B58" w:rsidRPr="00D86314" w:rsidRDefault="00C07B58">
            <w:pPr>
              <w:rPr>
                <w:bCs/>
                <w:noProof/>
                <w:sz w:val="20"/>
                <w:szCs w:val="20"/>
              </w:rPr>
            </w:pPr>
            <w:r w:rsidRPr="00D86314">
              <w:rPr>
                <w:bCs/>
                <w:noProof/>
                <w:sz w:val="20"/>
                <w:szCs w:val="20"/>
              </w:rPr>
              <w:t>81</w:t>
            </w:r>
            <w:r w:rsidR="0028055B">
              <w:rPr>
                <w:bCs/>
                <w:noProof/>
                <w:sz w:val="20"/>
                <w:szCs w:val="20"/>
              </w:rPr>
              <w:t>,</w:t>
            </w:r>
            <w:r w:rsidRPr="00D86314">
              <w:rPr>
                <w:bCs/>
                <w:noProof/>
                <w:sz w:val="20"/>
                <w:szCs w:val="20"/>
              </w:rPr>
              <w:t>9</w:t>
            </w:r>
          </w:p>
        </w:tc>
        <w:tc>
          <w:tcPr>
            <w:tcW w:w="1414" w:type="dxa"/>
          </w:tcPr>
          <w:p w14:paraId="7F711782" w14:textId="77777777" w:rsidR="00C07B58" w:rsidRPr="00D86314" w:rsidRDefault="00C07B58">
            <w:pPr>
              <w:rPr>
                <w:bCs/>
                <w:noProof/>
                <w:sz w:val="20"/>
                <w:szCs w:val="20"/>
              </w:rPr>
            </w:pPr>
          </w:p>
        </w:tc>
        <w:tc>
          <w:tcPr>
            <w:tcW w:w="649" w:type="dxa"/>
            <w:shd w:val="clear" w:color="auto" w:fill="EE0000"/>
          </w:tcPr>
          <w:p w14:paraId="309FD5AE" w14:textId="1491FD3B" w:rsidR="00C07B58" w:rsidRPr="00D86314" w:rsidRDefault="00C07B58">
            <w:pPr>
              <w:rPr>
                <w:bCs/>
                <w:noProof/>
                <w:sz w:val="20"/>
                <w:szCs w:val="20"/>
              </w:rPr>
            </w:pPr>
            <w:r w:rsidRPr="00D86314">
              <w:rPr>
                <w:bCs/>
                <w:noProof/>
                <w:sz w:val="20"/>
                <w:szCs w:val="20"/>
              </w:rPr>
              <w:t>9</w:t>
            </w:r>
            <w:r w:rsidR="0028055B">
              <w:rPr>
                <w:bCs/>
                <w:noProof/>
                <w:sz w:val="20"/>
                <w:szCs w:val="20"/>
              </w:rPr>
              <w:t>,</w:t>
            </w:r>
            <w:r w:rsidRPr="00D86314">
              <w:rPr>
                <w:bCs/>
                <w:noProof/>
                <w:sz w:val="20"/>
                <w:szCs w:val="20"/>
              </w:rPr>
              <w:t>8</w:t>
            </w:r>
          </w:p>
        </w:tc>
        <w:tc>
          <w:tcPr>
            <w:tcW w:w="791" w:type="dxa"/>
            <w:shd w:val="clear" w:color="auto" w:fill="FFFF00"/>
          </w:tcPr>
          <w:p w14:paraId="7ED54CFF" w14:textId="77777777" w:rsidR="00C07B58" w:rsidRPr="00D86314" w:rsidRDefault="00C07B58">
            <w:pPr>
              <w:rPr>
                <w:bCs/>
                <w:noProof/>
                <w:sz w:val="20"/>
                <w:szCs w:val="20"/>
              </w:rPr>
            </w:pPr>
          </w:p>
        </w:tc>
        <w:tc>
          <w:tcPr>
            <w:tcW w:w="779" w:type="dxa"/>
            <w:gridSpan w:val="2"/>
          </w:tcPr>
          <w:p w14:paraId="57F7DC34" w14:textId="77777777" w:rsidR="00C07B58" w:rsidRPr="00D86314" w:rsidRDefault="00C07B58">
            <w:pPr>
              <w:rPr>
                <w:bCs/>
                <w:noProof/>
                <w:sz w:val="20"/>
                <w:szCs w:val="20"/>
              </w:rPr>
            </w:pPr>
          </w:p>
        </w:tc>
      </w:tr>
      <w:tr w:rsidR="009F44AF" w:rsidRPr="00D86314" w14:paraId="6D84913A" w14:textId="77777777" w:rsidTr="007B4150">
        <w:trPr>
          <w:gridAfter w:val="3"/>
          <w:wAfter w:w="845" w:type="dxa"/>
        </w:trPr>
        <w:tc>
          <w:tcPr>
            <w:tcW w:w="960" w:type="dxa"/>
          </w:tcPr>
          <w:p w14:paraId="37DC8704" w14:textId="77777777" w:rsidR="00C07B58" w:rsidRPr="00D86314" w:rsidRDefault="00C07B58">
            <w:pPr>
              <w:rPr>
                <w:bCs/>
                <w:noProof/>
                <w:sz w:val="20"/>
                <w:szCs w:val="20"/>
              </w:rPr>
            </w:pPr>
            <w:r w:rsidRPr="00D86314">
              <w:rPr>
                <w:bCs/>
                <w:noProof/>
                <w:sz w:val="20"/>
                <w:szCs w:val="20"/>
              </w:rPr>
              <w:t>Denmark</w:t>
            </w:r>
          </w:p>
        </w:tc>
        <w:tc>
          <w:tcPr>
            <w:tcW w:w="992" w:type="dxa"/>
          </w:tcPr>
          <w:p w14:paraId="22347B26" w14:textId="77777777" w:rsidR="00C07B58" w:rsidRPr="00D86314" w:rsidRDefault="00C07B58">
            <w:pPr>
              <w:rPr>
                <w:bCs/>
                <w:noProof/>
                <w:sz w:val="20"/>
                <w:szCs w:val="20"/>
              </w:rPr>
            </w:pPr>
            <w:r w:rsidRPr="00D86314">
              <w:rPr>
                <w:bCs/>
                <w:noProof/>
                <w:sz w:val="20"/>
                <w:szCs w:val="20"/>
              </w:rPr>
              <w:t>N</w:t>
            </w:r>
          </w:p>
        </w:tc>
        <w:tc>
          <w:tcPr>
            <w:tcW w:w="1046" w:type="dxa"/>
          </w:tcPr>
          <w:p w14:paraId="52651A59" w14:textId="77777777" w:rsidR="00C07B58" w:rsidRPr="00D86314" w:rsidRDefault="00C07B58">
            <w:pPr>
              <w:rPr>
                <w:bCs/>
                <w:noProof/>
                <w:sz w:val="20"/>
                <w:szCs w:val="20"/>
              </w:rPr>
            </w:pPr>
            <w:r w:rsidRPr="00D86314">
              <w:rPr>
                <w:bCs/>
                <w:noProof/>
                <w:sz w:val="20"/>
                <w:szCs w:val="20"/>
              </w:rPr>
              <w:t>Utility networks have significant FTTH coverage</w:t>
            </w:r>
          </w:p>
        </w:tc>
        <w:tc>
          <w:tcPr>
            <w:tcW w:w="1051" w:type="dxa"/>
          </w:tcPr>
          <w:p w14:paraId="0BB0B55B" w14:textId="77777777" w:rsidR="00C07B58" w:rsidRPr="00D86314" w:rsidRDefault="00C07B58">
            <w:pPr>
              <w:rPr>
                <w:bCs/>
                <w:noProof/>
                <w:sz w:val="20"/>
                <w:szCs w:val="20"/>
              </w:rPr>
            </w:pPr>
            <w:r w:rsidRPr="00D86314">
              <w:rPr>
                <w:bCs/>
                <w:noProof/>
                <w:sz w:val="20"/>
                <w:szCs w:val="20"/>
              </w:rPr>
              <w:t>N</w:t>
            </w:r>
          </w:p>
        </w:tc>
        <w:tc>
          <w:tcPr>
            <w:tcW w:w="1051" w:type="dxa"/>
          </w:tcPr>
          <w:p w14:paraId="152A228D" w14:textId="77777777" w:rsidR="00C07B58" w:rsidRPr="00D86314" w:rsidRDefault="00C07B58">
            <w:pPr>
              <w:rPr>
                <w:bCs/>
                <w:noProof/>
                <w:sz w:val="20"/>
                <w:szCs w:val="20"/>
              </w:rPr>
            </w:pPr>
          </w:p>
        </w:tc>
        <w:tc>
          <w:tcPr>
            <w:tcW w:w="1054" w:type="dxa"/>
          </w:tcPr>
          <w:p w14:paraId="0C7C416F" w14:textId="77777777" w:rsidR="00C07B58" w:rsidRPr="00D86314" w:rsidRDefault="00C07B58">
            <w:pPr>
              <w:rPr>
                <w:bCs/>
                <w:noProof/>
                <w:sz w:val="20"/>
                <w:szCs w:val="20"/>
              </w:rPr>
            </w:pPr>
          </w:p>
        </w:tc>
        <w:tc>
          <w:tcPr>
            <w:tcW w:w="1066" w:type="dxa"/>
          </w:tcPr>
          <w:p w14:paraId="15E6FA5F" w14:textId="77777777" w:rsidR="00C07B58" w:rsidRPr="00D86314" w:rsidRDefault="00C07B58">
            <w:pPr>
              <w:rPr>
                <w:bCs/>
                <w:noProof/>
                <w:sz w:val="20"/>
                <w:szCs w:val="20"/>
              </w:rPr>
            </w:pPr>
            <w:r w:rsidRPr="00D86314">
              <w:rPr>
                <w:bCs/>
                <w:noProof/>
                <w:sz w:val="20"/>
                <w:szCs w:val="20"/>
              </w:rPr>
              <w:t>N – currently price ceilings based on cost model</w:t>
            </w:r>
          </w:p>
        </w:tc>
        <w:tc>
          <w:tcPr>
            <w:tcW w:w="954" w:type="dxa"/>
            <w:shd w:val="clear" w:color="auto" w:fill="00B050"/>
          </w:tcPr>
          <w:p w14:paraId="591FC715" w14:textId="77777777" w:rsidR="00C07B58" w:rsidRPr="00D86314" w:rsidRDefault="00C07B58">
            <w:pPr>
              <w:rPr>
                <w:bCs/>
                <w:noProof/>
                <w:sz w:val="20"/>
                <w:szCs w:val="20"/>
              </w:rPr>
            </w:pPr>
            <w:r w:rsidRPr="00D86314">
              <w:rPr>
                <w:bCs/>
                <w:noProof/>
                <w:sz w:val="20"/>
                <w:szCs w:val="20"/>
              </w:rPr>
              <w:t>87</w:t>
            </w:r>
          </w:p>
        </w:tc>
        <w:tc>
          <w:tcPr>
            <w:tcW w:w="784" w:type="dxa"/>
            <w:shd w:val="clear" w:color="auto" w:fill="FFFF00"/>
          </w:tcPr>
          <w:p w14:paraId="33254FCA" w14:textId="5696DB6D" w:rsidR="00C07B58" w:rsidRPr="00D86314" w:rsidRDefault="00C07B58">
            <w:pPr>
              <w:rPr>
                <w:bCs/>
                <w:noProof/>
                <w:sz w:val="20"/>
                <w:szCs w:val="20"/>
              </w:rPr>
            </w:pPr>
            <w:r w:rsidRPr="00D86314">
              <w:rPr>
                <w:bCs/>
                <w:noProof/>
                <w:sz w:val="20"/>
                <w:szCs w:val="20"/>
              </w:rPr>
              <w:t>56</w:t>
            </w:r>
            <w:r w:rsidR="0028055B">
              <w:rPr>
                <w:bCs/>
                <w:noProof/>
                <w:sz w:val="20"/>
                <w:szCs w:val="20"/>
              </w:rPr>
              <w:t>,</w:t>
            </w:r>
            <w:r w:rsidRPr="00D86314">
              <w:rPr>
                <w:bCs/>
                <w:noProof/>
                <w:sz w:val="20"/>
                <w:szCs w:val="20"/>
              </w:rPr>
              <w:t>5</w:t>
            </w:r>
          </w:p>
        </w:tc>
        <w:tc>
          <w:tcPr>
            <w:tcW w:w="1414" w:type="dxa"/>
          </w:tcPr>
          <w:p w14:paraId="0325FB55" w14:textId="77777777" w:rsidR="00C07B58" w:rsidRPr="00D86314" w:rsidRDefault="00C07B58">
            <w:pPr>
              <w:rPr>
                <w:bCs/>
                <w:noProof/>
                <w:sz w:val="20"/>
                <w:szCs w:val="20"/>
              </w:rPr>
            </w:pPr>
            <w:r w:rsidRPr="00D86314">
              <w:rPr>
                <w:bCs/>
                <w:noProof/>
                <w:sz w:val="20"/>
                <w:szCs w:val="20"/>
              </w:rPr>
              <w:t>Lower than average, decreasing</w:t>
            </w:r>
          </w:p>
        </w:tc>
        <w:tc>
          <w:tcPr>
            <w:tcW w:w="649" w:type="dxa"/>
            <w:shd w:val="clear" w:color="auto" w:fill="92D050"/>
          </w:tcPr>
          <w:p w14:paraId="6327AE57" w14:textId="0D53A386" w:rsidR="00C07B58" w:rsidRPr="00D86314" w:rsidRDefault="00C07B58">
            <w:pPr>
              <w:rPr>
                <w:bCs/>
                <w:noProof/>
                <w:sz w:val="20"/>
                <w:szCs w:val="20"/>
              </w:rPr>
            </w:pPr>
            <w:r w:rsidRPr="00D86314">
              <w:rPr>
                <w:bCs/>
                <w:noProof/>
                <w:sz w:val="20"/>
                <w:szCs w:val="20"/>
              </w:rPr>
              <w:t>33</w:t>
            </w:r>
            <w:r w:rsidR="0028055B">
              <w:rPr>
                <w:bCs/>
                <w:noProof/>
                <w:sz w:val="20"/>
                <w:szCs w:val="20"/>
              </w:rPr>
              <w:t>,</w:t>
            </w:r>
            <w:r w:rsidRPr="00D86314">
              <w:rPr>
                <w:bCs/>
                <w:noProof/>
                <w:sz w:val="20"/>
                <w:szCs w:val="20"/>
              </w:rPr>
              <w:t>7</w:t>
            </w:r>
          </w:p>
        </w:tc>
        <w:tc>
          <w:tcPr>
            <w:tcW w:w="791" w:type="dxa"/>
            <w:shd w:val="clear" w:color="auto" w:fill="FFFF00"/>
          </w:tcPr>
          <w:p w14:paraId="04581DDF" w14:textId="77777777" w:rsidR="00C07B58" w:rsidRPr="00D86314" w:rsidRDefault="00C07B58">
            <w:pPr>
              <w:rPr>
                <w:bCs/>
                <w:noProof/>
                <w:sz w:val="20"/>
                <w:szCs w:val="20"/>
              </w:rPr>
            </w:pPr>
          </w:p>
        </w:tc>
        <w:tc>
          <w:tcPr>
            <w:tcW w:w="779" w:type="dxa"/>
            <w:gridSpan w:val="2"/>
            <w:shd w:val="clear" w:color="auto" w:fill="00B050"/>
          </w:tcPr>
          <w:p w14:paraId="437EAB75" w14:textId="77777777" w:rsidR="00C07B58" w:rsidRPr="00D86314" w:rsidRDefault="00C07B58">
            <w:pPr>
              <w:rPr>
                <w:bCs/>
                <w:noProof/>
                <w:sz w:val="20"/>
                <w:szCs w:val="20"/>
              </w:rPr>
            </w:pPr>
          </w:p>
        </w:tc>
      </w:tr>
      <w:tr w:rsidR="00C07B58" w:rsidRPr="00D86314" w14:paraId="7590AD0B" w14:textId="77777777" w:rsidTr="007B4150">
        <w:trPr>
          <w:gridAfter w:val="2"/>
          <w:wAfter w:w="825" w:type="dxa"/>
        </w:trPr>
        <w:tc>
          <w:tcPr>
            <w:tcW w:w="960" w:type="dxa"/>
          </w:tcPr>
          <w:p w14:paraId="11C4433A" w14:textId="77777777" w:rsidR="00C07B58" w:rsidRPr="00D86314" w:rsidRDefault="00C07B58">
            <w:pPr>
              <w:rPr>
                <w:bCs/>
                <w:noProof/>
                <w:sz w:val="20"/>
                <w:szCs w:val="20"/>
              </w:rPr>
            </w:pPr>
          </w:p>
        </w:tc>
        <w:tc>
          <w:tcPr>
            <w:tcW w:w="11651" w:type="dxa"/>
            <w:gridSpan w:val="14"/>
          </w:tcPr>
          <w:p w14:paraId="3153C3F0" w14:textId="77777777" w:rsidR="00C07B58" w:rsidRPr="00D86314" w:rsidRDefault="00C07B58">
            <w:pPr>
              <w:rPr>
                <w:bCs/>
                <w:noProof/>
                <w:sz w:val="20"/>
                <w:szCs w:val="20"/>
              </w:rPr>
            </w:pPr>
            <w:r w:rsidRPr="00D86314">
              <w:rPr>
                <w:bCs/>
                <w:noProof/>
                <w:sz w:val="20"/>
                <w:szCs w:val="20"/>
              </w:rPr>
              <w:t>Cable &amp; FTTH consolidator</w:t>
            </w:r>
          </w:p>
        </w:tc>
      </w:tr>
      <w:tr w:rsidR="009F44AF" w:rsidRPr="00D86314" w14:paraId="6D288956" w14:textId="77777777" w:rsidTr="007B4150">
        <w:tc>
          <w:tcPr>
            <w:tcW w:w="960" w:type="dxa"/>
          </w:tcPr>
          <w:p w14:paraId="4A4B7D8D" w14:textId="77777777" w:rsidR="00C07B58" w:rsidRPr="00D86314" w:rsidRDefault="00C07B58">
            <w:pPr>
              <w:rPr>
                <w:bCs/>
                <w:noProof/>
                <w:sz w:val="20"/>
                <w:szCs w:val="20"/>
              </w:rPr>
            </w:pPr>
            <w:r w:rsidRPr="00D86314">
              <w:rPr>
                <w:bCs/>
                <w:noProof/>
                <w:sz w:val="20"/>
                <w:szCs w:val="20"/>
              </w:rPr>
              <w:t>Romania</w:t>
            </w:r>
          </w:p>
        </w:tc>
        <w:tc>
          <w:tcPr>
            <w:tcW w:w="992" w:type="dxa"/>
          </w:tcPr>
          <w:p w14:paraId="4D1C5C1E" w14:textId="77777777" w:rsidR="00C07B58" w:rsidRPr="00D86314" w:rsidRDefault="00C07B58">
            <w:pPr>
              <w:rPr>
                <w:bCs/>
                <w:noProof/>
                <w:sz w:val="20"/>
                <w:szCs w:val="20"/>
              </w:rPr>
            </w:pPr>
            <w:r w:rsidRPr="00D86314">
              <w:rPr>
                <w:bCs/>
                <w:noProof/>
                <w:sz w:val="20"/>
                <w:szCs w:val="20"/>
              </w:rPr>
              <w:t>N</w:t>
            </w:r>
          </w:p>
        </w:tc>
        <w:tc>
          <w:tcPr>
            <w:tcW w:w="1046" w:type="dxa"/>
          </w:tcPr>
          <w:p w14:paraId="5406D931" w14:textId="77777777" w:rsidR="00C07B58" w:rsidRPr="00D86314" w:rsidRDefault="00C07B58">
            <w:pPr>
              <w:rPr>
                <w:bCs/>
                <w:noProof/>
                <w:sz w:val="20"/>
                <w:szCs w:val="20"/>
              </w:rPr>
            </w:pPr>
            <w:r w:rsidRPr="00D86314">
              <w:rPr>
                <w:bCs/>
                <w:noProof/>
                <w:sz w:val="20"/>
                <w:szCs w:val="20"/>
              </w:rPr>
              <w:t>Former cable operator engaged in early FTTH deployment &amp; consolidation</w:t>
            </w:r>
          </w:p>
        </w:tc>
        <w:tc>
          <w:tcPr>
            <w:tcW w:w="1051" w:type="dxa"/>
          </w:tcPr>
          <w:p w14:paraId="25C71507" w14:textId="77777777" w:rsidR="00C07B58" w:rsidRPr="00D86314" w:rsidRDefault="00C07B58">
            <w:pPr>
              <w:rPr>
                <w:bCs/>
                <w:noProof/>
                <w:sz w:val="20"/>
                <w:szCs w:val="20"/>
              </w:rPr>
            </w:pPr>
            <w:r w:rsidRPr="00D86314">
              <w:rPr>
                <w:bCs/>
                <w:noProof/>
                <w:sz w:val="20"/>
                <w:szCs w:val="20"/>
              </w:rPr>
              <w:t>N</w:t>
            </w:r>
          </w:p>
        </w:tc>
        <w:tc>
          <w:tcPr>
            <w:tcW w:w="1051" w:type="dxa"/>
          </w:tcPr>
          <w:p w14:paraId="617E7A6B" w14:textId="77777777" w:rsidR="00C07B58" w:rsidRPr="00D86314" w:rsidRDefault="00C07B58">
            <w:pPr>
              <w:rPr>
                <w:bCs/>
                <w:noProof/>
                <w:sz w:val="20"/>
                <w:szCs w:val="20"/>
              </w:rPr>
            </w:pPr>
            <w:r w:rsidRPr="00D86314">
              <w:rPr>
                <w:bCs/>
                <w:noProof/>
                <w:sz w:val="20"/>
                <w:szCs w:val="20"/>
              </w:rPr>
              <w:t>Y</w:t>
            </w:r>
          </w:p>
        </w:tc>
        <w:tc>
          <w:tcPr>
            <w:tcW w:w="1054" w:type="dxa"/>
          </w:tcPr>
          <w:p w14:paraId="4C2B42A5" w14:textId="77777777" w:rsidR="00C07B58" w:rsidRPr="00D86314" w:rsidRDefault="00C07B58">
            <w:pPr>
              <w:rPr>
                <w:bCs/>
                <w:noProof/>
                <w:sz w:val="20"/>
                <w:szCs w:val="20"/>
              </w:rPr>
            </w:pPr>
          </w:p>
        </w:tc>
        <w:tc>
          <w:tcPr>
            <w:tcW w:w="1066" w:type="dxa"/>
          </w:tcPr>
          <w:p w14:paraId="32A8A3BC" w14:textId="77777777" w:rsidR="00C07B58" w:rsidRPr="00D86314" w:rsidRDefault="00C07B58">
            <w:pPr>
              <w:rPr>
                <w:bCs/>
                <w:noProof/>
                <w:sz w:val="20"/>
                <w:szCs w:val="20"/>
              </w:rPr>
            </w:pPr>
          </w:p>
        </w:tc>
        <w:tc>
          <w:tcPr>
            <w:tcW w:w="954" w:type="dxa"/>
            <w:shd w:val="clear" w:color="auto" w:fill="00B050"/>
          </w:tcPr>
          <w:p w14:paraId="0A9E3D70" w14:textId="77777777" w:rsidR="00C07B58" w:rsidRPr="00D86314" w:rsidRDefault="00C07B58">
            <w:pPr>
              <w:rPr>
                <w:bCs/>
                <w:noProof/>
                <w:sz w:val="20"/>
                <w:szCs w:val="20"/>
              </w:rPr>
            </w:pPr>
            <w:r w:rsidRPr="00D86314">
              <w:rPr>
                <w:bCs/>
                <w:noProof/>
                <w:sz w:val="20"/>
                <w:szCs w:val="20"/>
              </w:rPr>
              <w:t>96</w:t>
            </w:r>
          </w:p>
        </w:tc>
        <w:tc>
          <w:tcPr>
            <w:tcW w:w="784" w:type="dxa"/>
            <w:shd w:val="clear" w:color="auto" w:fill="00B050"/>
          </w:tcPr>
          <w:p w14:paraId="73A7B8DE" w14:textId="26E130E1" w:rsidR="00C07B58" w:rsidRPr="00D86314" w:rsidRDefault="00C07B58">
            <w:pPr>
              <w:rPr>
                <w:bCs/>
                <w:noProof/>
                <w:sz w:val="20"/>
                <w:szCs w:val="20"/>
              </w:rPr>
            </w:pPr>
            <w:r w:rsidRPr="00D86314">
              <w:rPr>
                <w:bCs/>
                <w:noProof/>
                <w:sz w:val="20"/>
                <w:szCs w:val="20"/>
              </w:rPr>
              <w:t>81</w:t>
            </w:r>
            <w:r w:rsidR="001731CF">
              <w:rPr>
                <w:bCs/>
                <w:noProof/>
                <w:sz w:val="20"/>
                <w:szCs w:val="20"/>
              </w:rPr>
              <w:t>,</w:t>
            </w:r>
            <w:r w:rsidRPr="00D86314">
              <w:rPr>
                <w:bCs/>
                <w:noProof/>
                <w:sz w:val="20"/>
                <w:szCs w:val="20"/>
              </w:rPr>
              <w:t>7</w:t>
            </w:r>
          </w:p>
        </w:tc>
        <w:tc>
          <w:tcPr>
            <w:tcW w:w="1414" w:type="dxa"/>
          </w:tcPr>
          <w:p w14:paraId="046C0BEC" w14:textId="77777777" w:rsidR="00C07B58" w:rsidRPr="00D86314" w:rsidRDefault="00C07B58">
            <w:pPr>
              <w:rPr>
                <w:bCs/>
                <w:noProof/>
                <w:sz w:val="20"/>
                <w:szCs w:val="20"/>
              </w:rPr>
            </w:pPr>
          </w:p>
        </w:tc>
        <w:tc>
          <w:tcPr>
            <w:tcW w:w="1440" w:type="dxa"/>
            <w:gridSpan w:val="2"/>
          </w:tcPr>
          <w:p w14:paraId="4012062C" w14:textId="77777777" w:rsidR="00C07B58" w:rsidRPr="00D86314" w:rsidRDefault="00C07B58">
            <w:pPr>
              <w:rPr>
                <w:bCs/>
                <w:noProof/>
                <w:sz w:val="20"/>
                <w:szCs w:val="20"/>
              </w:rPr>
            </w:pPr>
            <w:r w:rsidRPr="00D86314">
              <w:rPr>
                <w:bCs/>
                <w:noProof/>
                <w:sz w:val="20"/>
                <w:szCs w:val="20"/>
              </w:rPr>
              <w:t>Higher than average, increasing</w:t>
            </w:r>
          </w:p>
        </w:tc>
        <w:tc>
          <w:tcPr>
            <w:tcW w:w="649" w:type="dxa"/>
            <w:shd w:val="clear" w:color="auto" w:fill="92D050"/>
          </w:tcPr>
          <w:p w14:paraId="0E838A9F" w14:textId="76631B07" w:rsidR="00C07B58" w:rsidRPr="00D86314" w:rsidRDefault="00C07B58">
            <w:pPr>
              <w:rPr>
                <w:bCs/>
                <w:noProof/>
                <w:sz w:val="20"/>
                <w:szCs w:val="20"/>
              </w:rPr>
            </w:pPr>
            <w:r w:rsidRPr="00D86314">
              <w:rPr>
                <w:bCs/>
                <w:noProof/>
                <w:sz w:val="20"/>
                <w:szCs w:val="20"/>
              </w:rPr>
              <w:t>34</w:t>
            </w:r>
            <w:r w:rsidR="001731CF">
              <w:rPr>
                <w:bCs/>
                <w:noProof/>
                <w:sz w:val="20"/>
                <w:szCs w:val="20"/>
              </w:rPr>
              <w:t>,</w:t>
            </w:r>
            <w:r w:rsidRPr="00D86314">
              <w:rPr>
                <w:bCs/>
                <w:noProof/>
                <w:sz w:val="20"/>
                <w:szCs w:val="20"/>
              </w:rPr>
              <w:t>2</w:t>
            </w:r>
          </w:p>
        </w:tc>
        <w:tc>
          <w:tcPr>
            <w:tcW w:w="739" w:type="dxa"/>
            <w:gridSpan w:val="3"/>
            <w:shd w:val="clear" w:color="auto" w:fill="00B050"/>
          </w:tcPr>
          <w:p w14:paraId="6769B7EC" w14:textId="77777777" w:rsidR="00C07B58" w:rsidRPr="00D86314" w:rsidRDefault="00C07B58">
            <w:pPr>
              <w:rPr>
                <w:bCs/>
                <w:noProof/>
                <w:sz w:val="20"/>
                <w:szCs w:val="20"/>
              </w:rPr>
            </w:pPr>
          </w:p>
        </w:tc>
        <w:tc>
          <w:tcPr>
            <w:tcW w:w="236" w:type="dxa"/>
            <w:shd w:val="clear" w:color="auto" w:fill="00B050"/>
          </w:tcPr>
          <w:p w14:paraId="5DC1C17C" w14:textId="77777777" w:rsidR="00C07B58" w:rsidRPr="00D86314" w:rsidRDefault="00C07B58">
            <w:pPr>
              <w:rPr>
                <w:bCs/>
                <w:noProof/>
                <w:sz w:val="20"/>
                <w:szCs w:val="20"/>
              </w:rPr>
            </w:pPr>
          </w:p>
        </w:tc>
      </w:tr>
    </w:tbl>
    <w:p w14:paraId="43D3809D" w14:textId="77777777" w:rsidR="00B90266" w:rsidRPr="00D86314" w:rsidRDefault="00B90266" w:rsidP="00B90266">
      <w:pPr>
        <w:pStyle w:val="Text2"/>
        <w:rPr>
          <w:noProof/>
          <w:sz w:val="20"/>
        </w:rPr>
      </w:pPr>
      <w:r w:rsidRPr="00D86314">
        <w:rPr>
          <w:noProof/>
          <w:sz w:val="20"/>
        </w:rPr>
        <w:t>Source: WIK’s interim report</w:t>
      </w:r>
    </w:p>
    <w:p w14:paraId="71CD5FBB" w14:textId="77777777" w:rsidR="009F44AF" w:rsidRPr="00D86314" w:rsidRDefault="009F44AF" w:rsidP="00331510">
      <w:pPr>
        <w:spacing w:after="160" w:line="257" w:lineRule="auto"/>
        <w:rPr>
          <w:rFonts w:eastAsia="Times New Roman"/>
          <w:noProof/>
        </w:rPr>
        <w:sectPr w:rsidR="009F44AF" w:rsidRPr="00D86314" w:rsidSect="00703057">
          <w:headerReference w:type="default" r:id="rId139"/>
          <w:footerReference w:type="default" r:id="rId140"/>
          <w:headerReference w:type="first" r:id="rId141"/>
          <w:footerReference w:type="first" r:id="rId142"/>
          <w:pgSz w:w="16838" w:h="11906" w:orient="landscape"/>
          <w:pgMar w:top="1587" w:right="1020" w:bottom="1701" w:left="1020" w:header="601" w:footer="1077" w:gutter="0"/>
          <w:cols w:space="720"/>
          <w:titlePg/>
          <w:docGrid w:linePitch="326"/>
        </w:sectPr>
      </w:pPr>
    </w:p>
    <w:p w14:paraId="59AB4D8A" w14:textId="5FC8FD61" w:rsidR="000E5769" w:rsidRPr="00D86314" w:rsidRDefault="00F415B0" w:rsidP="00331510">
      <w:pPr>
        <w:spacing w:after="160" w:line="257" w:lineRule="auto"/>
        <w:rPr>
          <w:rFonts w:eastAsia="Times New Roman"/>
          <w:noProof/>
        </w:rPr>
      </w:pPr>
      <w:r w:rsidRPr="00D86314">
        <w:rPr>
          <w:rFonts w:eastAsia="Times New Roman"/>
          <w:noProof/>
        </w:rPr>
        <w:t xml:space="preserve">In the table above, </w:t>
      </w:r>
      <w:r w:rsidR="009D2D33" w:rsidRPr="00D86314">
        <w:rPr>
          <w:rFonts w:eastAsia="Times New Roman"/>
          <w:noProof/>
        </w:rPr>
        <w:t>Member States</w:t>
      </w:r>
      <w:r w:rsidR="00855E05" w:rsidRPr="00D86314">
        <w:rPr>
          <w:rFonts w:eastAsia="Times New Roman"/>
          <w:noProof/>
        </w:rPr>
        <w:t xml:space="preserve"> </w:t>
      </w:r>
      <w:r w:rsidRPr="00D86314">
        <w:rPr>
          <w:rFonts w:eastAsia="Times New Roman"/>
          <w:noProof/>
        </w:rPr>
        <w:t>have been</w:t>
      </w:r>
      <w:r w:rsidR="00855E05" w:rsidRPr="00D86314">
        <w:rPr>
          <w:rFonts w:eastAsia="Times New Roman"/>
          <w:noProof/>
        </w:rPr>
        <w:t xml:space="preserve"> grouped based on common characteristics </w:t>
      </w:r>
      <w:r w:rsidR="00F636FA" w:rsidRPr="00D86314">
        <w:rPr>
          <w:rFonts w:eastAsia="Times New Roman"/>
          <w:noProof/>
        </w:rPr>
        <w:t>that could influence market outcomes.</w:t>
      </w:r>
      <w:r w:rsidR="002D0E07" w:rsidRPr="00D86314">
        <w:rPr>
          <w:rFonts w:eastAsia="Times New Roman"/>
          <w:noProof/>
        </w:rPr>
        <w:t xml:space="preserve"> This enables an analysis of the effects of similarities and differences in the regulatory or wider political approaches.</w:t>
      </w:r>
      <w:r w:rsidR="00F375AB" w:rsidRPr="00D86314">
        <w:rPr>
          <w:rFonts w:eastAsia="Times New Roman"/>
          <w:noProof/>
        </w:rPr>
        <w:t xml:space="preserve"> </w:t>
      </w:r>
    </w:p>
    <w:p w14:paraId="470F9099" w14:textId="297E77AE" w:rsidR="000E5769" w:rsidRPr="00D86314" w:rsidRDefault="00F07430" w:rsidP="00A00C17">
      <w:pPr>
        <w:pStyle w:val="ListParagraph"/>
        <w:numPr>
          <w:ilvl w:val="0"/>
          <w:numId w:val="56"/>
        </w:numPr>
        <w:spacing w:after="160" w:line="257" w:lineRule="auto"/>
        <w:rPr>
          <w:rFonts w:eastAsia="Times New Roman"/>
          <w:noProof/>
        </w:rPr>
      </w:pPr>
      <w:r w:rsidRPr="00D86314">
        <w:rPr>
          <w:rFonts w:eastAsia="Times New Roman"/>
          <w:noProof/>
        </w:rPr>
        <w:t xml:space="preserve">First group: FTTC/VDSL group </w:t>
      </w:r>
    </w:p>
    <w:p w14:paraId="061DE60E" w14:textId="48AE416D" w:rsidR="000E5769" w:rsidRPr="00D86314" w:rsidRDefault="00D37DCE" w:rsidP="6E302859">
      <w:pPr>
        <w:spacing w:after="160" w:line="257" w:lineRule="auto"/>
        <w:rPr>
          <w:rFonts w:eastAsia="Times New Roman"/>
          <w:noProof/>
        </w:rPr>
      </w:pPr>
      <w:r w:rsidRPr="00D86314">
        <w:rPr>
          <w:rFonts w:eastAsia="Times New Roman"/>
          <w:noProof/>
        </w:rPr>
        <w:t xml:space="preserve">The first group covers </w:t>
      </w:r>
      <w:r w:rsidR="00DF24B2" w:rsidRPr="00D86314">
        <w:rPr>
          <w:rFonts w:eastAsia="Times New Roman"/>
          <w:noProof/>
        </w:rPr>
        <w:t>Member States</w:t>
      </w:r>
      <w:r w:rsidRPr="00D86314">
        <w:rPr>
          <w:rFonts w:eastAsia="Times New Roman"/>
          <w:noProof/>
        </w:rPr>
        <w:t xml:space="preserve"> in which FTTC / VDSL has played a significant role. This includes Germany, Austria, </w:t>
      </w:r>
      <w:r w:rsidR="00D73067" w:rsidRPr="00D86314">
        <w:rPr>
          <w:rFonts w:eastAsia="Times New Roman"/>
          <w:noProof/>
        </w:rPr>
        <w:t xml:space="preserve">Belgium, </w:t>
      </w:r>
      <w:r w:rsidRPr="00D86314">
        <w:rPr>
          <w:rFonts w:eastAsia="Times New Roman"/>
          <w:noProof/>
        </w:rPr>
        <w:t>the UK, Greece, Czechia and Italy. A common feature amongst most of these countries is that regulatory incentives were given for the deployment of FTTC VDSL. In Germany this included support for FTTC VDSL vectoring by the incumbent and support for long-term pricing arrangements for FTTC VDSL Layer 2 bitstream that locked in alternative operators into multi-annual VDSL access arrangements. Flexible pricing for FTTC VDSL VULA was provided in Austria, the UK and Czechia, while in Italy, the regulatory regime supported competition in the deployment of FTTC VDSL through reductions in pricing for subloop unbundling and regulatory approaches which sought to limit the use of vectoring that would have impeded competition in the upgrade of the subloop with VDSL. Outcomes in this group of countries regarding FTTH coverage and take-up and the associated levels of take-up of Gigabit broadband are poor, with the exception of Italy. Italy’s significantly higher FTTH coverage than the other countries in this group may be explained by a number of factors. These include the significant use of EU Funding to support FTTH deployment and policies that facilitated FTTH deployment by the alternative fibre investor Open Fib</w:t>
      </w:r>
      <w:r w:rsidR="002C5E52" w:rsidRPr="00D86314">
        <w:rPr>
          <w:rFonts w:eastAsia="Times New Roman"/>
          <w:noProof/>
        </w:rPr>
        <w:t>e</w:t>
      </w:r>
      <w:r w:rsidR="0078188A" w:rsidRPr="00D86314">
        <w:rPr>
          <w:rFonts w:eastAsia="Times New Roman"/>
          <w:noProof/>
        </w:rPr>
        <w:t>r</w:t>
      </w:r>
      <w:r w:rsidRPr="00D86314">
        <w:rPr>
          <w:rFonts w:eastAsia="Times New Roman"/>
          <w:noProof/>
        </w:rPr>
        <w:t xml:space="preserve">, including shareholdings from the public investment body CDP and (at the outset the utility Enel), stringent application of the BCRD to utility duct and pole access, SMP PIA regulation, access to in-building fibre wiring under </w:t>
      </w:r>
      <w:r w:rsidR="00F53F9A" w:rsidRPr="00D86314">
        <w:rPr>
          <w:rFonts w:eastAsia="Times New Roman"/>
          <w:noProof/>
        </w:rPr>
        <w:t>A</w:t>
      </w:r>
      <w:r w:rsidRPr="00D86314">
        <w:rPr>
          <w:rFonts w:eastAsia="Times New Roman"/>
          <w:noProof/>
        </w:rPr>
        <w:t>rticle</w:t>
      </w:r>
      <w:r w:rsidR="00F53F9A">
        <w:rPr>
          <w:rFonts w:eastAsia="Times New Roman"/>
          <w:noProof/>
        </w:rPr>
        <w:t> </w:t>
      </w:r>
      <w:r w:rsidRPr="00D86314">
        <w:rPr>
          <w:rFonts w:eastAsia="Times New Roman"/>
          <w:noProof/>
        </w:rPr>
        <w:t>61(3), and a system of declarations that sought to identify black, white and grey areas for fibre investment. High coverage of FTTH in Italy along with infrastructure competition has resulted in low prices and relatively high take-up of Gigabit broadband compared with many other countries. However, infrastructure competition between FTTC and fibre, which limited take-up at wholesale level has been a key factor underlying the underperformance of Open Fibr</w:t>
      </w:r>
      <w:r w:rsidR="006C142E" w:rsidRPr="00D86314">
        <w:rPr>
          <w:rFonts w:eastAsia="Times New Roman"/>
          <w:noProof/>
        </w:rPr>
        <w:t>e</w:t>
      </w:r>
      <w:r w:rsidR="116F164F" w:rsidRPr="00D86314">
        <w:rPr>
          <w:rFonts w:eastAsia="Times New Roman"/>
          <w:noProof/>
        </w:rPr>
        <w:t xml:space="preserve"> and its ability to carry out the network. </w:t>
      </w:r>
      <w:r w:rsidR="00501396" w:rsidRPr="00D86314">
        <w:rPr>
          <w:rFonts w:eastAsia="Times New Roman"/>
          <w:noProof/>
        </w:rPr>
        <w:t>Finally, Belgium</w:t>
      </w:r>
      <w:r w:rsidR="001E4A42" w:rsidRPr="00D86314">
        <w:rPr>
          <w:rFonts w:eastAsia="Times New Roman"/>
          <w:noProof/>
        </w:rPr>
        <w:t xml:space="preserve">, where </w:t>
      </w:r>
      <w:r w:rsidR="00616CD6" w:rsidRPr="00D86314">
        <w:rPr>
          <w:rFonts w:eastAsia="Times New Roman"/>
          <w:noProof/>
        </w:rPr>
        <w:t xml:space="preserve">the number of </w:t>
      </w:r>
      <w:r w:rsidR="003F4576" w:rsidRPr="00D86314">
        <w:rPr>
          <w:rFonts w:eastAsia="Times New Roman"/>
          <w:noProof/>
        </w:rPr>
        <w:t xml:space="preserve">vectored </w:t>
      </w:r>
      <w:r w:rsidR="00616CD6" w:rsidRPr="00D86314">
        <w:rPr>
          <w:rFonts w:eastAsia="Times New Roman"/>
          <w:noProof/>
        </w:rPr>
        <w:t>copper/</w:t>
      </w:r>
      <w:r w:rsidR="001E4A42" w:rsidRPr="00D86314">
        <w:rPr>
          <w:rFonts w:eastAsia="Times New Roman"/>
          <w:noProof/>
        </w:rPr>
        <w:t>VDSL</w:t>
      </w:r>
      <w:r w:rsidR="003F4576" w:rsidRPr="00D86314">
        <w:rPr>
          <w:rFonts w:eastAsia="Times New Roman"/>
          <w:noProof/>
        </w:rPr>
        <w:t xml:space="preserve"> lines </w:t>
      </w:r>
      <w:r w:rsidR="00616CD6" w:rsidRPr="00D86314">
        <w:rPr>
          <w:rFonts w:eastAsia="Times New Roman"/>
          <w:noProof/>
        </w:rPr>
        <w:t>is significant</w:t>
      </w:r>
      <w:r w:rsidR="00501396" w:rsidRPr="00D86314">
        <w:rPr>
          <w:rFonts w:eastAsia="Times New Roman"/>
          <w:noProof/>
        </w:rPr>
        <w:t xml:space="preserve"> is characterised by low fibre roll-out, high prices and limited use of passive infrastructure.</w:t>
      </w:r>
    </w:p>
    <w:p w14:paraId="5ECB053C" w14:textId="67AEDDA7" w:rsidR="000E5769" w:rsidRPr="00D86314" w:rsidRDefault="00D37DCE" w:rsidP="00331510">
      <w:pPr>
        <w:spacing w:after="160" w:line="257" w:lineRule="auto"/>
        <w:rPr>
          <w:rFonts w:eastAsia="Times New Roman"/>
          <w:noProof/>
        </w:rPr>
      </w:pPr>
      <w:r w:rsidRPr="00D86314">
        <w:rPr>
          <w:rFonts w:eastAsia="Times New Roman"/>
          <w:noProof/>
        </w:rPr>
        <w:t>As regards Czechia, while Gigabit broadband offers are available at an affordable price, the footprint is limited by the limited coverage of FTTH in this market. It is notable that Gigabit pricing is particularly high in Austria. This market is one of only four cases in which WLA SMP regulation was removed, as it was considered that commercial wholesale offers would be sufficient to support competitive outcomes. However, the prevalence of active access in this market with high charges for higher bandwidths may limit the prospects for competition on quality.</w:t>
      </w:r>
    </w:p>
    <w:p w14:paraId="27460543" w14:textId="2CC47BF8" w:rsidR="00D37DCE" w:rsidRPr="00D86314" w:rsidRDefault="00D37DCE" w:rsidP="00A00C17">
      <w:pPr>
        <w:pStyle w:val="ListParagraph"/>
        <w:numPr>
          <w:ilvl w:val="0"/>
          <w:numId w:val="56"/>
        </w:numPr>
        <w:spacing w:after="160" w:line="257" w:lineRule="auto"/>
        <w:rPr>
          <w:rFonts w:eastAsia="Times New Roman"/>
          <w:noProof/>
        </w:rPr>
      </w:pPr>
      <w:r w:rsidRPr="00D86314">
        <w:rPr>
          <w:rFonts w:eastAsia="Times New Roman"/>
          <w:noProof/>
        </w:rPr>
        <w:t xml:space="preserve">Second group: early FTTH focus with SMP PIA and Art. 61(3) </w:t>
      </w:r>
    </w:p>
    <w:p w14:paraId="3044E8C0" w14:textId="62D1F035" w:rsidR="00F375AB" w:rsidRPr="00D86314" w:rsidDel="00720BBE" w:rsidRDefault="00F95121" w:rsidP="00703057">
      <w:pPr>
        <w:rPr>
          <w:noProof/>
        </w:rPr>
      </w:pPr>
      <w:r w:rsidRPr="00D86314">
        <w:rPr>
          <w:noProof/>
        </w:rPr>
        <w:t xml:space="preserve">The second group of </w:t>
      </w:r>
      <w:r w:rsidR="00F55B11" w:rsidRPr="00D86314">
        <w:rPr>
          <w:noProof/>
        </w:rPr>
        <w:t>Member States</w:t>
      </w:r>
      <w:r w:rsidRPr="00D86314">
        <w:rPr>
          <w:noProof/>
        </w:rPr>
        <w:t xml:space="preserve"> listed focused on the deployment of FTTH from an early stage (pre 2010) and designed the regulatory approach with this aim in mind. This group includes France, Spain and Portugal. Common features of the regulatory approach in this group were strong and early regulation of </w:t>
      </w:r>
      <w:r w:rsidRPr="00D86314">
        <w:rPr>
          <w:b/>
          <w:bCs/>
          <w:noProof/>
        </w:rPr>
        <w:t>SMP</w:t>
      </w:r>
      <w:r w:rsidR="1C028BE2" w:rsidRPr="00D86314">
        <w:rPr>
          <w:b/>
          <w:bCs/>
          <w:noProof/>
        </w:rPr>
        <w:t xml:space="preserve">- based </w:t>
      </w:r>
      <w:r w:rsidRPr="00D86314">
        <w:rPr>
          <w:b/>
          <w:bCs/>
          <w:noProof/>
        </w:rPr>
        <w:t xml:space="preserve">access to </w:t>
      </w:r>
      <w:r w:rsidR="1C028BE2" w:rsidRPr="00D86314">
        <w:rPr>
          <w:b/>
          <w:bCs/>
          <w:noProof/>
        </w:rPr>
        <w:t>physical infrastructure</w:t>
      </w:r>
      <w:r w:rsidRPr="00D86314">
        <w:rPr>
          <w:noProof/>
        </w:rPr>
        <w:t xml:space="preserve">, coupled with </w:t>
      </w:r>
      <w:r w:rsidRPr="00D86314">
        <w:rPr>
          <w:b/>
          <w:bCs/>
          <w:noProof/>
        </w:rPr>
        <w:t>standards for in-building fibre wiring</w:t>
      </w:r>
      <w:r w:rsidRPr="00D86314">
        <w:rPr>
          <w:noProof/>
        </w:rPr>
        <w:t xml:space="preserve"> and </w:t>
      </w:r>
      <w:r w:rsidRPr="00D86314">
        <w:rPr>
          <w:b/>
          <w:bCs/>
          <w:noProof/>
        </w:rPr>
        <w:t>rules regarding access to such wiring consistent with Article</w:t>
      </w:r>
      <w:r w:rsidR="00F53F9A">
        <w:rPr>
          <w:b/>
          <w:bCs/>
          <w:noProof/>
        </w:rPr>
        <w:t> </w:t>
      </w:r>
      <w:r w:rsidRPr="00D86314">
        <w:rPr>
          <w:b/>
          <w:bCs/>
          <w:noProof/>
        </w:rPr>
        <w:t>61(3) EECC</w:t>
      </w:r>
      <w:r w:rsidRPr="00D86314">
        <w:rPr>
          <w:noProof/>
        </w:rPr>
        <w:t xml:space="preserve">. Systems involving declarations regarding the deployment of FTTH were also applied in France and Portugal. However, there are also some important differences in the approaches that were taken. France sought to limit unviable duplication of FTTH networks from the outset by requiring the mutualisation of fibre terminating segments (essentially unbundled fibre loops) at points enabling access to at least 1,000 households in areas outside the most densely populated conurbations. This meant that for around 80% of total households, only one fibre access line was constructed, thereby creating a monopoly on fibre. However, the deployment of fibre to these households was linked to access obligations which included requirements to offer co-investment through </w:t>
      </w:r>
      <w:r w:rsidR="00D87144" w:rsidRPr="00D86314">
        <w:rPr>
          <w:noProof/>
        </w:rPr>
        <w:t>Indefeasible Rights of Use (</w:t>
      </w:r>
      <w:r w:rsidRPr="00D86314">
        <w:rPr>
          <w:noProof/>
        </w:rPr>
        <w:t>IRU</w:t>
      </w:r>
      <w:r w:rsidR="00D87144" w:rsidRPr="00D86314">
        <w:rPr>
          <w:noProof/>
        </w:rPr>
        <w:t>)</w:t>
      </w:r>
      <w:r w:rsidRPr="00D86314">
        <w:rPr>
          <w:noProof/>
        </w:rPr>
        <w:t xml:space="preserve"> and rental, at rates which were ultimately determined by the NRA via dispute resolution based on principles of cost-orientation with a premium to reflect risk (including risk relating to the timing of the co-investment). France is one of the only countries in the EU to have applied Article</w:t>
      </w:r>
      <w:r w:rsidR="00F53F9A">
        <w:rPr>
          <w:noProof/>
        </w:rPr>
        <w:t> </w:t>
      </w:r>
      <w:r w:rsidRPr="00D86314">
        <w:rPr>
          <w:noProof/>
        </w:rPr>
        <w:t>61(3) in an extensive way, going well beyond access to in-building wiring to stipulate a location for connection which was considered viable for access seekers.</w:t>
      </w:r>
      <w:r w:rsidRPr="00D86314">
        <w:rPr>
          <w:rStyle w:val="FootnoteReference"/>
          <w:noProof/>
        </w:rPr>
        <w:footnoteReference w:id="190"/>
      </w:r>
      <w:r w:rsidRPr="00D86314">
        <w:rPr>
          <w:noProof/>
        </w:rPr>
        <w:t xml:space="preserve"> Conversely, Portugal took a considerably more conservative approach to access regulation, limiting its application of Article</w:t>
      </w:r>
      <w:r w:rsidR="00F53F9A">
        <w:rPr>
          <w:noProof/>
        </w:rPr>
        <w:t> </w:t>
      </w:r>
      <w:r w:rsidRPr="00D86314">
        <w:rPr>
          <w:noProof/>
        </w:rPr>
        <w:t xml:space="preserve">61(3) to in-building wiring, and forbearing from SMP access regulation on FTTH for a considerable period, while encouraging infrastructure-based competition (duplication of fibre access networks). While SMP access obligations on FTTH were eventually introduced in Portugal, they cover a small proportion of access lines. </w:t>
      </w:r>
    </w:p>
    <w:p w14:paraId="29780932" w14:textId="31AAE101" w:rsidR="00F375AB" w:rsidRPr="00D86314" w:rsidDel="00720BBE" w:rsidRDefault="00F95121" w:rsidP="0532E337">
      <w:pPr>
        <w:rPr>
          <w:noProof/>
        </w:rPr>
      </w:pPr>
      <w:r w:rsidRPr="00D86314">
        <w:rPr>
          <w:noProof/>
        </w:rPr>
        <w:t>The regulatory approach taken in Spain falls somewhere in between the two. While, like Portugal, there was a strong emphasis on infrastructure competition and forbearance on access to FTTH at higher speeds for some time, access to fibre terminating segments was provided under Article</w:t>
      </w:r>
      <w:r w:rsidR="00F53F9A">
        <w:rPr>
          <w:noProof/>
        </w:rPr>
        <w:t> </w:t>
      </w:r>
      <w:r w:rsidRPr="00D86314">
        <w:rPr>
          <w:noProof/>
        </w:rPr>
        <w:t xml:space="preserve">61(3) to small groups of households in some cases, and SMP WLA regulation was eventually applied outside areas characterised by infrastructure competition. </w:t>
      </w:r>
    </w:p>
    <w:p w14:paraId="5761059A" w14:textId="701782DC" w:rsidR="00F375AB" w:rsidRPr="00D86314" w:rsidRDefault="00F95121" w:rsidP="00703057">
      <w:pPr>
        <w:rPr>
          <w:rFonts w:eastAsia="Times New Roman"/>
          <w:noProof/>
        </w:rPr>
      </w:pPr>
      <w:r w:rsidRPr="00D86314">
        <w:rPr>
          <w:noProof/>
        </w:rPr>
        <w:t xml:space="preserve">All three of these </w:t>
      </w:r>
      <w:r w:rsidR="003812EC" w:rsidRPr="00D86314">
        <w:rPr>
          <w:noProof/>
        </w:rPr>
        <w:t>Member States</w:t>
      </w:r>
      <w:r w:rsidRPr="00D86314">
        <w:rPr>
          <w:noProof/>
        </w:rPr>
        <w:t xml:space="preserve"> have achieved very high levels of FTTH coverage and take-up. However, differences can be seen in the pricing and take-up of Gigabit broadband, with extremely high take-up rates of Gigabit broadband in France (59% of broadband connections), but relatively low rates in Portugal, and mid-level rates in Spain which might be explained by the higher price premiums for Gigabit broadband in those countries. It seems likely (also taking into account experience in Italy)</w:t>
      </w:r>
      <w:r w:rsidRPr="00D86314">
        <w:rPr>
          <w:rStyle w:val="FootnoteReference"/>
          <w:noProof/>
        </w:rPr>
        <w:t xml:space="preserve"> </w:t>
      </w:r>
      <w:r w:rsidRPr="00D86314">
        <w:rPr>
          <w:rStyle w:val="FootnoteReference"/>
          <w:noProof/>
        </w:rPr>
        <w:footnoteReference w:id="191"/>
      </w:r>
      <w:r w:rsidRPr="00D86314">
        <w:rPr>
          <w:noProof/>
        </w:rPr>
        <w:t xml:space="preserve"> that the universal availability of passive access to fibre (fibre unbundling) in France on the basis of IRU, coupled with the limitations on infrastructure duplication may have enabled lower overall costs than in Spain and Portugal and increased competition on quality and thus lower prices for Gigabit offers. France is also one of the few out of those countries for which data was available where significant fibre investment had </w:t>
      </w:r>
      <w:r w:rsidR="00C7388F" w:rsidRPr="00D86314">
        <w:rPr>
          <w:noProof/>
        </w:rPr>
        <w:t>occurred,</w:t>
      </w:r>
      <w:r w:rsidRPr="00D86314">
        <w:rPr>
          <w:noProof/>
        </w:rPr>
        <w:t xml:space="preserve"> and alternative broadband providers were able to meet or approach their cost of capital. </w:t>
      </w:r>
    </w:p>
    <w:p w14:paraId="5D0C4FC1" w14:textId="74F836BD" w:rsidR="00C07108" w:rsidRPr="00D86314" w:rsidRDefault="00C07108" w:rsidP="00A00C17">
      <w:pPr>
        <w:pStyle w:val="ListParagraph"/>
        <w:numPr>
          <w:ilvl w:val="0"/>
          <w:numId w:val="56"/>
        </w:numPr>
        <w:spacing w:after="160" w:line="257" w:lineRule="auto"/>
        <w:rPr>
          <w:rFonts w:eastAsia="Times New Roman"/>
          <w:noProof/>
        </w:rPr>
      </w:pPr>
      <w:r w:rsidRPr="00D86314">
        <w:rPr>
          <w:rFonts w:eastAsia="Times New Roman"/>
          <w:noProof/>
        </w:rPr>
        <w:t>Third group</w:t>
      </w:r>
      <w:r w:rsidR="00D17730" w:rsidRPr="00D86314">
        <w:rPr>
          <w:rFonts w:eastAsia="Times New Roman"/>
          <w:noProof/>
        </w:rPr>
        <w:t xml:space="preserve">: </w:t>
      </w:r>
      <w:r w:rsidR="012DD72F" w:rsidRPr="00D86314">
        <w:rPr>
          <w:rFonts w:eastAsia="Times New Roman"/>
          <w:noProof/>
        </w:rPr>
        <w:t xml:space="preserve">Presence of copper and cable network operators </w:t>
      </w:r>
    </w:p>
    <w:p w14:paraId="71E87CB9" w14:textId="58DA7E27" w:rsidR="0054569D" w:rsidRPr="00D86314" w:rsidDel="00E366A7" w:rsidRDefault="00067F99" w:rsidP="00703057">
      <w:pPr>
        <w:rPr>
          <w:noProof/>
        </w:rPr>
      </w:pPr>
      <w:r w:rsidRPr="00D86314">
        <w:rPr>
          <w:noProof/>
        </w:rPr>
        <w:t>Member States</w:t>
      </w:r>
      <w:r w:rsidR="0054569D" w:rsidRPr="00D86314">
        <w:rPr>
          <w:noProof/>
        </w:rPr>
        <w:t xml:space="preserve"> characterised by </w:t>
      </w:r>
      <w:r w:rsidR="4988B17B" w:rsidRPr="00D86314">
        <w:rPr>
          <w:noProof/>
        </w:rPr>
        <w:t xml:space="preserve">the </w:t>
      </w:r>
      <w:r w:rsidR="0054569D" w:rsidRPr="00D86314">
        <w:rPr>
          <w:noProof/>
        </w:rPr>
        <w:t xml:space="preserve">historic </w:t>
      </w:r>
      <w:r w:rsidR="61D3A557" w:rsidRPr="00D86314">
        <w:rPr>
          <w:noProof/>
        </w:rPr>
        <w:t>presence of</w:t>
      </w:r>
      <w:r w:rsidR="0054569D" w:rsidRPr="00D86314">
        <w:rPr>
          <w:noProof/>
        </w:rPr>
        <w:t xml:space="preserve"> the incumbent and cable include Belgium, the Netherlands and Malta. </w:t>
      </w:r>
      <w:r w:rsidR="00A26082" w:rsidRPr="00D86314">
        <w:rPr>
          <w:noProof/>
        </w:rPr>
        <w:t>Belgium can also be mentioned here, as it also displays characteristics of this group of countries (in addition to the characteristics related to the first group).</w:t>
      </w:r>
      <w:r w:rsidR="0054569D" w:rsidRPr="00D86314">
        <w:rPr>
          <w:noProof/>
        </w:rPr>
        <w:t xml:space="preserve"> SMP PIA has not been mandated in Malta or the Netherlands and plays a very limited role in Belgium</w:t>
      </w:r>
      <w:r w:rsidR="5A874CD2" w:rsidRPr="00D86314">
        <w:rPr>
          <w:noProof/>
        </w:rPr>
        <w:t xml:space="preserve"> also because of the limited presence of ducts in Belgium</w:t>
      </w:r>
      <w:r w:rsidR="0054569D" w:rsidRPr="00D86314">
        <w:rPr>
          <w:noProof/>
        </w:rPr>
        <w:t xml:space="preserve">. However, SMP access regulation or other measures with a similar effect has been applied with a focus on active rather than passive wholesale products. In Belgium, SMP access regulation was applied to the incumbent and cable operator, while in Malta SMP access regulation applies only to the incumbent. In the Netherlands, the incumbent entered into binding commitments following a market investigation under competition law. Flexible approaches to wholesale price regulation on fibre access have been applied in these countries, with </w:t>
      </w:r>
      <w:r w:rsidR="00866E71" w:rsidRPr="00D86314">
        <w:rPr>
          <w:noProof/>
        </w:rPr>
        <w:t>E</w:t>
      </w:r>
      <w:r w:rsidR="005E1AD5" w:rsidRPr="00D86314">
        <w:rPr>
          <w:noProof/>
        </w:rPr>
        <w:t xml:space="preserve">conomic </w:t>
      </w:r>
      <w:r w:rsidR="00866E71" w:rsidRPr="00D86314">
        <w:rPr>
          <w:noProof/>
        </w:rPr>
        <w:t>R</w:t>
      </w:r>
      <w:r w:rsidR="005E1AD5" w:rsidRPr="00D86314">
        <w:rPr>
          <w:noProof/>
        </w:rPr>
        <w:t xml:space="preserve">eplicability </w:t>
      </w:r>
      <w:r w:rsidR="00866E71" w:rsidRPr="00D86314">
        <w:rPr>
          <w:noProof/>
        </w:rPr>
        <w:t>T</w:t>
      </w:r>
      <w:r w:rsidR="005E1AD5" w:rsidRPr="00D86314">
        <w:rPr>
          <w:noProof/>
        </w:rPr>
        <w:t>est</w:t>
      </w:r>
      <w:r w:rsidR="00847101" w:rsidRPr="00D86314">
        <w:rPr>
          <w:noProof/>
        </w:rPr>
        <w:t xml:space="preserve"> (ERT)</w:t>
      </w:r>
      <w:r w:rsidR="0054569D" w:rsidRPr="00D86314">
        <w:rPr>
          <w:noProof/>
        </w:rPr>
        <w:t xml:space="preserve"> in Malta, reasonable margin in Belgium and long-term pricing arrangements in the Netherlands. While there are some similarities in market structure, there are significant differences in outcome. While the Netherlands and Malta have achieved high fibre coverage rates and moderate fibre take-up (limited by the existence of parallel cable networks), very limited fibre deployment has occurred in Belgium.</w:t>
      </w:r>
      <w:r w:rsidR="00B92E2A" w:rsidRPr="00D86314">
        <w:rPr>
          <w:noProof/>
        </w:rPr>
        <w:t xml:space="preserve"> </w:t>
      </w:r>
    </w:p>
    <w:p w14:paraId="5556A968" w14:textId="6E617190" w:rsidR="0054569D" w:rsidRPr="00D86314" w:rsidDel="00E366A7" w:rsidRDefault="00B92E2A" w:rsidP="3CDD5AD6">
      <w:pPr>
        <w:rPr>
          <w:noProof/>
        </w:rPr>
      </w:pPr>
      <w:r w:rsidRPr="00D86314">
        <w:rPr>
          <w:noProof/>
        </w:rPr>
        <w:t xml:space="preserve">Indeed, in Belgium, wholesale competition is </w:t>
      </w:r>
      <w:r w:rsidR="00E61AE0" w:rsidRPr="00D86314">
        <w:rPr>
          <w:noProof/>
        </w:rPr>
        <w:t>mainly driven by regulated access to cable (not fibre) networks.</w:t>
      </w:r>
      <w:r w:rsidR="0054569D" w:rsidRPr="00D86314">
        <w:rPr>
          <w:noProof/>
        </w:rPr>
        <w:t xml:space="preserve"> There are also notable differences in outcomes for consumers, with high prices and low take-up for Gigabit offers in Belgium, while low prices have been reported for Gigabit offers in Malta.</w:t>
      </w:r>
    </w:p>
    <w:p w14:paraId="3CE7F1F0" w14:textId="77116F6B" w:rsidR="000E5769" w:rsidRPr="00D86314" w:rsidRDefault="0054569D" w:rsidP="00682F25">
      <w:pPr>
        <w:pStyle w:val="ListParagraph"/>
        <w:numPr>
          <w:ilvl w:val="0"/>
          <w:numId w:val="56"/>
        </w:numPr>
        <w:spacing w:after="160" w:line="257" w:lineRule="auto"/>
        <w:rPr>
          <w:rFonts w:eastAsia="Times New Roman"/>
          <w:noProof/>
        </w:rPr>
      </w:pPr>
      <w:r w:rsidRPr="00D86314">
        <w:rPr>
          <w:noProof/>
        </w:rPr>
        <w:t xml:space="preserve"> </w:t>
      </w:r>
      <w:r w:rsidR="00A5612A" w:rsidRPr="00D86314">
        <w:rPr>
          <w:rFonts w:eastAsia="Times New Roman"/>
          <w:noProof/>
        </w:rPr>
        <w:t xml:space="preserve">Fourth group: </w:t>
      </w:r>
      <w:r w:rsidR="00D4174F" w:rsidRPr="00D86314">
        <w:rPr>
          <w:rFonts w:eastAsia="Times New Roman"/>
          <w:noProof/>
        </w:rPr>
        <w:t>Early regional / public / utility FTTH investors</w:t>
      </w:r>
    </w:p>
    <w:p w14:paraId="5149AD6D" w14:textId="03FFDBE0" w:rsidR="007414BF" w:rsidRPr="00D86314" w:rsidRDefault="005E79B1" w:rsidP="007B4150">
      <w:pPr>
        <w:rPr>
          <w:noProof/>
        </w:rPr>
      </w:pPr>
      <w:r w:rsidRPr="00D86314">
        <w:rPr>
          <w:noProof/>
        </w:rPr>
        <w:t xml:space="preserve">Sweden and Denmark are characterised by regional fibre operators, controlled by municipalities in the case of Sweden and by utilities in the case of Denmark. These players have been the primary contributors to high coverage of FTTH in these countries, although incumbents have also deployed FTTH in certain areas or to certain types of dwellings e.g. SDUs in Sweden. FTTH take-up is significantly lower in Denmark than in Sweden, likely as a result of the presence of a competing cable network owned by the incumbent, which may have impacted profitability of Danish fibre utilities such as Fibia. As the primary investors in FTTH in these countries have been able to exploit their own duct and pole facilities and there are limited expectations regarding additional infrastructure competition, there has been limited focus on regulation of PIA or regulation of access to in-building wiring. Attention has focused more on promoting competition in retail markets through SMP regulation. In Sweden, the SMP access regime currently in force applies only on the incumbent (based on ERT for fibre unbundling). While data from the NRA suggests that municipalities have very high market shares on fibre in many areas, in particular for </w:t>
      </w:r>
      <w:r w:rsidR="00866E71" w:rsidRPr="00D86314">
        <w:rPr>
          <w:noProof/>
        </w:rPr>
        <w:t xml:space="preserve">Multi-Dwelling </w:t>
      </w:r>
      <w:r w:rsidR="00322BF5" w:rsidRPr="00D86314">
        <w:rPr>
          <w:noProof/>
        </w:rPr>
        <w:t>U</w:t>
      </w:r>
      <w:r w:rsidR="00866E71" w:rsidRPr="00D86314">
        <w:rPr>
          <w:noProof/>
        </w:rPr>
        <w:t>nits (</w:t>
      </w:r>
      <w:r w:rsidRPr="00D86314">
        <w:rPr>
          <w:noProof/>
        </w:rPr>
        <w:t>MDU</w:t>
      </w:r>
      <w:r w:rsidR="00866E71" w:rsidRPr="00D86314">
        <w:rPr>
          <w:noProof/>
        </w:rPr>
        <w:t>)</w:t>
      </w:r>
      <w:r w:rsidRPr="00D86314">
        <w:rPr>
          <w:noProof/>
        </w:rPr>
        <w:t>, and do not always operate on the basis of passive-only networks, these networks are not currently subject to access regulation. In contrast, following a recent market review, certain regional fibre utilities have been designated as having SMP in Denmark. Access regulation has been applied but is on the basis of bitstream. Gigabit pricing is higher and take-up of Gigabit connections is lower than may be expected given the long history of FTTH deployment in these countries. It is possible that this may be affected by limitations in competition on quality that may result from the lack of demand for and access to fibre unbundling in the Danish market alongside the lack of attention to access conditions from municipalities in Sweden in areas where they have a leading position in the supply of wholesale fibre access.</w:t>
      </w:r>
      <w:r w:rsidR="007A2108" w:rsidRPr="00D86314">
        <w:rPr>
          <w:noProof/>
        </w:rPr>
        <w:t xml:space="preserve"> </w:t>
      </w:r>
      <w:r w:rsidR="007414BF" w:rsidRPr="00D86314">
        <w:rPr>
          <w:noProof/>
        </w:rPr>
        <w:t>The Finnish market is historically d</w:t>
      </w:r>
      <w:r w:rsidR="00543372" w:rsidRPr="00D86314">
        <w:rPr>
          <w:noProof/>
        </w:rPr>
        <w:t xml:space="preserve">ivided into local </w:t>
      </w:r>
      <w:r w:rsidR="007C6ED2" w:rsidRPr="00D86314">
        <w:rPr>
          <w:noProof/>
        </w:rPr>
        <w:t>geographic</w:t>
      </w:r>
      <w:r w:rsidR="00543372" w:rsidRPr="00D86314">
        <w:rPr>
          <w:noProof/>
        </w:rPr>
        <w:t xml:space="preserve"> markets with local incumbents. In some of those geographic markets </w:t>
      </w:r>
      <w:r w:rsidR="00CB234D" w:rsidRPr="00D86314">
        <w:rPr>
          <w:noProof/>
        </w:rPr>
        <w:t xml:space="preserve">there are wholesale-only, open networks which </w:t>
      </w:r>
      <w:r w:rsidR="00290F4B" w:rsidRPr="00D86314">
        <w:rPr>
          <w:noProof/>
        </w:rPr>
        <w:t xml:space="preserve">remain unregulated </w:t>
      </w:r>
      <w:r w:rsidR="00B46801" w:rsidRPr="00D86314">
        <w:rPr>
          <w:noProof/>
        </w:rPr>
        <w:t>due to the absence of competition problems.</w:t>
      </w:r>
    </w:p>
    <w:p w14:paraId="453DFA7D" w14:textId="39EA8F17" w:rsidR="004E05F5" w:rsidRPr="00D86314" w:rsidRDefault="00B46801" w:rsidP="007B4150">
      <w:pPr>
        <w:rPr>
          <w:rFonts w:eastAsia="Times New Roman"/>
          <w:noProof/>
        </w:rPr>
      </w:pPr>
      <w:r w:rsidRPr="00D86314">
        <w:rPr>
          <w:noProof/>
        </w:rPr>
        <w:t xml:space="preserve">Finally, </w:t>
      </w:r>
      <w:r w:rsidR="00613D67" w:rsidRPr="00D86314">
        <w:rPr>
          <w:noProof/>
        </w:rPr>
        <w:t>i</w:t>
      </w:r>
      <w:r w:rsidR="007A2108" w:rsidRPr="00D86314">
        <w:rPr>
          <w:noProof/>
        </w:rPr>
        <w:t>n Ireland, the joint venture between local energy company and alternative operator (Vodafone) is deploying an alternative fibre wholesale-only network to the one currently being rolled out by the local incumbent. This is complemented in Ireland by deployment under the State aid framework, with open wholesale access.</w:t>
      </w:r>
    </w:p>
    <w:p w14:paraId="7A1A904F" w14:textId="1215D351" w:rsidR="008C2610" w:rsidRPr="00D86314" w:rsidRDefault="00246D51" w:rsidP="007B4150">
      <w:pPr>
        <w:pStyle w:val="ListParagraph"/>
        <w:numPr>
          <w:ilvl w:val="0"/>
          <w:numId w:val="56"/>
        </w:numPr>
        <w:spacing w:after="160"/>
        <w:rPr>
          <w:rFonts w:eastAsia="Times New Roman"/>
          <w:noProof/>
        </w:rPr>
      </w:pPr>
      <w:r w:rsidRPr="00D86314">
        <w:rPr>
          <w:rFonts w:eastAsia="Times New Roman"/>
          <w:noProof/>
        </w:rPr>
        <w:t>Fifth</w:t>
      </w:r>
      <w:r w:rsidR="00A57104" w:rsidRPr="00D86314">
        <w:rPr>
          <w:rFonts w:eastAsia="Times New Roman"/>
          <w:noProof/>
        </w:rPr>
        <w:t xml:space="preserve"> group: </w:t>
      </w:r>
      <w:r w:rsidR="008C2610" w:rsidRPr="00D86314">
        <w:rPr>
          <w:rFonts w:eastAsia="Times New Roman"/>
          <w:noProof/>
        </w:rPr>
        <w:t>Competitive constrains stemming from alternative networks in densely populated areas – Poland and the Baltic states</w:t>
      </w:r>
    </w:p>
    <w:p w14:paraId="07AC5796" w14:textId="231C97C8" w:rsidR="00A57104" w:rsidRPr="00D86314" w:rsidRDefault="008C2610" w:rsidP="007B4150">
      <w:pPr>
        <w:spacing w:after="160"/>
        <w:rPr>
          <w:rFonts w:eastAsia="Times New Roman"/>
          <w:noProof/>
        </w:rPr>
      </w:pPr>
      <w:r w:rsidRPr="00D86314">
        <w:rPr>
          <w:rFonts w:eastAsia="Times New Roman"/>
          <w:noProof/>
        </w:rPr>
        <w:t>Investments in fibre are also indirectly driven by existing competition, in particular from hybrid coax-fibre networks. Large scale investments in fibre, followed by partial deregulation took place in larger cities of Poland, due to the presence of upgraded cable networks offering much better quality of services than the incumbent’s copper network. Similar situation can be observed in Latvia and Estonia where large cities are characterised by infrastructure-based competition and fibre investments. In those areas access to physical networks (ducts and poles) is not imposed to facilitate investments in independent networks. The regulated access to cables is however needed in more rural areas.</w:t>
      </w:r>
    </w:p>
    <w:p w14:paraId="74AE6AF8" w14:textId="6B1CC6E4" w:rsidR="00F8079C" w:rsidRPr="00D86314" w:rsidRDefault="00F8079C" w:rsidP="007B4150">
      <w:pPr>
        <w:spacing w:after="160"/>
        <w:rPr>
          <w:noProof/>
        </w:rPr>
      </w:pPr>
      <w:r w:rsidRPr="00D86314">
        <w:rPr>
          <w:noProof/>
        </w:rPr>
        <w:t xml:space="preserve">An analysis of access regimes under the EECC and outcomes for competition, investment and consumer welfare suggests that the current access-related rules under the EECC have enabled certain countries to achieve highly positive results, but </w:t>
      </w:r>
      <w:r w:rsidR="39505D6B" w:rsidRPr="00D86314">
        <w:rPr>
          <w:noProof/>
        </w:rPr>
        <w:t xml:space="preserve">some </w:t>
      </w:r>
      <w:r w:rsidRPr="00D86314">
        <w:rPr>
          <w:noProof/>
        </w:rPr>
        <w:t xml:space="preserve">regulatory approaches </w:t>
      </w:r>
      <w:r w:rsidR="29DAEEBA" w:rsidRPr="00D86314">
        <w:rPr>
          <w:noProof/>
        </w:rPr>
        <w:t xml:space="preserve">did not support or even delayed </w:t>
      </w:r>
      <w:r w:rsidRPr="00D86314">
        <w:rPr>
          <w:noProof/>
        </w:rPr>
        <w:t>the achievement of the Gigabit connectivity targets.</w:t>
      </w:r>
    </w:p>
    <w:p w14:paraId="2CB871FE" w14:textId="48B5A967" w:rsidR="00CB0621" w:rsidRPr="00D86314" w:rsidRDefault="00F8079C" w:rsidP="007B4150">
      <w:pPr>
        <w:spacing w:after="160"/>
        <w:rPr>
          <w:noProof/>
        </w:rPr>
      </w:pPr>
      <w:r w:rsidRPr="00D86314">
        <w:rPr>
          <w:noProof/>
        </w:rPr>
        <w:t>The</w:t>
      </w:r>
      <w:r w:rsidR="15A8298F" w:rsidRPr="00D86314">
        <w:rPr>
          <w:noProof/>
        </w:rPr>
        <w:t xml:space="preserve"> analysis of practices across the EU suggests that high fibre coverage has been driven by infrastructure competition in the presence of low barriers such as access to SMP ducts or low deployment costs (e.g. </w:t>
      </w:r>
      <w:r w:rsidR="215C52C3" w:rsidRPr="00D86314">
        <w:rPr>
          <w:noProof/>
        </w:rPr>
        <w:t>Spain</w:t>
      </w:r>
      <w:r w:rsidR="15A8298F" w:rsidRPr="00D86314">
        <w:rPr>
          <w:noProof/>
        </w:rPr>
        <w:t>, P</w:t>
      </w:r>
      <w:r w:rsidR="2603A41C" w:rsidRPr="00D86314">
        <w:rPr>
          <w:noProof/>
        </w:rPr>
        <w:t>ortugal</w:t>
      </w:r>
      <w:r w:rsidR="15A8298F" w:rsidRPr="00D86314">
        <w:rPr>
          <w:noProof/>
        </w:rPr>
        <w:t>, R</w:t>
      </w:r>
      <w:r w:rsidR="1167EC9B" w:rsidRPr="00D86314">
        <w:rPr>
          <w:noProof/>
        </w:rPr>
        <w:t>omania</w:t>
      </w:r>
      <w:r w:rsidR="15A8298F" w:rsidRPr="00D86314">
        <w:rPr>
          <w:noProof/>
        </w:rPr>
        <w:t>) and/or central planning e.g. F</w:t>
      </w:r>
      <w:r w:rsidR="1018E52B" w:rsidRPr="00D86314">
        <w:rPr>
          <w:noProof/>
        </w:rPr>
        <w:t>rance</w:t>
      </w:r>
      <w:r w:rsidR="15A8298F" w:rsidRPr="00D86314">
        <w:rPr>
          <w:noProof/>
        </w:rPr>
        <w:t>, which made use of geographic surveys, symmetric regulation and declarations to limit duplication of fibre networks and provide investor certainty by limiting the risks of overbuild.</w:t>
      </w:r>
      <w:r w:rsidR="4C08B9AF" w:rsidRPr="00D86314">
        <w:rPr>
          <w:noProof/>
        </w:rPr>
        <w:t xml:space="preserve"> Public authorities support either by state aids or by direct investment via publicly owned company has also played an important role.</w:t>
      </w:r>
    </w:p>
    <w:p w14:paraId="3325ED53" w14:textId="59F09408" w:rsidR="00CB0621" w:rsidRPr="00D86314" w:rsidRDefault="15A8298F" w:rsidP="007B4150">
      <w:pPr>
        <w:spacing w:after="160"/>
        <w:rPr>
          <w:rFonts w:eastAsia="Times New Roman"/>
          <w:noProof/>
        </w:rPr>
      </w:pPr>
      <w:r w:rsidRPr="00D86314">
        <w:rPr>
          <w:rFonts w:eastAsia="Times New Roman"/>
          <w:noProof/>
        </w:rPr>
        <w:t>A common factor amongst the countries which lag furthest behind in FTTP deployment is that they feature FTTC/VDSL deployment by the incumbent (e.g. Austria, Belgium, Germany and Italy). The deployment of this interim technology</w:t>
      </w:r>
      <w:r w:rsidR="009E4FCD" w:rsidRPr="00D86314">
        <w:rPr>
          <w:rFonts w:eastAsia="Times New Roman"/>
          <w:noProof/>
        </w:rPr>
        <w:t xml:space="preserve"> (</w:t>
      </w:r>
      <w:r w:rsidR="00E8331A" w:rsidRPr="00D86314">
        <w:rPr>
          <w:rFonts w:eastAsia="Times New Roman"/>
          <w:noProof/>
        </w:rPr>
        <w:t>‘</w:t>
      </w:r>
      <w:r w:rsidR="009E4FCD" w:rsidRPr="00D86314">
        <w:rPr>
          <w:rFonts w:eastAsia="Times New Roman"/>
          <w:noProof/>
        </w:rPr>
        <w:t>vectoring</w:t>
      </w:r>
      <w:r w:rsidR="00E8331A" w:rsidRPr="00D86314">
        <w:rPr>
          <w:rFonts w:eastAsia="Times New Roman"/>
          <w:noProof/>
        </w:rPr>
        <w:t>’ which</w:t>
      </w:r>
      <w:r w:rsidR="008D7883" w:rsidRPr="00D86314">
        <w:rPr>
          <w:rFonts w:eastAsia="Times New Roman"/>
          <w:noProof/>
        </w:rPr>
        <w:t xml:space="preserve"> </w:t>
      </w:r>
      <w:r w:rsidR="00E8331A" w:rsidRPr="00D86314">
        <w:rPr>
          <w:rFonts w:eastAsia="Times New Roman"/>
          <w:noProof/>
        </w:rPr>
        <w:t>allows elimination of cross talks for higher bandwidths</w:t>
      </w:r>
      <w:r w:rsidR="008D7883" w:rsidRPr="00D86314">
        <w:rPr>
          <w:rFonts w:eastAsia="Times New Roman"/>
          <w:noProof/>
        </w:rPr>
        <w:t>)</w:t>
      </w:r>
      <w:r w:rsidRPr="00D86314">
        <w:rPr>
          <w:rFonts w:eastAsia="Times New Roman"/>
          <w:noProof/>
        </w:rPr>
        <w:t xml:space="preserve"> may have provided short term gains in terms of lower capital intensity, while improving services to customers</w:t>
      </w:r>
      <w:r w:rsidR="00235D94" w:rsidRPr="00D86314">
        <w:rPr>
          <w:rFonts w:eastAsia="Times New Roman"/>
          <w:noProof/>
        </w:rPr>
        <w:t xml:space="preserve"> (</w:t>
      </w:r>
      <w:r w:rsidR="00950758" w:rsidRPr="00D86314">
        <w:rPr>
          <w:rFonts w:eastAsia="Times New Roman"/>
          <w:noProof/>
        </w:rPr>
        <w:t xml:space="preserve">e.g. </w:t>
      </w:r>
      <w:r w:rsidR="005E5FB4" w:rsidRPr="00D86314">
        <w:rPr>
          <w:rFonts w:eastAsia="Times New Roman"/>
          <w:noProof/>
        </w:rPr>
        <w:t>downstream/upstream rate 250/40 Mbps</w:t>
      </w:r>
      <w:r w:rsidR="00302147" w:rsidRPr="00D86314">
        <w:rPr>
          <w:rFonts w:eastAsia="Times New Roman"/>
          <w:noProof/>
        </w:rPr>
        <w:t xml:space="preserve"> and for very short </w:t>
      </w:r>
      <w:r w:rsidR="00B81DE6" w:rsidRPr="00D86314">
        <w:rPr>
          <w:rFonts w:eastAsia="Times New Roman"/>
          <w:noProof/>
        </w:rPr>
        <w:t xml:space="preserve">copper lines up to 100 meters </w:t>
      </w:r>
      <w:r w:rsidR="0061303A" w:rsidRPr="00D86314">
        <w:rPr>
          <w:rFonts w:eastAsia="Times New Roman"/>
          <w:noProof/>
        </w:rPr>
        <w:t>–</w:t>
      </w:r>
      <w:r w:rsidR="00B81DE6" w:rsidRPr="00D86314">
        <w:rPr>
          <w:rFonts w:eastAsia="Times New Roman"/>
          <w:noProof/>
        </w:rPr>
        <w:t xml:space="preserve"> </w:t>
      </w:r>
      <w:r w:rsidR="0061303A" w:rsidRPr="00D86314">
        <w:rPr>
          <w:rFonts w:eastAsia="Times New Roman"/>
          <w:noProof/>
        </w:rPr>
        <w:t>Gbps</w:t>
      </w:r>
      <w:r w:rsidR="004D2AD2" w:rsidRPr="00D86314">
        <w:rPr>
          <w:rFonts w:eastAsia="Times New Roman"/>
          <w:noProof/>
        </w:rPr>
        <w:t xml:space="preserve"> bandwidth</w:t>
      </w:r>
      <w:r w:rsidR="0061303A" w:rsidRPr="00D86314">
        <w:rPr>
          <w:rFonts w:eastAsia="Times New Roman"/>
          <w:noProof/>
        </w:rPr>
        <w:t xml:space="preserve"> is possible</w:t>
      </w:r>
      <w:r w:rsidR="006A5741" w:rsidRPr="00D86314">
        <w:rPr>
          <w:rFonts w:eastAsia="Times New Roman"/>
          <w:noProof/>
        </w:rPr>
        <w:t>)</w:t>
      </w:r>
      <w:r w:rsidRPr="00D86314">
        <w:rPr>
          <w:rFonts w:eastAsia="Times New Roman"/>
          <w:noProof/>
        </w:rPr>
        <w:t xml:space="preserve">. However, the strategy to deploy FTTC led to a deferral by incumbents of required investments in FTTP to a later stage. In addition to deferring the incumbents’ investments, the availability of FTTC / VDSL may also have served to deter deployments in </w:t>
      </w:r>
      <w:r w:rsidR="1EE3C169" w:rsidRPr="00D86314">
        <w:rPr>
          <w:rFonts w:eastAsia="Times New Roman"/>
          <w:noProof/>
        </w:rPr>
        <w:t>fibre</w:t>
      </w:r>
      <w:r w:rsidRPr="00D86314">
        <w:rPr>
          <w:rFonts w:eastAsia="Times New Roman"/>
          <w:noProof/>
        </w:rPr>
        <w:t xml:space="preserve"> by alternative investors, by limiting the performance gap between copper and fibre. In turn, this has hindered take-up of </w:t>
      </w:r>
      <w:r w:rsidR="7A351BA0" w:rsidRPr="00D86314">
        <w:rPr>
          <w:rFonts w:eastAsia="Times New Roman"/>
          <w:noProof/>
        </w:rPr>
        <w:t>fibr</w:t>
      </w:r>
      <w:r w:rsidR="003B6C1C" w:rsidRPr="00D86314">
        <w:rPr>
          <w:rFonts w:eastAsia="Times New Roman"/>
          <w:noProof/>
        </w:rPr>
        <w:t>e</w:t>
      </w:r>
      <w:r w:rsidRPr="00D86314">
        <w:rPr>
          <w:rFonts w:eastAsia="Times New Roman"/>
          <w:noProof/>
        </w:rPr>
        <w:t>, further undermining the business case. If the demand/take-up developments do not meet the expectations of operators and/or investors, the incentive to invest further and to invest in new infrastructure projects is reduced.</w:t>
      </w:r>
    </w:p>
    <w:p w14:paraId="4171F2F5" w14:textId="07C94092" w:rsidR="002D7B74" w:rsidRPr="00D86314" w:rsidRDefault="5E08F007" w:rsidP="007B4150">
      <w:pPr>
        <w:spacing w:after="160"/>
        <w:rPr>
          <w:rFonts w:eastAsia="Times New Roman"/>
          <w:noProof/>
        </w:rPr>
      </w:pPr>
      <w:r w:rsidRPr="00D86314">
        <w:rPr>
          <w:rFonts w:eastAsia="Times New Roman"/>
          <w:noProof/>
        </w:rPr>
        <w:t>Profitability of the operators</w:t>
      </w:r>
    </w:p>
    <w:p w14:paraId="587F8BBA" w14:textId="1EC7608B" w:rsidR="00C530D5" w:rsidRPr="00D86314" w:rsidRDefault="062624DD" w:rsidP="007B4150">
      <w:pPr>
        <w:spacing w:after="160"/>
        <w:rPr>
          <w:rFonts w:eastAsia="Times New Roman"/>
          <w:noProof/>
        </w:rPr>
      </w:pPr>
      <w:r w:rsidRPr="00D86314">
        <w:rPr>
          <w:rFonts w:eastAsia="Times New Roman"/>
          <w:noProof/>
        </w:rPr>
        <w:t xml:space="preserve">Regulation </w:t>
      </w:r>
      <w:r w:rsidR="00BF1212" w:rsidRPr="00D86314">
        <w:rPr>
          <w:rFonts w:eastAsia="Times New Roman"/>
          <w:noProof/>
        </w:rPr>
        <w:t>also ha</w:t>
      </w:r>
      <w:r w:rsidR="003B0D2E" w:rsidRPr="00D86314">
        <w:rPr>
          <w:rFonts w:eastAsia="Times New Roman"/>
          <w:noProof/>
        </w:rPr>
        <w:t>s</w:t>
      </w:r>
      <w:r w:rsidR="00773536" w:rsidRPr="00D86314">
        <w:rPr>
          <w:rFonts w:eastAsia="Times New Roman"/>
          <w:noProof/>
        </w:rPr>
        <w:t xml:space="preserve"> consequences in terms of revenues and profitability</w:t>
      </w:r>
      <w:r w:rsidR="00E51D0A" w:rsidRPr="00D86314">
        <w:rPr>
          <w:rFonts w:eastAsia="Times New Roman"/>
          <w:noProof/>
        </w:rPr>
        <w:t xml:space="preserve"> of the telecom operators. However, it is important to note that regulation is </w:t>
      </w:r>
      <w:r w:rsidR="00F47A70" w:rsidRPr="00D86314">
        <w:rPr>
          <w:rFonts w:eastAsia="Times New Roman"/>
          <w:noProof/>
        </w:rPr>
        <w:t xml:space="preserve">only </w:t>
      </w:r>
      <w:r w:rsidR="004A7929" w:rsidRPr="00D86314">
        <w:rPr>
          <w:rFonts w:eastAsia="Times New Roman"/>
          <w:noProof/>
        </w:rPr>
        <w:t>one of many</w:t>
      </w:r>
      <w:r w:rsidR="00F47A70" w:rsidRPr="00D86314">
        <w:rPr>
          <w:rFonts w:eastAsia="Times New Roman"/>
          <w:noProof/>
        </w:rPr>
        <w:t xml:space="preserve"> factors </w:t>
      </w:r>
      <w:r w:rsidR="004A7929" w:rsidRPr="00D86314">
        <w:rPr>
          <w:rFonts w:eastAsia="Times New Roman"/>
          <w:noProof/>
        </w:rPr>
        <w:t xml:space="preserve">that influence </w:t>
      </w:r>
      <w:r w:rsidR="00F47A70" w:rsidRPr="00D86314">
        <w:rPr>
          <w:rFonts w:eastAsia="Times New Roman"/>
          <w:noProof/>
        </w:rPr>
        <w:t xml:space="preserve">these financial outcomes. </w:t>
      </w:r>
      <w:r w:rsidR="004432DE" w:rsidRPr="00D86314">
        <w:rPr>
          <w:rFonts w:eastAsia="Times New Roman"/>
          <w:noProof/>
        </w:rPr>
        <w:t xml:space="preserve">It must be noted from the outset that while segmented fixed and mobile Average Revenue Per user (ARPU) data may be available, </w:t>
      </w:r>
      <w:r w:rsidR="00C530D5" w:rsidRPr="00D86314">
        <w:rPr>
          <w:rFonts w:eastAsia="Times New Roman"/>
          <w:noProof/>
        </w:rPr>
        <w:t>profitability is generally only provided in aggregate form, collating the results from fixed and mobile together, and often also combining results from multiple countries, in particular for smaller markets.</w:t>
      </w:r>
    </w:p>
    <w:p w14:paraId="39517B56" w14:textId="67928C4F" w:rsidR="00EA075D" w:rsidRPr="00D86314" w:rsidRDefault="00EA075D" w:rsidP="007B4150">
      <w:pPr>
        <w:spacing w:after="160"/>
        <w:rPr>
          <w:rFonts w:eastAsia="Times New Roman"/>
          <w:noProof/>
        </w:rPr>
      </w:pPr>
      <w:r w:rsidRPr="00D86314">
        <w:rPr>
          <w:rFonts w:eastAsia="Times New Roman"/>
          <w:noProof/>
        </w:rPr>
        <w:t>With that said, the financial results show that there are differences in profitability between vertically integrated telcos in different European countries, and in many cases differences between the profitability of incumbents compared with alternative operators / access seekers (with incumbents typically being more profitable). It is possible that (along with other factors), aspects of the regulatory regime which affect FTTH deployment and associated investment requirements and the duplication of FTTH networks (infrastructure competition) may have influenced the different outcomes seen.</w:t>
      </w:r>
    </w:p>
    <w:p w14:paraId="33C5D7BE" w14:textId="3C733DC2" w:rsidR="00EA075D" w:rsidRPr="00D86314" w:rsidRDefault="00EA075D" w:rsidP="007B4150">
      <w:pPr>
        <w:spacing w:after="160"/>
        <w:rPr>
          <w:rFonts w:eastAsia="Times New Roman"/>
          <w:noProof/>
        </w:rPr>
      </w:pPr>
      <w:r w:rsidRPr="00D86314">
        <w:rPr>
          <w:rFonts w:eastAsia="Times New Roman"/>
          <w:noProof/>
        </w:rPr>
        <w:t xml:space="preserve">An overview of results from one of the Barclays 2024 reports is provided below. It appears that all incumbents are meeting their cost of capital apart from Telecom Italia. The financial performance of alternative operators is lower, but there are country-specific variations. The following list provides an overview from strongest to weakest financial performance, in terms of the number of players with </w:t>
      </w:r>
      <w:r w:rsidR="00CF79D3" w:rsidRPr="00D86314">
        <w:rPr>
          <w:rFonts w:eastAsia="Times New Roman"/>
          <w:noProof/>
        </w:rPr>
        <w:t>R</w:t>
      </w:r>
      <w:r w:rsidR="0001247C" w:rsidRPr="00D86314">
        <w:rPr>
          <w:rFonts w:eastAsia="Times New Roman"/>
          <w:noProof/>
        </w:rPr>
        <w:t>eturn on Capital Employed (</w:t>
      </w:r>
      <w:r w:rsidRPr="00D86314">
        <w:rPr>
          <w:rFonts w:eastAsia="Times New Roman"/>
          <w:noProof/>
        </w:rPr>
        <w:t>ROCE</w:t>
      </w:r>
      <w:r w:rsidR="0001247C" w:rsidRPr="00D86314">
        <w:rPr>
          <w:rFonts w:eastAsia="Times New Roman"/>
          <w:noProof/>
        </w:rPr>
        <w:t>)</w:t>
      </w:r>
      <w:r w:rsidRPr="00D86314">
        <w:rPr>
          <w:rFonts w:eastAsia="Times New Roman"/>
          <w:noProof/>
        </w:rPr>
        <w:t xml:space="preserve"> close to or exceeding the company-specific </w:t>
      </w:r>
      <w:r w:rsidR="00CF79D3" w:rsidRPr="00D86314">
        <w:rPr>
          <w:rFonts w:eastAsia="Times New Roman"/>
          <w:noProof/>
        </w:rPr>
        <w:t>Weighted Average Cost of Capital (</w:t>
      </w:r>
      <w:r w:rsidRPr="00D86314">
        <w:rPr>
          <w:rFonts w:eastAsia="Times New Roman"/>
          <w:noProof/>
        </w:rPr>
        <w:t>WACC</w:t>
      </w:r>
      <w:r w:rsidR="00CF79D3" w:rsidRPr="00D86314">
        <w:rPr>
          <w:rFonts w:eastAsia="Times New Roman"/>
          <w:noProof/>
        </w:rPr>
        <w:t>)</w:t>
      </w:r>
      <w:r w:rsidRPr="00D86314">
        <w:rPr>
          <w:rFonts w:eastAsia="Times New Roman"/>
          <w:noProof/>
        </w:rPr>
        <w:t xml:space="preserve"> (or incumbent WACC where not provided):</w:t>
      </w:r>
    </w:p>
    <w:p w14:paraId="175A6A02" w14:textId="77777777" w:rsidR="00C2226E" w:rsidRPr="00D86314" w:rsidRDefault="00EA075D" w:rsidP="0078188A">
      <w:pPr>
        <w:pStyle w:val="ListParagraph"/>
        <w:numPr>
          <w:ilvl w:val="0"/>
          <w:numId w:val="61"/>
        </w:numPr>
        <w:ind w:left="714" w:hanging="357"/>
        <w:contextualSpacing w:val="0"/>
        <w:rPr>
          <w:rFonts w:eastAsia="Times New Roman"/>
          <w:noProof/>
        </w:rPr>
      </w:pPr>
      <w:r w:rsidRPr="00D86314">
        <w:rPr>
          <w:rFonts w:eastAsia="Times New Roman"/>
          <w:noProof/>
        </w:rPr>
        <w:t>In Germany, all the main broadband providers listed are profitable or appear close to profitability, with particularly strong performance from the incumbent and from 1&amp;1, which was at the time of the data provided, mainly a service provider (in both fixed and mobile). TF Deutschland is not profitable, but as its broadband market share and fixed investments are understood to be limited, this may result from dynamics relating to the mobile market.</w:t>
      </w:r>
    </w:p>
    <w:p w14:paraId="0ABF1D17" w14:textId="77777777" w:rsidR="00C2226E" w:rsidRPr="00D86314" w:rsidRDefault="00EA075D" w:rsidP="0078188A">
      <w:pPr>
        <w:pStyle w:val="ListParagraph"/>
        <w:numPr>
          <w:ilvl w:val="0"/>
          <w:numId w:val="61"/>
        </w:numPr>
        <w:ind w:left="714" w:hanging="357"/>
        <w:contextualSpacing w:val="0"/>
        <w:rPr>
          <w:rFonts w:eastAsia="Times New Roman"/>
          <w:noProof/>
        </w:rPr>
      </w:pPr>
      <w:r w:rsidRPr="00D86314">
        <w:rPr>
          <w:rFonts w:eastAsia="Times New Roman"/>
          <w:noProof/>
        </w:rPr>
        <w:t>In France, the incumbent and two of the main alternative broadband providers are profitable or appear close to profitability. Only Altice is reported as making very low returns, although its company-specific WACC is not given.</w:t>
      </w:r>
    </w:p>
    <w:p w14:paraId="559CD8EB" w14:textId="77777777" w:rsidR="00C2226E" w:rsidRPr="00D86314" w:rsidRDefault="00EA075D" w:rsidP="0078188A">
      <w:pPr>
        <w:pStyle w:val="ListParagraph"/>
        <w:numPr>
          <w:ilvl w:val="0"/>
          <w:numId w:val="61"/>
        </w:numPr>
        <w:ind w:left="714" w:hanging="357"/>
        <w:contextualSpacing w:val="0"/>
        <w:rPr>
          <w:rFonts w:eastAsia="Times New Roman"/>
          <w:noProof/>
        </w:rPr>
      </w:pPr>
      <w:r w:rsidRPr="00D86314">
        <w:rPr>
          <w:rFonts w:eastAsia="Times New Roman"/>
          <w:noProof/>
        </w:rPr>
        <w:t>In the Netherlands, the incumbent is highly profitable. The alternative operator Odido’s ROCE is significantly lower (and below the incumbent WACC), while Vodafone Ziggo is not meeting its WACC.</w:t>
      </w:r>
    </w:p>
    <w:p w14:paraId="3B2C5DE3" w14:textId="77777777" w:rsidR="00C2226E" w:rsidRPr="00D86314" w:rsidRDefault="00EA075D" w:rsidP="007B4150">
      <w:pPr>
        <w:pStyle w:val="ListParagraph"/>
        <w:numPr>
          <w:ilvl w:val="0"/>
          <w:numId w:val="61"/>
        </w:numPr>
        <w:ind w:left="714" w:hanging="357"/>
        <w:contextualSpacing w:val="0"/>
        <w:rPr>
          <w:rFonts w:eastAsia="Times New Roman"/>
          <w:noProof/>
        </w:rPr>
      </w:pPr>
      <w:r w:rsidRPr="00D86314">
        <w:rPr>
          <w:rFonts w:eastAsia="Times New Roman"/>
          <w:noProof/>
        </w:rPr>
        <w:t>In Spain, the incumbent is significantly exceeding its WACC, but its competitors are falling significantly short of their cost of capital</w:t>
      </w:r>
      <w:r w:rsidR="00C2226E" w:rsidRPr="00D86314">
        <w:rPr>
          <w:rFonts w:eastAsia="Times New Roman"/>
          <w:noProof/>
        </w:rPr>
        <w:t>.</w:t>
      </w:r>
    </w:p>
    <w:p w14:paraId="560161AC" w14:textId="6E241CEB" w:rsidR="00226E61" w:rsidRPr="00D86314" w:rsidRDefault="00EA075D" w:rsidP="0078188A">
      <w:pPr>
        <w:pStyle w:val="ListParagraph"/>
        <w:numPr>
          <w:ilvl w:val="0"/>
          <w:numId w:val="56"/>
        </w:numPr>
        <w:ind w:left="714" w:hanging="357"/>
        <w:contextualSpacing w:val="0"/>
        <w:rPr>
          <w:noProof/>
        </w:rPr>
      </w:pPr>
      <w:r w:rsidRPr="00D86314">
        <w:rPr>
          <w:rFonts w:eastAsia="Times New Roman"/>
          <w:noProof/>
        </w:rPr>
        <w:t>In Italy all operators are falling far short of their cost of capital.</w:t>
      </w:r>
    </w:p>
    <w:p w14:paraId="05F571C8" w14:textId="327201F7" w:rsidR="00A90579" w:rsidRPr="00D86314" w:rsidRDefault="00A90579" w:rsidP="007B4150">
      <w:pPr>
        <w:rPr>
          <w:rFonts w:eastAsia="Times New Roman"/>
          <w:noProof/>
        </w:rPr>
      </w:pPr>
      <w:r w:rsidRPr="00D86314">
        <w:rPr>
          <w:rFonts w:eastAsia="Times New Roman"/>
          <w:noProof/>
        </w:rPr>
        <w:t>The degree of investment in FTTH (and associated cost) and the timing of that investment is likely to have affected profitability as well as the extent to which FTTH networks were duplicated as opposed to shared amongst broadband providers. This could for example have contributed to higher levels of profitability in Germany, which had limited FTTH deployment as of 2023. In contrast, in Italy the acceleration in FTTH deployment, infrastructure competition from Open Fib</w:t>
      </w:r>
      <w:r w:rsidR="0078188A" w:rsidRPr="00D86314">
        <w:rPr>
          <w:rFonts w:eastAsia="Times New Roman"/>
          <w:noProof/>
        </w:rPr>
        <w:t>e</w:t>
      </w:r>
      <w:r w:rsidRPr="00D86314">
        <w:rPr>
          <w:rFonts w:eastAsia="Times New Roman"/>
          <w:noProof/>
        </w:rPr>
        <w:t xml:space="preserve">r and relatively low retail prices may have contributed to low levels of profitability including for the incumbent. However, other factors including commercial decisions and debt levels are also likely to have played a role. In Spain, the focus on infrastructure competition, requiring high levels of investment by all broadband players may have contributed to low levels of profitability amongst alternative broadband operators. </w:t>
      </w:r>
    </w:p>
    <w:p w14:paraId="6F837E8A" w14:textId="43F4E085" w:rsidR="00226E61" w:rsidRPr="00D86314" w:rsidRDefault="00A90579" w:rsidP="007B4150">
      <w:pPr>
        <w:rPr>
          <w:rFonts w:eastAsia="Times New Roman"/>
          <w:noProof/>
        </w:rPr>
      </w:pPr>
      <w:r w:rsidRPr="00D86314">
        <w:rPr>
          <w:rFonts w:eastAsia="Times New Roman"/>
          <w:noProof/>
        </w:rPr>
        <w:t>In contrast, the relatively higher levels of profitability amongst alternative operators in France compared with other countries may have been supported by limitations in FTTH duplication, encouraged by regulatory policies which favoured co-investment rather than infrastructure competition, alongside the earlier deployment of FTTH (compared with Italy and Germany) and associated higher take-up.</w:t>
      </w:r>
    </w:p>
    <w:p w14:paraId="7D7D1B84" w14:textId="5F5C332B" w:rsidR="00B445EA" w:rsidRPr="00D86314" w:rsidRDefault="00B57EB4" w:rsidP="007B4150">
      <w:pPr>
        <w:rPr>
          <w:rFonts w:eastAsia="Times New Roman"/>
          <w:noProof/>
        </w:rPr>
      </w:pPr>
      <w:r w:rsidRPr="00D86314">
        <w:rPr>
          <w:rFonts w:eastAsia="Times New Roman"/>
          <w:noProof/>
        </w:rPr>
        <w:t>Data</w:t>
      </w:r>
      <w:r w:rsidR="0035081E" w:rsidRPr="00D86314">
        <w:rPr>
          <w:rFonts w:eastAsia="Times New Roman"/>
          <w:noProof/>
        </w:rPr>
        <w:t xml:space="preserve"> available </w:t>
      </w:r>
      <w:r w:rsidRPr="00D86314">
        <w:rPr>
          <w:rFonts w:eastAsia="Times New Roman"/>
          <w:noProof/>
        </w:rPr>
        <w:t>to WIK</w:t>
      </w:r>
      <w:r w:rsidR="0035081E" w:rsidRPr="00D86314">
        <w:rPr>
          <w:rFonts w:eastAsia="Times New Roman"/>
          <w:noProof/>
        </w:rPr>
        <w:t xml:space="preserve"> shows that specialist alternative fibre investors are amongst those with the most troubling financial results. While municipal operators such as Stokab have been able to achieve adequate returns on capital with early fibre investment using a wholesale only model to stimulate take-up, others e.g. Fibia, SIRO, Open Fiber and CityFibre with later FTTH investments, greater reliance on debt and in a market with significant competition, are yet to translate their investments into profitability.</w:t>
      </w:r>
      <w:r w:rsidR="008C4C45" w:rsidRPr="00D86314">
        <w:rPr>
          <w:rFonts w:eastAsia="Times New Roman"/>
          <w:noProof/>
        </w:rPr>
        <w:t xml:space="preserve"> </w:t>
      </w:r>
      <w:r w:rsidR="00B40A38" w:rsidRPr="00D86314">
        <w:rPr>
          <w:rFonts w:eastAsia="Times New Roman"/>
          <w:noProof/>
        </w:rPr>
        <w:t>Amongst investors for whom data is available, low take-up seems to be a particular concern.</w:t>
      </w:r>
      <w:r w:rsidRPr="00D86314" w:rsidDel="00B40A38">
        <w:rPr>
          <w:rFonts w:eastAsia="Times New Roman"/>
          <w:noProof/>
        </w:rPr>
        <w:t xml:space="preserve"> </w:t>
      </w:r>
      <w:r w:rsidR="00B40A38" w:rsidRPr="00D86314">
        <w:rPr>
          <w:rFonts w:eastAsia="Times New Roman"/>
          <w:noProof/>
        </w:rPr>
        <w:t>It is notable that in all cases with the exception of Stokab, which deployed fibre from the early 2000s, at a time when the performance available from competitors on copper and cable was limited, fibre was deployed by the other regional operators listed in competition with upgraded cable networks (in particular by TDC in Denmark) and FTTC/VDSL (by incumbents and access-seekers in Italy, the UK and Ireland). The duplication of fibre networks deployed by fibre investors by incumbents in the UK, Ireland and Italy is likely to have presented another challenge.</w:t>
      </w:r>
      <w:r w:rsidR="00E40FA1" w:rsidRPr="00D86314">
        <w:rPr>
          <w:rFonts w:eastAsia="Times New Roman"/>
          <w:noProof/>
        </w:rPr>
        <w:t xml:space="preserve"> </w:t>
      </w:r>
      <w:r w:rsidR="00B40A38" w:rsidRPr="00D86314">
        <w:rPr>
          <w:rFonts w:eastAsia="Times New Roman"/>
          <w:noProof/>
        </w:rPr>
        <w:t>Poor financial outcomes amongst the alternative fibre investors described above may have been influenced by policies in some countries which actively favoured the prolongation of copper infrastructure through promoting FTTC/VDSL deployment by incumbents. In turn, the improved quality on copper networks is likely to have deterred consumers from switching to fibre</w:t>
      </w:r>
      <w:r w:rsidR="37605863" w:rsidRPr="00D86314">
        <w:rPr>
          <w:rFonts w:eastAsia="Times New Roman"/>
          <w:noProof/>
        </w:rPr>
        <w:t>.</w:t>
      </w:r>
      <w:r w:rsidR="0017705A" w:rsidRPr="00D86314">
        <w:rPr>
          <w:rFonts w:eastAsia="Times New Roman"/>
          <w:noProof/>
        </w:rPr>
        <w:t xml:space="preserve"> </w:t>
      </w:r>
      <w:r w:rsidR="37605863" w:rsidRPr="00D86314">
        <w:rPr>
          <w:rFonts w:eastAsia="Times New Roman"/>
          <w:noProof/>
        </w:rPr>
        <w:t xml:space="preserve">In addition, the overall profitability for some operators still using </w:t>
      </w:r>
      <w:r w:rsidR="1249C249" w:rsidRPr="00D86314">
        <w:rPr>
          <w:rFonts w:eastAsia="Times New Roman"/>
          <w:noProof/>
        </w:rPr>
        <w:t>FTTC/VDSL</w:t>
      </w:r>
      <w:r w:rsidR="37605863" w:rsidRPr="00D86314">
        <w:rPr>
          <w:rFonts w:eastAsia="Times New Roman"/>
          <w:noProof/>
        </w:rPr>
        <w:t xml:space="preserve"> infrastructures di</w:t>
      </w:r>
      <w:r w:rsidR="2F00C9F3" w:rsidRPr="00D86314">
        <w:rPr>
          <w:rFonts w:eastAsia="Times New Roman"/>
          <w:noProof/>
        </w:rPr>
        <w:t>d not incentivise</w:t>
      </w:r>
      <w:r w:rsidR="52B2A013" w:rsidRPr="00D86314">
        <w:rPr>
          <w:rFonts w:eastAsia="Times New Roman"/>
          <w:noProof/>
        </w:rPr>
        <w:t xml:space="preserve"> their move towards fibr</w:t>
      </w:r>
      <w:r w:rsidR="0017705A" w:rsidRPr="00D86314">
        <w:rPr>
          <w:rFonts w:eastAsia="Times New Roman"/>
          <w:noProof/>
        </w:rPr>
        <w:t>e</w:t>
      </w:r>
      <w:r w:rsidR="52B2A013" w:rsidRPr="00D86314">
        <w:rPr>
          <w:rFonts w:eastAsia="Times New Roman"/>
          <w:noProof/>
        </w:rPr>
        <w:t>.</w:t>
      </w:r>
      <w:r w:rsidR="2F00C9F3" w:rsidRPr="00D86314">
        <w:rPr>
          <w:rFonts w:eastAsia="Times New Roman"/>
          <w:noProof/>
        </w:rPr>
        <w:t xml:space="preserve"> </w:t>
      </w:r>
    </w:p>
    <w:p w14:paraId="68E17175" w14:textId="32616827" w:rsidR="008248C8" w:rsidRPr="00D86314" w:rsidRDefault="000547F6" w:rsidP="007B4150">
      <w:pPr>
        <w:rPr>
          <w:noProof/>
        </w:rPr>
      </w:pPr>
      <w:r w:rsidRPr="00D86314">
        <w:rPr>
          <w:noProof/>
        </w:rPr>
        <w:t xml:space="preserve">Although regulatory </w:t>
      </w:r>
      <w:r w:rsidR="00A330EE" w:rsidRPr="00D86314">
        <w:rPr>
          <w:noProof/>
        </w:rPr>
        <w:t>approaches</w:t>
      </w:r>
      <w:r w:rsidRPr="00D86314">
        <w:rPr>
          <w:noProof/>
        </w:rPr>
        <w:t xml:space="preserve"> appear to have impacted operators’ profitability to some extent</w:t>
      </w:r>
      <w:r w:rsidR="00AB500C" w:rsidRPr="00D86314">
        <w:rPr>
          <w:noProof/>
        </w:rPr>
        <w:t xml:space="preserve"> – among other contributing factors</w:t>
      </w:r>
      <w:r w:rsidR="002406F7" w:rsidRPr="00D86314">
        <w:rPr>
          <w:noProof/>
        </w:rPr>
        <w:t xml:space="preserve"> </w:t>
      </w:r>
      <w:r w:rsidR="00AB500C" w:rsidRPr="00D86314">
        <w:rPr>
          <w:noProof/>
        </w:rPr>
        <w:t>-</w:t>
      </w:r>
      <w:r w:rsidRPr="00D86314">
        <w:rPr>
          <w:noProof/>
        </w:rPr>
        <w:t xml:space="preserve"> this does not allow us to infer that the operators showing higher profitability were those that invested more heavily in fibre. </w:t>
      </w:r>
    </w:p>
    <w:p w14:paraId="1CCEF2C2" w14:textId="5E8A7419" w:rsidR="00CB0621" w:rsidRPr="00D86314" w:rsidRDefault="00640036" w:rsidP="00703057">
      <w:pPr>
        <w:pStyle w:val="Heading3"/>
        <w:rPr>
          <w:noProof/>
        </w:rPr>
      </w:pPr>
      <w:bookmarkStart w:id="232" w:name="_Toc209532691"/>
      <w:bookmarkStart w:id="233" w:name="_Toc219718429"/>
      <w:r w:rsidRPr="00D86314">
        <w:rPr>
          <w:noProof/>
        </w:rPr>
        <w:t>Persistence of copper networks slows down the deployment and adoption of fibre networks/services</w:t>
      </w:r>
      <w:bookmarkEnd w:id="232"/>
      <w:bookmarkEnd w:id="233"/>
    </w:p>
    <w:p w14:paraId="7DE45A0D" w14:textId="63F57B79" w:rsidR="00A81DA7" w:rsidRPr="00D86314" w:rsidRDefault="00A81DA7" w:rsidP="007B4150">
      <w:pPr>
        <w:pStyle w:val="Text2"/>
        <w:spacing w:after="120"/>
        <w:ind w:left="0"/>
        <w:rPr>
          <w:noProof/>
        </w:rPr>
      </w:pPr>
      <w:r w:rsidRPr="00D86314">
        <w:rPr>
          <w:noProof/>
        </w:rPr>
        <w:t>A forward-looking assessment to support coverage and target potential regulation in a full fibre environment should include an assessment of the replicability of fibre networks, as well as identifying potential gaps, which may need to be addressed via State Aid. However, to date NRAs can only rely on Article</w:t>
      </w:r>
      <w:r w:rsidR="00F53F9A">
        <w:rPr>
          <w:noProof/>
        </w:rPr>
        <w:t> </w:t>
      </w:r>
      <w:r w:rsidRPr="00D86314">
        <w:rPr>
          <w:noProof/>
        </w:rPr>
        <w:t>22 EECC (geographic surveys) of the Code, which does not include an assessment relating to VHCN or fibre coverage and instead allows data gathering based on speeds of only 100</w:t>
      </w:r>
      <w:r w:rsidR="000F4DE9" w:rsidRPr="00D86314">
        <w:rPr>
          <w:noProof/>
        </w:rPr>
        <w:t xml:space="preserve"> </w:t>
      </w:r>
      <w:r w:rsidRPr="00D86314">
        <w:rPr>
          <w:noProof/>
        </w:rPr>
        <w:t>Mbps. Provisions relating to forecasts are also optional. Therefore, the evidence available to NRA to inform their regulatory decisions and recommend policy choices to policy makers is limited.</w:t>
      </w:r>
    </w:p>
    <w:p w14:paraId="7D071720" w14:textId="63326EA8" w:rsidR="00A81DA7" w:rsidRPr="00D86314" w:rsidRDefault="00A81DA7" w:rsidP="007B4150">
      <w:pPr>
        <w:pStyle w:val="Text2"/>
        <w:spacing w:after="120"/>
        <w:ind w:left="0"/>
        <w:rPr>
          <w:noProof/>
        </w:rPr>
      </w:pPr>
      <w:r w:rsidRPr="00D86314">
        <w:rPr>
          <w:noProof/>
        </w:rPr>
        <w:t xml:space="preserve">In addition, the current prioritisation of SMP regulation over symmetric measures may have deterred the use of measures which would have been more suitable to supporting sustainable investment and competition in a fibre environment. It should be noted that the EECC </w:t>
      </w:r>
      <w:r w:rsidRPr="00D86314">
        <w:rPr>
          <w:i/>
          <w:iCs/>
          <w:noProof/>
        </w:rPr>
        <w:t>mandates</w:t>
      </w:r>
      <w:r w:rsidRPr="00D86314">
        <w:rPr>
          <w:noProof/>
        </w:rPr>
        <w:t xml:space="preserve"> NRAs to carry out market analyses on relevant markets that have been identified as susceptible to ex ante regulation via the publication of such markets in the Relevant Market Recommendation by the Commission, and to regulation based on SMP where this is found. This focus on SMP regulation is mirrored in the large number of provisions that have been developed to guide the application of SMP regulation under the EECC, some of which have proven not to be effective.</w:t>
      </w:r>
      <w:r w:rsidRPr="00D86314">
        <w:rPr>
          <w:b/>
          <w:bCs/>
          <w:noProof/>
          <w:vertAlign w:val="superscript"/>
        </w:rPr>
        <w:footnoteReference w:id="192"/>
      </w:r>
      <w:r w:rsidRPr="00D86314">
        <w:rPr>
          <w:rFonts w:ascii="Arial" w:hAnsi="Arial"/>
          <w:noProof/>
          <w:sz w:val="22"/>
          <w:szCs w:val="22"/>
          <w:lang w:eastAsia="de-DE"/>
        </w:rPr>
        <w:t xml:space="preserve"> </w:t>
      </w:r>
      <w:r w:rsidRPr="00D86314">
        <w:rPr>
          <w:noProof/>
        </w:rPr>
        <w:t xml:space="preserve">In contrast, while it has proven to be very effective in supporting sustainable competition and investment in fibre when applied in an extensive way e.g. in France, the application of Art 61(3) which allows NRAs to mandate “symmetric access” to fibre terminating segments is </w:t>
      </w:r>
      <w:r w:rsidRPr="00D86314">
        <w:rPr>
          <w:i/>
          <w:iCs/>
          <w:noProof/>
        </w:rPr>
        <w:t>optional</w:t>
      </w:r>
      <w:r w:rsidRPr="00D86314">
        <w:rPr>
          <w:noProof/>
        </w:rPr>
        <w:t xml:space="preserve"> and the burden of proof is high when mandating access at points beyond in-building wiring, up to first distribution point.</w:t>
      </w:r>
    </w:p>
    <w:p w14:paraId="140F1DC4" w14:textId="01AE3025" w:rsidR="00A81DA7" w:rsidRPr="00D86314" w:rsidRDefault="00A81DA7" w:rsidP="007B4150">
      <w:pPr>
        <w:pStyle w:val="Text2"/>
        <w:spacing w:after="120"/>
        <w:ind w:left="0"/>
        <w:rPr>
          <w:noProof/>
        </w:rPr>
      </w:pPr>
      <w:r w:rsidRPr="00D86314">
        <w:rPr>
          <w:noProof/>
        </w:rPr>
        <w:t>Meanwhile, the proportion of wholesale access lines which may be physically rented by access seekers (</w:t>
      </w:r>
      <w:r w:rsidR="00FF0347" w:rsidRPr="00D86314">
        <w:rPr>
          <w:noProof/>
        </w:rPr>
        <w:t xml:space="preserve">allowing for </w:t>
      </w:r>
      <w:r w:rsidRPr="00D86314">
        <w:rPr>
          <w:noProof/>
        </w:rPr>
        <w:t>unbundled access), which permits the widest degree of innovation</w:t>
      </w:r>
      <w:r w:rsidRPr="00D86314">
        <w:rPr>
          <w:rStyle w:val="FootnoteReference"/>
          <w:noProof/>
        </w:rPr>
        <w:footnoteReference w:id="193"/>
      </w:r>
      <w:r w:rsidRPr="00D86314">
        <w:rPr>
          <w:rStyle w:val="FootnoteReference"/>
          <w:noProof/>
        </w:rPr>
        <w:t xml:space="preserve"> </w:t>
      </w:r>
      <w:r w:rsidRPr="00D86314">
        <w:rPr>
          <w:noProof/>
        </w:rPr>
        <w:t>as the access seeker has a full control of the rented line, remains limited, at a constant 20% of incumbent FTTH lines.</w:t>
      </w:r>
      <w:r w:rsidRPr="00D86314">
        <w:rPr>
          <w:rStyle w:val="FootnoteReference"/>
          <w:noProof/>
        </w:rPr>
        <w:footnoteReference w:id="194"/>
      </w:r>
      <w:r w:rsidRPr="00D86314">
        <w:rPr>
          <w:rStyle w:val="FootnoteReference"/>
          <w:noProof/>
        </w:rPr>
        <w:t>.</w:t>
      </w:r>
      <w:r w:rsidRPr="00D86314">
        <w:rPr>
          <w:noProof/>
        </w:rPr>
        <w:t xml:space="preserve"> Although many NRAs impose access to passive infrastructure (ducts and poles) to allow investments in own fibre networks, active access to the existing lines of SMP operators still remains indispensable in a large number of markets</w:t>
      </w:r>
      <w:r w:rsidRPr="00D86314">
        <w:rPr>
          <w:rStyle w:val="FootnoteReference"/>
          <w:noProof/>
        </w:rPr>
        <w:footnoteReference w:id="195"/>
      </w:r>
      <w:r w:rsidRPr="00D86314">
        <w:rPr>
          <w:noProof/>
        </w:rPr>
        <w:t>. The majority of currently deployed FTTH lines, due to their physical characteristics, cannot be rented but may be used for wholesale products which restrict access seekers from utilising the full capabilities of the infrastructure or tie such capabilities to prices set by the access provider. This could serve to limit competition on quality, undermining the provision and take-up of Gigabit offers.</w:t>
      </w:r>
    </w:p>
    <w:p w14:paraId="22F59FE0" w14:textId="77777777" w:rsidR="00A81DA7" w:rsidRPr="00D86314" w:rsidRDefault="00A81DA7" w:rsidP="007B4150">
      <w:pPr>
        <w:pStyle w:val="Text2"/>
        <w:ind w:left="0"/>
        <w:rPr>
          <w:noProof/>
          <w:vertAlign w:val="superscript"/>
        </w:rPr>
      </w:pPr>
      <w:r w:rsidRPr="00D86314">
        <w:rPr>
          <w:noProof/>
        </w:rPr>
        <w:t>To illustrate the problem, the figure below shows the types of access to FTTH provided on incumbent networks. WIK concludes that these are frequently based on (or favour through pricing conditions) active access in forms which limit service differentiation</w:t>
      </w:r>
      <w:r w:rsidRPr="00D86314">
        <w:rPr>
          <w:rStyle w:val="FootnoteReference"/>
          <w:noProof/>
        </w:rPr>
        <w:footnoteReference w:id="196"/>
      </w:r>
      <w:r w:rsidRPr="00D86314">
        <w:rPr>
          <w:rStyle w:val="FootnoteReference"/>
          <w:noProof/>
        </w:rPr>
        <w:t>,</w:t>
      </w:r>
      <w:r w:rsidRPr="00D86314">
        <w:rPr>
          <w:rStyle w:val="FootnoteReference"/>
          <w:noProof/>
        </w:rPr>
        <w:footnoteReference w:id="197"/>
      </w:r>
      <w:r w:rsidRPr="00D86314">
        <w:rPr>
          <w:noProof/>
        </w:rPr>
        <w:t>.</w:t>
      </w:r>
    </w:p>
    <w:p w14:paraId="44032CA4" w14:textId="708BB0D8" w:rsidR="00A81DA7" w:rsidRPr="00D86314" w:rsidRDefault="00A81DA7" w:rsidP="00126EEF">
      <w:pPr>
        <w:pStyle w:val="Text2"/>
        <w:keepNext/>
        <w:keepLines/>
        <w:tabs>
          <w:tab w:val="clear" w:pos="2302"/>
          <w:tab w:val="left" w:pos="851"/>
        </w:tabs>
        <w:ind w:left="1474" w:hanging="1474"/>
        <w:rPr>
          <w:i/>
          <w:noProof/>
          <w:sz w:val="22"/>
          <w:szCs w:val="22"/>
        </w:rPr>
      </w:pPr>
      <w:bookmarkStart w:id="234" w:name="_Toc205036214"/>
      <w:r w:rsidRPr="00D86314">
        <w:rPr>
          <w:i/>
          <w:noProof/>
          <w:sz w:val="22"/>
          <w:szCs w:val="22"/>
        </w:rPr>
        <w:t xml:space="preserve">Figure </w:t>
      </w:r>
      <w:r w:rsidR="00886001" w:rsidRPr="00D86314">
        <w:rPr>
          <w:i/>
          <w:noProof/>
          <w:sz w:val="22"/>
          <w:szCs w:val="22"/>
        </w:rPr>
        <w:t xml:space="preserve">A7 </w:t>
      </w:r>
      <w:r w:rsidR="00770981">
        <w:rPr>
          <w:i/>
          <w:noProof/>
          <w:sz w:val="22"/>
          <w:szCs w:val="22"/>
        </w:rPr>
        <w:t>2-3</w:t>
      </w:r>
      <w:r w:rsidRPr="00D86314">
        <w:rPr>
          <w:i/>
          <w:noProof/>
          <w:sz w:val="22"/>
          <w:szCs w:val="22"/>
        </w:rPr>
        <w:t>: Wholesale share of unbundling where access seeker physically rent the connection and controls it vs active access (access seeker has only ‘virtual’ access and access provider retains control of the connection) on incumbent FTTH lines, 2020-2023</w:t>
      </w:r>
      <w:bookmarkEnd w:id="234"/>
    </w:p>
    <w:p w14:paraId="48D4685E" w14:textId="77777777" w:rsidR="00A81DA7" w:rsidRPr="00D86314" w:rsidRDefault="00A81DA7" w:rsidP="00A81DA7">
      <w:pPr>
        <w:pStyle w:val="Text2"/>
        <w:rPr>
          <w:b/>
          <w:noProof/>
        </w:rPr>
      </w:pPr>
      <w:r w:rsidRPr="00CA2C0B">
        <w:rPr>
          <w:noProof/>
          <w:lang w:eastAsia="en-GB"/>
        </w:rPr>
        <w:drawing>
          <wp:inline distT="0" distB="0" distL="0" distR="0" wp14:anchorId="6DB37FD9" wp14:editId="1A3CA4E4">
            <wp:extent cx="4839334" cy="2574925"/>
            <wp:effectExtent l="0" t="0" r="0" b="0"/>
            <wp:docPr id="1642138107" name="Grafik 1642138107" descr="A graph of sales and sa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38107" name="Grafik 1642138107" descr="A graph of sales and sales&#10;&#10;AI-generated content may be incorrect."/>
                    <pic:cNvPicPr/>
                  </pic:nvPicPr>
                  <pic:blipFill rotWithShape="1">
                    <a:blip r:embed="rId143" cstate="print">
                      <a:extLst>
                        <a:ext uri="{28A0092B-C50C-407E-A947-70E740481C1C}">
                          <a14:useLocalDpi xmlns:a14="http://schemas.microsoft.com/office/drawing/2010/main" val="0"/>
                        </a:ext>
                      </a:extLst>
                    </a:blip>
                    <a:srcRect t="15433"/>
                    <a:stretch>
                      <a:fillRect/>
                    </a:stretch>
                  </pic:blipFill>
                  <pic:spPr bwMode="auto">
                    <a:xfrm>
                      <a:off x="0" y="0"/>
                      <a:ext cx="4839811" cy="2575179"/>
                    </a:xfrm>
                    <a:prstGeom prst="rect">
                      <a:avLst/>
                    </a:prstGeom>
                    <a:ln>
                      <a:noFill/>
                    </a:ln>
                    <a:extLst>
                      <a:ext uri="{53640926-AAD7-44D8-BBD7-CCE9431645EC}">
                        <a14:shadowObscured xmlns:a14="http://schemas.microsoft.com/office/drawing/2010/main"/>
                      </a:ext>
                    </a:extLst>
                  </pic:spPr>
                </pic:pic>
              </a:graphicData>
            </a:graphic>
          </wp:inline>
        </w:drawing>
      </w:r>
    </w:p>
    <w:p w14:paraId="17B4C15B" w14:textId="65EDE035" w:rsidR="00A81DA7" w:rsidRPr="00D86314" w:rsidRDefault="00A81DA7" w:rsidP="00A81DA7">
      <w:pPr>
        <w:pStyle w:val="Text2"/>
        <w:ind w:left="0"/>
        <w:rPr>
          <w:noProof/>
          <w:sz w:val="22"/>
          <w:szCs w:val="22"/>
        </w:rPr>
      </w:pPr>
      <w:r w:rsidRPr="00D86314">
        <w:rPr>
          <w:noProof/>
          <w:sz w:val="22"/>
          <w:szCs w:val="22"/>
        </w:rPr>
        <w:t xml:space="preserve">Source: WIK based on NRA data gathering for </w:t>
      </w:r>
      <w:r w:rsidR="00805C1A" w:rsidRPr="00D86314">
        <w:rPr>
          <w:noProof/>
          <w:sz w:val="22"/>
          <w:szCs w:val="22"/>
        </w:rPr>
        <w:t>S</w:t>
      </w:r>
      <w:r w:rsidRPr="00D86314">
        <w:rPr>
          <w:noProof/>
          <w:sz w:val="22"/>
          <w:szCs w:val="22"/>
        </w:rPr>
        <w:t>tudy</w:t>
      </w:r>
      <w:r w:rsidR="00805C1A" w:rsidRPr="00D86314">
        <w:rPr>
          <w:noProof/>
          <w:sz w:val="22"/>
          <w:szCs w:val="22"/>
        </w:rPr>
        <w:t xml:space="preserve"> on Access Regulation</w:t>
      </w:r>
      <w:r w:rsidRPr="00D86314">
        <w:rPr>
          <w:noProof/>
          <w:sz w:val="22"/>
          <w:szCs w:val="22"/>
        </w:rPr>
        <w:t>.</w:t>
      </w:r>
    </w:p>
    <w:p w14:paraId="19ECB98B" w14:textId="3A572CBC" w:rsidR="00A81DA7" w:rsidRPr="00D86314" w:rsidRDefault="00A81DA7" w:rsidP="6A756698">
      <w:pPr>
        <w:spacing w:after="120" w:line="276" w:lineRule="auto"/>
        <w:rPr>
          <w:rFonts w:eastAsia="Times New Roman"/>
          <w:noProof/>
        </w:rPr>
      </w:pPr>
      <w:r w:rsidRPr="00D86314">
        <w:rPr>
          <w:noProof/>
        </w:rPr>
        <w:t>The lack of wholesale products enabling differentiation, is also likely to have affected the provision and take-up of Gigabit offers, for the reasons explained above.</w:t>
      </w:r>
    </w:p>
    <w:p w14:paraId="6C3D5137" w14:textId="77777777" w:rsidR="009E6176" w:rsidRPr="00D86314" w:rsidRDefault="009E6176" w:rsidP="00606446">
      <w:pPr>
        <w:pStyle w:val="Heading2"/>
        <w:spacing w:before="240"/>
        <w:ind w:left="578" w:hanging="578"/>
        <w:rPr>
          <w:noProof/>
        </w:rPr>
      </w:pPr>
      <w:bookmarkStart w:id="235" w:name="_Toc219718430"/>
      <w:r w:rsidRPr="00D86314">
        <w:rPr>
          <w:noProof/>
        </w:rPr>
        <w:t>Spectrum regulation and market factors slowing down investment in high quality mobile connectivity</w:t>
      </w:r>
      <w:bookmarkEnd w:id="235"/>
      <w:r w:rsidRPr="00D86314">
        <w:rPr>
          <w:noProof/>
        </w:rPr>
        <w:t xml:space="preserve"> </w:t>
      </w:r>
    </w:p>
    <w:p w14:paraId="71D3E90D" w14:textId="77777777" w:rsidR="007D185E" w:rsidRPr="00D86314" w:rsidDel="00B83E97" w:rsidRDefault="007D185E" w:rsidP="007D185E">
      <w:pPr>
        <w:pStyle w:val="Heading3"/>
        <w:spacing w:before="240"/>
        <w:rPr>
          <w:bCs/>
          <w:noProof/>
        </w:rPr>
      </w:pPr>
      <w:bookmarkStart w:id="236" w:name="_Toc219718431"/>
      <w:r w:rsidRPr="00D86314" w:rsidDel="00B83E97">
        <w:rPr>
          <w:rFonts w:eastAsiaTheme="minorEastAsia"/>
          <w:bCs/>
          <w:noProof/>
        </w:rPr>
        <w:t>Inefficient use of spectrum: difficulty to satisfy increased demand due to spectrum scarcity</w:t>
      </w:r>
      <w:bookmarkEnd w:id="236"/>
      <w:r w:rsidRPr="00D86314" w:rsidDel="00B83E97">
        <w:rPr>
          <w:rFonts w:eastAsiaTheme="minorEastAsia"/>
          <w:bCs/>
          <w:noProof/>
        </w:rPr>
        <w:t xml:space="preserve"> </w:t>
      </w:r>
    </w:p>
    <w:p w14:paraId="69A07947" w14:textId="77777777" w:rsidR="007D185E" w:rsidRPr="00D86314" w:rsidDel="00B83E97" w:rsidRDefault="007D185E" w:rsidP="007D185E">
      <w:pPr>
        <w:spacing w:after="120"/>
        <w:rPr>
          <w:noProof/>
        </w:rPr>
      </w:pPr>
      <w:r w:rsidRPr="00D86314" w:rsidDel="00B83E97">
        <w:rPr>
          <w:noProof/>
        </w:rPr>
        <w:t xml:space="preserve">The increasing diversity of wireless services and applications for consumers and different technologies and sectors (e.g. 4G/5G/6G, IoT, satellite, verticals/local use, public safety etc), the expansion of connected devices as well as competing network technology options for service delivery have been intensifying spectrum usage and squeezing the available spectrum resources, in particular in low and mid-bands, which offer both good coverage and capacity. </w:t>
      </w:r>
    </w:p>
    <w:p w14:paraId="4C5985D0" w14:textId="2B2E6045" w:rsidR="007D185E" w:rsidRPr="00D86314" w:rsidDel="00B83E97" w:rsidRDefault="007D185E" w:rsidP="007D185E">
      <w:pPr>
        <w:keepNext/>
        <w:keepLines/>
        <w:rPr>
          <w:i/>
          <w:noProof/>
          <w:sz w:val="22"/>
          <w:szCs w:val="22"/>
        </w:rPr>
      </w:pPr>
      <w:r w:rsidRPr="00D86314" w:rsidDel="00B83E97">
        <w:rPr>
          <w:i/>
          <w:noProof/>
          <w:sz w:val="22"/>
          <w:szCs w:val="22"/>
        </w:rPr>
        <w:t xml:space="preserve">Figure </w:t>
      </w:r>
      <w:r w:rsidRPr="00D86314">
        <w:rPr>
          <w:i/>
          <w:noProof/>
          <w:sz w:val="22"/>
          <w:szCs w:val="22"/>
        </w:rPr>
        <w:t xml:space="preserve">A7 </w:t>
      </w:r>
      <w:r w:rsidR="00770981">
        <w:rPr>
          <w:i/>
          <w:noProof/>
          <w:sz w:val="22"/>
          <w:szCs w:val="22"/>
        </w:rPr>
        <w:t>2-4</w:t>
      </w:r>
      <w:r w:rsidRPr="00D86314" w:rsidDel="00B83E97">
        <w:rPr>
          <w:i/>
          <w:noProof/>
          <w:sz w:val="22"/>
          <w:szCs w:val="22"/>
        </w:rPr>
        <w:t>: Europe country-average spectrum assigned to mobile operators</w:t>
      </w:r>
    </w:p>
    <w:p w14:paraId="216F616B" w14:textId="77777777" w:rsidR="007D185E" w:rsidRPr="00D86314" w:rsidDel="00B83E97" w:rsidRDefault="007D185E" w:rsidP="007D185E">
      <w:pPr>
        <w:rPr>
          <w:rFonts w:eastAsia="Times New Roman"/>
          <w:noProof/>
        </w:rPr>
      </w:pPr>
      <w:r w:rsidRPr="00CA2C0B">
        <w:rPr>
          <w:noProof/>
          <w:lang w:eastAsia="en-GB"/>
        </w:rPr>
        <w:drawing>
          <wp:inline distT="0" distB="0" distL="0" distR="0" wp14:anchorId="3DF6B3D4" wp14:editId="7F59DEF6">
            <wp:extent cx="5472430" cy="2228215"/>
            <wp:effectExtent l="0" t="0" r="0" b="635"/>
            <wp:docPr id="2126570110" name="Picture 3"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4348" name="Picture 3" descr="Immagine che contiene testo, schermata, diagramma, linea&#10;&#10;Il contenuto generato dall'IA potrebbe non essere corretto."/>
                    <pic:cNvPicPr/>
                  </pic:nvPicPr>
                  <pic:blipFill>
                    <a:blip r:embed="rId144">
                      <a:extLst>
                        <a:ext uri="{28A0092B-C50C-407E-A947-70E740481C1C}">
                          <a14:useLocalDpi xmlns:a14="http://schemas.microsoft.com/office/drawing/2010/main" val="0"/>
                        </a:ext>
                      </a:extLst>
                    </a:blip>
                    <a:stretch>
                      <a:fillRect/>
                    </a:stretch>
                  </pic:blipFill>
                  <pic:spPr>
                    <a:xfrm>
                      <a:off x="0" y="0"/>
                      <a:ext cx="5472430" cy="2228215"/>
                    </a:xfrm>
                    <a:prstGeom prst="rect">
                      <a:avLst/>
                    </a:prstGeom>
                  </pic:spPr>
                </pic:pic>
              </a:graphicData>
            </a:graphic>
          </wp:inline>
        </w:drawing>
      </w:r>
      <w:r w:rsidRPr="00D86314" w:rsidDel="00B83E97">
        <w:rPr>
          <w:rFonts w:eastAsia="Times New Roman"/>
          <w:b/>
          <w:bCs/>
          <w:noProof/>
          <w:sz w:val="20"/>
          <w:szCs w:val="20"/>
        </w:rPr>
        <w:t>Average MHz assigned to mobile operators for frequency bands below 7 GHz</w:t>
      </w:r>
      <w:r w:rsidRPr="00D86314" w:rsidDel="00B83E97">
        <w:rPr>
          <w:rFonts w:eastAsia="Times New Roman"/>
          <w:noProof/>
          <w:sz w:val="20"/>
          <w:szCs w:val="20"/>
        </w:rPr>
        <w:t xml:space="preserve">; Source: GSMA, “Global Spectrum Pricing 2025.05.15,” p. 15. Available at: </w:t>
      </w:r>
      <w:hyperlink r:id="rId145">
        <w:r w:rsidRPr="00D86314" w:rsidDel="00B83E97">
          <w:rPr>
            <w:rStyle w:val="Hyperlink"/>
            <w:rFonts w:eastAsia="Times New Roman"/>
            <w:noProof/>
            <w:sz w:val="20"/>
            <w:szCs w:val="20"/>
          </w:rPr>
          <w:t>https://www.gsma.com/spectrum/wp-content/uploads/2025/05/GSMA_Global_Spectrum-Pricing_2025.05.15.pdf</w:t>
        </w:r>
      </w:hyperlink>
    </w:p>
    <w:p w14:paraId="48F90C14" w14:textId="3D55B006" w:rsidR="007D185E" w:rsidRPr="00D86314" w:rsidDel="00B83E97" w:rsidRDefault="007D185E" w:rsidP="007D185E">
      <w:pPr>
        <w:keepNext/>
        <w:keepLines/>
        <w:spacing w:before="240"/>
        <w:rPr>
          <w:i/>
          <w:noProof/>
          <w:sz w:val="22"/>
          <w:szCs w:val="22"/>
        </w:rPr>
      </w:pPr>
      <w:r w:rsidRPr="00D86314" w:rsidDel="00B83E97">
        <w:rPr>
          <w:i/>
          <w:noProof/>
          <w:sz w:val="22"/>
          <w:szCs w:val="22"/>
        </w:rPr>
        <w:t xml:space="preserve">Figure </w:t>
      </w:r>
      <w:r w:rsidRPr="00D86314">
        <w:rPr>
          <w:i/>
          <w:noProof/>
          <w:sz w:val="22"/>
          <w:szCs w:val="22"/>
        </w:rPr>
        <w:t xml:space="preserve">A7 </w:t>
      </w:r>
      <w:r w:rsidR="00770981">
        <w:rPr>
          <w:i/>
          <w:noProof/>
          <w:sz w:val="22"/>
          <w:szCs w:val="22"/>
        </w:rPr>
        <w:t>2-5</w:t>
      </w:r>
      <w:r w:rsidRPr="00D86314" w:rsidDel="00B83E97">
        <w:rPr>
          <w:i/>
          <w:noProof/>
          <w:sz w:val="22"/>
          <w:szCs w:val="22"/>
        </w:rPr>
        <w:t>: Spectrum holdings</w:t>
      </w:r>
    </w:p>
    <w:p w14:paraId="15513CAD" w14:textId="77777777" w:rsidR="007D185E" w:rsidRPr="00D86314" w:rsidDel="00B83E97" w:rsidRDefault="007D185E" w:rsidP="007D185E">
      <w:pPr>
        <w:jc w:val="center"/>
        <w:rPr>
          <w:noProof/>
        </w:rPr>
      </w:pPr>
      <w:r w:rsidRPr="00CA2C0B">
        <w:rPr>
          <w:noProof/>
          <w:lang w:eastAsia="en-GB"/>
        </w:rPr>
        <w:drawing>
          <wp:inline distT="0" distB="0" distL="0" distR="0" wp14:anchorId="7106A4D7" wp14:editId="240BB841">
            <wp:extent cx="3135008" cy="2407100"/>
            <wp:effectExtent l="0" t="0" r="0" b="0"/>
            <wp:docPr id="1712090020" name="Immagine 1384132562" descr="Immagine che contiene testo, schermata, Carattere,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32562" name="Immagine 1384132562" descr="Immagine che contiene testo, schermata, Carattere, diagramma&#10;&#10;Il contenuto generato dall'IA potrebbe non essere corretto."/>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3135008" cy="2407100"/>
                    </a:xfrm>
                    <a:prstGeom prst="rect">
                      <a:avLst/>
                    </a:prstGeom>
                  </pic:spPr>
                </pic:pic>
              </a:graphicData>
            </a:graphic>
          </wp:inline>
        </w:drawing>
      </w:r>
    </w:p>
    <w:p w14:paraId="6891716B" w14:textId="1B4EA934" w:rsidR="007D185E" w:rsidRPr="00D86314" w:rsidDel="00B83E97" w:rsidRDefault="007D185E" w:rsidP="007D185E">
      <w:pPr>
        <w:spacing w:after="120"/>
        <w:rPr>
          <w:noProof/>
        </w:rPr>
      </w:pPr>
      <w:r w:rsidRPr="00D86314" w:rsidDel="00B83E97">
        <w:rPr>
          <w:noProof/>
        </w:rPr>
        <w:t>This is demonstrated on the one side by the fact that according to GSMA European operators had to nearly double the average spectrum holdings assigned to them by country to bring 4G and 5G to consumers and on the other side by the controversy and competing demands for the sub-700</w:t>
      </w:r>
      <w:r w:rsidR="008902DE">
        <w:rPr>
          <w:noProof/>
        </w:rPr>
        <w:t xml:space="preserve"> </w:t>
      </w:r>
      <w:r w:rsidRPr="00D86314" w:rsidDel="00B83E97">
        <w:rPr>
          <w:noProof/>
        </w:rPr>
        <w:t>MHz band (by terrestrial broadcasting and mobile operators as well as by users of wireless microphones) and for the upper 6 GHz band (by various stakeholders including from the satellite, mobile and RLAN communities). Both frequency bands are considered as potentially last opportunities to access valuable spectrum in the low-band and mid-band range, respectively.</w:t>
      </w:r>
    </w:p>
    <w:p w14:paraId="2EB8F508" w14:textId="77777777" w:rsidR="007D185E" w:rsidRPr="00D86314" w:rsidDel="00B83E97" w:rsidRDefault="007D185E" w:rsidP="007D185E">
      <w:pPr>
        <w:spacing w:after="120"/>
        <w:rPr>
          <w:noProof/>
        </w:rPr>
      </w:pPr>
      <w:r w:rsidRPr="00D86314" w:rsidDel="00B83E97">
        <w:rPr>
          <w:noProof/>
        </w:rPr>
        <w:t xml:space="preserve">This growth in wireless data consumption and spectrum demand, combined with the persistent </w:t>
      </w:r>
      <w:r w:rsidRPr="00D86314" w:rsidDel="00B83E97">
        <w:rPr>
          <w:rFonts w:eastAsia="Times New Roman"/>
          <w:noProof/>
        </w:rPr>
        <w:t>inefficient use of certain spectrum bands (e.g. mm-waves but also mid-bands like 2.6 GHz)</w:t>
      </w:r>
      <w:r w:rsidRPr="00D86314" w:rsidDel="00B83E97">
        <w:rPr>
          <w:noProof/>
        </w:rPr>
        <w:t xml:space="preserve"> is not matched by a bold</w:t>
      </w:r>
      <w:r w:rsidRPr="00D86314" w:rsidDel="00B83E97">
        <w:rPr>
          <w:rFonts w:eastAsia="Times New Roman"/>
          <w:noProof/>
        </w:rPr>
        <w:t xml:space="preserve"> regulatory mindset and market readiness to take up in particular spectrum trading and sharing solutions,</w:t>
      </w:r>
      <w:r w:rsidRPr="00D86314" w:rsidDel="00B83E97">
        <w:rPr>
          <w:noProof/>
        </w:rPr>
        <w:t xml:space="preserve"> to ensure timely and efficient access to spectrum. The result is artificial spectrum scarcity as well as hindrance to innovation and service expansion.</w:t>
      </w:r>
    </w:p>
    <w:p w14:paraId="089D019C" w14:textId="77777777" w:rsidR="007D185E" w:rsidRPr="00D86314" w:rsidDel="00B83E97" w:rsidRDefault="007D185E" w:rsidP="007D185E">
      <w:pPr>
        <w:spacing w:after="120"/>
        <w:rPr>
          <w:noProof/>
        </w:rPr>
      </w:pPr>
      <w:r w:rsidRPr="00D86314" w:rsidDel="00B83E97">
        <w:rPr>
          <w:noProof/>
        </w:rPr>
        <w:t>Therefore, the following problems have emerged:</w:t>
      </w:r>
    </w:p>
    <w:p w14:paraId="0A537F03" w14:textId="77777777" w:rsidR="007D185E" w:rsidRPr="00D86314" w:rsidDel="00B83E97" w:rsidRDefault="007D185E" w:rsidP="007D185E">
      <w:pPr>
        <w:pStyle w:val="Text1"/>
        <w:numPr>
          <w:ilvl w:val="0"/>
          <w:numId w:val="12"/>
        </w:numPr>
        <w:spacing w:after="120"/>
        <w:ind w:left="714" w:hanging="357"/>
        <w:rPr>
          <w:noProof/>
        </w:rPr>
      </w:pPr>
      <w:r w:rsidRPr="00D86314" w:rsidDel="00B83E97">
        <w:rPr>
          <w:noProof/>
        </w:rPr>
        <w:t xml:space="preserve">Spectrum is often not (a) timely available, (b) authorised / accessible to maximise its benefits, (c) used in some geographical regions. </w:t>
      </w:r>
    </w:p>
    <w:p w14:paraId="403C588D" w14:textId="77777777" w:rsidR="007D185E" w:rsidRPr="00D86314" w:rsidDel="00B83E97" w:rsidRDefault="007D185E" w:rsidP="007D185E">
      <w:pPr>
        <w:pStyle w:val="Text1"/>
        <w:numPr>
          <w:ilvl w:val="0"/>
          <w:numId w:val="12"/>
        </w:numPr>
        <w:spacing w:after="120"/>
        <w:ind w:left="714" w:hanging="357"/>
        <w:rPr>
          <w:rFonts w:eastAsia="EYInterstate Light"/>
          <w:noProof/>
        </w:rPr>
      </w:pPr>
      <w:r w:rsidRPr="00D86314" w:rsidDel="00B83E97">
        <w:rPr>
          <w:noProof/>
        </w:rPr>
        <w:t xml:space="preserve">Efficient use of spectrum is not ensured through sharing/flexibility; coverage obligations or other auctions conditions could be an obstacle to pooling spectrum for collaborative use, use it or share it or lose it principles are not enforced. Immature regulatory mindset to make shared use a mainstream approach of spectrum authorisation, taking advantage of innovative technological solutions, results in a lack of incentives and framework for spectrum sharing. </w:t>
      </w:r>
      <w:r w:rsidRPr="00D86314">
        <w:rPr>
          <w:noProof/>
        </w:rPr>
        <w:t>The RSPG, in its opinion RSPG21-022</w:t>
      </w:r>
      <w:r w:rsidRPr="00D86314">
        <w:rPr>
          <w:rStyle w:val="FootnoteReference"/>
          <w:rFonts w:asciiTheme="minorHAnsi" w:eastAsiaTheme="minorEastAsia" w:hAnsiTheme="minorHAnsi" w:cstheme="minorBidi"/>
          <w:noProof/>
        </w:rPr>
        <w:footnoteReference w:id="198"/>
      </w:r>
      <w:r w:rsidRPr="00D86314">
        <w:rPr>
          <w:noProof/>
        </w:rPr>
        <w:t xml:space="preserve">, recognised </w:t>
      </w:r>
      <w:r w:rsidRPr="00D86314" w:rsidDel="00B83E97">
        <w:rPr>
          <w:noProof/>
        </w:rPr>
        <w:t xml:space="preserve">that </w:t>
      </w:r>
      <w:r w:rsidRPr="00D86314" w:rsidDel="00B83E97">
        <w:rPr>
          <w:rFonts w:eastAsia="EYInterstate Light"/>
          <w:noProof/>
        </w:rPr>
        <w:t>spectrum sharing in the Union has so far been implemented in a rather static and conservative manner and emphasized the need for further development — particularly to enhance the efficient use of radio spectrum and to provide incentives for innovation.</w:t>
      </w:r>
    </w:p>
    <w:p w14:paraId="661DF77B" w14:textId="77777777" w:rsidR="007D185E" w:rsidRPr="00D86314" w:rsidRDefault="007D185E" w:rsidP="007D185E">
      <w:pPr>
        <w:spacing w:after="120"/>
        <w:rPr>
          <w:noProof/>
        </w:rPr>
      </w:pPr>
      <w:r w:rsidRPr="00D86314" w:rsidDel="00B83E97">
        <w:rPr>
          <w:noProof/>
        </w:rPr>
        <w:t>Despite technological advancements that enable secure and efficient spectrum sharing—such as dynamic frequency selection, spectrum sensing, and real-time coordination databases—these tools are not widely adopted. Rigid licensing conditions, exclusive long-term rights without use-it-or-share-it flexibility, and obligations linked to coverage or infrastructure investment discourage collaboration or shared use.</w:t>
      </w:r>
    </w:p>
    <w:p w14:paraId="26AC16DB" w14:textId="77777777" w:rsidR="007D185E" w:rsidRPr="00D86314" w:rsidRDefault="007D185E" w:rsidP="007D185E">
      <w:pPr>
        <w:pStyle w:val="Heading3"/>
        <w:rPr>
          <w:bCs/>
          <w:noProof/>
        </w:rPr>
      </w:pPr>
      <w:bookmarkStart w:id="237" w:name="_Toc219718432"/>
      <w:r w:rsidRPr="00D86314">
        <w:rPr>
          <w:rFonts w:eastAsiaTheme="minorHAnsi"/>
          <w:bCs/>
          <w:noProof/>
        </w:rPr>
        <w:t>Insufficient flexibility for interservice and intra-service spectrum sharing</w:t>
      </w:r>
      <w:bookmarkEnd w:id="237"/>
    </w:p>
    <w:p w14:paraId="32F59BFD" w14:textId="77777777" w:rsidR="007D185E" w:rsidRPr="00D86314" w:rsidRDefault="007D185E" w:rsidP="007D185E">
      <w:pPr>
        <w:spacing w:after="120"/>
        <w:rPr>
          <w:noProof/>
        </w:rPr>
      </w:pPr>
      <w:r w:rsidRPr="00D86314">
        <w:rPr>
          <w:noProof/>
        </w:rPr>
        <w:t>The RSPG emphasises the growing importance of interservice spectrum sharing, i.e. between different users providing different services, often using incompatible radio access technology</w:t>
      </w:r>
      <w:r w:rsidRPr="00D86314">
        <w:rPr>
          <w:rStyle w:val="FootnoteReference"/>
          <w:noProof/>
        </w:rPr>
        <w:footnoteReference w:id="199"/>
      </w:r>
      <w:r w:rsidRPr="00D86314">
        <w:rPr>
          <w:noProof/>
        </w:rPr>
        <w:t>, on the path to 6G. Interservice spectrum sharing promotes investment and competitiveness of EU economy, delivering to citizens and businesses wider access to communications services, intra-service sharing (i.e. between peer users offering similar service), which optimises investment cost, makes use of innovative technical solutions and similarly ensures efficient spectrum use</w:t>
      </w:r>
      <w:r w:rsidRPr="00C20A01">
        <w:rPr>
          <w:noProof/>
        </w:rPr>
        <w:t xml:space="preserve">. </w:t>
      </w:r>
      <w:r w:rsidRPr="00C20A01">
        <w:rPr>
          <w:rFonts w:eastAsiaTheme="minorEastAsia"/>
          <w:noProof/>
        </w:rPr>
        <w:t xml:space="preserve">In </w:t>
      </w:r>
      <w:r w:rsidRPr="00D5406A">
        <w:rPr>
          <w:rFonts w:eastAsiaTheme="minorEastAsia"/>
          <w:noProof/>
        </w:rPr>
        <w:t>its</w:t>
      </w:r>
      <w:r w:rsidRPr="00D86314">
        <w:rPr>
          <w:rFonts w:eastAsiaTheme="minorEastAsia"/>
          <w:noProof/>
        </w:rPr>
        <w:t xml:space="preserve"> Opinion on the 6G Strategic Vision</w:t>
      </w:r>
      <w:r w:rsidRPr="00D86314">
        <w:rPr>
          <w:rFonts w:ascii="Calibri" w:eastAsia="Calibri" w:hAnsi="Calibri" w:cs="Calibri"/>
          <w:noProof/>
        </w:rPr>
        <w:t>,</w:t>
      </w:r>
      <w:r w:rsidRPr="00D86314">
        <w:rPr>
          <w:rStyle w:val="FootnoteReference"/>
          <w:noProof/>
        </w:rPr>
        <w:footnoteReference w:id="200"/>
      </w:r>
      <w:r w:rsidRPr="00D86314">
        <w:rPr>
          <w:rFonts w:asciiTheme="minorHAnsi" w:eastAsiaTheme="minorEastAsia" w:hAnsiTheme="minorHAnsi" w:cstheme="minorBidi"/>
          <w:noProof/>
        </w:rPr>
        <w:t xml:space="preserve"> </w:t>
      </w:r>
      <w:r w:rsidRPr="00D86314">
        <w:rPr>
          <w:rFonts w:eastAsiaTheme="minorEastAsia"/>
          <w:noProof/>
        </w:rPr>
        <w:t xml:space="preserve">the RSPG calls on policymakers, spectrum managers, spectrum users and industry to shift their mindset and prepare for more flexible interservice sharing </w:t>
      </w:r>
      <w:r w:rsidRPr="00D86314">
        <w:rPr>
          <w:noProof/>
        </w:rPr>
        <w:t xml:space="preserve">models. It also recommends that spectrum sharing be further promoted through EU legislation. </w:t>
      </w:r>
    </w:p>
    <w:p w14:paraId="136DF6E1" w14:textId="77777777" w:rsidR="007D185E" w:rsidRPr="00D86314" w:rsidRDefault="007D185E" w:rsidP="007D185E">
      <w:pPr>
        <w:spacing w:after="120"/>
        <w:rPr>
          <w:noProof/>
        </w:rPr>
      </w:pPr>
      <w:r w:rsidRPr="00D86314">
        <w:rPr>
          <w:noProof/>
        </w:rPr>
        <w:t xml:space="preserve">Interservice sharing is consistent with competition law principles, as it concerns sharing between services that are not competing. However, with rising cost of network investments in newer technology generations (6G, LEO satellite constellations), the deployment of inter-service spectrum sharing arrangements, including also active infrastructure, may receive due regulatory review and should always remain subject to potential competition scrutiny. </w:t>
      </w:r>
    </w:p>
    <w:p w14:paraId="7CA4D187" w14:textId="77777777" w:rsidR="007D185E" w:rsidRPr="00D86314" w:rsidRDefault="007D185E" w:rsidP="007D185E">
      <w:pPr>
        <w:spacing w:after="120"/>
        <w:rPr>
          <w:noProof/>
        </w:rPr>
      </w:pPr>
      <w:r w:rsidRPr="00D86314">
        <w:rPr>
          <w:noProof/>
        </w:rPr>
        <w:t xml:space="preserve">Current regulatory frameworks do not provide sufficient flexibility for spectrum use across different services/technologies (e.g. terrestrial vs. satellite) or among similar/competing market actors (e.g. between mobile operators). As market structures and user needs evolve, spectrum authorisation remains locked into outdated models. Long-duration licences are often not accompanied by mechanisms to lease, trade, or share spectrum, leading to its inefficient utilisation. </w:t>
      </w:r>
    </w:p>
    <w:p w14:paraId="5A07264C" w14:textId="77777777" w:rsidR="007D185E" w:rsidRPr="00D86314" w:rsidRDefault="007D185E" w:rsidP="007D185E">
      <w:pPr>
        <w:spacing w:after="120"/>
        <w:rPr>
          <w:noProof/>
          <w:u w:val="single"/>
        </w:rPr>
      </w:pPr>
      <w:r w:rsidRPr="00D86314">
        <w:rPr>
          <w:noProof/>
          <w:u w:val="single"/>
        </w:rPr>
        <w:t>Awarded players not fully using assigned spectrum/ spectrum hoarding</w:t>
      </w:r>
    </w:p>
    <w:p w14:paraId="5F550DFF" w14:textId="77777777" w:rsidR="007D185E" w:rsidRPr="00D86314" w:rsidRDefault="007D185E" w:rsidP="007D185E">
      <w:pPr>
        <w:spacing w:after="120"/>
        <w:rPr>
          <w:noProof/>
        </w:rPr>
      </w:pPr>
      <w:r w:rsidRPr="00D86314">
        <w:rPr>
          <w:noProof/>
        </w:rPr>
        <w:t>Inefficient spectrum use—including the risk of spectrum hoarding, where operators hold significant amounts of assigned spectrum without fully utilising it—exacerbates spectrum scarcity. This problem has been already experienced in Germany, where BNetzA introduced strict conditions on spectrum assignments in the 3.7–3.8</w:t>
      </w:r>
      <w:r w:rsidRPr="00D86314">
        <w:rPr>
          <w:rFonts w:ascii="Arial" w:hAnsi="Arial" w:cs="Arial"/>
          <w:noProof/>
        </w:rPr>
        <w:t> </w:t>
      </w:r>
      <w:r w:rsidRPr="00D86314">
        <w:rPr>
          <w:noProof/>
        </w:rPr>
        <w:t>GHz band for private and local 5G networks. Under its "use-it-or-lose-it" rule, a spectrum assignment can be revoked if it has not been used within one year of being granted, or if it remains unused for the intended purpose for more than a year. The regulator also monitors roll-out and spectrum utilisation and has the authority to revoke underused spectrum—demonstrating a proactive enforcement approach to prevent hoarding. Other regulatory solutions introduced more horizontal approaches against hoarding, like for example in Africa for high-demand bands where licensed spectrum that remains unused for 2 years can be reclaimed by the regulator. In the U.S., the Citizens Broadband Radio Service (CBRS, 3.5 GHz) introduced a dynamic three-tier sharing model that prevents spectrum hoarding. Under the “use-it-or-share-it” principle, licensed users (Priority Access Licenses, PALs) must actively use their spectrum or allow unlicensed users to access it opportunistically. This prevents spectrum from lying idle and ensures efficient use via a Spectrum Access System. Launched in 2020, CBRS has enabled broad participation by new players and is seen as a model for applying ‘use-it-or-share-it’ principles to other bands.</w:t>
      </w:r>
    </w:p>
    <w:p w14:paraId="5D06C80D" w14:textId="77777777" w:rsidR="007D185E" w:rsidRPr="00D86314" w:rsidRDefault="007D185E" w:rsidP="007D185E">
      <w:pPr>
        <w:rPr>
          <w:noProof/>
        </w:rPr>
      </w:pPr>
      <w:r w:rsidRPr="00D86314">
        <w:rPr>
          <w:noProof/>
        </w:rPr>
        <w:t>The "use-it-or-share- or-lose-it" principle when included in the licences allows regulators to revoke or reassign unused spectrum. However, these principles are rarely enforced, and sharing remains optional rather than standard practice.</w:t>
      </w:r>
    </w:p>
    <w:p w14:paraId="68358172" w14:textId="77777777" w:rsidR="007D185E" w:rsidRPr="00D86314" w:rsidRDefault="007D185E" w:rsidP="007D185E">
      <w:pPr>
        <w:spacing w:after="120"/>
        <w:rPr>
          <w:noProof/>
          <w:u w:val="single"/>
        </w:rPr>
      </w:pPr>
      <w:r w:rsidRPr="00D86314">
        <w:rPr>
          <w:noProof/>
          <w:u w:val="single"/>
        </w:rPr>
        <w:t>Underutilised Technological Capabilities for Sharing and Conservative Regulatory Approaches</w:t>
      </w:r>
    </w:p>
    <w:p w14:paraId="67B3F3BD" w14:textId="77777777" w:rsidR="007D185E" w:rsidRPr="00D86314" w:rsidRDefault="007D185E" w:rsidP="007D185E">
      <w:pPr>
        <w:spacing w:after="120"/>
        <w:rPr>
          <w:noProof/>
        </w:rPr>
      </w:pPr>
      <w:r w:rsidRPr="00D86314">
        <w:rPr>
          <w:noProof/>
        </w:rPr>
        <w:t>Despite advances in technologies that enable efficient spectrum sharing—such as dynamic frequency selection, automated access systems, AI-driven allocation, and real-time databases—these tools remain underused. Their limited adoption hinders real-time coordination and enforcement of shared usage rights, reducing overall spectrum efficiency. At the same time, spectrum sharing solutions require not only technology progress but also a bolder regulatory mindset (as demonstrated in the RSPG opinion on spectrum sharing)</w:t>
      </w:r>
      <w:r w:rsidRPr="00D86314">
        <w:rPr>
          <w:rStyle w:val="FootnoteReference"/>
          <w:noProof/>
        </w:rPr>
        <w:footnoteReference w:id="201"/>
      </w:r>
      <w:r w:rsidRPr="00D86314">
        <w:rPr>
          <w:noProof/>
        </w:rPr>
        <w:t xml:space="preserve">. </w:t>
      </w:r>
    </w:p>
    <w:p w14:paraId="7D9A8721" w14:textId="77777777" w:rsidR="007D185E" w:rsidRPr="00D86314" w:rsidRDefault="007D185E" w:rsidP="007D185E">
      <w:pPr>
        <w:spacing w:after="120"/>
        <w:rPr>
          <w:noProof/>
        </w:rPr>
      </w:pPr>
      <w:r w:rsidRPr="00D86314">
        <w:rPr>
          <w:noProof/>
        </w:rPr>
        <w:t>While the EECC provides for flexibility and shared use, these provisions are seldom applied in practice. Mechanisms such as “use it or share it” remain underused. Moreover, strict coverage obligations and auction conditions often hinder spectrum pooling and discourage more collaborative or efficient models of use.</w:t>
      </w:r>
    </w:p>
    <w:p w14:paraId="2C3EE54A" w14:textId="77777777" w:rsidR="007D185E" w:rsidRPr="00D86314" w:rsidRDefault="007D185E" w:rsidP="007D185E">
      <w:pPr>
        <w:spacing w:after="120"/>
        <w:rPr>
          <w:noProof/>
        </w:rPr>
      </w:pPr>
      <w:r w:rsidRPr="00D86314">
        <w:rPr>
          <w:noProof/>
        </w:rPr>
        <w:t>Meeting future connectivity needs will require a more dynamic and adaptive spectrum allocation strategy. This includes broader application of spectrum sharing mechanisms and flexible licensing models to ensure that valuable spectrum is used efficiently and equitably in light of rising demand from 6G, IoT, and satellite services.</w:t>
      </w:r>
    </w:p>
    <w:p w14:paraId="03EF1BBB" w14:textId="77777777" w:rsidR="007D185E" w:rsidRPr="00D86314" w:rsidRDefault="007D185E" w:rsidP="007D185E">
      <w:pPr>
        <w:spacing w:after="120"/>
        <w:rPr>
          <w:noProof/>
        </w:rPr>
      </w:pPr>
      <w:r w:rsidRPr="00D86314">
        <w:rPr>
          <w:noProof/>
        </w:rPr>
        <w:t>The spectrum inventory, developed by the Joint Research Centre (JRC), covers spectrum use between 400 MHz and 6 GHz. Its objective was to identify frequency bands where spectrum efficiency can be improved, enable spectrum sharing and reallocation opportunities, and support the analysis of spectrum use. Member States are responsible for collecting national spectrum data, while the Commission conducts the analysis of technology trends, future needs, and spectrum demand.</w:t>
      </w:r>
    </w:p>
    <w:p w14:paraId="0707923B" w14:textId="77777777" w:rsidR="007D185E" w:rsidRPr="00D86314" w:rsidRDefault="007D185E" w:rsidP="007D185E">
      <w:pPr>
        <w:spacing w:after="120"/>
        <w:rPr>
          <w:noProof/>
        </w:rPr>
      </w:pPr>
      <w:r w:rsidRPr="00D86314">
        <w:rPr>
          <w:noProof/>
        </w:rPr>
        <w:t>However, key limitations of the current inventory are that it is not available to operators, and functions primarily as a static database, lacking the capability to reflect real-time spectrum usage. This significantly reduces its practical value—particularly for spectrum sharing, where up-to-date information on frequency occupancy is essential to be provided to the sector to ensure efficient use and prevent interference.</w:t>
      </w:r>
    </w:p>
    <w:p w14:paraId="488184E0" w14:textId="2EDD466D" w:rsidR="007D185E" w:rsidRPr="00D86314" w:rsidRDefault="007D185E" w:rsidP="007D185E">
      <w:pPr>
        <w:rPr>
          <w:noProof/>
        </w:rPr>
      </w:pPr>
      <w:r w:rsidRPr="00D86314">
        <w:rPr>
          <w:noProof/>
        </w:rPr>
        <w:t xml:space="preserve">In addition, the tool’s maintenance involves a high annual cost—estimated by the JRC at approximately </w:t>
      </w:r>
      <w:r w:rsidR="008C2044" w:rsidRPr="00D86314">
        <w:rPr>
          <w:noProof/>
        </w:rPr>
        <w:t>EUR </w:t>
      </w:r>
      <w:r w:rsidRPr="00D86314">
        <w:rPr>
          <w:noProof/>
        </w:rPr>
        <w:t>100</w:t>
      </w:r>
      <w:r w:rsidR="00241EC3" w:rsidRPr="00D86314">
        <w:rPr>
          <w:noProof/>
        </w:rPr>
        <w:t xml:space="preserve"> </w:t>
      </w:r>
      <w:r w:rsidRPr="00D86314">
        <w:rPr>
          <w:noProof/>
        </w:rPr>
        <w:t>000—despite its very limited utilisation</w:t>
      </w:r>
      <w:r w:rsidRPr="00D86314">
        <w:rPr>
          <w:rStyle w:val="FootnoteReference"/>
          <w:noProof/>
        </w:rPr>
        <w:footnoteReference w:id="202"/>
      </w:r>
      <w:r w:rsidRPr="00D86314">
        <w:rPr>
          <w:noProof/>
        </w:rPr>
        <w:t>.</w:t>
      </w:r>
    </w:p>
    <w:p w14:paraId="2BD35BFE" w14:textId="77777777" w:rsidR="007D185E" w:rsidRPr="00D86314" w:rsidRDefault="007D185E" w:rsidP="007D185E">
      <w:pPr>
        <w:spacing w:after="120"/>
        <w:rPr>
          <w:noProof/>
        </w:rPr>
      </w:pPr>
      <w:r w:rsidRPr="00D86314">
        <w:rPr>
          <w:noProof/>
        </w:rPr>
        <w:t xml:space="preserve">An additional non-addressed need is the lack of regulatory instruments allowing innovative users that develop projects requiring harmonised spectrum to activate the process of harmonisation. </w:t>
      </w:r>
    </w:p>
    <w:p w14:paraId="667CF836" w14:textId="77777777" w:rsidR="007D185E" w:rsidRPr="00D86314" w:rsidRDefault="007D185E" w:rsidP="007D185E">
      <w:pPr>
        <w:spacing w:after="120"/>
        <w:rPr>
          <w:noProof/>
        </w:rPr>
      </w:pPr>
      <w:r w:rsidRPr="00D86314">
        <w:rPr>
          <w:noProof/>
        </w:rPr>
        <w:t>In the EU, spectrum harmonisation is initiated by the Commission, with strategic guidance from the RSPG. The Commission may mandate CEPT to conduct technical studies, which subsequently form the basis for an Implementing Decision adopted in cooperation with Member States via the RSC. While the RSPG provides strategic guidance and engages stakeholders through consultations and workshops, the current framework presents a regulatory gap: there is no formal mechanism to ensure that emerging or innovative spectrum needs from the stakeholders are systematically addressed. Stakeholders currently have no way to directly trigger a harmonisation process. As spectrum demand becomes increasingly diverse and innovation-driven, this lack of a structured bottom-up channel limits the EU’s ability to respond swiftly and effectively to evolving market needs.</w:t>
      </w:r>
    </w:p>
    <w:p w14:paraId="634B20C2" w14:textId="77777777" w:rsidR="007D185E" w:rsidRPr="00D86314" w:rsidRDefault="007D185E" w:rsidP="007D185E">
      <w:pPr>
        <w:spacing w:after="120"/>
        <w:rPr>
          <w:noProof/>
        </w:rPr>
      </w:pPr>
      <w:r w:rsidRPr="00D86314">
        <w:rPr>
          <w:noProof/>
        </w:rPr>
        <w:t>By contrast, the US provides a clear example of bottom-up regulatory access through the FCC’s petition for rulemaking process. Under U.S. law, any interested party can formally petition the FCC to issue, amend, or repeal a regulation, including those related to spectrum allocation. One notable example is the Citizens Broadband Radio Service (CBRS) in the 3.5 GHz band, where input from rural ISPs, technology stakeholders, and other interested parties led to a dynamic spectrum-sharing framework. This approach opened 150 MHz of mid-band spectrum to new and local operators under a use-it-or-share-it model. In Europe, a comparable mechanism that enables stakeholders to initiate harmonization remains absent from the current spectrum framework</w:t>
      </w:r>
    </w:p>
    <w:p w14:paraId="523462B2" w14:textId="55AA8757" w:rsidR="00BD5A67" w:rsidRPr="00D86314" w:rsidRDefault="008C23EA" w:rsidP="00BD5A67">
      <w:pPr>
        <w:pStyle w:val="Heading3"/>
        <w:rPr>
          <w:noProof/>
        </w:rPr>
      </w:pPr>
      <w:bookmarkStart w:id="238" w:name="_Toc219718433"/>
      <w:r w:rsidRPr="00D86314">
        <w:rPr>
          <w:noProof/>
        </w:rPr>
        <w:t>EU m</w:t>
      </w:r>
      <w:r w:rsidR="002A7855" w:rsidRPr="00D86314">
        <w:rPr>
          <w:noProof/>
        </w:rPr>
        <w:t xml:space="preserve">obile markets and number of </w:t>
      </w:r>
      <w:r w:rsidRPr="00D86314">
        <w:rPr>
          <w:noProof/>
        </w:rPr>
        <w:t>mobile network operators</w:t>
      </w:r>
      <w:bookmarkEnd w:id="238"/>
    </w:p>
    <w:p w14:paraId="3EBB3422" w14:textId="77777777" w:rsidR="00BD5A67" w:rsidRPr="00D86314" w:rsidRDefault="00BD5A67" w:rsidP="00BD5A67">
      <w:pPr>
        <w:rPr>
          <w:noProof/>
        </w:rPr>
      </w:pPr>
      <w:r w:rsidRPr="00D86314">
        <w:rPr>
          <w:noProof/>
        </w:rPr>
        <w:t xml:space="preserve">The figure below shows the </w:t>
      </w:r>
      <w:r w:rsidRPr="00D86314">
        <w:rPr>
          <w:b/>
          <w:noProof/>
        </w:rPr>
        <w:t>number of mobile network operators that were present in selected countries in Europe as of 2025</w:t>
      </w:r>
      <w:r w:rsidRPr="00D86314">
        <w:rPr>
          <w:noProof/>
        </w:rPr>
        <w:t xml:space="preserve">, indicating that four players are present in the vast majority of cases, especially once more recent entry is considered in Portugal, Belgum and Germany. </w:t>
      </w:r>
    </w:p>
    <w:p w14:paraId="5F0FAE83" w14:textId="7C39113E" w:rsidR="00BD5A67" w:rsidRPr="00D86314" w:rsidRDefault="00BD5A67" w:rsidP="00BD5A67">
      <w:pPr>
        <w:pStyle w:val="Abbberschrift"/>
        <w:ind w:left="0" w:firstLine="0"/>
        <w:rPr>
          <w:rFonts w:ascii="Times New Roman" w:hAnsi="Times New Roman"/>
          <w:i/>
          <w:noProof/>
        </w:rPr>
      </w:pPr>
      <w:r w:rsidRPr="00D86314">
        <w:rPr>
          <w:rFonts w:ascii="Times New Roman" w:hAnsi="Times New Roman"/>
          <w:i/>
          <w:noProof/>
        </w:rPr>
        <w:t xml:space="preserve">Figure A7 </w:t>
      </w:r>
      <w:r w:rsidR="00770981">
        <w:rPr>
          <w:rFonts w:ascii="Times New Roman" w:hAnsi="Times New Roman"/>
          <w:i/>
          <w:iCs/>
          <w:noProof/>
        </w:rPr>
        <w:t>2-6</w:t>
      </w:r>
      <w:r w:rsidRPr="00D86314">
        <w:rPr>
          <w:rFonts w:ascii="Times New Roman" w:hAnsi="Times New Roman"/>
          <w:i/>
          <w:noProof/>
        </w:rPr>
        <w:t>: Number of mobile network operators in selected countries in Europe as of 2025.</w:t>
      </w:r>
      <w:r w:rsidRPr="00D86314" w:rsidDel="006416FD">
        <w:rPr>
          <w:rStyle w:val="FootnoteReference"/>
          <w:rFonts w:ascii="Times New Roman" w:hAnsi="Times New Roman"/>
          <w:i/>
          <w:noProof/>
        </w:rPr>
        <w:t xml:space="preserve"> </w:t>
      </w:r>
    </w:p>
    <w:tbl>
      <w:tblPr>
        <w:tblStyle w:val="TableGrid"/>
        <w:tblW w:w="5000" w:type="pct"/>
        <w:tblCellMar>
          <w:top w:w="85" w:type="dxa"/>
          <w:left w:w="0" w:type="dxa"/>
          <w:bottom w:w="85" w:type="dxa"/>
          <w:right w:w="0" w:type="dxa"/>
        </w:tblCellMar>
        <w:tblLook w:val="04A0" w:firstRow="1" w:lastRow="0" w:firstColumn="1" w:lastColumn="0" w:noHBand="0" w:noVBand="1"/>
      </w:tblPr>
      <w:tblGrid>
        <w:gridCol w:w="8618"/>
      </w:tblGrid>
      <w:tr w:rsidR="00BD5A67" w:rsidRPr="00D86314" w14:paraId="526A29B1" w14:textId="77777777">
        <w:tc>
          <w:tcPr>
            <w:tcW w:w="5000" w:type="pct"/>
            <w:tcBorders>
              <w:top w:val="single" w:sz="4" w:space="0" w:color="auto"/>
              <w:left w:val="nil"/>
              <w:bottom w:val="single" w:sz="4" w:space="0" w:color="auto"/>
              <w:right w:val="nil"/>
            </w:tcBorders>
            <w:tcMar>
              <w:top w:w="57" w:type="dxa"/>
              <w:bottom w:w="57" w:type="dxa"/>
            </w:tcMar>
          </w:tcPr>
          <w:p w14:paraId="77A6BB3E" w14:textId="77777777" w:rsidR="00BD5A67" w:rsidRPr="00D86314" w:rsidRDefault="00BD5A67">
            <w:pPr>
              <w:keepNext/>
              <w:keepLines/>
              <w:jc w:val="center"/>
              <w:rPr>
                <w:noProof/>
                <w:color w:val="1F497D" w:themeColor="text2"/>
              </w:rPr>
            </w:pPr>
            <w:r w:rsidRPr="00D86314">
              <w:rPr>
                <w:noProof/>
              </w:rPr>
              <w:t xml:space="preserve"> </w:t>
            </w:r>
            <w:r w:rsidRPr="00CA2C0B">
              <w:rPr>
                <w:noProof/>
              </w:rPr>
              <w:drawing>
                <wp:inline distT="0" distB="0" distL="0" distR="0" wp14:anchorId="7CC68D2E" wp14:editId="68230ABB">
                  <wp:extent cx="5006865" cy="5565913"/>
                  <wp:effectExtent l="0" t="0" r="3810" b="0"/>
                  <wp:docPr id="350459" name="Grafik 3"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18455" name="Grafik 3" descr="A map of europe with different colored countries/regions&#10;&#10;AI-generated content may be incorrect."/>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010430" cy="5569876"/>
                          </a:xfrm>
                          <a:prstGeom prst="rect">
                            <a:avLst/>
                          </a:prstGeom>
                          <a:noFill/>
                        </pic:spPr>
                      </pic:pic>
                    </a:graphicData>
                  </a:graphic>
                </wp:inline>
              </w:drawing>
            </w:r>
          </w:p>
        </w:tc>
      </w:tr>
    </w:tbl>
    <w:p w14:paraId="1FAD150B" w14:textId="5885046A" w:rsidR="00BD5A67" w:rsidRPr="00D86314" w:rsidRDefault="00BD5A67" w:rsidP="007D185E">
      <w:pPr>
        <w:spacing w:after="120"/>
        <w:rPr>
          <w:noProof/>
        </w:rPr>
      </w:pPr>
      <w:r w:rsidRPr="00D86314">
        <w:rPr>
          <w:noProof/>
          <w:sz w:val="22"/>
          <w:szCs w:val="22"/>
        </w:rPr>
        <w:t>Source:</w:t>
      </w:r>
      <w:r w:rsidRPr="00D86314">
        <w:rPr>
          <w:noProof/>
          <w:sz w:val="22"/>
          <w:szCs w:val="22"/>
        </w:rPr>
        <w:tab/>
        <w:t xml:space="preserve">Map created by WIK-Consult with mapchart.net based on information in </w:t>
      </w:r>
      <w:hyperlink r:id="rId148" w:history="1">
        <w:r w:rsidRPr="00D86314">
          <w:rPr>
            <w:rStyle w:val="Hyperlink"/>
            <w:noProof/>
            <w:sz w:val="22"/>
            <w:szCs w:val="22"/>
          </w:rPr>
          <w:t>https://www.kratosspace.com/constellations/articles/the-recent-vodafone-three-merger-suggests-that-most-europeans-may-soon-have-three-mnos-per-country</w:t>
        </w:r>
      </w:hyperlink>
      <w:r w:rsidR="00032385" w:rsidRPr="00D86314">
        <w:rPr>
          <w:noProof/>
        </w:rPr>
        <w:t>.</w:t>
      </w:r>
    </w:p>
    <w:p w14:paraId="777E61B2" w14:textId="321C7300" w:rsidR="0C317C56" w:rsidRPr="00D86314" w:rsidRDefault="5A148F35" w:rsidP="00623C8D">
      <w:pPr>
        <w:pStyle w:val="Heading2"/>
        <w:spacing w:before="240"/>
        <w:ind w:left="578" w:hanging="578"/>
        <w:rPr>
          <w:noProof/>
        </w:rPr>
      </w:pPr>
      <w:bookmarkStart w:id="239" w:name="_Toc219718434"/>
      <w:r w:rsidRPr="00D86314">
        <w:rPr>
          <w:noProof/>
        </w:rPr>
        <w:t>Fragmented, complex rules, authorisation conditions</w:t>
      </w:r>
      <w:bookmarkEnd w:id="239"/>
    </w:p>
    <w:p w14:paraId="45648C2D" w14:textId="210B7F97" w:rsidR="0C317C56" w:rsidRPr="00D86314" w:rsidRDefault="0C317C56" w:rsidP="00627CA2">
      <w:pPr>
        <w:spacing w:after="120"/>
        <w:rPr>
          <w:rFonts w:eastAsia="Times New Roman"/>
          <w:noProof/>
        </w:rPr>
      </w:pPr>
      <w:r w:rsidRPr="00D86314">
        <w:rPr>
          <w:rFonts w:eastAsia="Times New Roman"/>
          <w:noProof/>
        </w:rPr>
        <w:t xml:space="preserve">The divergences in terms of compliance with </w:t>
      </w:r>
      <w:r w:rsidRPr="00D86314">
        <w:rPr>
          <w:rFonts w:eastAsia="Times New Roman"/>
          <w:b/>
          <w:noProof/>
        </w:rPr>
        <w:t>general authorisation</w:t>
      </w:r>
      <w:r w:rsidRPr="00D86314">
        <w:rPr>
          <w:rFonts w:eastAsia="Times New Roman"/>
          <w:noProof/>
        </w:rPr>
        <w:t xml:space="preserve"> conditions, in particular for SMEs, make it more difficult to operate across borders and increase the administrative burden to cope. Concerning the transparency on providers entering the market, there are also discrepancies in the registration/notification regime regarding the non-public ECNs such as some submarine cable systems or the NI-ICS. They operate based on a registration in one country of main establishment, but not under the EECC GA, what posed challenges to NRAs to exercise proper supervision and to intervene in case of issues. As a result, inconsistencies led to differentiated regulatory treatment and even to lowering the level of consumer protection. Despite the efforts of the directive to further harmonise the possible GA conditions a considerable discretion remained for the Member States to further develop and specify the various requirements, often by adding more requirements justified by national specifics and thus, considerably increasing the excessive bureaucracy, especially for cross-border operations and smaller players</w:t>
      </w:r>
      <w:r w:rsidR="73A8C581" w:rsidRPr="00D86314">
        <w:rPr>
          <w:rFonts w:eastAsia="Times New Roman"/>
          <w:noProof/>
        </w:rPr>
        <w:t xml:space="preserve">. </w:t>
      </w:r>
    </w:p>
    <w:p w14:paraId="70EA9F3A" w14:textId="3433481D" w:rsidR="00EB2B94" w:rsidRPr="00D86314" w:rsidRDefault="00343A6D" w:rsidP="00EB2B94">
      <w:pPr>
        <w:pStyle w:val="Heading2"/>
        <w:rPr>
          <w:noProof/>
        </w:rPr>
      </w:pPr>
      <w:bookmarkStart w:id="240" w:name="_Toc219718435"/>
      <w:r w:rsidRPr="00D86314">
        <w:rPr>
          <w:noProof/>
        </w:rPr>
        <w:t>Governance problem drivers</w:t>
      </w:r>
      <w:bookmarkEnd w:id="240"/>
    </w:p>
    <w:p w14:paraId="3C5F8F6C" w14:textId="77777777" w:rsidR="00C611C1" w:rsidRPr="00D86314" w:rsidRDefault="00C611C1" w:rsidP="00627CA2">
      <w:pPr>
        <w:spacing w:after="120"/>
        <w:rPr>
          <w:rFonts w:eastAsia="Times New Roman"/>
          <w:noProof/>
        </w:rPr>
      </w:pPr>
      <w:r w:rsidRPr="00D86314">
        <w:rPr>
          <w:rFonts w:eastAsia="Times New Roman"/>
          <w:noProof/>
        </w:rPr>
        <w:t xml:space="preserve">As regards </w:t>
      </w:r>
      <w:r w:rsidRPr="00D86314">
        <w:rPr>
          <w:rFonts w:eastAsia="Times New Roman"/>
          <w:b/>
          <w:bCs/>
          <w:noProof/>
        </w:rPr>
        <w:t>governance</w:t>
      </w:r>
      <w:r w:rsidRPr="00D86314">
        <w:rPr>
          <w:rFonts w:eastAsia="Times New Roman"/>
          <w:noProof/>
        </w:rPr>
        <w:t>, the first driver is the strong national influence on BEREC and RSPG that may result in some cases in limiting EU single market perspective. BEREC consists of NRAs, and positions are shaped mainly by national perspectives rather than by a common EU-wide vision. Moreover,</w:t>
      </w:r>
      <w:r w:rsidRPr="00D86314">
        <w:rPr>
          <w:rFonts w:eastAsia="Aptos"/>
          <w:i/>
          <w:iCs/>
          <w:noProof/>
        </w:rPr>
        <w:t xml:space="preserve"> </w:t>
      </w:r>
      <w:r w:rsidRPr="00D86314">
        <w:rPr>
          <w:rFonts w:eastAsia="Aptos"/>
          <w:noProof/>
        </w:rPr>
        <w:t>a lack of a more structured coordination mechanism between BEREC and RSPG led to a very limited cooperation between the two bodies where spectrum issues have regulatory implication,</w:t>
      </w:r>
      <w:r w:rsidRPr="00D86314">
        <w:rPr>
          <w:rFonts w:eastAsia="Times New Roman"/>
          <w:noProof/>
        </w:rPr>
        <w:t xml:space="preserve"> Since decisions are in practice taken by consensus, its outcome in some cases reflects compromises between NRAs instead of a more ambitious, single, harmonised approach putting the benefits of a Single Market above individual Member State’s interests. This limits BEREC’s ability to ensure consistent implementation of rules across the Union, leaving the Single Market fragmented. The persistence of diverging national practices makes it harder for operators to expand services cross-border and sustains the complexity of meeting different authorisation and regulatory conditions. Regarding RSPG, particular national interests are at least in some contentious cases, prioritised over EU-wide benefits.</w:t>
      </w:r>
    </w:p>
    <w:p w14:paraId="390DEEE3" w14:textId="77777777" w:rsidR="00C611C1" w:rsidRPr="00D86314" w:rsidRDefault="00C611C1" w:rsidP="00627CA2">
      <w:pPr>
        <w:spacing w:after="120"/>
        <w:rPr>
          <w:rFonts w:eastAsia="Times New Roman"/>
          <w:noProof/>
        </w:rPr>
      </w:pPr>
      <w:r w:rsidRPr="00D86314">
        <w:rPr>
          <w:rFonts w:eastAsia="Times New Roman"/>
          <w:noProof/>
        </w:rPr>
        <w:t>The second governance driver is the expanding regulatory scope of NRAs’ creating inconsistencies among the NRAs and between the tasks of NRAs and BEREC. While some NRAs take on responsibilities beyond electronic communications under frameworks such as the DSA or Data Act, in other Member States these tasks are entrusted to other CAs. These additional tasks broaden the regulatory agenda of NRAs beyond core connectivity issues and, although enrich discussion, can in the future complicate efforts to harmonise approaches across Member States as the governance landscape is not homogenous. Because the pace and focus of implementation differ nationally, the overall framework becomes less coherent. This makes it more difficult to achieve a level playing field, as operators may be subject to different combinations of requirements depending on the jurisdiction in which they operate. Furthermore, due to its NRA members’ involvement or expertise in certain topics, such as e.g. cloud switching, BEREC often becomes a natural forum to discuss such issues, while as a body it lacks a legal empowerment to contribute.</w:t>
      </w:r>
    </w:p>
    <w:p w14:paraId="49C4DE57" w14:textId="544E039B" w:rsidR="00EF0E69" w:rsidRPr="00D86314" w:rsidRDefault="00C611C1" w:rsidP="00627CA2">
      <w:pPr>
        <w:spacing w:after="120"/>
        <w:rPr>
          <w:rFonts w:eastAsia="Times New Roman"/>
          <w:noProof/>
        </w:rPr>
      </w:pPr>
      <w:r w:rsidRPr="00D86314">
        <w:rPr>
          <w:rFonts w:eastAsia="Times New Roman"/>
          <w:noProof/>
        </w:rPr>
        <w:t>A third set of drivers for the governance concerns resource constraints and structural weaknesses. Many NRAs face challenges in terms of funding and staffing, which affect their ability to carry out both existing and newly assigned functions. Similarly, the BEREC Office has faced high staff turnover in recent years, which for a small agency creates operational strain, loss of institutional knowledge, and reduced efficiency</w:t>
      </w:r>
      <w:r w:rsidRPr="00D86314">
        <w:rPr>
          <w:rStyle w:val="FootnoteReference"/>
          <w:rFonts w:eastAsia="Times New Roman"/>
          <w:noProof/>
        </w:rPr>
        <w:footnoteReference w:id="203"/>
      </w:r>
      <w:r w:rsidRPr="00D86314">
        <w:rPr>
          <w:rFonts w:eastAsia="Times New Roman"/>
          <w:noProof/>
        </w:rPr>
        <w:t>. These limitations weaken the ability of BEREC to support harmonised implementation across the EU and sustain the persistence of fragmented regulatory outcomes, making the Single Market harder to realise. Similarly, even within the current scope of RSPG tasks and workload, it is challenging for some of the Member States to be actively involved in the RSPG work that could result in RSPG outcomes biased to the interests of some Member States. Due to extremely limited staff (1,5 FTE), the RSPG secretariat provided by DG CNECT cannot offer any support on substance.</w:t>
      </w:r>
    </w:p>
    <w:p w14:paraId="47B1F1B5" w14:textId="463820D6" w:rsidR="00E03BB2" w:rsidRPr="00D86314" w:rsidRDefault="00E03BB2" w:rsidP="00703057">
      <w:pPr>
        <w:pStyle w:val="Heading1"/>
        <w:numPr>
          <w:ilvl w:val="0"/>
          <w:numId w:val="0"/>
        </w:numPr>
        <w:ind w:left="432" w:hanging="432"/>
        <w:rPr>
          <w:noProof/>
          <w:lang w:val="en-GB"/>
        </w:rPr>
      </w:pPr>
      <w:bookmarkStart w:id="241" w:name="_Toc219718436"/>
      <w:bookmarkStart w:id="242" w:name="_Toc208239227"/>
      <w:r w:rsidRPr="00D86314">
        <w:rPr>
          <w:noProof/>
          <w:lang w:val="en-GB"/>
        </w:rPr>
        <w:t xml:space="preserve">Annex </w:t>
      </w:r>
      <w:r w:rsidR="00114C9D" w:rsidRPr="00D86314">
        <w:rPr>
          <w:noProof/>
          <w:lang w:val="en-GB"/>
        </w:rPr>
        <w:t>8</w:t>
      </w:r>
      <w:r w:rsidRPr="00D86314">
        <w:rPr>
          <w:noProof/>
          <w:lang w:val="en-GB"/>
        </w:rPr>
        <w:t xml:space="preserve">: </w:t>
      </w:r>
      <w:r w:rsidR="002B60EE" w:rsidRPr="00D86314">
        <w:rPr>
          <w:noProof/>
          <w:lang w:val="en-GB"/>
        </w:rPr>
        <w:t>Details of the Policy options</w:t>
      </w:r>
      <w:bookmarkEnd w:id="241"/>
    </w:p>
    <w:p w14:paraId="1664AA53" w14:textId="083EB145" w:rsidR="007C756A" w:rsidRPr="00D86314" w:rsidRDefault="1DAF4740" w:rsidP="00C279A0">
      <w:pPr>
        <w:pStyle w:val="Heading1"/>
        <w:numPr>
          <w:ilvl w:val="0"/>
          <w:numId w:val="132"/>
        </w:numPr>
        <w:rPr>
          <w:noProof/>
          <w:lang w:val="en-GB"/>
        </w:rPr>
      </w:pPr>
      <w:bookmarkStart w:id="243" w:name="_Toc219718437"/>
      <w:r w:rsidRPr="00D86314">
        <w:rPr>
          <w:noProof/>
          <w:lang w:val="en-GB"/>
        </w:rPr>
        <w:t>Transition to fibr</w:t>
      </w:r>
      <w:r w:rsidR="009E04AD" w:rsidRPr="00D86314">
        <w:rPr>
          <w:noProof/>
          <w:lang w:val="en-GB"/>
        </w:rPr>
        <w:t>e</w:t>
      </w:r>
      <w:bookmarkEnd w:id="243"/>
    </w:p>
    <w:p w14:paraId="799CF01B" w14:textId="3EC34DE2" w:rsidR="00DB11EA" w:rsidRPr="00D86314" w:rsidRDefault="00DB11EA" w:rsidP="00DB11EA">
      <w:pPr>
        <w:spacing w:before="240" w:after="160"/>
        <w:rPr>
          <w:rFonts w:eastAsia="Times New Roman"/>
          <w:b/>
          <w:bCs/>
          <w:noProof/>
        </w:rPr>
      </w:pPr>
      <w:r w:rsidRPr="00D86314">
        <w:rPr>
          <w:rFonts w:eastAsia="Times New Roman"/>
          <w:b/>
          <w:bCs/>
          <w:noProof/>
        </w:rPr>
        <w:t xml:space="preserve">Option 1: </w:t>
      </w:r>
      <w:r w:rsidR="009148EC" w:rsidRPr="00D86314">
        <w:rPr>
          <w:b/>
          <w:bCs/>
          <w:noProof/>
        </w:rPr>
        <w:t xml:space="preserve">Non-binding </w:t>
      </w:r>
      <w:r w:rsidR="00B1458F" w:rsidRPr="00D86314">
        <w:rPr>
          <w:rFonts w:eastAsia="Times New Roman"/>
          <w:b/>
          <w:bCs/>
          <w:noProof/>
        </w:rPr>
        <w:t xml:space="preserve">copper switch-off </w:t>
      </w:r>
      <w:r w:rsidR="009148EC" w:rsidRPr="00D86314">
        <w:rPr>
          <w:b/>
          <w:bCs/>
          <w:noProof/>
        </w:rPr>
        <w:t xml:space="preserve">and </w:t>
      </w:r>
      <w:r w:rsidR="35353CF9" w:rsidRPr="00D86314">
        <w:rPr>
          <w:b/>
          <w:bCs/>
          <w:noProof/>
        </w:rPr>
        <w:t xml:space="preserve">limited </w:t>
      </w:r>
      <w:r w:rsidR="009148EC" w:rsidRPr="00D86314">
        <w:rPr>
          <w:b/>
          <w:bCs/>
          <w:noProof/>
        </w:rPr>
        <w:t>update</w:t>
      </w:r>
      <w:r w:rsidR="51AFAE66" w:rsidRPr="00D86314">
        <w:rPr>
          <w:b/>
          <w:bCs/>
          <w:noProof/>
        </w:rPr>
        <w:t xml:space="preserve">s to </w:t>
      </w:r>
      <w:r w:rsidR="009148EC" w:rsidRPr="00D86314">
        <w:rPr>
          <w:b/>
          <w:bCs/>
          <w:noProof/>
        </w:rPr>
        <w:t>access regulation</w:t>
      </w:r>
    </w:p>
    <w:p w14:paraId="14B42F20" w14:textId="41A7378E" w:rsidR="00DB11EA" w:rsidRPr="00D86314" w:rsidRDefault="00DB11EA" w:rsidP="00DB11EA">
      <w:pPr>
        <w:spacing w:after="120"/>
        <w:rPr>
          <w:rFonts w:eastAsia="Times New Roman"/>
          <w:noProof/>
        </w:rPr>
      </w:pPr>
      <w:r w:rsidRPr="00D86314">
        <w:rPr>
          <w:rFonts w:eastAsia="Times New Roman"/>
          <w:noProof/>
          <w:u w:val="single"/>
        </w:rPr>
        <w:t xml:space="preserve">For </w:t>
      </w:r>
      <w:r w:rsidR="00FB42B1" w:rsidRPr="00D86314">
        <w:rPr>
          <w:rFonts w:eastAsia="Times New Roman"/>
          <w:noProof/>
          <w:u w:val="single"/>
        </w:rPr>
        <w:t>CSO</w:t>
      </w:r>
      <w:r w:rsidRPr="00D86314">
        <w:rPr>
          <w:rFonts w:eastAsia="Times New Roman"/>
          <w:noProof/>
        </w:rPr>
        <w:t>, this option set</w:t>
      </w:r>
      <w:r w:rsidR="007F2A22" w:rsidRPr="00D86314">
        <w:rPr>
          <w:rFonts w:eastAsia="Times New Roman"/>
          <w:noProof/>
        </w:rPr>
        <w:t>s</w:t>
      </w:r>
      <w:r w:rsidRPr="00D86314">
        <w:rPr>
          <w:rFonts w:eastAsia="Times New Roman"/>
          <w:noProof/>
        </w:rPr>
        <w:t xml:space="preserve"> a non-binding </w:t>
      </w:r>
      <w:r w:rsidR="007F2A22" w:rsidRPr="00D86314">
        <w:rPr>
          <w:rFonts w:eastAsia="Times New Roman"/>
          <w:noProof/>
        </w:rPr>
        <w:t xml:space="preserve">EU </w:t>
      </w:r>
      <w:r w:rsidRPr="00D86314">
        <w:rPr>
          <w:rFonts w:eastAsia="Times New Roman"/>
          <w:noProof/>
        </w:rPr>
        <w:t xml:space="preserve">target date of </w:t>
      </w:r>
      <w:r w:rsidR="004A5AE7" w:rsidRPr="00D86314">
        <w:rPr>
          <w:rFonts w:eastAsia="Times New Roman"/>
          <w:noProof/>
        </w:rPr>
        <w:t>31</w:t>
      </w:r>
      <w:r w:rsidR="00F53F9A">
        <w:rPr>
          <w:rFonts w:eastAsia="Times New Roman"/>
          <w:noProof/>
        </w:rPr>
        <w:t> </w:t>
      </w:r>
      <w:r w:rsidR="004A5AE7" w:rsidRPr="00D86314">
        <w:rPr>
          <w:rFonts w:eastAsia="Times New Roman"/>
          <w:noProof/>
        </w:rPr>
        <w:t>December </w:t>
      </w:r>
      <w:r w:rsidRPr="00D86314">
        <w:rPr>
          <w:rFonts w:eastAsia="Times New Roman"/>
          <w:noProof/>
        </w:rPr>
        <w:t xml:space="preserve">2030. Member States would be required to submit </w:t>
      </w:r>
      <w:r w:rsidR="00E112D8" w:rsidRPr="00D86314">
        <w:rPr>
          <w:rFonts w:eastAsia="Times New Roman"/>
          <w:noProof/>
        </w:rPr>
        <w:t xml:space="preserve">national </w:t>
      </w:r>
      <w:r w:rsidRPr="00D86314">
        <w:rPr>
          <w:rFonts w:eastAsia="Times New Roman"/>
          <w:noProof/>
        </w:rPr>
        <w:t xml:space="preserve">plans for </w:t>
      </w:r>
      <w:r w:rsidR="001B46AA" w:rsidRPr="00D86314">
        <w:rPr>
          <w:rFonts w:eastAsia="Times New Roman"/>
          <w:noProof/>
        </w:rPr>
        <w:t xml:space="preserve">fibre </w:t>
      </w:r>
      <w:r w:rsidR="004E6392" w:rsidRPr="00D86314">
        <w:rPr>
          <w:rFonts w:eastAsia="Times New Roman"/>
          <w:noProof/>
        </w:rPr>
        <w:t>depl</w:t>
      </w:r>
      <w:r w:rsidR="0017779A" w:rsidRPr="00D86314">
        <w:rPr>
          <w:rFonts w:eastAsia="Times New Roman"/>
          <w:noProof/>
        </w:rPr>
        <w:t>o</w:t>
      </w:r>
      <w:r w:rsidR="004E6392" w:rsidRPr="00D86314">
        <w:rPr>
          <w:rFonts w:eastAsia="Times New Roman"/>
          <w:noProof/>
        </w:rPr>
        <w:t xml:space="preserve">yment </w:t>
      </w:r>
      <w:r w:rsidRPr="00D86314">
        <w:rPr>
          <w:rFonts w:eastAsia="Times New Roman"/>
          <w:noProof/>
        </w:rPr>
        <w:t xml:space="preserve">and </w:t>
      </w:r>
      <w:r w:rsidR="001B46AA" w:rsidRPr="00D86314">
        <w:rPr>
          <w:rFonts w:eastAsia="Times New Roman"/>
          <w:noProof/>
        </w:rPr>
        <w:t>CSO</w:t>
      </w:r>
      <w:r w:rsidRPr="00D86314">
        <w:rPr>
          <w:rFonts w:eastAsia="Times New Roman"/>
          <w:noProof/>
        </w:rPr>
        <w:t xml:space="preserve">. </w:t>
      </w:r>
      <w:r w:rsidR="0017779A" w:rsidRPr="00D86314">
        <w:rPr>
          <w:rFonts w:eastAsia="Times New Roman"/>
          <w:noProof/>
        </w:rPr>
        <w:t>Article</w:t>
      </w:r>
      <w:r w:rsidR="00F53F9A">
        <w:rPr>
          <w:rFonts w:eastAsia="Times New Roman"/>
          <w:noProof/>
        </w:rPr>
        <w:t> </w:t>
      </w:r>
      <w:r w:rsidR="0017779A" w:rsidRPr="00D86314">
        <w:rPr>
          <w:rFonts w:eastAsia="Times New Roman"/>
          <w:noProof/>
        </w:rPr>
        <w:t xml:space="preserve">81 </w:t>
      </w:r>
      <w:r w:rsidR="00897513" w:rsidRPr="00D86314">
        <w:rPr>
          <w:rFonts w:eastAsia="Times New Roman"/>
          <w:noProof/>
        </w:rPr>
        <w:t>EECC</w:t>
      </w:r>
      <w:r w:rsidR="22AD5800" w:rsidRPr="00D86314">
        <w:rPr>
          <w:rFonts w:eastAsia="Times New Roman"/>
          <w:noProof/>
        </w:rPr>
        <w:t xml:space="preserve"> </w:t>
      </w:r>
      <w:r w:rsidRPr="00D86314">
        <w:rPr>
          <w:rFonts w:eastAsia="Times New Roman"/>
          <w:noProof/>
        </w:rPr>
        <w:t xml:space="preserve">would be amended to cover all copper network operators, not only those with SMP. BEREC </w:t>
      </w:r>
      <w:r w:rsidR="00866DA1" w:rsidRPr="00D86314">
        <w:rPr>
          <w:rFonts w:eastAsia="Times New Roman"/>
          <w:noProof/>
        </w:rPr>
        <w:t xml:space="preserve">would </w:t>
      </w:r>
      <w:r w:rsidRPr="00D86314">
        <w:rPr>
          <w:rFonts w:eastAsia="Times New Roman"/>
          <w:noProof/>
        </w:rPr>
        <w:t xml:space="preserve">be mandated to publish guidance on best practices for </w:t>
      </w:r>
      <w:r w:rsidR="00747727" w:rsidRPr="00D86314">
        <w:rPr>
          <w:rFonts w:eastAsia="Times New Roman"/>
          <w:noProof/>
        </w:rPr>
        <w:t>CSO</w:t>
      </w:r>
      <w:r w:rsidRPr="00D86314">
        <w:rPr>
          <w:rFonts w:eastAsia="Times New Roman"/>
          <w:noProof/>
        </w:rPr>
        <w:t xml:space="preserve"> and geographic surveys. </w:t>
      </w:r>
      <w:r w:rsidR="0059753A" w:rsidRPr="00D86314">
        <w:rPr>
          <w:rFonts w:eastAsia="Times New Roman"/>
          <w:noProof/>
        </w:rPr>
        <w:t>R</w:t>
      </w:r>
      <w:r w:rsidRPr="00D86314">
        <w:rPr>
          <w:rFonts w:eastAsia="Times New Roman"/>
          <w:noProof/>
        </w:rPr>
        <w:t>eferences in Article</w:t>
      </w:r>
      <w:r w:rsidR="00F53F9A">
        <w:rPr>
          <w:rFonts w:eastAsia="Times New Roman"/>
          <w:noProof/>
        </w:rPr>
        <w:t> </w:t>
      </w:r>
      <w:r w:rsidRPr="00D86314">
        <w:rPr>
          <w:rFonts w:eastAsia="Times New Roman"/>
          <w:noProof/>
        </w:rPr>
        <w:t xml:space="preserve">22 </w:t>
      </w:r>
      <w:r w:rsidR="004131F3" w:rsidRPr="00D86314">
        <w:rPr>
          <w:rFonts w:eastAsia="Times New Roman"/>
          <w:noProof/>
        </w:rPr>
        <w:t>EECC</w:t>
      </w:r>
      <w:r w:rsidRPr="00D86314">
        <w:rPr>
          <w:rFonts w:eastAsia="Times New Roman"/>
          <w:noProof/>
        </w:rPr>
        <w:t xml:space="preserve"> </w:t>
      </w:r>
      <w:r w:rsidR="003C2FEA" w:rsidRPr="00D86314">
        <w:rPr>
          <w:rFonts w:eastAsia="Times New Roman"/>
          <w:noProof/>
        </w:rPr>
        <w:t xml:space="preserve">on </w:t>
      </w:r>
      <w:r w:rsidRPr="00D86314">
        <w:rPr>
          <w:rFonts w:eastAsia="Times New Roman"/>
          <w:noProof/>
        </w:rPr>
        <w:t>geographic surveys</w:t>
      </w:r>
      <w:r w:rsidR="00700047" w:rsidRPr="00D86314">
        <w:rPr>
          <w:rFonts w:eastAsia="Times New Roman"/>
          <w:noProof/>
        </w:rPr>
        <w:t>, which currently focus on</w:t>
      </w:r>
      <w:r w:rsidR="00810EF6" w:rsidRPr="00D86314">
        <w:rPr>
          <w:rFonts w:eastAsia="Times New Roman"/>
          <w:noProof/>
        </w:rPr>
        <w:t xml:space="preserve"> networks with a performance </w:t>
      </w:r>
      <w:r w:rsidR="00CC2E73" w:rsidRPr="00D86314">
        <w:rPr>
          <w:rFonts w:eastAsia="Times New Roman"/>
          <w:noProof/>
        </w:rPr>
        <w:t>of at least</w:t>
      </w:r>
      <w:r w:rsidRPr="00D86314">
        <w:rPr>
          <w:rFonts w:eastAsia="Times New Roman"/>
          <w:noProof/>
        </w:rPr>
        <w:t xml:space="preserve"> 100</w:t>
      </w:r>
      <w:r w:rsidR="00F53F9A">
        <w:rPr>
          <w:rFonts w:eastAsia="Times New Roman"/>
          <w:noProof/>
        </w:rPr>
        <w:t> </w:t>
      </w:r>
      <w:r w:rsidRPr="00D86314">
        <w:rPr>
          <w:rFonts w:eastAsia="Times New Roman"/>
          <w:noProof/>
        </w:rPr>
        <w:t xml:space="preserve">Mbps </w:t>
      </w:r>
      <w:r w:rsidR="006D34CE" w:rsidRPr="00D86314">
        <w:rPr>
          <w:rFonts w:eastAsia="Times New Roman"/>
          <w:noProof/>
        </w:rPr>
        <w:t xml:space="preserve">would </w:t>
      </w:r>
      <w:r w:rsidRPr="00D86314">
        <w:rPr>
          <w:rFonts w:eastAsia="Times New Roman"/>
          <w:noProof/>
        </w:rPr>
        <w:t xml:space="preserve">be changed to </w:t>
      </w:r>
      <w:r w:rsidR="00DC7215" w:rsidRPr="00D86314">
        <w:rPr>
          <w:rFonts w:eastAsia="Times New Roman"/>
          <w:noProof/>
        </w:rPr>
        <w:t xml:space="preserve">reflect the </w:t>
      </w:r>
      <w:r w:rsidR="002B1C1C" w:rsidRPr="00D86314">
        <w:rPr>
          <w:rFonts w:eastAsia="Times New Roman"/>
          <w:noProof/>
        </w:rPr>
        <w:t>progress</w:t>
      </w:r>
      <w:r w:rsidR="00DC7215" w:rsidRPr="00D86314">
        <w:rPr>
          <w:rFonts w:eastAsia="Times New Roman"/>
          <w:noProof/>
        </w:rPr>
        <w:t xml:space="preserve"> in network </w:t>
      </w:r>
      <w:r w:rsidR="002B1C1C" w:rsidRPr="00D86314">
        <w:rPr>
          <w:rFonts w:eastAsia="Times New Roman"/>
          <w:noProof/>
        </w:rPr>
        <w:t>deployment</w:t>
      </w:r>
      <w:r w:rsidR="00DC7215" w:rsidRPr="00D86314">
        <w:rPr>
          <w:rFonts w:eastAsia="Times New Roman"/>
          <w:noProof/>
        </w:rPr>
        <w:t xml:space="preserve"> </w:t>
      </w:r>
      <w:r w:rsidR="002B1C1C" w:rsidRPr="00D86314">
        <w:rPr>
          <w:rFonts w:eastAsia="Times New Roman"/>
          <w:noProof/>
        </w:rPr>
        <w:t>and allo</w:t>
      </w:r>
      <w:r w:rsidR="004228B3" w:rsidRPr="00D86314">
        <w:rPr>
          <w:rFonts w:eastAsia="Times New Roman"/>
          <w:noProof/>
        </w:rPr>
        <w:t xml:space="preserve">w </w:t>
      </w:r>
      <w:r w:rsidR="00C57606" w:rsidRPr="00D86314">
        <w:rPr>
          <w:rFonts w:eastAsia="Times New Roman"/>
          <w:noProof/>
        </w:rPr>
        <w:t>N</w:t>
      </w:r>
      <w:r w:rsidR="004228B3" w:rsidRPr="00D86314">
        <w:rPr>
          <w:rFonts w:eastAsia="Times New Roman"/>
          <w:noProof/>
        </w:rPr>
        <w:t>RAs to focus on gigabit networks</w:t>
      </w:r>
      <w:r w:rsidRPr="00D86314">
        <w:rPr>
          <w:rFonts w:eastAsia="Times New Roman"/>
          <w:noProof/>
        </w:rPr>
        <w:t>.</w:t>
      </w:r>
    </w:p>
    <w:p w14:paraId="444A0303" w14:textId="41C9AF96" w:rsidR="003106FC" w:rsidRPr="00D86314" w:rsidRDefault="00CE109D" w:rsidP="00B7472C">
      <w:pPr>
        <w:rPr>
          <w:rFonts w:eastAsia="Times New Roman"/>
          <w:noProof/>
        </w:rPr>
      </w:pPr>
      <w:r w:rsidRPr="00D86314">
        <w:rPr>
          <w:noProof/>
          <w:u w:val="single"/>
        </w:rPr>
        <w:t xml:space="preserve">For </w:t>
      </w:r>
      <w:r w:rsidR="00DB11EA" w:rsidRPr="00D86314">
        <w:rPr>
          <w:noProof/>
          <w:u w:val="single"/>
        </w:rPr>
        <w:t>access regulation</w:t>
      </w:r>
      <w:r w:rsidR="00DB11EA" w:rsidRPr="00D86314">
        <w:rPr>
          <w:rFonts w:eastAsia="Times New Roman"/>
          <w:noProof/>
        </w:rPr>
        <w:t xml:space="preserve">, the </w:t>
      </w:r>
      <w:r w:rsidR="001E7572" w:rsidRPr="00D86314">
        <w:rPr>
          <w:rFonts w:eastAsia="Times New Roman"/>
          <w:noProof/>
        </w:rPr>
        <w:t xml:space="preserve">current SMP </w:t>
      </w:r>
      <w:r w:rsidR="00DB11EA" w:rsidRPr="00D86314">
        <w:rPr>
          <w:rFonts w:eastAsia="Times New Roman"/>
          <w:noProof/>
        </w:rPr>
        <w:t>framework</w:t>
      </w:r>
      <w:r w:rsidR="00047AF1" w:rsidRPr="00D86314">
        <w:rPr>
          <w:rFonts w:eastAsia="Times New Roman"/>
          <w:noProof/>
        </w:rPr>
        <w:t>,</w:t>
      </w:r>
      <w:r w:rsidR="00DB11EA" w:rsidRPr="00D86314">
        <w:rPr>
          <w:rFonts w:eastAsia="Times New Roman"/>
          <w:noProof/>
        </w:rPr>
        <w:t xml:space="preserve"> including SMP Guidelines </w:t>
      </w:r>
      <w:r w:rsidR="003E08E0" w:rsidRPr="00D86314">
        <w:rPr>
          <w:rFonts w:eastAsia="Times New Roman"/>
          <w:noProof/>
        </w:rPr>
        <w:t xml:space="preserve">and </w:t>
      </w:r>
      <w:r w:rsidR="002247CE" w:rsidRPr="00D86314">
        <w:rPr>
          <w:rFonts w:eastAsia="Times New Roman"/>
          <w:noProof/>
        </w:rPr>
        <w:t>the</w:t>
      </w:r>
      <w:r w:rsidR="003E08E0" w:rsidRPr="00D86314">
        <w:rPr>
          <w:rFonts w:eastAsia="Times New Roman"/>
          <w:noProof/>
        </w:rPr>
        <w:t xml:space="preserve"> </w:t>
      </w:r>
      <w:r w:rsidR="00DB11EA" w:rsidRPr="00D86314">
        <w:rPr>
          <w:rFonts w:eastAsia="Times New Roman"/>
          <w:noProof/>
        </w:rPr>
        <w:t>Relevant Market Recommendation</w:t>
      </w:r>
      <w:r w:rsidR="00047AF1" w:rsidRPr="00D86314">
        <w:rPr>
          <w:rFonts w:eastAsia="Times New Roman"/>
          <w:noProof/>
        </w:rPr>
        <w:t xml:space="preserve">, </w:t>
      </w:r>
      <w:r w:rsidR="00547F39" w:rsidRPr="00D86314">
        <w:rPr>
          <w:rFonts w:eastAsia="Times New Roman"/>
          <w:noProof/>
        </w:rPr>
        <w:t>would</w:t>
      </w:r>
      <w:r w:rsidR="00047AF1" w:rsidRPr="00D86314">
        <w:rPr>
          <w:rFonts w:eastAsia="Times New Roman"/>
          <w:noProof/>
        </w:rPr>
        <w:t xml:space="preserve"> be retained</w:t>
      </w:r>
      <w:r w:rsidR="00A6304D" w:rsidRPr="00D86314">
        <w:rPr>
          <w:rFonts w:eastAsia="Times New Roman"/>
          <w:noProof/>
        </w:rPr>
        <w:t>.</w:t>
      </w:r>
    </w:p>
    <w:p w14:paraId="2705FB3E" w14:textId="3B8FB2EB" w:rsidR="003106FC" w:rsidRPr="00D86314" w:rsidRDefault="42DA67D8" w:rsidP="00DB11EA">
      <w:pPr>
        <w:spacing w:after="120"/>
        <w:rPr>
          <w:rFonts w:eastAsia="Times New Roman"/>
          <w:noProof/>
        </w:rPr>
      </w:pPr>
      <w:r w:rsidRPr="00D86314">
        <w:rPr>
          <w:rFonts w:eastAsia="Times New Roman"/>
          <w:noProof/>
        </w:rPr>
        <w:t>A</w:t>
      </w:r>
      <w:r w:rsidR="00DB11EA" w:rsidRPr="00D86314">
        <w:rPr>
          <w:rFonts w:eastAsia="Times New Roman"/>
          <w:noProof/>
        </w:rPr>
        <w:t xml:space="preserve">ccess to physical infrastructure </w:t>
      </w:r>
      <w:r w:rsidR="00547F39" w:rsidRPr="00D86314">
        <w:rPr>
          <w:rFonts w:eastAsia="Times New Roman"/>
          <w:noProof/>
        </w:rPr>
        <w:t xml:space="preserve">would </w:t>
      </w:r>
      <w:r w:rsidR="0091384E" w:rsidRPr="00D86314">
        <w:rPr>
          <w:rFonts w:eastAsia="Times New Roman"/>
          <w:noProof/>
        </w:rPr>
        <w:t>remain</w:t>
      </w:r>
      <w:r w:rsidR="00675203" w:rsidRPr="00D86314">
        <w:rPr>
          <w:rFonts w:eastAsia="Times New Roman"/>
          <w:noProof/>
        </w:rPr>
        <w:t xml:space="preserve"> possible </w:t>
      </w:r>
      <w:r w:rsidR="00DB11EA" w:rsidRPr="00D86314">
        <w:rPr>
          <w:rFonts w:eastAsia="Times New Roman"/>
          <w:noProof/>
        </w:rPr>
        <w:t>under the Gigabit Infrastructure Act (GIA)</w:t>
      </w:r>
      <w:r w:rsidR="00265C04" w:rsidRPr="00D86314">
        <w:rPr>
          <w:rFonts w:eastAsia="Times New Roman"/>
          <w:noProof/>
        </w:rPr>
        <w:t>.</w:t>
      </w:r>
      <w:r w:rsidR="4B3BD8BD" w:rsidRPr="00D86314">
        <w:rPr>
          <w:rFonts w:eastAsia="Times New Roman"/>
          <w:noProof/>
        </w:rPr>
        <w:t xml:space="preserve"> </w:t>
      </w:r>
      <w:r w:rsidR="00265C04" w:rsidRPr="00D86314">
        <w:rPr>
          <w:rFonts w:eastAsia="Times New Roman"/>
          <w:noProof/>
        </w:rPr>
        <w:t xml:space="preserve">Where the </w:t>
      </w:r>
      <w:r w:rsidR="4B3BD8BD" w:rsidRPr="00D86314">
        <w:rPr>
          <w:rFonts w:eastAsia="Times New Roman"/>
          <w:noProof/>
        </w:rPr>
        <w:t xml:space="preserve">GIA </w:t>
      </w:r>
      <w:r w:rsidR="00675203" w:rsidRPr="00D86314">
        <w:rPr>
          <w:rFonts w:eastAsia="Times New Roman"/>
          <w:noProof/>
        </w:rPr>
        <w:t xml:space="preserve">is </w:t>
      </w:r>
      <w:r w:rsidR="0585A517" w:rsidRPr="00D86314">
        <w:rPr>
          <w:rFonts w:eastAsia="Times New Roman"/>
          <w:noProof/>
        </w:rPr>
        <w:t xml:space="preserve">not </w:t>
      </w:r>
      <w:r w:rsidR="4B3BD8BD" w:rsidRPr="00D86314">
        <w:rPr>
          <w:rFonts w:eastAsia="Times New Roman"/>
          <w:noProof/>
        </w:rPr>
        <w:t>considered sufficient, NRAs may include additional access obligations based on SMP.</w:t>
      </w:r>
    </w:p>
    <w:p w14:paraId="55D25936" w14:textId="0E0C8D44" w:rsidR="00820FB7" w:rsidRPr="00D86314" w:rsidRDefault="0075165A" w:rsidP="0075165A">
      <w:pPr>
        <w:spacing w:after="120"/>
        <w:rPr>
          <w:rFonts w:eastAsia="Times New Roman"/>
          <w:noProof/>
        </w:rPr>
      </w:pPr>
      <w:r w:rsidRPr="00D86314">
        <w:rPr>
          <w:rFonts w:eastAsia="Times New Roman"/>
          <w:noProof/>
        </w:rPr>
        <w:t>Article</w:t>
      </w:r>
      <w:r w:rsidR="00F53F9A">
        <w:rPr>
          <w:rFonts w:eastAsia="Times New Roman"/>
          <w:noProof/>
        </w:rPr>
        <w:t> </w:t>
      </w:r>
      <w:r w:rsidRPr="00D86314">
        <w:rPr>
          <w:rFonts w:eastAsia="Times New Roman"/>
          <w:noProof/>
        </w:rPr>
        <w:t xml:space="preserve">61(3) </w:t>
      </w:r>
      <w:r w:rsidR="007A175A" w:rsidRPr="00D86314">
        <w:rPr>
          <w:rFonts w:eastAsia="Times New Roman"/>
          <w:noProof/>
        </w:rPr>
        <w:t xml:space="preserve">EECC </w:t>
      </w:r>
      <w:r w:rsidR="00137BA7" w:rsidRPr="00D86314">
        <w:rPr>
          <w:rFonts w:eastAsia="Times New Roman"/>
          <w:noProof/>
        </w:rPr>
        <w:t xml:space="preserve">would </w:t>
      </w:r>
      <w:r w:rsidRPr="00D86314">
        <w:rPr>
          <w:rFonts w:eastAsia="Times New Roman"/>
          <w:noProof/>
        </w:rPr>
        <w:t>be amended to allow NRAs to impose access to in-building wiring</w:t>
      </w:r>
      <w:r w:rsidR="00F241A4" w:rsidRPr="00D86314">
        <w:rPr>
          <w:rFonts w:eastAsia="Times New Roman"/>
          <w:noProof/>
        </w:rPr>
        <w:t>.</w:t>
      </w:r>
      <w:r w:rsidR="00455BCE" w:rsidRPr="00D86314">
        <w:rPr>
          <w:rFonts w:eastAsia="Times New Roman"/>
          <w:noProof/>
        </w:rPr>
        <w:t xml:space="preserve"> </w:t>
      </w:r>
      <w:r w:rsidR="00370880" w:rsidRPr="00D86314">
        <w:rPr>
          <w:rFonts w:eastAsia="Times New Roman"/>
          <w:noProof/>
        </w:rPr>
        <w:t xml:space="preserve">NRAs </w:t>
      </w:r>
      <w:r w:rsidR="00991C36" w:rsidRPr="00D86314">
        <w:rPr>
          <w:rFonts w:eastAsia="Times New Roman"/>
          <w:noProof/>
        </w:rPr>
        <w:t>could</w:t>
      </w:r>
      <w:r w:rsidR="00370880" w:rsidRPr="00D86314">
        <w:rPr>
          <w:rFonts w:eastAsia="Times New Roman"/>
          <w:noProof/>
        </w:rPr>
        <w:t xml:space="preserve"> require operators deploying </w:t>
      </w:r>
      <w:r w:rsidR="00137BA7" w:rsidRPr="00D86314">
        <w:rPr>
          <w:rFonts w:eastAsia="Times New Roman"/>
          <w:noProof/>
        </w:rPr>
        <w:t xml:space="preserve">fibre </w:t>
      </w:r>
      <w:r w:rsidR="00370880" w:rsidRPr="00D86314">
        <w:rPr>
          <w:rFonts w:eastAsia="Times New Roman"/>
          <w:noProof/>
        </w:rPr>
        <w:t xml:space="preserve">to provide a </w:t>
      </w:r>
      <w:r w:rsidR="00F42FFF" w:rsidRPr="00D86314">
        <w:rPr>
          <w:rFonts w:eastAsia="Times New Roman"/>
          <w:noProof/>
        </w:rPr>
        <w:t>drop</w:t>
      </w:r>
      <w:r w:rsidR="00A32D76" w:rsidRPr="00D86314">
        <w:rPr>
          <w:rFonts w:eastAsia="Times New Roman"/>
          <w:noProof/>
        </w:rPr>
        <w:t xml:space="preserve"> </w:t>
      </w:r>
      <w:r w:rsidR="00F42FFF" w:rsidRPr="00D86314">
        <w:rPr>
          <w:rFonts w:eastAsia="Times New Roman"/>
          <w:noProof/>
        </w:rPr>
        <w:t xml:space="preserve">cable </w:t>
      </w:r>
      <w:r w:rsidR="00370880" w:rsidRPr="00D86314">
        <w:rPr>
          <w:rFonts w:eastAsia="Times New Roman"/>
          <w:noProof/>
        </w:rPr>
        <w:t xml:space="preserve">connection to </w:t>
      </w:r>
      <w:r w:rsidR="00D24492" w:rsidRPr="00D86314">
        <w:rPr>
          <w:rFonts w:eastAsia="Times New Roman"/>
          <w:noProof/>
        </w:rPr>
        <w:t xml:space="preserve">buildings </w:t>
      </w:r>
      <w:r w:rsidR="00370880" w:rsidRPr="00D86314">
        <w:rPr>
          <w:rFonts w:eastAsia="Times New Roman"/>
          <w:noProof/>
        </w:rPr>
        <w:t>passed</w:t>
      </w:r>
      <w:r w:rsidR="0057017F" w:rsidRPr="00D86314">
        <w:rPr>
          <w:rFonts w:eastAsia="Times New Roman"/>
          <w:noProof/>
        </w:rPr>
        <w:t xml:space="preserve"> by fibre</w:t>
      </w:r>
      <w:r w:rsidR="00370880" w:rsidRPr="00D86314">
        <w:rPr>
          <w:rFonts w:eastAsia="Times New Roman"/>
          <w:noProof/>
        </w:rPr>
        <w:t xml:space="preserve"> within a given distance</w:t>
      </w:r>
      <w:r w:rsidR="00A74BAB" w:rsidRPr="00D86314">
        <w:rPr>
          <w:rFonts w:eastAsia="Times New Roman"/>
          <w:noProof/>
        </w:rPr>
        <w:t>.</w:t>
      </w:r>
      <w:r w:rsidR="00370880" w:rsidRPr="00D86314">
        <w:rPr>
          <w:rFonts w:eastAsia="Times New Roman"/>
          <w:noProof/>
        </w:rPr>
        <w:t xml:space="preserve"> </w:t>
      </w:r>
    </w:p>
    <w:p w14:paraId="5F80A714" w14:textId="5A85F8F9" w:rsidR="00DB11EA" w:rsidRPr="00D86314" w:rsidRDefault="00820FB7" w:rsidP="00DB11EA">
      <w:pPr>
        <w:spacing w:after="120"/>
        <w:rPr>
          <w:rFonts w:eastAsia="Times New Roman"/>
          <w:noProof/>
        </w:rPr>
      </w:pPr>
      <w:r w:rsidRPr="00D86314">
        <w:rPr>
          <w:rFonts w:eastAsia="Times New Roman"/>
          <w:noProof/>
        </w:rPr>
        <w:t>Access beyond the first concentration point under Article</w:t>
      </w:r>
      <w:r w:rsidR="00F53F9A">
        <w:rPr>
          <w:rFonts w:eastAsia="Times New Roman"/>
          <w:noProof/>
        </w:rPr>
        <w:t> </w:t>
      </w:r>
      <w:r w:rsidRPr="00D86314">
        <w:rPr>
          <w:rFonts w:eastAsia="Times New Roman"/>
          <w:noProof/>
        </w:rPr>
        <w:t>61(3), second subparagraph, would continue to be available as a complementary tool.</w:t>
      </w:r>
    </w:p>
    <w:p w14:paraId="4A337CE1" w14:textId="22AA01C6" w:rsidR="00DB11EA" w:rsidRPr="00D86314" w:rsidRDefault="0036177C" w:rsidP="00DB11EA">
      <w:pPr>
        <w:spacing w:after="120"/>
        <w:rPr>
          <w:rFonts w:eastAsia="Times New Roman"/>
          <w:noProof/>
        </w:rPr>
      </w:pPr>
      <w:r w:rsidRPr="00D86314">
        <w:rPr>
          <w:rFonts w:eastAsia="Times New Roman"/>
          <w:noProof/>
        </w:rPr>
        <w:t>T</w:t>
      </w:r>
      <w:r w:rsidR="00DB11EA" w:rsidRPr="00D86314">
        <w:rPr>
          <w:rFonts w:eastAsia="Times New Roman"/>
          <w:noProof/>
        </w:rPr>
        <w:t>o ensure more consisten</w:t>
      </w:r>
      <w:r w:rsidRPr="00D86314">
        <w:rPr>
          <w:rFonts w:eastAsia="Times New Roman"/>
          <w:noProof/>
        </w:rPr>
        <w:t>t</w:t>
      </w:r>
      <w:r w:rsidR="00DB11EA" w:rsidRPr="00D86314">
        <w:rPr>
          <w:rFonts w:eastAsia="Times New Roman"/>
          <w:noProof/>
        </w:rPr>
        <w:t xml:space="preserve"> regulatory practices </w:t>
      </w:r>
      <w:r w:rsidRPr="00D86314">
        <w:rPr>
          <w:rFonts w:eastAsia="Times New Roman"/>
          <w:noProof/>
        </w:rPr>
        <w:t xml:space="preserve">and reduce fragmentation in the </w:t>
      </w:r>
      <w:r w:rsidR="00DB11EA" w:rsidRPr="00D86314">
        <w:rPr>
          <w:rFonts w:eastAsia="Times New Roman"/>
          <w:noProof/>
        </w:rPr>
        <w:t>single market</w:t>
      </w:r>
      <w:r w:rsidRPr="00D86314">
        <w:rPr>
          <w:rFonts w:eastAsia="Times New Roman"/>
          <w:noProof/>
        </w:rPr>
        <w:t>,</w:t>
      </w:r>
      <w:r w:rsidR="00DB11EA" w:rsidRPr="00D86314">
        <w:rPr>
          <w:rFonts w:eastAsia="Times New Roman"/>
          <w:noProof/>
        </w:rPr>
        <w:t xml:space="preserve"> </w:t>
      </w:r>
      <w:r w:rsidR="006165A3" w:rsidRPr="00D86314">
        <w:rPr>
          <w:rFonts w:eastAsia="Times New Roman"/>
          <w:noProof/>
        </w:rPr>
        <w:t>harmonised</w:t>
      </w:r>
      <w:r w:rsidR="004131F3" w:rsidRPr="00D86314">
        <w:rPr>
          <w:rFonts w:eastAsia="Times New Roman"/>
          <w:noProof/>
        </w:rPr>
        <w:t xml:space="preserve"> </w:t>
      </w:r>
      <w:r w:rsidR="00DB11EA" w:rsidRPr="00D86314">
        <w:rPr>
          <w:rFonts w:eastAsia="Times New Roman"/>
          <w:noProof/>
        </w:rPr>
        <w:t>EU wholesale access product</w:t>
      </w:r>
      <w:r w:rsidR="004131F3" w:rsidRPr="00D86314">
        <w:rPr>
          <w:rFonts w:eastAsia="Times New Roman"/>
          <w:noProof/>
        </w:rPr>
        <w:t>s</w:t>
      </w:r>
      <w:r w:rsidR="00DB11EA" w:rsidRPr="00D86314">
        <w:rPr>
          <w:rFonts w:eastAsia="Times New Roman"/>
          <w:noProof/>
        </w:rPr>
        <w:t xml:space="preserve"> </w:t>
      </w:r>
      <w:r w:rsidR="00E212BC" w:rsidRPr="00D86314">
        <w:rPr>
          <w:rFonts w:eastAsia="Times New Roman"/>
          <w:noProof/>
        </w:rPr>
        <w:t xml:space="preserve">would </w:t>
      </w:r>
      <w:r w:rsidR="00DB11EA" w:rsidRPr="00D86314">
        <w:rPr>
          <w:rFonts w:eastAsia="Times New Roman"/>
          <w:noProof/>
        </w:rPr>
        <w:t xml:space="preserve">be </w:t>
      </w:r>
      <w:r w:rsidR="00E212BC" w:rsidRPr="00D86314">
        <w:rPr>
          <w:rFonts w:eastAsia="Times New Roman"/>
          <w:noProof/>
        </w:rPr>
        <w:t>established</w:t>
      </w:r>
      <w:r w:rsidR="00DB11EA" w:rsidRPr="00D86314">
        <w:rPr>
          <w:rFonts w:eastAsia="Times New Roman"/>
          <w:noProof/>
        </w:rPr>
        <w:t xml:space="preserve">. BEREC </w:t>
      </w:r>
      <w:r w:rsidR="0055572D" w:rsidRPr="00D86314">
        <w:rPr>
          <w:rFonts w:eastAsia="Times New Roman"/>
          <w:noProof/>
        </w:rPr>
        <w:t xml:space="preserve">would </w:t>
      </w:r>
      <w:r w:rsidR="006165A3" w:rsidRPr="00D86314">
        <w:rPr>
          <w:rFonts w:eastAsia="Times New Roman"/>
          <w:noProof/>
        </w:rPr>
        <w:t>issue</w:t>
      </w:r>
      <w:r w:rsidR="00DB11EA" w:rsidRPr="00D86314">
        <w:rPr>
          <w:rFonts w:eastAsia="Times New Roman"/>
          <w:noProof/>
        </w:rPr>
        <w:t xml:space="preserve"> guidelines on the</w:t>
      </w:r>
      <w:r w:rsidR="00753679" w:rsidRPr="00D86314">
        <w:rPr>
          <w:rFonts w:eastAsia="Times New Roman"/>
          <w:noProof/>
        </w:rPr>
        <w:t>se</w:t>
      </w:r>
      <w:r w:rsidR="00DB11EA" w:rsidRPr="00D86314">
        <w:rPr>
          <w:rFonts w:eastAsia="Times New Roman"/>
          <w:noProof/>
        </w:rPr>
        <w:t xml:space="preserve"> harmoni</w:t>
      </w:r>
      <w:r w:rsidR="00753679" w:rsidRPr="00D86314">
        <w:rPr>
          <w:rFonts w:eastAsia="Times New Roman"/>
          <w:noProof/>
        </w:rPr>
        <w:t>s</w:t>
      </w:r>
      <w:r w:rsidR="00DB11EA" w:rsidRPr="00D86314">
        <w:rPr>
          <w:rFonts w:eastAsia="Times New Roman"/>
          <w:noProof/>
        </w:rPr>
        <w:t xml:space="preserve">ed </w:t>
      </w:r>
      <w:r w:rsidR="00753679" w:rsidRPr="00D86314">
        <w:rPr>
          <w:rFonts w:eastAsia="Times New Roman"/>
          <w:noProof/>
        </w:rPr>
        <w:t xml:space="preserve">EU </w:t>
      </w:r>
      <w:r w:rsidR="00DB11EA" w:rsidRPr="00D86314">
        <w:rPr>
          <w:rFonts w:eastAsia="Times New Roman"/>
          <w:noProof/>
        </w:rPr>
        <w:t>wholesale products</w:t>
      </w:r>
      <w:r w:rsidR="00753679" w:rsidRPr="00D86314">
        <w:rPr>
          <w:rFonts w:eastAsia="Times New Roman"/>
          <w:noProof/>
        </w:rPr>
        <w:t>.</w:t>
      </w:r>
      <w:r w:rsidR="00DB11EA" w:rsidRPr="00D86314">
        <w:rPr>
          <w:rFonts w:eastAsia="Times New Roman"/>
          <w:noProof/>
        </w:rPr>
        <w:t xml:space="preserve"> NRAs could </w:t>
      </w:r>
      <w:r w:rsidR="00D467D4" w:rsidRPr="00D86314">
        <w:rPr>
          <w:rFonts w:eastAsia="Times New Roman"/>
          <w:noProof/>
        </w:rPr>
        <w:t xml:space="preserve">still </w:t>
      </w:r>
      <w:r w:rsidR="00DB11EA" w:rsidRPr="00D86314">
        <w:rPr>
          <w:rFonts w:eastAsia="Times New Roman"/>
          <w:noProof/>
        </w:rPr>
        <w:t>impose other remedies</w:t>
      </w:r>
      <w:r w:rsidR="00D467D4" w:rsidRPr="00D86314">
        <w:rPr>
          <w:rFonts w:eastAsia="Times New Roman"/>
          <w:noProof/>
        </w:rPr>
        <w:t>,</w:t>
      </w:r>
      <w:r w:rsidR="00DB11EA" w:rsidRPr="00D86314">
        <w:rPr>
          <w:rFonts w:eastAsia="Times New Roman"/>
          <w:noProof/>
        </w:rPr>
        <w:t xml:space="preserve"> </w:t>
      </w:r>
      <w:r w:rsidR="00D467D4" w:rsidRPr="00D86314">
        <w:rPr>
          <w:rFonts w:eastAsia="Times New Roman"/>
          <w:noProof/>
        </w:rPr>
        <w:t>provided they</w:t>
      </w:r>
      <w:r w:rsidR="00DB11EA" w:rsidRPr="00D86314">
        <w:rPr>
          <w:rFonts w:eastAsia="Times New Roman"/>
          <w:noProof/>
        </w:rPr>
        <w:t xml:space="preserve"> justify the reasons for </w:t>
      </w:r>
      <w:r w:rsidR="007E5652" w:rsidRPr="00D86314">
        <w:rPr>
          <w:rFonts w:eastAsia="Times New Roman"/>
          <w:noProof/>
        </w:rPr>
        <w:t>doing so</w:t>
      </w:r>
      <w:r w:rsidR="00DB11EA" w:rsidRPr="00D86314">
        <w:rPr>
          <w:rFonts w:eastAsia="Times New Roman"/>
          <w:noProof/>
        </w:rPr>
        <w:t>.</w:t>
      </w:r>
    </w:p>
    <w:p w14:paraId="145049CE" w14:textId="703C59EE" w:rsidR="002211C5" w:rsidRPr="00D86314" w:rsidRDefault="002211C5" w:rsidP="004E4A0B">
      <w:pPr>
        <w:spacing w:after="120"/>
        <w:rPr>
          <w:b/>
          <w:bCs/>
          <w:noProof/>
        </w:rPr>
      </w:pPr>
      <w:r w:rsidRPr="00D86314">
        <w:rPr>
          <w:rFonts w:eastAsia="Times New Roman"/>
          <w:b/>
          <w:bCs/>
          <w:noProof/>
        </w:rPr>
        <w:t xml:space="preserve">Option 2: </w:t>
      </w:r>
      <w:r w:rsidR="004C5403" w:rsidRPr="00D86314">
        <w:rPr>
          <w:rFonts w:eastAsia="Times New Roman"/>
          <w:b/>
          <w:bCs/>
          <w:noProof/>
        </w:rPr>
        <w:t xml:space="preserve">Conditional </w:t>
      </w:r>
      <w:r w:rsidR="000F7147" w:rsidRPr="00D86314">
        <w:rPr>
          <w:rFonts w:eastAsia="Times New Roman"/>
          <w:b/>
          <w:bCs/>
          <w:noProof/>
        </w:rPr>
        <w:t xml:space="preserve">copper switch-off </w:t>
      </w:r>
      <w:r w:rsidR="004C5403" w:rsidRPr="00D86314">
        <w:rPr>
          <w:rFonts w:eastAsia="Times New Roman"/>
          <w:b/>
          <w:bCs/>
          <w:noProof/>
        </w:rPr>
        <w:t>and updated access regulation</w:t>
      </w:r>
      <w:r w:rsidR="004C5403" w:rsidRPr="00D86314" w:rsidDel="004C5403">
        <w:rPr>
          <w:rFonts w:eastAsia="Times New Roman"/>
          <w:b/>
          <w:bCs/>
          <w:noProof/>
        </w:rPr>
        <w:t xml:space="preserve"> </w:t>
      </w:r>
    </w:p>
    <w:p w14:paraId="5907DE90" w14:textId="77777777" w:rsidR="0003500F" w:rsidRPr="00D86314" w:rsidRDefault="0003500F" w:rsidP="0003500F">
      <w:pPr>
        <w:spacing w:after="120"/>
        <w:rPr>
          <w:rFonts w:eastAsia="Times New Roman"/>
          <w:noProof/>
        </w:rPr>
      </w:pPr>
      <w:r w:rsidRPr="00D86314">
        <w:rPr>
          <w:rFonts w:eastAsia="Times New Roman"/>
          <w:noProof/>
        </w:rPr>
        <w:t xml:space="preserve">This option contains a strong mechanism geared at fostering fibre deployment and take-up, including via a EU-wide copper switch off date by 2030, subject to certain conditions, and increasing accountability of Member States. It includes a review date in 2035 and very strong safeguards for end-user. </w:t>
      </w:r>
    </w:p>
    <w:p w14:paraId="1DF21487" w14:textId="77777777" w:rsidR="0003500F" w:rsidRPr="00D86314" w:rsidRDefault="0003500F" w:rsidP="0003500F">
      <w:pPr>
        <w:spacing w:after="160" w:line="257" w:lineRule="auto"/>
        <w:rPr>
          <w:rFonts w:eastAsia="Times New Roman"/>
          <w:noProof/>
        </w:rPr>
      </w:pPr>
      <w:r w:rsidRPr="00D86314">
        <w:rPr>
          <w:rFonts w:eastAsia="Times New Roman"/>
          <w:noProof/>
        </w:rPr>
        <w:t xml:space="preserve">By 2029 Member States will submit to the Commission’s scrutiny a “Transition to Fiber Plan” setting out their strategy for the entire country. The plan will include: </w:t>
      </w:r>
    </w:p>
    <w:p w14:paraId="6B0A4D31" w14:textId="77777777" w:rsidR="0003500F" w:rsidRPr="00D86314" w:rsidRDefault="0003500F" w:rsidP="0003500F">
      <w:pPr>
        <w:pStyle w:val="ListParagraph"/>
        <w:numPr>
          <w:ilvl w:val="0"/>
          <w:numId w:val="121"/>
        </w:numPr>
        <w:spacing w:after="0" w:line="257" w:lineRule="auto"/>
        <w:rPr>
          <w:rFonts w:eastAsia="Times New Roman"/>
          <w:noProof/>
        </w:rPr>
      </w:pPr>
      <w:r w:rsidRPr="00D86314">
        <w:rPr>
          <w:rFonts w:eastAsia="Times New Roman"/>
          <w:noProof/>
        </w:rPr>
        <w:t xml:space="preserve">the identification of the areas where transition to fibre is feasible and the CSO process started or will start at the latest in 2030  </w:t>
      </w:r>
    </w:p>
    <w:p w14:paraId="05403BF4" w14:textId="77777777" w:rsidR="0003500F" w:rsidRPr="00D86314" w:rsidRDefault="0003500F" w:rsidP="0003500F">
      <w:pPr>
        <w:pStyle w:val="ListParagraph"/>
        <w:numPr>
          <w:ilvl w:val="0"/>
          <w:numId w:val="121"/>
        </w:numPr>
        <w:spacing w:after="0" w:line="257" w:lineRule="auto"/>
        <w:rPr>
          <w:rFonts w:eastAsia="Times New Roman"/>
          <w:noProof/>
        </w:rPr>
      </w:pPr>
      <w:r w:rsidRPr="00D86314">
        <w:rPr>
          <w:rFonts w:eastAsia="Times New Roman"/>
          <w:noProof/>
        </w:rPr>
        <w:t xml:space="preserve">for the areas where CSO cannot start by 2030, set out the measures to transition to fibre at the latest in 2035 </w:t>
      </w:r>
    </w:p>
    <w:p w14:paraId="0C48A987" w14:textId="77777777" w:rsidR="0003500F" w:rsidRPr="00D86314" w:rsidRDefault="0003500F" w:rsidP="0003500F">
      <w:pPr>
        <w:pStyle w:val="ListParagraph"/>
        <w:spacing w:after="0" w:line="257" w:lineRule="auto"/>
        <w:rPr>
          <w:rFonts w:eastAsia="Times New Roman"/>
          <w:noProof/>
        </w:rPr>
      </w:pPr>
    </w:p>
    <w:p w14:paraId="5A9C681F" w14:textId="77777777" w:rsidR="0003500F" w:rsidRPr="00D86314" w:rsidRDefault="0003500F" w:rsidP="0003500F">
      <w:pPr>
        <w:spacing w:after="160" w:line="257" w:lineRule="auto"/>
        <w:rPr>
          <w:rFonts w:eastAsia="Times New Roman"/>
          <w:noProof/>
        </w:rPr>
      </w:pPr>
      <w:r w:rsidRPr="00D86314">
        <w:rPr>
          <w:rFonts w:eastAsia="Times New Roman"/>
          <w:noProof/>
        </w:rPr>
        <w:t xml:space="preserve">In assessing whether the CSO should start by 2030 the following aspects should be considered by Member States: </w:t>
      </w:r>
    </w:p>
    <w:p w14:paraId="3D53636D" w14:textId="77777777" w:rsidR="0003500F" w:rsidRPr="00D86314" w:rsidRDefault="0003500F" w:rsidP="0003500F">
      <w:pPr>
        <w:pStyle w:val="ListParagraph"/>
        <w:numPr>
          <w:ilvl w:val="0"/>
          <w:numId w:val="120"/>
        </w:numPr>
        <w:spacing w:after="0" w:line="257" w:lineRule="auto"/>
        <w:rPr>
          <w:rFonts w:eastAsia="Times New Roman"/>
          <w:noProof/>
        </w:rPr>
      </w:pPr>
      <w:r w:rsidRPr="00D86314">
        <w:rPr>
          <w:rFonts w:eastAsia="Times New Roman"/>
          <w:noProof/>
        </w:rPr>
        <w:t xml:space="preserve">Sufficient coverage by fibre networks in a given area [ indicative 95%] </w:t>
      </w:r>
    </w:p>
    <w:p w14:paraId="431A113B" w14:textId="77777777" w:rsidR="0003500F" w:rsidRPr="00D86314" w:rsidRDefault="0003500F" w:rsidP="0003500F">
      <w:pPr>
        <w:pStyle w:val="ListParagraph"/>
        <w:numPr>
          <w:ilvl w:val="0"/>
          <w:numId w:val="120"/>
        </w:numPr>
        <w:spacing w:after="0" w:line="257" w:lineRule="auto"/>
        <w:rPr>
          <w:rFonts w:eastAsia="Times New Roman"/>
          <w:noProof/>
        </w:rPr>
      </w:pPr>
      <w:r w:rsidRPr="00D86314">
        <w:rPr>
          <w:rFonts w:eastAsia="Times New Roman"/>
          <w:noProof/>
        </w:rPr>
        <w:t xml:space="preserve">Ensuring affordability through comparable prices for comparable services </w:t>
      </w:r>
    </w:p>
    <w:p w14:paraId="5A13ECF5" w14:textId="77777777" w:rsidR="0003500F" w:rsidRDefault="0003500F" w:rsidP="0003500F">
      <w:pPr>
        <w:pStyle w:val="ListParagraph"/>
        <w:numPr>
          <w:ilvl w:val="0"/>
          <w:numId w:val="120"/>
        </w:numPr>
        <w:spacing w:after="0" w:line="257" w:lineRule="auto"/>
        <w:rPr>
          <w:rFonts w:eastAsia="Times New Roman"/>
          <w:noProof/>
        </w:rPr>
      </w:pPr>
      <w:r w:rsidRPr="00D86314">
        <w:rPr>
          <w:rFonts w:eastAsia="Times New Roman"/>
          <w:noProof/>
        </w:rPr>
        <w:t xml:space="preserve">Ensure that appropriate safeguards, including alternative solutions, for vulnerable customers are in place </w:t>
      </w:r>
    </w:p>
    <w:p w14:paraId="5B18E9AF" w14:textId="77777777" w:rsidR="002C31AF" w:rsidRDefault="002C31AF" w:rsidP="00C20A01">
      <w:pPr>
        <w:pStyle w:val="ListParagraph"/>
        <w:spacing w:after="0" w:line="257" w:lineRule="auto"/>
        <w:rPr>
          <w:rFonts w:eastAsia="Times New Roman"/>
          <w:noProof/>
        </w:rPr>
      </w:pPr>
    </w:p>
    <w:p w14:paraId="2056AAB6" w14:textId="77777777" w:rsidR="0003500F" w:rsidRPr="00D86314" w:rsidRDefault="0003500F" w:rsidP="0003500F">
      <w:pPr>
        <w:spacing w:after="0" w:line="257" w:lineRule="auto"/>
        <w:rPr>
          <w:rFonts w:eastAsia="Times New Roman"/>
          <w:noProof/>
        </w:rPr>
      </w:pPr>
      <w:r w:rsidRPr="00D86314">
        <w:rPr>
          <w:rFonts w:eastAsia="Times New Roman"/>
          <w:noProof/>
        </w:rPr>
        <w:t xml:space="preserve">The first two aspects will be addressed via the so-called “sustainability conditions”, that are requirements for the copper switch-off to start in a certain area. </w:t>
      </w:r>
    </w:p>
    <w:p w14:paraId="37DFD42C" w14:textId="77777777" w:rsidR="0003500F" w:rsidRPr="00D86314" w:rsidRDefault="0003500F" w:rsidP="0003500F">
      <w:pPr>
        <w:spacing w:after="0" w:line="257" w:lineRule="auto"/>
        <w:rPr>
          <w:rFonts w:eastAsia="Times New Roman"/>
          <w:noProof/>
        </w:rPr>
      </w:pPr>
      <w:r w:rsidRPr="00D86314">
        <w:rPr>
          <w:rFonts w:eastAsia="Times New Roman"/>
          <w:noProof/>
        </w:rPr>
        <w:t>More precisely, the sustainability conditions, which will need to be met cumulative are the following:</w:t>
      </w:r>
    </w:p>
    <w:p w14:paraId="20DB5D79" w14:textId="77777777" w:rsidR="0003500F" w:rsidRPr="00D86314" w:rsidRDefault="0003500F" w:rsidP="0003500F">
      <w:pPr>
        <w:pStyle w:val="ListParagraph"/>
        <w:numPr>
          <w:ilvl w:val="0"/>
          <w:numId w:val="112"/>
        </w:numPr>
        <w:spacing w:after="0" w:line="257" w:lineRule="auto"/>
        <w:rPr>
          <w:rFonts w:eastAsia="Times New Roman"/>
          <w:noProof/>
        </w:rPr>
      </w:pPr>
      <w:r w:rsidRPr="00D86314">
        <w:rPr>
          <w:rFonts w:eastAsia="Times New Roman"/>
          <w:noProof/>
        </w:rPr>
        <w:t>Fiber coverage in a certain area of 95%</w:t>
      </w:r>
    </w:p>
    <w:p w14:paraId="1A9DBB5C" w14:textId="77777777" w:rsidR="0003500F" w:rsidRPr="00D86314" w:rsidRDefault="0003500F" w:rsidP="0003500F">
      <w:pPr>
        <w:pStyle w:val="ListParagraph"/>
        <w:numPr>
          <w:ilvl w:val="0"/>
          <w:numId w:val="112"/>
        </w:numPr>
        <w:spacing w:after="0" w:line="257" w:lineRule="auto"/>
        <w:rPr>
          <w:rFonts w:eastAsia="Times New Roman"/>
          <w:noProof/>
        </w:rPr>
      </w:pPr>
      <w:r w:rsidRPr="00D86314">
        <w:rPr>
          <w:rFonts w:eastAsia="Times New Roman"/>
          <w:noProof/>
        </w:rPr>
        <w:t>Availability of retail offers for broadband connections over alternative technologies (to copper) that offer comparable or increased capabilities to those available over copper at the same or lower price.</w:t>
      </w:r>
    </w:p>
    <w:p w14:paraId="30296814" w14:textId="77777777" w:rsidR="0003500F" w:rsidRPr="00D86314" w:rsidRDefault="0003500F" w:rsidP="0003500F">
      <w:pPr>
        <w:pStyle w:val="ListParagraph"/>
        <w:spacing w:after="0" w:line="257" w:lineRule="auto"/>
        <w:rPr>
          <w:rFonts w:eastAsia="Times New Roman"/>
          <w:noProof/>
        </w:rPr>
      </w:pPr>
    </w:p>
    <w:p w14:paraId="4195FA09" w14:textId="77777777" w:rsidR="0003500F" w:rsidRPr="00D86314" w:rsidRDefault="0003500F" w:rsidP="0003500F">
      <w:pPr>
        <w:spacing w:after="0" w:line="257" w:lineRule="auto"/>
        <w:rPr>
          <w:rFonts w:eastAsia="Times New Roman"/>
          <w:noProof/>
        </w:rPr>
      </w:pPr>
      <w:r w:rsidRPr="00D86314">
        <w:rPr>
          <w:rFonts w:eastAsia="Times New Roman"/>
          <w:noProof/>
        </w:rPr>
        <w:t xml:space="preserve">The third aspect will be addressed via additional safeguards and measures that will be set by NRAs or other national authorities. </w:t>
      </w:r>
    </w:p>
    <w:p w14:paraId="4A4407A7" w14:textId="52FC2704" w:rsidR="0003500F" w:rsidRPr="00D86314" w:rsidRDefault="0003500F" w:rsidP="0003500F">
      <w:pPr>
        <w:spacing w:after="160" w:line="257" w:lineRule="auto"/>
        <w:rPr>
          <w:rFonts w:eastAsia="Times New Roman"/>
          <w:noProof/>
        </w:rPr>
      </w:pPr>
      <w:r w:rsidRPr="00D86314">
        <w:rPr>
          <w:rFonts w:eastAsia="Times New Roman"/>
          <w:noProof/>
        </w:rPr>
        <w:t>By 2035 Member States should review the fulfilment of the Transition to Fiber Plan and transmit the review for Commission’s scrutiny. In particular, they should:</w:t>
      </w:r>
    </w:p>
    <w:p w14:paraId="2EE66CB5" w14:textId="77777777" w:rsidR="0003500F" w:rsidRPr="00D86314" w:rsidRDefault="0003500F" w:rsidP="0003500F">
      <w:pPr>
        <w:pStyle w:val="ListParagraph"/>
        <w:numPr>
          <w:ilvl w:val="0"/>
          <w:numId w:val="119"/>
        </w:numPr>
        <w:spacing w:after="0" w:line="257" w:lineRule="auto"/>
        <w:rPr>
          <w:rFonts w:eastAsia="Times New Roman"/>
          <w:noProof/>
        </w:rPr>
      </w:pPr>
      <w:r w:rsidRPr="00D86314">
        <w:rPr>
          <w:rFonts w:eastAsia="Times New Roman"/>
          <w:noProof/>
        </w:rPr>
        <w:t>ensure that in all the areas of the country where the CSO started, it is completed as soon as possible, and</w:t>
      </w:r>
    </w:p>
    <w:p w14:paraId="58E529D4" w14:textId="77777777" w:rsidR="0003500F" w:rsidRPr="00D86314" w:rsidRDefault="0003500F" w:rsidP="0003500F">
      <w:pPr>
        <w:pStyle w:val="ListParagraph"/>
        <w:numPr>
          <w:ilvl w:val="0"/>
          <w:numId w:val="119"/>
        </w:numPr>
        <w:spacing w:after="0" w:line="257" w:lineRule="auto"/>
        <w:rPr>
          <w:rFonts w:eastAsia="Times New Roman"/>
          <w:noProof/>
        </w:rPr>
      </w:pPr>
      <w:r w:rsidRPr="00D86314">
        <w:rPr>
          <w:rFonts w:eastAsia="Times New Roman"/>
          <w:noProof/>
        </w:rPr>
        <w:t xml:space="preserve">in all remaining areas where fiber deployment is not viable (e.g. remote areas geographically difficult to reach), explain the reasons for the exceptions and provide alternative connectivity solutions for customers in these areas.   </w:t>
      </w:r>
    </w:p>
    <w:p w14:paraId="6B00D7BB" w14:textId="6BECEBFB" w:rsidR="0003500F" w:rsidRPr="00D86314" w:rsidRDefault="0003500F" w:rsidP="00BE3015">
      <w:pPr>
        <w:spacing w:after="160" w:line="257" w:lineRule="auto"/>
        <w:rPr>
          <w:rFonts w:eastAsia="Times New Roman"/>
          <w:noProof/>
        </w:rPr>
      </w:pPr>
      <w:r w:rsidRPr="00D86314">
        <w:rPr>
          <w:rFonts w:eastAsia="Times New Roman"/>
          <w:noProof/>
        </w:rPr>
        <w:t xml:space="preserve"> </w:t>
      </w:r>
    </w:p>
    <w:p w14:paraId="1A6122DD" w14:textId="77777777" w:rsidR="0003500F" w:rsidRPr="00D86314" w:rsidRDefault="0003500F" w:rsidP="0003500F">
      <w:pPr>
        <w:spacing w:before="240" w:after="120"/>
        <w:rPr>
          <w:rFonts w:eastAsia="Times New Roman"/>
          <w:noProof/>
        </w:rPr>
      </w:pPr>
      <w:r w:rsidRPr="00D86314">
        <w:rPr>
          <w:rFonts w:eastAsia="Times New Roman"/>
          <w:noProof/>
        </w:rPr>
        <w:t>NRAs will be required to:</w:t>
      </w:r>
    </w:p>
    <w:p w14:paraId="1B832A91" w14:textId="77777777" w:rsidR="0003500F" w:rsidRPr="00D86314" w:rsidRDefault="0003500F" w:rsidP="0003500F">
      <w:pPr>
        <w:numPr>
          <w:ilvl w:val="1"/>
          <w:numId w:val="23"/>
        </w:numPr>
        <w:spacing w:after="120"/>
        <w:rPr>
          <w:noProof/>
        </w:rPr>
      </w:pPr>
      <w:r w:rsidRPr="00D86314">
        <w:rPr>
          <w:rFonts w:eastAsia="Times New Roman"/>
          <w:noProof/>
        </w:rPr>
        <w:t>gather and publish on an annual basis geographic data regarding FTTH coverage, and retail broadband pricing segmented by technology and speed with separate reporting of copper / FTTC-based broadband, cable (including FTTB/HFC), FTTH-based and FWA-based broadband.</w:t>
      </w:r>
    </w:p>
    <w:p w14:paraId="1204AB96" w14:textId="77777777" w:rsidR="0003500F" w:rsidRPr="00D86314" w:rsidRDefault="0003500F" w:rsidP="0003500F">
      <w:pPr>
        <w:numPr>
          <w:ilvl w:val="1"/>
          <w:numId w:val="23"/>
        </w:numPr>
        <w:spacing w:after="120"/>
        <w:rPr>
          <w:rFonts w:eastAsia="Times New Roman"/>
          <w:noProof/>
        </w:rPr>
      </w:pPr>
      <w:r w:rsidRPr="00D86314">
        <w:rPr>
          <w:rFonts w:eastAsia="Times New Roman"/>
          <w:noProof/>
        </w:rPr>
        <w:t>Produce a list of areas meeting the sustainability conditions for CSO as described above, based on Commission’s guidance on how to define these areas to be issues shortly after adoption of the DNA</w:t>
      </w:r>
    </w:p>
    <w:p w14:paraId="583741BA" w14:textId="77777777" w:rsidR="0003500F" w:rsidRPr="00D86314" w:rsidRDefault="0003500F" w:rsidP="0003500F">
      <w:pPr>
        <w:numPr>
          <w:ilvl w:val="1"/>
          <w:numId w:val="23"/>
        </w:numPr>
        <w:spacing w:after="120"/>
        <w:rPr>
          <w:rFonts w:eastAsia="Times New Roman"/>
          <w:noProof/>
        </w:rPr>
      </w:pPr>
      <w:r w:rsidRPr="00D86314">
        <w:rPr>
          <w:rFonts w:eastAsia="Times New Roman"/>
          <w:noProof/>
        </w:rPr>
        <w:t>Conduct a market analysis in line with the process outlined in relation to access (see below), to assess the market conditions and effects of the CSO obligation on competition, investment and retail pricing for mass-market and enterprise connectivity and ensure that consumers can benefit from choice, quality and reasonable prices, during and after the transition to full FTTH.</w:t>
      </w:r>
    </w:p>
    <w:p w14:paraId="5AE16B2A" w14:textId="77777777" w:rsidR="0003500F" w:rsidRPr="00D86314" w:rsidRDefault="0003500F" w:rsidP="0003500F">
      <w:pPr>
        <w:numPr>
          <w:ilvl w:val="1"/>
          <w:numId w:val="23"/>
        </w:numPr>
        <w:spacing w:after="120"/>
        <w:rPr>
          <w:rFonts w:eastAsia="Times New Roman"/>
          <w:noProof/>
        </w:rPr>
      </w:pPr>
      <w:r w:rsidRPr="00D86314">
        <w:rPr>
          <w:rFonts w:eastAsia="Times New Roman"/>
          <w:noProof/>
        </w:rPr>
        <w:t>Adopt, as needed, safeguards for vulnerable customers or advise national authorities on how to do so.</w:t>
      </w:r>
    </w:p>
    <w:p w14:paraId="14D907FF" w14:textId="77777777" w:rsidR="0003500F" w:rsidRPr="00D86314" w:rsidRDefault="0003500F" w:rsidP="0003500F">
      <w:pPr>
        <w:numPr>
          <w:ilvl w:val="1"/>
          <w:numId w:val="23"/>
        </w:numPr>
        <w:spacing w:after="120"/>
        <w:rPr>
          <w:rFonts w:eastAsia="Times New Roman"/>
          <w:noProof/>
        </w:rPr>
      </w:pPr>
      <w:r w:rsidRPr="00D86314">
        <w:rPr>
          <w:rFonts w:eastAsia="Times New Roman"/>
          <w:noProof/>
        </w:rPr>
        <w:t>For areas meeting the conditions for mandatory copper switch-off, require ECN operators deploying FTTH to provide a connection (drop cable) on standard terms and conditions to households which are passed within a given distance from the network, to be defined at national level.</w:t>
      </w:r>
    </w:p>
    <w:p w14:paraId="65147E07" w14:textId="77777777" w:rsidR="0003500F" w:rsidRPr="00D86314" w:rsidRDefault="0003500F" w:rsidP="0003500F">
      <w:pPr>
        <w:numPr>
          <w:ilvl w:val="1"/>
          <w:numId w:val="23"/>
        </w:numPr>
        <w:spacing w:after="120"/>
        <w:rPr>
          <w:rFonts w:eastAsia="Times New Roman"/>
          <w:noProof/>
        </w:rPr>
      </w:pPr>
      <w:r w:rsidRPr="00D86314">
        <w:rPr>
          <w:rFonts w:eastAsia="Times New Roman"/>
          <w:noProof/>
        </w:rPr>
        <w:t xml:space="preserve"> For other areas not (yet) meeting the conditions, NRAs would be empowered, but not required to impose such a connectivity obligation.</w:t>
      </w:r>
    </w:p>
    <w:p w14:paraId="5E33BBD1" w14:textId="77777777" w:rsidR="0003500F" w:rsidRPr="00D86314" w:rsidRDefault="0003500F" w:rsidP="0003500F">
      <w:pPr>
        <w:numPr>
          <w:ilvl w:val="1"/>
          <w:numId w:val="23"/>
        </w:numPr>
        <w:spacing w:after="120"/>
        <w:rPr>
          <w:rFonts w:eastAsia="Times New Roman"/>
          <w:noProof/>
        </w:rPr>
      </w:pPr>
      <w:r w:rsidRPr="00D86314">
        <w:rPr>
          <w:rFonts w:eastAsia="Times New Roman"/>
          <w:noProof/>
        </w:rPr>
        <w:t>Advise the relevant national authorities responsible to order, where needed, the copper switch off.</w:t>
      </w:r>
    </w:p>
    <w:p w14:paraId="01B922A3" w14:textId="77777777" w:rsidR="0003500F" w:rsidRPr="00D86314" w:rsidRDefault="0003500F" w:rsidP="0003500F">
      <w:pPr>
        <w:numPr>
          <w:ilvl w:val="1"/>
          <w:numId w:val="23"/>
        </w:numPr>
        <w:spacing w:after="120"/>
        <w:rPr>
          <w:rFonts w:eastAsia="Times New Roman"/>
          <w:noProof/>
        </w:rPr>
      </w:pPr>
      <w:r w:rsidRPr="00D86314">
        <w:rPr>
          <w:rFonts w:eastAsia="Times New Roman"/>
          <w:noProof/>
        </w:rPr>
        <w:t xml:space="preserve">Review and approve the copper switch off plans of the operators, following the national authority’s decision to order the switch off of their copper network. These plans should include a timeframe for the completion of the copper switch off (maximum within 3years). The NRAs will oversee the completion of this plan and may adopt sanctions if the timeframe is not complied with. </w:t>
      </w:r>
    </w:p>
    <w:p w14:paraId="3672754C" w14:textId="77777777" w:rsidR="0003500F" w:rsidRPr="00D86314" w:rsidRDefault="0003500F" w:rsidP="0003500F">
      <w:pPr>
        <w:rPr>
          <w:rFonts w:eastAsia="Times New Roman"/>
          <w:noProof/>
        </w:rPr>
      </w:pPr>
      <w:r w:rsidRPr="00D86314">
        <w:rPr>
          <w:rFonts w:eastAsia="Times New Roman"/>
          <w:noProof/>
        </w:rPr>
        <w:t>Consistency across the EU will be achieved via a Commission’s scrutiny over the Transition to Fiber Plan and the copper switch-off process and the Commission’s guidance setting out the criteria for the definition of the areas for the copper switch off. For access regulation, this option provides NRAs with more tools for ex ante regulation, allowing for a targeted use</w:t>
      </w:r>
      <w:r w:rsidRPr="00D86314">
        <w:rPr>
          <w:rFonts w:eastAsia="Times New Roman"/>
          <w:strike/>
          <w:noProof/>
        </w:rPr>
        <w:t xml:space="preserve"> </w:t>
      </w:r>
      <w:r w:rsidRPr="00D86314">
        <w:rPr>
          <w:rFonts w:eastAsia="Times New Roman"/>
          <w:noProof/>
        </w:rPr>
        <w:t>based on the market situation. The possibility for SMP regulation remains</w:t>
      </w:r>
      <w:r w:rsidRPr="00D86314">
        <w:rPr>
          <w:rFonts w:eastAsia="Times New Roman"/>
          <w:strike/>
          <w:noProof/>
        </w:rPr>
        <w:t xml:space="preserve"> </w:t>
      </w:r>
      <w:r w:rsidRPr="00D86314">
        <w:rPr>
          <w:rFonts w:eastAsia="Times New Roman"/>
          <w:noProof/>
        </w:rPr>
        <w:t>based on the three criteria test.</w:t>
      </w:r>
    </w:p>
    <w:p w14:paraId="600AB349" w14:textId="57D05FCD" w:rsidR="0003500F" w:rsidRPr="00D86314" w:rsidRDefault="0003500F" w:rsidP="0003500F">
      <w:pPr>
        <w:spacing w:after="120"/>
        <w:rPr>
          <w:rFonts w:eastAsia="Times New Roman"/>
          <w:noProof/>
        </w:rPr>
      </w:pPr>
      <w:r w:rsidRPr="00D86314">
        <w:rPr>
          <w:rFonts w:eastAsia="Times New Roman"/>
          <w:noProof/>
        </w:rPr>
        <w:t>The NRAs should first analyse whether the existing symmetric regulation (GIA)</w:t>
      </w:r>
      <w:r w:rsidRPr="00D86314">
        <w:rPr>
          <w:rFonts w:eastAsia="Times New Roman"/>
          <w:strike/>
          <w:noProof/>
        </w:rPr>
        <w:t xml:space="preserve"> </w:t>
      </w:r>
      <w:r w:rsidRPr="00D86314">
        <w:rPr>
          <w:rFonts w:eastAsia="Times New Roman"/>
          <w:noProof/>
        </w:rPr>
        <w:t>would be sufficient to address the identified problems. In the next step, if GIA is not sufficient, the NRAs could decide to apply SMP regulation or the symmetric rules under Article</w:t>
      </w:r>
      <w:r w:rsidR="00F53F9A">
        <w:rPr>
          <w:rFonts w:eastAsia="Times New Roman"/>
          <w:noProof/>
        </w:rPr>
        <w:t> </w:t>
      </w:r>
      <w:r w:rsidRPr="00D86314">
        <w:rPr>
          <w:rFonts w:eastAsia="Times New Roman"/>
          <w:noProof/>
        </w:rPr>
        <w:t>61(3), depending on what is most appropriate to address the identified competition problems</w:t>
      </w:r>
      <w:r w:rsidRPr="00D86314">
        <w:rPr>
          <w:rFonts w:eastAsia="Times New Roman"/>
          <w:strike/>
          <w:noProof/>
        </w:rPr>
        <w:t>.</w:t>
      </w:r>
      <w:r w:rsidRPr="00D86314">
        <w:rPr>
          <w:rFonts w:eastAsia="Times New Roman"/>
          <w:noProof/>
        </w:rPr>
        <w:t xml:space="preserve"> in a given area. In this option the application of the symmetric rules is broader than in option 1 as it covers not only the possibility to impose access to in-building wiring but also access beyond the building if the criteria of Article</w:t>
      </w:r>
      <w:r w:rsidR="00F53F9A">
        <w:rPr>
          <w:rFonts w:eastAsia="Times New Roman"/>
          <w:noProof/>
        </w:rPr>
        <w:t> </w:t>
      </w:r>
      <w:r w:rsidRPr="00D86314">
        <w:rPr>
          <w:rFonts w:eastAsia="Times New Roman"/>
          <w:noProof/>
        </w:rPr>
        <w:t>61(3) EECC (high and non-transitory barriers to replicability) are met. Both access to the in</w:t>
      </w:r>
      <w:r w:rsidRPr="00D86314">
        <w:rPr>
          <w:rFonts w:eastAsia="Times New Roman"/>
          <w:noProof/>
          <w:color w:val="000000" w:themeColor="text1"/>
        </w:rPr>
        <w:t>-building wiring part and access provided beyond in- building wiring could be imposed ex-officio (and not by request as it is currently the case) to facilitate deployment and to tackle more localised competition concerns.</w:t>
      </w:r>
      <w:r w:rsidRPr="00D86314">
        <w:rPr>
          <w:rFonts w:eastAsia="Times New Roman"/>
          <w:noProof/>
        </w:rPr>
        <w:t xml:space="preserve"> </w:t>
      </w:r>
    </w:p>
    <w:p w14:paraId="158CDDBA" w14:textId="77777777" w:rsidR="0003500F" w:rsidRPr="00D86314" w:rsidRDefault="0003500F" w:rsidP="0003500F">
      <w:pPr>
        <w:spacing w:after="120"/>
        <w:rPr>
          <w:rFonts w:eastAsia="Times New Roman"/>
          <w:noProof/>
        </w:rPr>
      </w:pPr>
      <w:r w:rsidRPr="00D86314">
        <w:rPr>
          <w:rFonts w:eastAsia="Times New Roman"/>
          <w:noProof/>
        </w:rPr>
        <w:t xml:space="preserve">For access, this option provides greater consistency in the application of ex ante regulation. The possibility for SMP regulation remains. The approach to geographic surveys would be expanded, requiring NRAs to gather data on retail markets and the underlying infrastructure periodically. These data would be important for NRAs to assess the market conditions and decide whether ex ante intervention is required. </w:t>
      </w:r>
    </w:p>
    <w:p w14:paraId="5822D2C1" w14:textId="77777777" w:rsidR="0003500F" w:rsidRPr="00D86314" w:rsidRDefault="0003500F" w:rsidP="0003500F">
      <w:pPr>
        <w:spacing w:after="120"/>
        <w:rPr>
          <w:rFonts w:eastAsia="Times New Roman"/>
          <w:noProof/>
        </w:rPr>
      </w:pPr>
      <w:r w:rsidRPr="00D86314">
        <w:rPr>
          <w:rFonts w:eastAsia="Times New Roman"/>
          <w:noProof/>
        </w:rPr>
        <w:t xml:space="preserve">To support the standardisation of wholesale offers, a list of essential wholesale products will be included in the DNA, and the European Commission would have to adopt an Implementing Act to establish best practice specifications and/or to amend the list, following consultation with BEREC. NRAs must ensure that these harmonized products are reflected in wholesale access obligations under ex ante regulation. They could focus, for instance, on FTTH physical and virtual unbundling alongside Ethernet leased lines and business grade QoS. The NRAs could impose also other remedies in justified cases, but the Commission will have a veto over remedies that go beyond the pan-European wholesale access products and when the draft measures have a negative effect on the single market. </w:t>
      </w:r>
    </w:p>
    <w:p w14:paraId="7627CA3C" w14:textId="13C1784C" w:rsidR="00DB11EA" w:rsidRPr="00D86314" w:rsidRDefault="00DB11EA" w:rsidP="00DB11EA">
      <w:pPr>
        <w:spacing w:before="240" w:after="160"/>
        <w:rPr>
          <w:rFonts w:eastAsia="Times New Roman"/>
          <w:b/>
          <w:bCs/>
          <w:noProof/>
        </w:rPr>
      </w:pPr>
      <w:r w:rsidRPr="00D86314">
        <w:rPr>
          <w:rFonts w:eastAsia="Times New Roman"/>
          <w:b/>
          <w:bCs/>
          <w:noProof/>
        </w:rPr>
        <w:t xml:space="preserve">Option 3: </w:t>
      </w:r>
      <w:r w:rsidR="00AB1AA4" w:rsidRPr="00D86314">
        <w:rPr>
          <w:rFonts w:eastAsia="Times New Roman"/>
          <w:b/>
          <w:bCs/>
          <w:noProof/>
        </w:rPr>
        <w:t xml:space="preserve">Market driven </w:t>
      </w:r>
      <w:r w:rsidR="0019672E" w:rsidRPr="00D86314">
        <w:rPr>
          <w:rFonts w:eastAsia="Times New Roman"/>
          <w:b/>
          <w:bCs/>
          <w:noProof/>
        </w:rPr>
        <w:t xml:space="preserve">copper switch-off </w:t>
      </w:r>
      <w:r w:rsidR="00AB1AA4" w:rsidRPr="00D86314">
        <w:rPr>
          <w:rFonts w:eastAsia="Times New Roman"/>
          <w:b/>
          <w:bCs/>
          <w:noProof/>
        </w:rPr>
        <w:t>and bottleneck-based access regulation</w:t>
      </w:r>
    </w:p>
    <w:p w14:paraId="68B634AF" w14:textId="0030BA67" w:rsidR="0096330E" w:rsidRPr="00D86314" w:rsidRDefault="00C60581" w:rsidP="0096330E">
      <w:pPr>
        <w:spacing w:after="120"/>
        <w:rPr>
          <w:rFonts w:eastAsia="Times New Roman"/>
          <w:noProof/>
        </w:rPr>
      </w:pPr>
      <w:r w:rsidRPr="00D86314">
        <w:rPr>
          <w:rFonts w:eastAsia="Times New Roman"/>
          <w:noProof/>
          <w:u w:val="single"/>
        </w:rPr>
        <w:t>For CSO</w:t>
      </w:r>
      <w:r w:rsidRPr="00D86314">
        <w:rPr>
          <w:rFonts w:eastAsia="Times New Roman"/>
          <w:noProof/>
        </w:rPr>
        <w:t>, t</w:t>
      </w:r>
      <w:r w:rsidR="00DB11EA" w:rsidRPr="00D86314">
        <w:rPr>
          <w:rFonts w:eastAsia="Times New Roman"/>
          <w:noProof/>
        </w:rPr>
        <w:t xml:space="preserve">his option </w:t>
      </w:r>
      <w:r w:rsidR="00EE4DC7" w:rsidRPr="00D86314">
        <w:rPr>
          <w:rFonts w:eastAsia="Times New Roman"/>
          <w:noProof/>
        </w:rPr>
        <w:t>relies</w:t>
      </w:r>
      <w:r w:rsidR="00A850B4" w:rsidRPr="00D86314">
        <w:rPr>
          <w:rFonts w:eastAsia="Times New Roman"/>
          <w:noProof/>
        </w:rPr>
        <w:t xml:space="preserve"> on</w:t>
      </w:r>
      <w:r w:rsidR="00981BD8" w:rsidRPr="00D86314">
        <w:rPr>
          <w:rFonts w:eastAsia="Times New Roman"/>
          <w:noProof/>
        </w:rPr>
        <w:t xml:space="preserve"> </w:t>
      </w:r>
      <w:r w:rsidR="00EE4DC7" w:rsidRPr="00D86314">
        <w:rPr>
          <w:rFonts w:eastAsia="Times New Roman"/>
          <w:noProof/>
        </w:rPr>
        <w:t>market</w:t>
      </w:r>
      <w:r w:rsidR="002428A0" w:rsidRPr="00D86314">
        <w:rPr>
          <w:rFonts w:eastAsia="Times New Roman"/>
          <w:noProof/>
        </w:rPr>
        <w:t>-</w:t>
      </w:r>
      <w:r w:rsidR="00EE4DC7" w:rsidRPr="00D86314">
        <w:rPr>
          <w:rFonts w:eastAsia="Times New Roman"/>
          <w:noProof/>
        </w:rPr>
        <w:t xml:space="preserve">driven </w:t>
      </w:r>
      <w:r w:rsidR="00A850B4" w:rsidRPr="00D86314">
        <w:rPr>
          <w:rFonts w:eastAsia="Times New Roman"/>
          <w:noProof/>
        </w:rPr>
        <w:t>transition to fibre</w:t>
      </w:r>
      <w:r w:rsidR="00E76616" w:rsidRPr="00D86314">
        <w:rPr>
          <w:rFonts w:eastAsia="Times New Roman"/>
          <w:noProof/>
        </w:rPr>
        <w:t>.</w:t>
      </w:r>
      <w:r w:rsidR="0096330E" w:rsidRPr="00D86314">
        <w:rPr>
          <w:rFonts w:eastAsia="Times New Roman"/>
          <w:noProof/>
        </w:rPr>
        <w:t xml:space="preserve"> NRAs’ oversight over the CSO </w:t>
      </w:r>
      <w:r w:rsidR="00876B63" w:rsidRPr="00D86314">
        <w:rPr>
          <w:rFonts w:eastAsia="Times New Roman"/>
          <w:noProof/>
        </w:rPr>
        <w:t xml:space="preserve">would </w:t>
      </w:r>
      <w:r w:rsidR="005F326B" w:rsidRPr="00D86314">
        <w:rPr>
          <w:rFonts w:eastAsia="Times New Roman"/>
          <w:noProof/>
        </w:rPr>
        <w:t xml:space="preserve">be </w:t>
      </w:r>
      <w:r w:rsidR="00880617" w:rsidRPr="00D86314">
        <w:rPr>
          <w:rFonts w:eastAsia="Times New Roman"/>
          <w:noProof/>
        </w:rPr>
        <w:t xml:space="preserve">removed </w:t>
      </w:r>
      <w:r w:rsidR="0096330E" w:rsidRPr="00D86314">
        <w:rPr>
          <w:rFonts w:eastAsia="Times New Roman"/>
          <w:noProof/>
        </w:rPr>
        <w:t xml:space="preserve">and operators </w:t>
      </w:r>
      <w:r w:rsidR="00AB3F18" w:rsidRPr="00D86314">
        <w:rPr>
          <w:rFonts w:eastAsia="Times New Roman"/>
          <w:noProof/>
        </w:rPr>
        <w:t xml:space="preserve">would have </w:t>
      </w:r>
      <w:r w:rsidR="0096330E" w:rsidRPr="00D86314">
        <w:rPr>
          <w:rFonts w:eastAsia="Times New Roman"/>
          <w:noProof/>
        </w:rPr>
        <w:t xml:space="preserve">full discretion over the timing and conditions of the </w:t>
      </w:r>
      <w:r w:rsidR="00B3536D" w:rsidRPr="00D86314">
        <w:rPr>
          <w:rFonts w:eastAsia="Times New Roman"/>
          <w:noProof/>
        </w:rPr>
        <w:t>CSO</w:t>
      </w:r>
      <w:r w:rsidR="0096330E" w:rsidRPr="00D86314">
        <w:rPr>
          <w:rFonts w:eastAsia="Times New Roman"/>
          <w:noProof/>
        </w:rPr>
        <w:t>.</w:t>
      </w:r>
    </w:p>
    <w:p w14:paraId="6F865176" w14:textId="74B1C946" w:rsidR="00DB11EA" w:rsidRPr="00D86314" w:rsidRDefault="00A1068B" w:rsidP="00DB11EA">
      <w:pPr>
        <w:spacing w:after="120"/>
        <w:rPr>
          <w:rFonts w:eastAsia="Times New Roman"/>
          <w:noProof/>
        </w:rPr>
      </w:pPr>
      <w:r w:rsidRPr="00D86314">
        <w:rPr>
          <w:rFonts w:eastAsia="Times New Roman"/>
          <w:noProof/>
          <w:u w:val="single"/>
        </w:rPr>
        <w:t>For access regulation,</w:t>
      </w:r>
      <w:r w:rsidRPr="00D86314">
        <w:rPr>
          <w:rFonts w:eastAsia="Times New Roman"/>
          <w:noProof/>
        </w:rPr>
        <w:t xml:space="preserve"> this option </w:t>
      </w:r>
      <w:r w:rsidR="00DB11EA" w:rsidRPr="00D86314">
        <w:rPr>
          <w:rFonts w:eastAsia="Times New Roman"/>
          <w:noProof/>
        </w:rPr>
        <w:t>focuses on deregulation.</w:t>
      </w:r>
      <w:r w:rsidR="00914538" w:rsidRPr="00D86314">
        <w:rPr>
          <w:rFonts w:eastAsia="Times New Roman"/>
          <w:noProof/>
        </w:rPr>
        <w:t xml:space="preserve"> </w:t>
      </w:r>
      <w:r w:rsidR="00DB11EA" w:rsidRPr="00D86314">
        <w:rPr>
          <w:rFonts w:eastAsia="Times New Roman"/>
          <w:noProof/>
        </w:rPr>
        <w:t>SMP-based regulation would be replaced by a bottleneck approach</w:t>
      </w:r>
      <w:r w:rsidR="00A57342" w:rsidRPr="00D86314">
        <w:rPr>
          <w:rFonts w:eastAsia="Times New Roman"/>
          <w:noProof/>
        </w:rPr>
        <w:t>, whereby</w:t>
      </w:r>
      <w:r w:rsidR="00DB11EA" w:rsidRPr="00D86314">
        <w:rPr>
          <w:rFonts w:eastAsia="Times New Roman"/>
          <w:noProof/>
        </w:rPr>
        <w:t xml:space="preserve"> wholesale access </w:t>
      </w:r>
      <w:r w:rsidR="00607FE1" w:rsidRPr="00D86314">
        <w:rPr>
          <w:rFonts w:eastAsia="Times New Roman"/>
          <w:noProof/>
        </w:rPr>
        <w:t xml:space="preserve">obligations would </w:t>
      </w:r>
      <w:r w:rsidR="00DB11EA" w:rsidRPr="00D86314">
        <w:rPr>
          <w:rFonts w:eastAsia="Times New Roman"/>
          <w:noProof/>
        </w:rPr>
        <w:t xml:space="preserve">only </w:t>
      </w:r>
      <w:r w:rsidR="00607FE1" w:rsidRPr="00D86314">
        <w:rPr>
          <w:rFonts w:eastAsia="Times New Roman"/>
          <w:noProof/>
        </w:rPr>
        <w:t xml:space="preserve">apply </w:t>
      </w:r>
      <w:r w:rsidR="00DB11EA" w:rsidRPr="00D86314">
        <w:rPr>
          <w:rFonts w:eastAsia="Times New Roman"/>
          <w:noProof/>
        </w:rPr>
        <w:t>in areas</w:t>
      </w:r>
      <w:r w:rsidR="00C01D3E" w:rsidRPr="00D86314">
        <w:rPr>
          <w:rFonts w:eastAsia="Times New Roman"/>
          <w:noProof/>
        </w:rPr>
        <w:t xml:space="preserve"> served</w:t>
      </w:r>
      <w:r w:rsidR="00DB11EA" w:rsidRPr="00D86314">
        <w:rPr>
          <w:rFonts w:eastAsia="Times New Roman"/>
          <w:noProof/>
        </w:rPr>
        <w:t xml:space="preserve"> </w:t>
      </w:r>
      <w:r w:rsidR="00C01D3E" w:rsidRPr="00D86314">
        <w:rPr>
          <w:rFonts w:eastAsia="Times New Roman"/>
          <w:noProof/>
        </w:rPr>
        <w:t>by</w:t>
      </w:r>
      <w:r w:rsidR="00DB11EA" w:rsidRPr="00D86314">
        <w:rPr>
          <w:rFonts w:eastAsia="Times New Roman"/>
          <w:noProof/>
        </w:rPr>
        <w:t xml:space="preserve"> a single </w:t>
      </w:r>
      <w:r w:rsidR="00607FE1" w:rsidRPr="00D86314">
        <w:rPr>
          <w:rFonts w:eastAsia="Times New Roman"/>
          <w:noProof/>
        </w:rPr>
        <w:t xml:space="preserve">fixed </w:t>
      </w:r>
      <w:r w:rsidR="00DB11EA" w:rsidRPr="00D86314">
        <w:rPr>
          <w:rFonts w:eastAsia="Times New Roman"/>
          <w:noProof/>
        </w:rPr>
        <w:t xml:space="preserve">network. </w:t>
      </w:r>
    </w:p>
    <w:p w14:paraId="2C706727" w14:textId="07B4DFBA" w:rsidR="00DB11EA" w:rsidRPr="00D86314" w:rsidRDefault="00CA2297" w:rsidP="00DB11EA">
      <w:pPr>
        <w:spacing w:after="120"/>
        <w:rPr>
          <w:rFonts w:eastAsia="Times New Roman"/>
          <w:noProof/>
        </w:rPr>
      </w:pPr>
      <w:r w:rsidRPr="00D86314">
        <w:rPr>
          <w:rFonts w:eastAsia="Times New Roman"/>
          <w:noProof/>
        </w:rPr>
        <w:t>Where</w:t>
      </w:r>
      <w:r w:rsidR="00DB11EA" w:rsidRPr="00D86314">
        <w:rPr>
          <w:rFonts w:eastAsia="Times New Roman"/>
          <w:noProof/>
        </w:rPr>
        <w:t xml:space="preserve"> price regulation </w:t>
      </w:r>
      <w:r w:rsidRPr="00D86314">
        <w:rPr>
          <w:rFonts w:eastAsia="Times New Roman"/>
          <w:noProof/>
        </w:rPr>
        <w:t xml:space="preserve">applies to </w:t>
      </w:r>
      <w:r w:rsidR="00DB11EA" w:rsidRPr="00D86314">
        <w:rPr>
          <w:rFonts w:eastAsia="Times New Roman"/>
          <w:noProof/>
        </w:rPr>
        <w:t>wholesale access products</w:t>
      </w:r>
      <w:r w:rsidRPr="00D86314">
        <w:rPr>
          <w:rFonts w:eastAsia="Times New Roman"/>
          <w:noProof/>
        </w:rPr>
        <w:t xml:space="preserve">, cost-orientation </w:t>
      </w:r>
      <w:r w:rsidR="00DB11EA" w:rsidRPr="00D86314">
        <w:rPr>
          <w:rFonts w:eastAsia="Times New Roman"/>
          <w:noProof/>
        </w:rPr>
        <w:t>would be replaced with fair, reasonable and non-discriminatory terms and conditions. Access to civil engineering infrastructure is handled via the GIA exclusively. Th</w:t>
      </w:r>
      <w:r w:rsidR="407234DA" w:rsidRPr="00D86314">
        <w:rPr>
          <w:rFonts w:eastAsia="Times New Roman"/>
          <w:noProof/>
        </w:rPr>
        <w:t>is option</w:t>
      </w:r>
      <w:r w:rsidR="00DB11EA" w:rsidRPr="00D86314">
        <w:rPr>
          <w:rFonts w:eastAsia="Times New Roman"/>
          <w:noProof/>
        </w:rPr>
        <w:t xml:space="preserve"> </w:t>
      </w:r>
      <w:r w:rsidR="003117F2" w:rsidRPr="00D86314">
        <w:rPr>
          <w:rFonts w:eastAsia="Times New Roman"/>
          <w:noProof/>
        </w:rPr>
        <w:t xml:space="preserve">would </w:t>
      </w:r>
      <w:r w:rsidR="00DB11EA" w:rsidRPr="00D86314">
        <w:rPr>
          <w:rFonts w:eastAsia="Times New Roman"/>
          <w:noProof/>
        </w:rPr>
        <w:t>also include</w:t>
      </w:r>
      <w:r w:rsidR="0096330E" w:rsidRPr="00D86314">
        <w:rPr>
          <w:rFonts w:eastAsia="Times New Roman"/>
          <w:noProof/>
        </w:rPr>
        <w:t xml:space="preserve"> harmonised</w:t>
      </w:r>
      <w:r w:rsidR="00AF0DA7" w:rsidRPr="00D86314">
        <w:rPr>
          <w:rFonts w:eastAsia="Times New Roman"/>
          <w:noProof/>
        </w:rPr>
        <w:t xml:space="preserve"> EU wholesale access products</w:t>
      </w:r>
      <w:r w:rsidR="00FD0E32" w:rsidRPr="00D86314">
        <w:rPr>
          <w:rFonts w:eastAsia="Times New Roman"/>
          <w:noProof/>
        </w:rPr>
        <w:t>, combined</w:t>
      </w:r>
      <w:r w:rsidR="00DB11EA" w:rsidRPr="00D86314">
        <w:rPr>
          <w:rFonts w:eastAsia="Times New Roman"/>
          <w:noProof/>
        </w:rPr>
        <w:t xml:space="preserve"> with </w:t>
      </w:r>
      <w:r w:rsidR="003E397B" w:rsidRPr="00D86314">
        <w:rPr>
          <w:rFonts w:eastAsia="Times New Roman"/>
          <w:noProof/>
        </w:rPr>
        <w:t>a</w:t>
      </w:r>
      <w:r w:rsidR="00DB11EA" w:rsidRPr="00D86314">
        <w:rPr>
          <w:rFonts w:eastAsia="Times New Roman"/>
          <w:noProof/>
        </w:rPr>
        <w:t xml:space="preserve"> Commission veto right </w:t>
      </w:r>
      <w:r w:rsidR="00F400AE" w:rsidRPr="00D86314">
        <w:rPr>
          <w:rFonts w:eastAsia="Times New Roman"/>
          <w:noProof/>
        </w:rPr>
        <w:t>over remedies</w:t>
      </w:r>
      <w:r w:rsidR="7715E23F" w:rsidRPr="00D86314">
        <w:rPr>
          <w:rFonts w:eastAsia="Times New Roman"/>
          <w:noProof/>
        </w:rPr>
        <w:t>.</w:t>
      </w:r>
    </w:p>
    <w:p w14:paraId="7403B71C" w14:textId="1F476258" w:rsidR="7FFA2685" w:rsidRPr="00D86314" w:rsidRDefault="0E955827" w:rsidP="3509B2B5">
      <w:pPr>
        <w:spacing w:after="120"/>
        <w:rPr>
          <w:rFonts w:eastAsia="Times New Roman"/>
          <w:noProof/>
        </w:rPr>
      </w:pPr>
      <w:r w:rsidRPr="00D86314">
        <w:rPr>
          <w:rFonts w:eastAsia="Times New Roman"/>
          <w:noProof/>
        </w:rPr>
        <w:t>Article</w:t>
      </w:r>
      <w:r w:rsidR="00F53F9A">
        <w:rPr>
          <w:rFonts w:eastAsia="Times New Roman"/>
          <w:noProof/>
        </w:rPr>
        <w:t> </w:t>
      </w:r>
      <w:r w:rsidRPr="00D86314">
        <w:rPr>
          <w:rFonts w:eastAsia="Times New Roman"/>
          <w:noProof/>
        </w:rPr>
        <w:t xml:space="preserve">22 EECC on geographic surveys would be </w:t>
      </w:r>
      <w:r w:rsidR="00796B16" w:rsidRPr="00D86314">
        <w:rPr>
          <w:rFonts w:eastAsia="Times New Roman"/>
          <w:noProof/>
        </w:rPr>
        <w:t>deleted</w:t>
      </w:r>
      <w:r w:rsidRPr="00D86314">
        <w:rPr>
          <w:rFonts w:eastAsia="Times New Roman"/>
          <w:noProof/>
        </w:rPr>
        <w:t>.</w:t>
      </w:r>
    </w:p>
    <w:p w14:paraId="29583335" w14:textId="35B50DD5" w:rsidR="00DB11EA" w:rsidRPr="00D86314" w:rsidRDefault="00DB11EA" w:rsidP="00DB11EA">
      <w:pPr>
        <w:spacing w:before="240" w:after="160"/>
        <w:rPr>
          <w:b/>
          <w:bCs/>
          <w:noProof/>
        </w:rPr>
      </w:pPr>
      <w:r w:rsidRPr="00D86314">
        <w:rPr>
          <w:rFonts w:eastAsia="Times New Roman"/>
          <w:b/>
          <w:bCs/>
          <w:noProof/>
        </w:rPr>
        <w:t xml:space="preserve">Option 4: </w:t>
      </w:r>
      <w:r w:rsidR="004D6E1D" w:rsidRPr="00D86314">
        <w:rPr>
          <w:rFonts w:eastAsia="Times New Roman"/>
          <w:b/>
          <w:bCs/>
          <w:noProof/>
        </w:rPr>
        <w:t xml:space="preserve">Mandatory copper switch-off and symmetric regulation </w:t>
      </w:r>
    </w:p>
    <w:p w14:paraId="12E80CF4" w14:textId="666FE9CD" w:rsidR="00630738" w:rsidRPr="00D86314" w:rsidRDefault="007506E9" w:rsidP="00DB11EA">
      <w:pPr>
        <w:spacing w:after="120"/>
        <w:rPr>
          <w:rFonts w:eastAsia="Times New Roman"/>
          <w:noProof/>
        </w:rPr>
      </w:pPr>
      <w:r w:rsidRPr="00D86314">
        <w:rPr>
          <w:rFonts w:eastAsia="Times New Roman"/>
          <w:noProof/>
          <w:u w:val="single"/>
        </w:rPr>
        <w:t>For CSO</w:t>
      </w:r>
      <w:r w:rsidRPr="00D86314">
        <w:rPr>
          <w:rFonts w:eastAsia="Times New Roman"/>
          <w:noProof/>
        </w:rPr>
        <w:t>, this o</w:t>
      </w:r>
      <w:r w:rsidR="00DB11EA" w:rsidRPr="00D86314">
        <w:rPr>
          <w:rFonts w:eastAsia="Times New Roman"/>
          <w:noProof/>
        </w:rPr>
        <w:t xml:space="preserve">ption </w:t>
      </w:r>
      <w:r w:rsidR="003D0F4F" w:rsidRPr="00D86314">
        <w:rPr>
          <w:rFonts w:eastAsia="Times New Roman"/>
          <w:noProof/>
        </w:rPr>
        <w:t>establishes a mandatory EU-wide CSO.</w:t>
      </w:r>
      <w:r w:rsidR="00DB11EA" w:rsidRPr="00D86314">
        <w:rPr>
          <w:rFonts w:eastAsia="Times New Roman"/>
          <w:noProof/>
        </w:rPr>
        <w:t xml:space="preserve"> It </w:t>
      </w:r>
      <w:r w:rsidR="00C02E98" w:rsidRPr="00D86314">
        <w:rPr>
          <w:rFonts w:eastAsia="Times New Roman"/>
          <w:noProof/>
        </w:rPr>
        <w:t xml:space="preserve">would </w:t>
      </w:r>
      <w:r w:rsidR="000F5B13" w:rsidRPr="00D86314">
        <w:rPr>
          <w:rFonts w:eastAsia="Times New Roman"/>
          <w:noProof/>
        </w:rPr>
        <w:t>require</w:t>
      </w:r>
      <w:r w:rsidR="00DB11EA" w:rsidRPr="00D86314">
        <w:rPr>
          <w:rFonts w:eastAsia="Times New Roman"/>
          <w:noProof/>
        </w:rPr>
        <w:t xml:space="preserve"> operators to switch off their copper networks by </w:t>
      </w:r>
      <w:r w:rsidR="003D0F4F" w:rsidRPr="00D86314">
        <w:rPr>
          <w:rFonts w:eastAsia="Times New Roman"/>
          <w:noProof/>
        </w:rPr>
        <w:t xml:space="preserve">31 December </w:t>
      </w:r>
      <w:r w:rsidR="00DB11EA" w:rsidRPr="00D86314">
        <w:rPr>
          <w:rFonts w:eastAsia="Times New Roman"/>
          <w:noProof/>
        </w:rPr>
        <w:t xml:space="preserve">2030 and </w:t>
      </w:r>
      <w:r w:rsidR="000F5B13" w:rsidRPr="00D86314">
        <w:rPr>
          <w:rFonts w:eastAsia="Times New Roman"/>
          <w:noProof/>
        </w:rPr>
        <w:t xml:space="preserve">would </w:t>
      </w:r>
      <w:r w:rsidR="00DB11EA" w:rsidRPr="00D86314">
        <w:rPr>
          <w:rFonts w:eastAsia="Times New Roman"/>
          <w:noProof/>
        </w:rPr>
        <w:t xml:space="preserve">require Member States </w:t>
      </w:r>
      <w:r w:rsidR="00307CA3" w:rsidRPr="00D86314">
        <w:rPr>
          <w:rFonts w:eastAsia="Times New Roman"/>
          <w:noProof/>
        </w:rPr>
        <w:t>to</w:t>
      </w:r>
      <w:r w:rsidR="00DB11EA" w:rsidRPr="00D86314">
        <w:rPr>
          <w:rFonts w:eastAsia="Times New Roman"/>
          <w:noProof/>
        </w:rPr>
        <w:t xml:space="preserve"> develop </w:t>
      </w:r>
      <w:r w:rsidR="003D0F4F" w:rsidRPr="00D86314">
        <w:rPr>
          <w:rFonts w:eastAsia="Times New Roman"/>
          <w:noProof/>
        </w:rPr>
        <w:t xml:space="preserve">plans for fibre deployment </w:t>
      </w:r>
      <w:r w:rsidR="00DB11EA" w:rsidRPr="00D86314">
        <w:rPr>
          <w:rFonts w:eastAsia="Times New Roman"/>
          <w:noProof/>
        </w:rPr>
        <w:t>and</w:t>
      </w:r>
      <w:r w:rsidR="00630738" w:rsidRPr="00D86314">
        <w:rPr>
          <w:rFonts w:eastAsia="Times New Roman"/>
          <w:noProof/>
        </w:rPr>
        <w:t xml:space="preserve"> </w:t>
      </w:r>
      <w:r w:rsidR="003D0F4F" w:rsidRPr="00D86314">
        <w:rPr>
          <w:rFonts w:eastAsia="Times New Roman"/>
          <w:noProof/>
        </w:rPr>
        <w:t>CSO</w:t>
      </w:r>
      <w:r w:rsidR="00DB11EA" w:rsidRPr="00D86314">
        <w:rPr>
          <w:rFonts w:eastAsia="Times New Roman"/>
          <w:noProof/>
        </w:rPr>
        <w:t xml:space="preserve">. No </w:t>
      </w:r>
      <w:r w:rsidR="00D343AB" w:rsidRPr="00D86314">
        <w:rPr>
          <w:rFonts w:eastAsia="Times New Roman"/>
          <w:noProof/>
        </w:rPr>
        <w:t>sustainability c</w:t>
      </w:r>
      <w:r w:rsidR="7780FE3E" w:rsidRPr="00D86314">
        <w:rPr>
          <w:rFonts w:eastAsia="Times New Roman"/>
          <w:noProof/>
        </w:rPr>
        <w:t>onditions</w:t>
      </w:r>
      <w:r w:rsidR="00DB11EA" w:rsidRPr="00D86314">
        <w:rPr>
          <w:rFonts w:eastAsia="Times New Roman"/>
          <w:noProof/>
        </w:rPr>
        <w:t xml:space="preserve"> </w:t>
      </w:r>
      <w:r w:rsidR="77F07D17" w:rsidRPr="00D86314">
        <w:rPr>
          <w:rFonts w:eastAsia="Times New Roman"/>
          <w:noProof/>
        </w:rPr>
        <w:t>ar</w:t>
      </w:r>
      <w:r w:rsidR="00D343AB" w:rsidRPr="00D86314">
        <w:rPr>
          <w:rFonts w:eastAsia="Times New Roman"/>
          <w:noProof/>
        </w:rPr>
        <w:t>e</w:t>
      </w:r>
      <w:r w:rsidR="00DB11EA" w:rsidRPr="00D86314">
        <w:rPr>
          <w:rFonts w:eastAsia="Times New Roman"/>
          <w:noProof/>
        </w:rPr>
        <w:t xml:space="preserve"> </w:t>
      </w:r>
      <w:r w:rsidR="00D343AB" w:rsidRPr="00D86314">
        <w:rPr>
          <w:rFonts w:eastAsia="Times New Roman"/>
          <w:noProof/>
        </w:rPr>
        <w:t>envisaged</w:t>
      </w:r>
      <w:r w:rsidR="00DB11EA" w:rsidRPr="00D86314">
        <w:rPr>
          <w:rFonts w:eastAsia="Times New Roman"/>
          <w:noProof/>
        </w:rPr>
        <w:t>.</w:t>
      </w:r>
    </w:p>
    <w:p w14:paraId="32C492F6" w14:textId="2D40FD35" w:rsidR="00572220" w:rsidRPr="00D86314" w:rsidRDefault="00DB11EA" w:rsidP="00DB11EA">
      <w:pPr>
        <w:spacing w:after="120"/>
        <w:rPr>
          <w:rFonts w:eastAsia="Times New Roman"/>
          <w:noProof/>
        </w:rPr>
      </w:pPr>
      <w:r w:rsidRPr="00D86314">
        <w:rPr>
          <w:rFonts w:eastAsia="Times New Roman"/>
          <w:noProof/>
        </w:rPr>
        <w:t xml:space="preserve">NRAs </w:t>
      </w:r>
      <w:r w:rsidR="00B21405" w:rsidRPr="00D86314">
        <w:rPr>
          <w:rFonts w:eastAsia="Times New Roman"/>
          <w:noProof/>
        </w:rPr>
        <w:t xml:space="preserve">would be </w:t>
      </w:r>
      <w:r w:rsidRPr="00D86314">
        <w:rPr>
          <w:rFonts w:eastAsia="Times New Roman"/>
          <w:noProof/>
        </w:rPr>
        <w:t xml:space="preserve">tasked with </w:t>
      </w:r>
      <w:r w:rsidR="00630738" w:rsidRPr="00D86314">
        <w:rPr>
          <w:rFonts w:eastAsia="Times New Roman"/>
          <w:noProof/>
        </w:rPr>
        <w:t xml:space="preserve">collecting </w:t>
      </w:r>
      <w:r w:rsidRPr="00D86314">
        <w:rPr>
          <w:rFonts w:eastAsia="Times New Roman"/>
          <w:noProof/>
        </w:rPr>
        <w:t xml:space="preserve">and publishing data on </w:t>
      </w:r>
      <w:r w:rsidR="00630738" w:rsidRPr="00D86314">
        <w:rPr>
          <w:rFonts w:eastAsia="Times New Roman"/>
          <w:noProof/>
        </w:rPr>
        <w:t>CSO</w:t>
      </w:r>
      <w:r w:rsidRPr="00D86314">
        <w:rPr>
          <w:rFonts w:eastAsia="Times New Roman"/>
          <w:noProof/>
        </w:rPr>
        <w:t>, including geographic surveys of Gigabit-capable fixed wireless networks, along with the status of copper to fibre migration. Article</w:t>
      </w:r>
      <w:r w:rsidR="00F53F9A">
        <w:rPr>
          <w:rFonts w:eastAsia="Times New Roman"/>
          <w:noProof/>
        </w:rPr>
        <w:t> </w:t>
      </w:r>
      <w:r w:rsidRPr="00D86314">
        <w:rPr>
          <w:rFonts w:eastAsia="Times New Roman"/>
          <w:noProof/>
        </w:rPr>
        <w:t xml:space="preserve">22 </w:t>
      </w:r>
      <w:r w:rsidR="00603C1D" w:rsidRPr="00D86314">
        <w:rPr>
          <w:rFonts w:eastAsia="Times New Roman"/>
          <w:noProof/>
        </w:rPr>
        <w:t xml:space="preserve">would </w:t>
      </w:r>
      <w:r w:rsidR="00351AAD" w:rsidRPr="00D86314">
        <w:rPr>
          <w:rFonts w:eastAsia="Times New Roman"/>
          <w:noProof/>
        </w:rPr>
        <w:t xml:space="preserve">be </w:t>
      </w:r>
      <w:r w:rsidR="0095607A" w:rsidRPr="00D86314">
        <w:rPr>
          <w:rFonts w:eastAsia="Times New Roman"/>
          <w:noProof/>
        </w:rPr>
        <w:t xml:space="preserve">updated </w:t>
      </w:r>
      <w:r w:rsidRPr="00D86314">
        <w:rPr>
          <w:rFonts w:eastAsia="Times New Roman"/>
          <w:noProof/>
        </w:rPr>
        <w:t xml:space="preserve">to </w:t>
      </w:r>
      <w:r w:rsidR="00F5734C" w:rsidRPr="00D86314">
        <w:rPr>
          <w:rFonts w:eastAsia="Times New Roman"/>
          <w:noProof/>
        </w:rPr>
        <w:t xml:space="preserve">replace </w:t>
      </w:r>
      <w:r w:rsidRPr="00D86314">
        <w:rPr>
          <w:rFonts w:eastAsia="Times New Roman"/>
          <w:noProof/>
        </w:rPr>
        <w:t xml:space="preserve">the current 100 Mbit/s </w:t>
      </w:r>
      <w:r w:rsidR="00C30752" w:rsidRPr="00D86314">
        <w:rPr>
          <w:rFonts w:eastAsia="Times New Roman"/>
          <w:noProof/>
        </w:rPr>
        <w:t xml:space="preserve">threshold </w:t>
      </w:r>
      <w:r w:rsidRPr="00D86314">
        <w:rPr>
          <w:rFonts w:eastAsia="Times New Roman"/>
          <w:noProof/>
        </w:rPr>
        <w:t xml:space="preserve">and to collect forecasts for unserved areas. </w:t>
      </w:r>
    </w:p>
    <w:p w14:paraId="56A0868C" w14:textId="49907C6E" w:rsidR="00DB11EA" w:rsidRPr="00D86314" w:rsidRDefault="009569B1" w:rsidP="00DB11EA">
      <w:pPr>
        <w:spacing w:after="120"/>
        <w:rPr>
          <w:rFonts w:eastAsia="Times New Roman"/>
          <w:noProof/>
        </w:rPr>
      </w:pPr>
      <w:r w:rsidRPr="00D86314">
        <w:rPr>
          <w:rFonts w:eastAsia="Times New Roman"/>
          <w:noProof/>
        </w:rPr>
        <w:t xml:space="preserve">The scope of </w:t>
      </w:r>
      <w:r w:rsidR="00DB11EA" w:rsidRPr="00D86314">
        <w:rPr>
          <w:rFonts w:eastAsia="Times New Roman"/>
          <w:noProof/>
        </w:rPr>
        <w:t>Article</w:t>
      </w:r>
      <w:r w:rsidR="00F53F9A">
        <w:rPr>
          <w:rFonts w:eastAsia="Times New Roman"/>
          <w:noProof/>
        </w:rPr>
        <w:t> </w:t>
      </w:r>
      <w:r w:rsidR="00DB11EA" w:rsidRPr="00D86314">
        <w:rPr>
          <w:rFonts w:eastAsia="Times New Roman"/>
          <w:noProof/>
        </w:rPr>
        <w:t>81 EECC w</w:t>
      </w:r>
      <w:r w:rsidR="00C30752" w:rsidRPr="00D86314">
        <w:rPr>
          <w:rFonts w:eastAsia="Times New Roman"/>
          <w:noProof/>
        </w:rPr>
        <w:t>ould</w:t>
      </w:r>
      <w:r w:rsidR="00DB11EA" w:rsidRPr="00D86314">
        <w:rPr>
          <w:rFonts w:eastAsia="Times New Roman"/>
          <w:noProof/>
        </w:rPr>
        <w:t xml:space="preserve"> be </w:t>
      </w:r>
      <w:r w:rsidRPr="00D86314">
        <w:rPr>
          <w:rFonts w:eastAsia="Times New Roman"/>
          <w:noProof/>
        </w:rPr>
        <w:t>extended to all</w:t>
      </w:r>
      <w:r w:rsidR="00DB11EA" w:rsidRPr="00D86314">
        <w:rPr>
          <w:rFonts w:eastAsia="Times New Roman"/>
          <w:noProof/>
        </w:rPr>
        <w:t xml:space="preserve"> copper networks </w:t>
      </w:r>
      <w:r w:rsidR="00D83116" w:rsidRPr="00D86314">
        <w:rPr>
          <w:rFonts w:eastAsia="Times New Roman"/>
          <w:noProof/>
        </w:rPr>
        <w:t>operators</w:t>
      </w:r>
      <w:r w:rsidR="00572220" w:rsidRPr="00D86314">
        <w:rPr>
          <w:rFonts w:eastAsia="Times New Roman"/>
          <w:noProof/>
        </w:rPr>
        <w:t>,</w:t>
      </w:r>
      <w:r w:rsidR="00D83116" w:rsidRPr="00D86314">
        <w:rPr>
          <w:rFonts w:eastAsia="Times New Roman"/>
          <w:noProof/>
        </w:rPr>
        <w:t xml:space="preserve"> </w:t>
      </w:r>
      <w:r w:rsidR="0064411A" w:rsidRPr="00D86314">
        <w:rPr>
          <w:rFonts w:eastAsia="Times New Roman"/>
          <w:noProof/>
        </w:rPr>
        <w:t xml:space="preserve">including </w:t>
      </w:r>
      <w:r w:rsidR="00D83116" w:rsidRPr="00D86314">
        <w:rPr>
          <w:rFonts w:eastAsia="Times New Roman"/>
          <w:noProof/>
        </w:rPr>
        <w:t>those with</w:t>
      </w:r>
      <w:r w:rsidR="5EC7B005" w:rsidRPr="00D86314">
        <w:rPr>
          <w:rFonts w:eastAsia="Times New Roman"/>
          <w:noProof/>
        </w:rPr>
        <w:t xml:space="preserve"> no SMP</w:t>
      </w:r>
      <w:r w:rsidR="00DB11EA" w:rsidRPr="00D86314">
        <w:rPr>
          <w:rFonts w:eastAsia="Times New Roman"/>
          <w:noProof/>
        </w:rPr>
        <w:t>.</w:t>
      </w:r>
    </w:p>
    <w:p w14:paraId="0472375A" w14:textId="42C1F7E2" w:rsidR="006E5A3D" w:rsidRPr="00D86314" w:rsidRDefault="003765E1" w:rsidP="00DB11EA">
      <w:pPr>
        <w:spacing w:after="120"/>
        <w:rPr>
          <w:rFonts w:eastAsia="Times New Roman"/>
          <w:noProof/>
        </w:rPr>
      </w:pPr>
      <w:r w:rsidRPr="00D86314">
        <w:rPr>
          <w:rFonts w:eastAsia="Times New Roman"/>
          <w:noProof/>
          <w:u w:val="single"/>
        </w:rPr>
        <w:t>For access regulation,</w:t>
      </w:r>
      <w:r w:rsidRPr="00D86314">
        <w:rPr>
          <w:rFonts w:eastAsia="Times New Roman"/>
          <w:noProof/>
        </w:rPr>
        <w:t xml:space="preserve"> </w:t>
      </w:r>
      <w:r w:rsidR="00DB11EA" w:rsidRPr="00D86314">
        <w:rPr>
          <w:rFonts w:eastAsia="Times New Roman"/>
          <w:noProof/>
        </w:rPr>
        <w:t xml:space="preserve">this option </w:t>
      </w:r>
      <w:r w:rsidR="00933764" w:rsidRPr="00D86314">
        <w:rPr>
          <w:rFonts w:eastAsia="Times New Roman"/>
          <w:noProof/>
        </w:rPr>
        <w:t xml:space="preserve">would </w:t>
      </w:r>
      <w:r w:rsidR="00AC268B" w:rsidRPr="00D86314">
        <w:rPr>
          <w:rFonts w:eastAsia="Times New Roman"/>
          <w:noProof/>
        </w:rPr>
        <w:t xml:space="preserve">replace </w:t>
      </w:r>
      <w:r w:rsidR="00DB11EA" w:rsidRPr="00D86314">
        <w:rPr>
          <w:rFonts w:eastAsia="Times New Roman"/>
          <w:noProof/>
        </w:rPr>
        <w:t>the existing SMP regime and Article</w:t>
      </w:r>
      <w:r w:rsidR="00F53F9A">
        <w:rPr>
          <w:rFonts w:eastAsia="Times New Roman"/>
          <w:noProof/>
        </w:rPr>
        <w:t> </w:t>
      </w:r>
      <w:r w:rsidR="00DB11EA" w:rsidRPr="00D86314">
        <w:rPr>
          <w:rFonts w:eastAsia="Times New Roman"/>
          <w:noProof/>
        </w:rPr>
        <w:t xml:space="preserve">61(3) </w:t>
      </w:r>
      <w:r w:rsidR="004B4AAA" w:rsidRPr="00D86314">
        <w:rPr>
          <w:rFonts w:eastAsia="Times New Roman"/>
          <w:noProof/>
        </w:rPr>
        <w:t xml:space="preserve">EECC </w:t>
      </w:r>
      <w:r w:rsidR="00DB11EA" w:rsidRPr="00D86314">
        <w:rPr>
          <w:rFonts w:eastAsia="Times New Roman"/>
          <w:noProof/>
        </w:rPr>
        <w:t>with a requirement for all fixed network operators to provide wholesale local access on fair terms</w:t>
      </w:r>
      <w:r w:rsidR="007E607F" w:rsidRPr="00D86314">
        <w:rPr>
          <w:rFonts w:eastAsia="Times New Roman"/>
          <w:noProof/>
        </w:rPr>
        <w:t xml:space="preserve"> and </w:t>
      </w:r>
      <w:r w:rsidR="00DB11EA" w:rsidRPr="00D86314">
        <w:rPr>
          <w:rFonts w:eastAsia="Times New Roman"/>
          <w:noProof/>
        </w:rPr>
        <w:t xml:space="preserve">dispute resolution by NRAs if no agreement is reached within two months. </w:t>
      </w:r>
      <w:r w:rsidR="21E28811" w:rsidRPr="00D86314">
        <w:rPr>
          <w:rFonts w:eastAsia="Times New Roman"/>
          <w:noProof/>
        </w:rPr>
        <w:t>The option</w:t>
      </w:r>
      <w:r w:rsidR="00DB11EA" w:rsidRPr="00D86314">
        <w:rPr>
          <w:rFonts w:eastAsia="Times New Roman"/>
          <w:noProof/>
        </w:rPr>
        <w:t xml:space="preserve"> </w:t>
      </w:r>
      <w:r w:rsidR="00E44FDA" w:rsidRPr="00D86314">
        <w:rPr>
          <w:rFonts w:eastAsia="Times New Roman"/>
          <w:noProof/>
        </w:rPr>
        <w:t xml:space="preserve">would </w:t>
      </w:r>
      <w:r w:rsidR="007E607F" w:rsidRPr="00D86314">
        <w:rPr>
          <w:rFonts w:eastAsia="Times New Roman"/>
          <w:noProof/>
        </w:rPr>
        <w:t>also require</w:t>
      </w:r>
      <w:r w:rsidR="00DB11EA" w:rsidRPr="00D86314">
        <w:rPr>
          <w:rFonts w:eastAsia="Times New Roman"/>
          <w:noProof/>
        </w:rPr>
        <w:t xml:space="preserve"> </w:t>
      </w:r>
      <w:r w:rsidR="007E607F" w:rsidRPr="00D86314">
        <w:rPr>
          <w:rFonts w:eastAsia="Times New Roman"/>
          <w:noProof/>
        </w:rPr>
        <w:t xml:space="preserve">copper network </w:t>
      </w:r>
      <w:r w:rsidR="00DB11EA" w:rsidRPr="00D86314">
        <w:rPr>
          <w:rFonts w:eastAsia="Times New Roman"/>
          <w:noProof/>
        </w:rPr>
        <w:t xml:space="preserve">operators, </w:t>
      </w:r>
      <w:r w:rsidR="02E575F5" w:rsidRPr="00D86314">
        <w:rPr>
          <w:rFonts w:eastAsia="Times New Roman"/>
          <w:noProof/>
        </w:rPr>
        <w:t>including</w:t>
      </w:r>
      <w:r w:rsidR="00DB11EA" w:rsidRPr="00D86314">
        <w:rPr>
          <w:rFonts w:eastAsia="Times New Roman"/>
          <w:noProof/>
        </w:rPr>
        <w:t xml:space="preserve"> those previously deemed to have SMP, </w:t>
      </w:r>
      <w:r w:rsidR="00CC7F45" w:rsidRPr="00D86314">
        <w:rPr>
          <w:rFonts w:eastAsia="Times New Roman"/>
          <w:noProof/>
        </w:rPr>
        <w:t xml:space="preserve">to </w:t>
      </w:r>
      <w:r w:rsidR="00DB11EA" w:rsidRPr="00D86314">
        <w:rPr>
          <w:rFonts w:eastAsia="Times New Roman"/>
          <w:noProof/>
        </w:rPr>
        <w:t xml:space="preserve">provide access to ducts and poles based on cost-orientation and non-discrimination, </w:t>
      </w:r>
      <w:r w:rsidR="00CC7F45" w:rsidRPr="00D86314">
        <w:rPr>
          <w:rFonts w:eastAsia="Times New Roman"/>
          <w:noProof/>
        </w:rPr>
        <w:t xml:space="preserve">in line with </w:t>
      </w:r>
      <w:r w:rsidR="00DB11EA" w:rsidRPr="00D86314">
        <w:rPr>
          <w:rFonts w:eastAsia="Times New Roman"/>
          <w:noProof/>
        </w:rPr>
        <w:t>guidelines from the Commission or BEREC.</w:t>
      </w:r>
    </w:p>
    <w:p w14:paraId="67569341" w14:textId="64F21A53" w:rsidR="00DB11EA" w:rsidRPr="00D86314" w:rsidRDefault="00DB11EA" w:rsidP="00DB11EA">
      <w:pPr>
        <w:spacing w:after="120"/>
        <w:rPr>
          <w:rFonts w:eastAsia="Times New Roman"/>
          <w:noProof/>
        </w:rPr>
      </w:pPr>
      <w:r w:rsidRPr="00D86314">
        <w:rPr>
          <w:rFonts w:eastAsia="Times New Roman"/>
          <w:noProof/>
        </w:rPr>
        <w:t xml:space="preserve">To support harmonisation, an initial list of </w:t>
      </w:r>
      <w:r w:rsidR="00903148" w:rsidRPr="00D86314">
        <w:rPr>
          <w:rFonts w:eastAsia="Times New Roman"/>
          <w:noProof/>
        </w:rPr>
        <w:t xml:space="preserve">harmonised </w:t>
      </w:r>
      <w:r w:rsidR="006E5A3D" w:rsidRPr="00D86314">
        <w:rPr>
          <w:rFonts w:eastAsia="Times New Roman"/>
          <w:noProof/>
        </w:rPr>
        <w:t xml:space="preserve">EU </w:t>
      </w:r>
      <w:r w:rsidRPr="00D86314">
        <w:rPr>
          <w:rFonts w:eastAsia="Times New Roman"/>
          <w:noProof/>
        </w:rPr>
        <w:t xml:space="preserve">wholesale </w:t>
      </w:r>
      <w:r w:rsidR="006E5A3D" w:rsidRPr="00D86314">
        <w:rPr>
          <w:rFonts w:eastAsia="Times New Roman"/>
          <w:noProof/>
        </w:rPr>
        <w:t xml:space="preserve">access </w:t>
      </w:r>
      <w:r w:rsidRPr="00D86314">
        <w:rPr>
          <w:rFonts w:eastAsia="Times New Roman"/>
          <w:noProof/>
        </w:rPr>
        <w:t xml:space="preserve">products </w:t>
      </w:r>
      <w:r w:rsidR="00903148" w:rsidRPr="00D86314">
        <w:rPr>
          <w:rFonts w:eastAsia="Times New Roman"/>
          <w:noProof/>
        </w:rPr>
        <w:t xml:space="preserve">would </w:t>
      </w:r>
      <w:r w:rsidRPr="00D86314">
        <w:rPr>
          <w:rFonts w:eastAsia="Times New Roman"/>
          <w:noProof/>
        </w:rPr>
        <w:t>be included in the DNA</w:t>
      </w:r>
      <w:r w:rsidR="006E69AC" w:rsidRPr="00D86314">
        <w:rPr>
          <w:rFonts w:eastAsia="Times New Roman"/>
          <w:noProof/>
        </w:rPr>
        <w:t>.</w:t>
      </w:r>
      <w:r w:rsidRPr="00D86314">
        <w:rPr>
          <w:rFonts w:eastAsia="Times New Roman"/>
          <w:noProof/>
        </w:rPr>
        <w:t xml:space="preserve"> </w:t>
      </w:r>
      <w:r w:rsidR="006E69AC" w:rsidRPr="00D86314">
        <w:rPr>
          <w:rFonts w:eastAsia="Times New Roman"/>
          <w:noProof/>
        </w:rPr>
        <w:t>The</w:t>
      </w:r>
      <w:r w:rsidR="00A85584" w:rsidRPr="00D86314">
        <w:rPr>
          <w:rFonts w:eastAsia="Times New Roman"/>
          <w:noProof/>
        </w:rPr>
        <w:t xml:space="preserve"> </w:t>
      </w:r>
      <w:r w:rsidRPr="00D86314">
        <w:rPr>
          <w:rFonts w:eastAsia="Times New Roman"/>
          <w:noProof/>
        </w:rPr>
        <w:t xml:space="preserve">NRAs </w:t>
      </w:r>
      <w:r w:rsidR="006E69AC" w:rsidRPr="00D86314">
        <w:rPr>
          <w:rFonts w:eastAsia="Times New Roman"/>
          <w:noProof/>
        </w:rPr>
        <w:t xml:space="preserve">would </w:t>
      </w:r>
      <w:r w:rsidRPr="00D86314">
        <w:rPr>
          <w:rFonts w:eastAsia="Times New Roman"/>
          <w:noProof/>
        </w:rPr>
        <w:t xml:space="preserve">consider </w:t>
      </w:r>
      <w:r w:rsidR="006E69AC" w:rsidRPr="00D86314">
        <w:rPr>
          <w:rFonts w:eastAsia="Times New Roman"/>
          <w:noProof/>
        </w:rPr>
        <w:t>imposing them</w:t>
      </w:r>
      <w:r w:rsidRPr="00D86314">
        <w:rPr>
          <w:rFonts w:eastAsia="Times New Roman"/>
          <w:noProof/>
        </w:rPr>
        <w:t xml:space="preserve"> during the resolution of access disputes. The Commission </w:t>
      </w:r>
      <w:r w:rsidR="00797C88" w:rsidRPr="00D86314">
        <w:rPr>
          <w:rFonts w:eastAsia="Times New Roman"/>
          <w:noProof/>
        </w:rPr>
        <w:t xml:space="preserve">may </w:t>
      </w:r>
      <w:r w:rsidRPr="00D86314">
        <w:rPr>
          <w:rFonts w:eastAsia="Times New Roman"/>
          <w:noProof/>
        </w:rPr>
        <w:t>adopt an Implementing Act to specify best practices or amend this list</w:t>
      </w:r>
      <w:r w:rsidR="001E5E1A" w:rsidRPr="00D86314">
        <w:rPr>
          <w:rFonts w:eastAsia="Times New Roman"/>
          <w:noProof/>
        </w:rPr>
        <w:t>.</w:t>
      </w:r>
      <w:r w:rsidRPr="00D86314">
        <w:rPr>
          <w:rFonts w:eastAsia="Times New Roman"/>
          <w:noProof/>
        </w:rPr>
        <w:t xml:space="preserve"> </w:t>
      </w:r>
      <w:r w:rsidR="001E5E1A" w:rsidRPr="00D86314">
        <w:rPr>
          <w:rFonts w:eastAsia="Times New Roman"/>
          <w:noProof/>
        </w:rPr>
        <w:t>The</w:t>
      </w:r>
      <w:r w:rsidRPr="00D86314">
        <w:rPr>
          <w:rFonts w:eastAsia="Times New Roman"/>
          <w:noProof/>
        </w:rPr>
        <w:t xml:space="preserve"> harmoni</w:t>
      </w:r>
      <w:r w:rsidR="0070466F" w:rsidRPr="00D86314">
        <w:rPr>
          <w:rFonts w:eastAsia="Times New Roman"/>
          <w:noProof/>
        </w:rPr>
        <w:t>s</w:t>
      </w:r>
      <w:r w:rsidRPr="00D86314">
        <w:rPr>
          <w:rFonts w:eastAsia="Times New Roman"/>
          <w:noProof/>
        </w:rPr>
        <w:t xml:space="preserve">ation </w:t>
      </w:r>
      <w:r w:rsidR="008035BE" w:rsidRPr="00D86314">
        <w:rPr>
          <w:rFonts w:eastAsia="Times New Roman"/>
          <w:noProof/>
        </w:rPr>
        <w:t>of regulatory approaches would be</w:t>
      </w:r>
      <w:r w:rsidRPr="00D86314">
        <w:rPr>
          <w:rFonts w:eastAsia="Times New Roman"/>
          <w:noProof/>
        </w:rPr>
        <w:t xml:space="preserve"> supported through a </w:t>
      </w:r>
      <w:r w:rsidR="000C048A" w:rsidRPr="00D86314">
        <w:rPr>
          <w:rFonts w:eastAsia="Times New Roman"/>
          <w:noProof/>
        </w:rPr>
        <w:t xml:space="preserve">veto </w:t>
      </w:r>
      <w:r w:rsidRPr="00D86314">
        <w:rPr>
          <w:rFonts w:eastAsia="Times New Roman"/>
          <w:noProof/>
        </w:rPr>
        <w:t xml:space="preserve">right for the </w:t>
      </w:r>
      <w:r w:rsidR="00AE18B7" w:rsidRPr="00D86314">
        <w:rPr>
          <w:rFonts w:eastAsia="Times New Roman"/>
          <w:noProof/>
        </w:rPr>
        <w:t>Commission</w:t>
      </w:r>
      <w:r w:rsidR="00564FAE" w:rsidRPr="00D86314">
        <w:rPr>
          <w:rFonts w:eastAsia="Times New Roman"/>
          <w:noProof/>
        </w:rPr>
        <w:t xml:space="preserve"> </w:t>
      </w:r>
      <w:r w:rsidRPr="00D86314">
        <w:rPr>
          <w:rFonts w:eastAsia="Times New Roman"/>
          <w:noProof/>
        </w:rPr>
        <w:t>regarding the application of the access re</w:t>
      </w:r>
      <w:r w:rsidR="00F65B78" w:rsidRPr="00D86314">
        <w:rPr>
          <w:rFonts w:eastAsia="Times New Roman"/>
          <w:noProof/>
        </w:rPr>
        <w:t>medies</w:t>
      </w:r>
      <w:r w:rsidRPr="00D86314">
        <w:rPr>
          <w:rFonts w:eastAsia="Times New Roman"/>
          <w:noProof/>
        </w:rPr>
        <w:t>.</w:t>
      </w:r>
    </w:p>
    <w:p w14:paraId="6379D5D9" w14:textId="08CB3F8F" w:rsidR="007C756A" w:rsidRPr="00D86314" w:rsidRDefault="00F21BE5" w:rsidP="00604897">
      <w:pPr>
        <w:pStyle w:val="Heading1"/>
        <w:rPr>
          <w:noProof/>
          <w:lang w:val="en-GB"/>
        </w:rPr>
      </w:pPr>
      <w:bookmarkStart w:id="244" w:name="_Toc219718438"/>
      <w:r w:rsidRPr="00D86314">
        <w:rPr>
          <w:noProof/>
          <w:lang w:val="en-GB"/>
        </w:rPr>
        <w:t>Spectrum</w:t>
      </w:r>
      <w:bookmarkEnd w:id="244"/>
    </w:p>
    <w:p w14:paraId="3F542DAB" w14:textId="6EEB29B1" w:rsidR="008B4A56" w:rsidRPr="00D86314" w:rsidRDefault="008A03B5" w:rsidP="00465924">
      <w:pPr>
        <w:spacing w:after="120"/>
        <w:rPr>
          <w:noProof/>
        </w:rPr>
      </w:pPr>
      <w:r w:rsidRPr="00D86314">
        <w:rPr>
          <w:noProof/>
        </w:rPr>
        <w:t>Detailed description of the policy options for Spectrum:</w:t>
      </w:r>
    </w:p>
    <w:p w14:paraId="511F2FB9" w14:textId="77777777" w:rsidR="00686CB6" w:rsidRPr="00D86314" w:rsidRDefault="008A03B5" w:rsidP="008A03B5">
      <w:pPr>
        <w:pStyle w:val="paragraph"/>
        <w:spacing w:before="120" w:beforeAutospacing="0" w:after="120" w:afterAutospacing="0"/>
        <w:jc w:val="both"/>
        <w:textAlignment w:val="baseline"/>
        <w:rPr>
          <w:rStyle w:val="normaltextrun"/>
          <w:b/>
          <w:noProof/>
          <w:lang w:val="en-GB"/>
        </w:rPr>
      </w:pPr>
      <w:r w:rsidRPr="00D86314">
        <w:rPr>
          <w:rStyle w:val="normaltextrun"/>
          <w:b/>
          <w:noProof/>
          <w:lang w:val="en-GB"/>
        </w:rPr>
        <w:t>Option 1: Soft harmonisation</w:t>
      </w:r>
    </w:p>
    <w:p w14:paraId="40D5D2C6" w14:textId="52C54488" w:rsidR="008A03B5" w:rsidRPr="00D86314" w:rsidRDefault="008A03B5" w:rsidP="008A03B5">
      <w:pPr>
        <w:pStyle w:val="paragraph"/>
        <w:spacing w:before="120" w:beforeAutospacing="0" w:after="120" w:afterAutospacing="0"/>
        <w:jc w:val="both"/>
        <w:textAlignment w:val="baseline"/>
        <w:rPr>
          <w:noProof/>
          <w:lang w:val="en-GB"/>
        </w:rPr>
      </w:pPr>
      <w:r w:rsidRPr="00D86314">
        <w:rPr>
          <w:rStyle w:val="normaltextrun"/>
          <w:noProof/>
          <w:lang w:val="en-GB"/>
        </w:rPr>
        <w:t xml:space="preserve">In this </w:t>
      </w:r>
      <w:r w:rsidRPr="00D86314">
        <w:rPr>
          <w:noProof/>
          <w:lang w:val="en-GB"/>
        </w:rPr>
        <w:t>option</w:t>
      </w:r>
      <w:r w:rsidRPr="00D86314">
        <w:rPr>
          <w:rStyle w:val="normaltextrun"/>
          <w:b/>
          <w:noProof/>
          <w:lang w:val="en-GB"/>
        </w:rPr>
        <w:t xml:space="preserve"> the minimum licence duration</w:t>
      </w:r>
      <w:r w:rsidRPr="00D86314">
        <w:rPr>
          <w:rStyle w:val="normaltextrun"/>
          <w:noProof/>
          <w:lang w:val="en-GB"/>
        </w:rPr>
        <w:t xml:space="preserve"> would be extended from current 20 years to 25 years still following the Article</w:t>
      </w:r>
      <w:r w:rsidR="00F53F9A">
        <w:rPr>
          <w:rStyle w:val="normaltextrun"/>
          <w:noProof/>
          <w:lang w:val="en-GB"/>
        </w:rPr>
        <w:t> </w:t>
      </w:r>
      <w:r w:rsidRPr="00D86314">
        <w:rPr>
          <w:rStyle w:val="normaltextrun"/>
          <w:noProof/>
          <w:lang w:val="en-GB"/>
        </w:rPr>
        <w:t xml:space="preserve">49(2) EECC rule (initial 20 years extended by 5 years). When authorising spectrum, the national competent authorities would be supported by a </w:t>
      </w:r>
      <w:r w:rsidRPr="00D86314">
        <w:rPr>
          <w:rStyle w:val="normaltextrun"/>
          <w:b/>
          <w:noProof/>
          <w:lang w:val="en-GB"/>
        </w:rPr>
        <w:t>toolbox of best practices on pro-investment and pro-efficient use of spectrum authorisation</w:t>
      </w:r>
      <w:r w:rsidRPr="00D86314">
        <w:rPr>
          <w:rStyle w:val="normaltextrun"/>
          <w:noProof/>
          <w:lang w:val="en-GB"/>
        </w:rPr>
        <w:t xml:space="preserve"> processes that could address, e.g. auction designs, reserve prices, annual fees, coverage commitments, QoS obligations, spectrum sharing solutions, and be developed by the Commission assisted by RSPG. To enhance investment and improve spectrum use efficiency in underserved/rural areas, any unjustified legal or regulatory obstacles to spectrum sharing or pooling would be removed. This option also envisages promoting </w:t>
      </w:r>
      <w:r w:rsidRPr="00D86314">
        <w:rPr>
          <w:rStyle w:val="normaltextrun"/>
          <w:b/>
          <w:noProof/>
          <w:lang w:val="en-GB"/>
        </w:rPr>
        <w:t>flexible spectrum licencing</w:t>
      </w:r>
      <w:r w:rsidRPr="00D86314">
        <w:rPr>
          <w:rStyle w:val="normaltextrun"/>
          <w:noProof/>
          <w:lang w:val="en-GB"/>
        </w:rPr>
        <w:t xml:space="preserve">, e.g. licences limited to a particular location or time period, especially for verticals. The Commission could, following an RSPG opinion, recommend an </w:t>
      </w:r>
      <w:r w:rsidRPr="00D86314">
        <w:rPr>
          <w:rStyle w:val="normaltextrun"/>
          <w:b/>
          <w:noProof/>
          <w:lang w:val="en-GB"/>
        </w:rPr>
        <w:t>authorisation regime</w:t>
      </w:r>
      <w:r w:rsidRPr="00D86314">
        <w:rPr>
          <w:rStyle w:val="normaltextrun"/>
          <w:noProof/>
          <w:lang w:val="en-GB"/>
        </w:rPr>
        <w:t xml:space="preserve"> to be used in particular EU harmonised spectrum band.</w:t>
      </w:r>
    </w:p>
    <w:p w14:paraId="6603C307" w14:textId="3E0A2B26" w:rsidR="008A03B5" w:rsidRPr="00D86314" w:rsidRDefault="008A03B5" w:rsidP="008A03B5">
      <w:pPr>
        <w:pStyle w:val="paragraph"/>
        <w:spacing w:before="0" w:beforeAutospacing="0" w:after="240" w:afterAutospacing="0"/>
        <w:jc w:val="both"/>
        <w:rPr>
          <w:rStyle w:val="eop"/>
          <w:noProof/>
          <w:lang w:val="en-GB"/>
        </w:rPr>
      </w:pPr>
      <w:r w:rsidRPr="00D86314">
        <w:rPr>
          <w:rStyle w:val="normaltextrun"/>
          <w:noProof/>
          <w:lang w:val="en-GB"/>
        </w:rPr>
        <w:t>When designing</w:t>
      </w:r>
      <w:r w:rsidRPr="00D86314" w:rsidDel="00B42DC6">
        <w:rPr>
          <w:rStyle w:val="normaltextrun"/>
          <w:noProof/>
          <w:lang w:val="en-GB"/>
        </w:rPr>
        <w:t xml:space="preserve"> </w:t>
      </w:r>
      <w:r w:rsidRPr="00D86314">
        <w:rPr>
          <w:rStyle w:val="normaltextrun"/>
          <w:b/>
          <w:noProof/>
          <w:lang w:val="en-GB"/>
        </w:rPr>
        <w:t>spectrum assignment</w:t>
      </w:r>
      <w:r w:rsidRPr="00D86314">
        <w:rPr>
          <w:rStyle w:val="normaltextrun"/>
          <w:noProof/>
          <w:lang w:val="en-GB"/>
        </w:rPr>
        <w:t xml:space="preserve"> </w:t>
      </w:r>
      <w:r w:rsidRPr="00D86314">
        <w:rPr>
          <w:rStyle w:val="normaltextrun"/>
          <w:b/>
          <w:noProof/>
          <w:lang w:val="en-GB"/>
        </w:rPr>
        <w:t>measures</w:t>
      </w:r>
      <w:r w:rsidRPr="00D86314">
        <w:rPr>
          <w:rStyle w:val="normaltextrun"/>
          <w:noProof/>
          <w:lang w:val="en-GB"/>
        </w:rPr>
        <w:t>, the competent authorities would need to assess potential market shaping measures, e.g. limiting the max amount of spectrum per operator, on the basis of a forward-looking analysis of the market competitive conditions (Article</w:t>
      </w:r>
      <w:r w:rsidR="00F53F9A">
        <w:rPr>
          <w:rStyle w:val="normaltextrun"/>
          <w:noProof/>
          <w:lang w:val="en-GB"/>
        </w:rPr>
        <w:t> </w:t>
      </w:r>
      <w:r w:rsidRPr="00D86314">
        <w:rPr>
          <w:rStyle w:val="normaltextrun"/>
          <w:noProof/>
          <w:lang w:val="en-GB"/>
        </w:rPr>
        <w:t xml:space="preserve">52 EECC). All draft assignment measures would need to be submitted to </w:t>
      </w:r>
      <w:r w:rsidRPr="00D86314">
        <w:rPr>
          <w:rStyle w:val="normaltextrun"/>
          <w:b/>
          <w:noProof/>
          <w:lang w:val="en-GB"/>
        </w:rPr>
        <w:t>an ex</w:t>
      </w:r>
      <w:r w:rsidRPr="00D86314">
        <w:rPr>
          <w:rStyle w:val="normaltextrun"/>
          <w:noProof/>
          <w:lang w:val="en-GB"/>
        </w:rPr>
        <w:t xml:space="preserve"> </w:t>
      </w:r>
      <w:r w:rsidRPr="00D86314">
        <w:rPr>
          <w:rStyle w:val="normaltextrun"/>
          <w:b/>
          <w:noProof/>
          <w:lang w:val="en-GB"/>
        </w:rPr>
        <w:t xml:space="preserve">ante </w:t>
      </w:r>
      <w:r w:rsidR="00882668" w:rsidRPr="00D86314">
        <w:rPr>
          <w:rStyle w:val="normaltextrun"/>
          <w:b/>
          <w:noProof/>
          <w:lang w:val="en-GB"/>
        </w:rPr>
        <w:t>spectrum Single Market procedure</w:t>
      </w:r>
      <w:r w:rsidRPr="00D86314">
        <w:rPr>
          <w:rStyle w:val="normaltextrun"/>
          <w:noProof/>
          <w:lang w:val="en-GB"/>
        </w:rPr>
        <w:t xml:space="preserve"> by the Commission, and RSPG and BEREC</w:t>
      </w:r>
      <w:r w:rsidRPr="00D86314">
        <w:rPr>
          <w:noProof/>
          <w:lang w:val="en-GB"/>
        </w:rPr>
        <w:t>.</w:t>
      </w:r>
      <w:r w:rsidRPr="00D86314">
        <w:rPr>
          <w:rStyle w:val="normaltextrun"/>
          <w:noProof/>
          <w:lang w:val="en-GB"/>
        </w:rPr>
        <w:t xml:space="preserve"> The Commission would, taking into account RSPG and BEREC opinions, issue a non-binding opinion</w:t>
      </w:r>
      <w:r w:rsidRPr="00D86314" w:rsidDel="005F3B2F">
        <w:rPr>
          <w:rStyle w:val="normaltextrun"/>
          <w:noProof/>
          <w:lang w:val="en-GB"/>
        </w:rPr>
        <w:t xml:space="preserve"> on </w:t>
      </w:r>
      <w:r w:rsidRPr="00D86314">
        <w:rPr>
          <w:rStyle w:val="normaltextrun"/>
          <w:noProof/>
          <w:lang w:val="en-GB"/>
        </w:rPr>
        <w:t xml:space="preserve">the necessity of such measures, which the competent authority would need to take into account. The timely and coordinated launch of 6G would be facilitated by an </w:t>
      </w:r>
      <w:r w:rsidRPr="00D86314">
        <w:rPr>
          <w:rStyle w:val="normaltextrun"/>
          <w:b/>
          <w:noProof/>
          <w:lang w:val="en-GB"/>
        </w:rPr>
        <w:t>evolving spectrum roadmap</w:t>
      </w:r>
      <w:r w:rsidRPr="00D86314">
        <w:rPr>
          <w:rStyle w:val="normaltextrun"/>
          <w:noProof/>
          <w:lang w:val="en-GB"/>
        </w:rPr>
        <w:t xml:space="preserve"> developed and regularly updated by the Commission assisted by RSPG to provide predictability and information necessary for investment planning. Deadlines would be introduced to the procedural steps under Article</w:t>
      </w:r>
      <w:r w:rsidR="00F53F9A">
        <w:rPr>
          <w:rStyle w:val="normaltextrun"/>
          <w:noProof/>
          <w:lang w:val="en-GB"/>
        </w:rPr>
        <w:t> </w:t>
      </w:r>
      <w:r w:rsidRPr="00D86314">
        <w:rPr>
          <w:rStyle w:val="normaltextrun"/>
          <w:noProof/>
          <w:lang w:val="en-GB"/>
        </w:rPr>
        <w:t xml:space="preserve">28 EECC to faster resolve </w:t>
      </w:r>
      <w:r w:rsidRPr="00D86314">
        <w:rPr>
          <w:rStyle w:val="normaltextrun"/>
          <w:b/>
          <w:noProof/>
          <w:lang w:val="en-GB"/>
        </w:rPr>
        <w:t xml:space="preserve">cross-border interference </w:t>
      </w:r>
      <w:r w:rsidRPr="00D86314">
        <w:rPr>
          <w:rStyle w:val="normaltextrun"/>
          <w:noProof/>
          <w:lang w:val="en-GB"/>
        </w:rPr>
        <w:t>between Member States</w:t>
      </w:r>
      <w:r w:rsidRPr="00D86314">
        <w:rPr>
          <w:rStyle w:val="normaltextrun"/>
          <w:b/>
          <w:noProof/>
          <w:lang w:val="en-GB"/>
        </w:rPr>
        <w:t xml:space="preserve">. </w:t>
      </w:r>
      <w:r w:rsidRPr="00D86314">
        <w:rPr>
          <w:rStyle w:val="normaltextrun"/>
          <w:noProof/>
          <w:lang w:val="en-GB"/>
        </w:rPr>
        <w:t>Enhanced solidarity from EU and Member States, with possibility of biding measure, would be established in the case of interference from third countries. Stakeholders would have a possibility request the Commission to launch a harmonisation of a particular spectrum band use (</w:t>
      </w:r>
      <w:r w:rsidRPr="00D86314">
        <w:rPr>
          <w:rStyle w:val="normaltextrun"/>
          <w:b/>
          <w:noProof/>
          <w:lang w:val="en-GB"/>
        </w:rPr>
        <w:t>petition for rule making</w:t>
      </w:r>
      <w:r w:rsidRPr="00D86314">
        <w:rPr>
          <w:rStyle w:val="normaltextrun"/>
          <w:noProof/>
          <w:lang w:val="en-GB"/>
        </w:rPr>
        <w:t>), and the Commission would need to reply within a defined timeframe and justify an eventual refusal.</w:t>
      </w:r>
      <w:r w:rsidRPr="00D86314">
        <w:rPr>
          <w:rStyle w:val="eop"/>
          <w:noProof/>
          <w:lang w:val="en-GB"/>
        </w:rPr>
        <w:t xml:space="preserve"> For the issues potentially affecting EU </w:t>
      </w:r>
      <w:r w:rsidRPr="00D86314">
        <w:rPr>
          <w:noProof/>
          <w:lang w:val="en-GB"/>
        </w:rPr>
        <w:t xml:space="preserve">security or technology sovereignty, </w:t>
      </w:r>
      <w:r w:rsidRPr="00D86314">
        <w:rPr>
          <w:rStyle w:val="eop"/>
          <w:noProof/>
          <w:lang w:val="en-GB"/>
        </w:rPr>
        <w:t xml:space="preserve">discussed at the </w:t>
      </w:r>
      <w:r w:rsidRPr="00D86314">
        <w:rPr>
          <w:rStyle w:val="eop"/>
          <w:b/>
          <w:noProof/>
          <w:lang w:val="en-GB"/>
        </w:rPr>
        <w:t>CEPT</w:t>
      </w:r>
      <w:r w:rsidRPr="00D86314">
        <w:rPr>
          <w:noProof/>
          <w:lang w:val="en-GB"/>
        </w:rPr>
        <w:t xml:space="preserve">, </w:t>
      </w:r>
      <w:r w:rsidRPr="00D86314">
        <w:rPr>
          <w:rStyle w:val="normaltextrun"/>
          <w:noProof/>
          <w:lang w:val="en-GB"/>
        </w:rPr>
        <w:t xml:space="preserve">Member States would be recommended to </w:t>
      </w:r>
      <w:r w:rsidRPr="00D86314">
        <w:rPr>
          <w:noProof/>
          <w:lang w:val="en-GB"/>
        </w:rPr>
        <w:t>coordinate their positions.</w:t>
      </w:r>
    </w:p>
    <w:p w14:paraId="64EEFC2C" w14:textId="5D394C87" w:rsidR="00100ABD" w:rsidRPr="00D86314" w:rsidRDefault="008A03B5" w:rsidP="008A03B5">
      <w:pPr>
        <w:pStyle w:val="paragraph"/>
        <w:spacing w:before="0" w:beforeAutospacing="0" w:after="240" w:afterAutospacing="0"/>
        <w:jc w:val="both"/>
        <w:rPr>
          <w:rStyle w:val="normaltextrun"/>
          <w:b/>
          <w:noProof/>
          <w:lang w:val="en-GB"/>
        </w:rPr>
      </w:pPr>
      <w:r w:rsidRPr="00D86314">
        <w:rPr>
          <w:rStyle w:val="normaltextrun"/>
          <w:b/>
          <w:noProof/>
          <w:lang w:val="en-GB"/>
        </w:rPr>
        <w:t>Option 2: More single market to enhance investment and innovation</w:t>
      </w:r>
    </w:p>
    <w:p w14:paraId="56BE172B" w14:textId="77777777" w:rsidR="00175400" w:rsidRPr="00D86314" w:rsidRDefault="008A03B5" w:rsidP="00053421">
      <w:pPr>
        <w:pStyle w:val="paragraph"/>
        <w:spacing w:before="0" w:beforeAutospacing="0" w:after="120" w:afterAutospacing="0"/>
        <w:jc w:val="both"/>
        <w:rPr>
          <w:rStyle w:val="normaltextrun"/>
          <w:noProof/>
          <w:lang w:val="en-GB"/>
        </w:rPr>
      </w:pPr>
      <w:r w:rsidRPr="00D86314">
        <w:rPr>
          <w:rStyle w:val="normaltextrun"/>
          <w:noProof/>
          <w:lang w:val="en-GB"/>
        </w:rPr>
        <w:t>This option envisages</w:t>
      </w:r>
      <w:r w:rsidRPr="00D86314">
        <w:rPr>
          <w:rStyle w:val="normaltextrun"/>
          <w:b/>
          <w:noProof/>
          <w:lang w:val="en-GB"/>
        </w:rPr>
        <w:t xml:space="preserve"> harmonisation of spectrum authorisation conditions and procedures.</w:t>
      </w:r>
      <w:r w:rsidRPr="00D86314">
        <w:rPr>
          <w:rStyle w:val="normaltextrun"/>
          <w:noProof/>
          <w:lang w:val="en-GB"/>
        </w:rPr>
        <w:t xml:space="preserve"> </w:t>
      </w:r>
      <w:r w:rsidR="0069202D" w:rsidRPr="00D86314">
        <w:rPr>
          <w:rStyle w:val="normaltextrun"/>
          <w:noProof/>
          <w:lang w:val="en-GB"/>
        </w:rPr>
        <w:t xml:space="preserve">The Commission would </w:t>
      </w:r>
      <w:r w:rsidR="0069202D" w:rsidRPr="00D86314">
        <w:rPr>
          <w:rStyle w:val="normaltextrun"/>
          <w:b/>
          <w:noProof/>
          <w:lang w:val="en-GB"/>
        </w:rPr>
        <w:t>recommend pro-investment authorisation processes</w:t>
      </w:r>
      <w:r w:rsidR="0069202D" w:rsidRPr="00D86314">
        <w:rPr>
          <w:rStyle w:val="normaltextrun"/>
          <w:noProof/>
          <w:lang w:val="en-GB"/>
        </w:rPr>
        <w:t xml:space="preserve"> aspects and conditions for spectrum used for </w:t>
      </w:r>
      <w:r w:rsidR="0069202D" w:rsidRPr="00D86314">
        <w:rPr>
          <w:rStyle w:val="normaltextrun"/>
          <w:b/>
          <w:noProof/>
          <w:lang w:val="en-GB"/>
        </w:rPr>
        <w:t>public networks</w:t>
      </w:r>
      <w:r w:rsidR="0069202D" w:rsidRPr="00D86314">
        <w:rPr>
          <w:rStyle w:val="normaltextrun"/>
          <w:noProof/>
          <w:lang w:val="en-GB"/>
        </w:rPr>
        <w:t xml:space="preserve">, notably for 6G, based on RSPG opinion; if deviations persist, or if there is a need to promote the pan-European provision of service or the need to pursue economies of scale, </w:t>
      </w:r>
      <w:r w:rsidR="0069202D" w:rsidRPr="00D86314">
        <w:rPr>
          <w:noProof/>
          <w:lang w:val="en-GB"/>
        </w:rPr>
        <w:t xml:space="preserve">the Commission would be allowed to adopt </w:t>
      </w:r>
      <w:r w:rsidR="0069202D" w:rsidRPr="00D86314">
        <w:rPr>
          <w:rStyle w:val="normaltextrun"/>
          <w:noProof/>
          <w:lang w:val="en-GB"/>
        </w:rPr>
        <w:t xml:space="preserve">measures </w:t>
      </w:r>
      <w:r w:rsidR="0069202D" w:rsidRPr="00D86314">
        <w:rPr>
          <w:noProof/>
          <w:lang w:val="en-GB"/>
        </w:rPr>
        <w:t>to harmonise the authorisation conditions</w:t>
      </w:r>
      <w:r w:rsidR="0069202D" w:rsidRPr="00D86314">
        <w:rPr>
          <w:rStyle w:val="normaltextrun"/>
          <w:noProof/>
          <w:lang w:val="en-GB"/>
        </w:rPr>
        <w:t xml:space="preserve">. The Commission would be able to decide on the </w:t>
      </w:r>
      <w:r w:rsidR="0069202D" w:rsidRPr="00D86314">
        <w:rPr>
          <w:rStyle w:val="normaltextrun"/>
          <w:b/>
          <w:noProof/>
          <w:lang w:val="en-GB"/>
        </w:rPr>
        <w:t>authorisation regime</w:t>
      </w:r>
      <w:r w:rsidR="0069202D" w:rsidRPr="00D86314">
        <w:rPr>
          <w:rStyle w:val="normaltextrun"/>
          <w:noProof/>
          <w:lang w:val="en-GB"/>
        </w:rPr>
        <w:t xml:space="preserve"> (general authorisation or individual) for certain bands, to ensure that it best promotes efficient and strategic use of spectrum, including sharing. This would allow to take into account specific requirements necessary for public security, including harmonised spectrum available for critical communication. </w:t>
      </w:r>
      <w:r w:rsidR="006B67CD" w:rsidRPr="00D86314">
        <w:rPr>
          <w:rStyle w:val="normaltextrun"/>
          <w:noProof/>
          <w:lang w:val="en-GB"/>
        </w:rPr>
        <w:t xml:space="preserve">This measure draws from the Draghi report which </w:t>
      </w:r>
      <w:r w:rsidR="00ED260A" w:rsidRPr="00D86314">
        <w:rPr>
          <w:rStyle w:val="normaltextrun"/>
          <w:noProof/>
          <w:lang w:val="en-GB"/>
        </w:rPr>
        <w:t xml:space="preserve">suggested to </w:t>
      </w:r>
      <w:r w:rsidR="00ED260A" w:rsidRPr="00C20A01">
        <w:rPr>
          <w:rStyle w:val="normaltextrun"/>
          <w:noProof/>
          <w:lang w:val="en-GB"/>
        </w:rPr>
        <w:t>harmonising EU-wide spectrum licensing rules and processes</w:t>
      </w:r>
      <w:r w:rsidR="0069202D" w:rsidRPr="00C20A01">
        <w:rPr>
          <w:rStyle w:val="normaltextrun"/>
          <w:noProof/>
          <w:lang w:val="en-GB"/>
        </w:rPr>
        <w:t xml:space="preserve">, to </w:t>
      </w:r>
      <w:r w:rsidR="00175400" w:rsidRPr="00C20A01">
        <w:rPr>
          <w:rStyle w:val="normaltextrun"/>
          <w:noProof/>
          <w:lang w:val="en-GB"/>
        </w:rPr>
        <w:t>provide for</w:t>
      </w:r>
      <w:r w:rsidR="0069202D" w:rsidRPr="00D86314">
        <w:rPr>
          <w:rStyle w:val="normaltextrun"/>
          <w:noProof/>
          <w:lang w:val="en-GB"/>
        </w:rPr>
        <w:t xml:space="preserve"> quasi automatic renewal</w:t>
      </w:r>
      <w:r w:rsidR="0069202D" w:rsidRPr="00C20A01">
        <w:rPr>
          <w:noProof/>
          <w:lang w:val="en-GB"/>
        </w:rPr>
        <w:t xml:space="preserve"> </w:t>
      </w:r>
      <w:r w:rsidR="0069202D" w:rsidRPr="00C20A01">
        <w:rPr>
          <w:rStyle w:val="normaltextrun"/>
          <w:noProof/>
          <w:lang w:val="en-GB"/>
        </w:rPr>
        <w:t>and facilitation of spectrum trading and leasing</w:t>
      </w:r>
      <w:r w:rsidR="0069202D" w:rsidRPr="00D86314">
        <w:rPr>
          <w:rStyle w:val="normaltextrun"/>
          <w:noProof/>
          <w:lang w:val="en-GB"/>
        </w:rPr>
        <w:t xml:space="preserve">. </w:t>
      </w:r>
    </w:p>
    <w:p w14:paraId="136D2DB9" w14:textId="1CB5A7FA" w:rsidR="008A03B5" w:rsidRPr="00D86314" w:rsidRDefault="2C7B2ABE" w:rsidP="00053421">
      <w:pPr>
        <w:pStyle w:val="paragraph"/>
        <w:spacing w:before="0" w:beforeAutospacing="0" w:after="120" w:afterAutospacing="0"/>
        <w:jc w:val="both"/>
        <w:rPr>
          <w:rStyle w:val="normaltextrun"/>
          <w:noProof/>
          <w:lang w:val="en-GB"/>
        </w:rPr>
      </w:pPr>
      <w:r w:rsidRPr="00D86314">
        <w:rPr>
          <w:rStyle w:val="normaltextrun"/>
          <w:noProof/>
          <w:lang w:val="en-GB"/>
        </w:rPr>
        <w:t xml:space="preserve">With the view to regulatory predictability and to incentivising the development of a secondary market for spectrum, </w:t>
      </w:r>
      <w:r w:rsidR="008A03B5" w:rsidRPr="00D86314">
        <w:rPr>
          <w:rStyle w:val="normaltextrun"/>
          <w:noProof/>
          <w:lang w:val="en-GB"/>
        </w:rPr>
        <w:t xml:space="preserve">licenses would be granted or renewed for an </w:t>
      </w:r>
      <w:r w:rsidR="008A03B5" w:rsidRPr="00D86314">
        <w:rPr>
          <w:rStyle w:val="normaltextrun"/>
          <w:b/>
          <w:noProof/>
          <w:lang w:val="en-GB"/>
        </w:rPr>
        <w:t>unlimited duration</w:t>
      </w:r>
      <w:r w:rsidR="008A03B5" w:rsidRPr="00D86314">
        <w:rPr>
          <w:rStyle w:val="normaltextrun"/>
          <w:noProof/>
          <w:lang w:val="en-GB"/>
        </w:rPr>
        <w:t xml:space="preserve"> </w:t>
      </w:r>
      <w:r w:rsidR="5160DB5E" w:rsidRPr="00D86314">
        <w:rPr>
          <w:rStyle w:val="normaltextrun"/>
          <w:noProof/>
          <w:lang w:val="en-GB"/>
        </w:rPr>
        <w:t xml:space="preserve">by default </w:t>
      </w:r>
      <w:r w:rsidR="008A03B5" w:rsidRPr="00D86314">
        <w:rPr>
          <w:rStyle w:val="normaltextrun"/>
          <w:noProof/>
          <w:lang w:val="en-GB"/>
        </w:rPr>
        <w:t>(</w:t>
      </w:r>
      <w:r w:rsidR="3087EE99" w:rsidRPr="00D86314">
        <w:rPr>
          <w:rStyle w:val="normaltextrun"/>
          <w:noProof/>
          <w:lang w:val="en-GB"/>
        </w:rPr>
        <w:t xml:space="preserve">provided of course that the conditions are fulfilled, that there is no technology or competition development justifying a new assignment procedure and </w:t>
      </w:r>
      <w:r w:rsidR="008A03B5" w:rsidRPr="00D86314">
        <w:rPr>
          <w:rStyle w:val="normaltextrun"/>
          <w:noProof/>
          <w:lang w:val="en-GB"/>
        </w:rPr>
        <w:t xml:space="preserve">subject to revocation under certain conditions), and </w:t>
      </w:r>
      <w:r w:rsidR="00C40083" w:rsidRPr="00D86314">
        <w:rPr>
          <w:rStyle w:val="normaltextrun"/>
          <w:noProof/>
          <w:lang w:val="en-GB"/>
        </w:rPr>
        <w:t xml:space="preserve">in case of </w:t>
      </w:r>
      <w:r w:rsidR="008A03B5" w:rsidRPr="00D86314">
        <w:rPr>
          <w:rStyle w:val="normaltextrun"/>
          <w:noProof/>
          <w:lang w:val="en-GB"/>
        </w:rPr>
        <w:t>shorter duration with strong guarantees of renewal, if the licence conditions are fulfilled, based on a reversed burden of proof mechanism</w:t>
      </w:r>
      <w:r w:rsidR="0003218F" w:rsidRPr="00D86314">
        <w:rPr>
          <w:rStyle w:val="normaltextrun"/>
          <w:noProof/>
          <w:lang w:val="en-GB"/>
        </w:rPr>
        <w:t>)</w:t>
      </w:r>
      <w:r w:rsidR="008A03B5" w:rsidRPr="00D86314">
        <w:rPr>
          <w:rStyle w:val="normaltextrun"/>
          <w:noProof/>
          <w:lang w:val="en-GB"/>
        </w:rPr>
        <w:t xml:space="preserve">. Any additional condition accompanying the renewal would be proportionate to the value of it. Operators of </w:t>
      </w:r>
      <w:r w:rsidR="00F22F71" w:rsidRPr="00D86314">
        <w:rPr>
          <w:rStyle w:val="normaltextrun"/>
          <w:b/>
          <w:bCs/>
          <w:noProof/>
          <w:lang w:val="en-GB"/>
        </w:rPr>
        <w:t>public</w:t>
      </w:r>
      <w:r w:rsidR="00CD0C79" w:rsidRPr="00D86314">
        <w:rPr>
          <w:rStyle w:val="normaltextrun"/>
          <w:b/>
          <w:bCs/>
          <w:noProof/>
          <w:lang w:val="en-GB"/>
        </w:rPr>
        <w:t xml:space="preserve"> and</w:t>
      </w:r>
      <w:r w:rsidR="008A03B5" w:rsidRPr="00D86314">
        <w:rPr>
          <w:rStyle w:val="normaltextrun"/>
          <w:noProof/>
          <w:lang w:val="en-GB"/>
        </w:rPr>
        <w:t xml:space="preserve"> </w:t>
      </w:r>
      <w:r w:rsidR="008A03B5" w:rsidRPr="00D86314">
        <w:rPr>
          <w:rStyle w:val="normaltextrun"/>
          <w:b/>
          <w:noProof/>
          <w:lang w:val="en-GB"/>
        </w:rPr>
        <w:t>non-public networks</w:t>
      </w:r>
      <w:r w:rsidR="008A03B5" w:rsidRPr="00D86314">
        <w:rPr>
          <w:rStyle w:val="normaltextrun"/>
          <w:noProof/>
          <w:lang w:val="en-GB"/>
        </w:rPr>
        <w:t xml:space="preserve"> would have a right to request that competent authorities from different Member States supported by </w:t>
      </w:r>
      <w:r w:rsidR="008A03B5" w:rsidRPr="00D86314">
        <w:rPr>
          <w:noProof/>
          <w:lang w:val="en-GB"/>
        </w:rPr>
        <w:t>RSPG</w:t>
      </w:r>
      <w:r w:rsidR="008A03B5" w:rsidRPr="00D86314">
        <w:rPr>
          <w:rStyle w:val="normaltextrun"/>
          <w:noProof/>
          <w:lang w:val="en-GB"/>
        </w:rPr>
        <w:t xml:space="preserve"> harmonise their authorisation conditions for the use of particular spectrum band, thus allowing scaling up of business cases at EU level. </w:t>
      </w:r>
      <w:r w:rsidR="008A03B5" w:rsidRPr="00D86314">
        <w:rPr>
          <w:rStyle w:val="normaltextrun"/>
          <w:b/>
          <w:noProof/>
          <w:lang w:val="en-GB"/>
        </w:rPr>
        <w:t>Spectrum sharing would be mainstreamed,</w:t>
      </w:r>
      <w:r w:rsidR="008A03B5" w:rsidRPr="00D86314">
        <w:rPr>
          <w:rStyle w:val="normaltextrun"/>
          <w:noProof/>
          <w:lang w:val="en-GB"/>
        </w:rPr>
        <w:t xml:space="preserve"> in due respect of competition law, on the basis of extensive use it or share it or lose it-conditions (also to ensure efficient use of spectrum in cases of indefinite duration licenses) and the development of dynamic geolocation databases in bands where sharing would be most beneficial. Obstacles to the assignment of spectrum to wholesale network operators, such as coverage or quality obligations, would be addressed, to ensure the most efficient use of spectrum and cost-efficient deployment.</w:t>
      </w:r>
    </w:p>
    <w:p w14:paraId="6B4AD728" w14:textId="0F5B65C3" w:rsidR="00884B97" w:rsidRPr="00D86314" w:rsidRDefault="008A03B5" w:rsidP="008A03B5">
      <w:pPr>
        <w:pStyle w:val="paragraph"/>
        <w:spacing w:before="0" w:beforeAutospacing="0" w:after="240" w:afterAutospacing="0"/>
        <w:jc w:val="both"/>
        <w:textAlignment w:val="baseline"/>
        <w:rPr>
          <w:noProof/>
          <w:lang w:val="en-GB"/>
        </w:rPr>
      </w:pPr>
      <w:r w:rsidRPr="00D86314">
        <w:rPr>
          <w:rStyle w:val="normaltextrun"/>
          <w:noProof/>
          <w:lang w:val="en-GB"/>
        </w:rPr>
        <w:t xml:space="preserve">While designing </w:t>
      </w:r>
      <w:r w:rsidRPr="00D86314">
        <w:rPr>
          <w:rStyle w:val="normaltextrun"/>
          <w:b/>
          <w:noProof/>
          <w:lang w:val="en-GB"/>
        </w:rPr>
        <w:t>spectrum assignment measures</w:t>
      </w:r>
      <w:r w:rsidRPr="00D86314">
        <w:rPr>
          <w:rStyle w:val="normaltextrun"/>
          <w:noProof/>
          <w:lang w:val="en-GB"/>
        </w:rPr>
        <w:t xml:space="preserve">, the competent authorities would be obliged to apply pro-investment auction designs, with more consistent set of rules to promote effective competition based on commonly set criteria. They would be required to justify spectrum policies with regard to the impact on investment and </w:t>
      </w:r>
      <w:r w:rsidR="00106F9E" w:rsidRPr="00D86314">
        <w:rPr>
          <w:rStyle w:val="normaltextrun"/>
          <w:noProof/>
          <w:lang w:val="en-GB"/>
        </w:rPr>
        <w:t xml:space="preserve">the </w:t>
      </w:r>
      <w:r w:rsidR="00FE5C63" w:rsidRPr="00D86314">
        <w:rPr>
          <w:rStyle w:val="normaltextrun"/>
          <w:noProof/>
          <w:lang w:val="en-GB"/>
        </w:rPr>
        <w:t>economic</w:t>
      </w:r>
      <w:r w:rsidRPr="00D86314">
        <w:rPr>
          <w:rStyle w:val="normaltextrun"/>
          <w:noProof/>
          <w:lang w:val="en-GB"/>
        </w:rPr>
        <w:t xml:space="preserve"> sustainability of the market structure envisaged </w:t>
      </w:r>
      <w:r w:rsidR="00106F9E" w:rsidRPr="00D86314">
        <w:rPr>
          <w:rStyle w:val="normaltextrun"/>
          <w:noProof/>
          <w:lang w:val="en-GB"/>
        </w:rPr>
        <w:t>(</w:t>
      </w:r>
      <w:r w:rsidR="00AE0C73" w:rsidRPr="00D86314">
        <w:rPr>
          <w:rStyle w:val="normaltextrun"/>
          <w:noProof/>
          <w:lang w:val="en-GB"/>
        </w:rPr>
        <w:t>for example</w:t>
      </w:r>
      <w:r w:rsidR="00FF15CF" w:rsidRPr="00D86314">
        <w:rPr>
          <w:rStyle w:val="normaltextrun"/>
          <w:noProof/>
          <w:lang w:val="en-GB"/>
        </w:rPr>
        <w:t xml:space="preserve"> </w:t>
      </w:r>
      <w:r w:rsidR="00106F9E" w:rsidRPr="00D86314">
        <w:rPr>
          <w:rStyle w:val="normaltextrun"/>
          <w:noProof/>
          <w:lang w:val="en-GB"/>
        </w:rPr>
        <w:t xml:space="preserve">taking into account the </w:t>
      </w:r>
      <w:r w:rsidR="00B44B67" w:rsidRPr="00D86314">
        <w:rPr>
          <w:rStyle w:val="normaltextrun"/>
          <w:noProof/>
          <w:lang w:val="en-GB"/>
        </w:rPr>
        <w:t xml:space="preserve">level of service and infrastructure competition and in particular </w:t>
      </w:r>
      <w:r w:rsidR="00106F9E" w:rsidRPr="00D86314">
        <w:rPr>
          <w:rStyle w:val="normaltextrun"/>
          <w:noProof/>
          <w:lang w:val="en-GB"/>
        </w:rPr>
        <w:t xml:space="preserve">the </w:t>
      </w:r>
      <w:r w:rsidR="00106F9E" w:rsidRPr="00D86314">
        <w:rPr>
          <w:noProof/>
          <w:lang w:val="en-GB"/>
        </w:rPr>
        <w:t xml:space="preserve">number of infrastructures that can be economically sustained in the market, with reference to the characteristics of the spectrum awarded and associated investment requirements needed to achieve the quality of service targeted) </w:t>
      </w:r>
      <w:r w:rsidRPr="00D86314">
        <w:rPr>
          <w:rStyle w:val="normaltextrun"/>
          <w:noProof/>
          <w:lang w:val="en-GB"/>
        </w:rPr>
        <w:t xml:space="preserve">and choose every time the least distortive measure. Spectrum assignment measures would be subject to mandatory </w:t>
      </w:r>
      <w:r w:rsidRPr="00D86314">
        <w:rPr>
          <w:rStyle w:val="normaltextrun"/>
          <w:b/>
          <w:i/>
          <w:noProof/>
          <w:lang w:val="en-GB"/>
        </w:rPr>
        <w:t>ex ante</w:t>
      </w:r>
      <w:r w:rsidRPr="00D86314">
        <w:rPr>
          <w:rStyle w:val="normaltextrun"/>
          <w:b/>
          <w:noProof/>
          <w:lang w:val="en-GB"/>
        </w:rPr>
        <w:t xml:space="preserve"> spectrum </w:t>
      </w:r>
      <w:r w:rsidR="001C1E68" w:rsidRPr="00D86314">
        <w:rPr>
          <w:rStyle w:val="normaltextrun"/>
          <w:b/>
          <w:noProof/>
          <w:lang w:val="en-GB"/>
        </w:rPr>
        <w:t>Single Market procedure</w:t>
      </w:r>
      <w:r w:rsidRPr="00D86314">
        <w:rPr>
          <w:rStyle w:val="normaltextrun"/>
          <w:noProof/>
          <w:lang w:val="en-GB"/>
        </w:rPr>
        <w:t xml:space="preserve"> at EU level as in Option 1; however, it could result in a Commission opinion on the necessity of the measures, with veto on market shaping measures</w:t>
      </w:r>
      <w:r w:rsidR="00A82F9B" w:rsidRPr="00D86314">
        <w:rPr>
          <w:rStyle w:val="normaltextrun"/>
          <w:noProof/>
          <w:lang w:val="en-GB"/>
        </w:rPr>
        <w:t xml:space="preserve"> and limited </w:t>
      </w:r>
      <w:r w:rsidR="00CE0A7D" w:rsidRPr="00D86314">
        <w:rPr>
          <w:rStyle w:val="normaltextrun"/>
          <w:noProof/>
          <w:lang w:val="en-GB"/>
        </w:rPr>
        <w:t>licence duration</w:t>
      </w:r>
      <w:r w:rsidRPr="00D86314">
        <w:rPr>
          <w:rStyle w:val="normaltextrun"/>
          <w:noProof/>
          <w:lang w:val="en-GB"/>
        </w:rPr>
        <w:t xml:space="preserve">. </w:t>
      </w:r>
      <w:r w:rsidR="0054206E" w:rsidRPr="00D86314">
        <w:rPr>
          <w:rStyle w:val="normaltextrun"/>
          <w:noProof/>
          <w:lang w:val="en-GB"/>
        </w:rPr>
        <w:t xml:space="preserve">This measure echoes the proposal for </w:t>
      </w:r>
      <w:r w:rsidR="0054206E" w:rsidRPr="00D86314">
        <w:rPr>
          <w:noProof/>
          <w:lang w:val="en-GB"/>
        </w:rPr>
        <w:t>Commission veto on auctions not following harmonised guidelines in the Draghi report</w:t>
      </w:r>
      <w:r w:rsidR="00884B97" w:rsidRPr="00D86314">
        <w:rPr>
          <w:noProof/>
          <w:lang w:val="en-GB"/>
        </w:rPr>
        <w:t>, in particular as regards reservations</w:t>
      </w:r>
      <w:r w:rsidR="0054206E" w:rsidRPr="00D86314">
        <w:rPr>
          <w:noProof/>
          <w:lang w:val="en-GB"/>
        </w:rPr>
        <w:t>. </w:t>
      </w:r>
    </w:p>
    <w:p w14:paraId="23082133" w14:textId="6C02BC6A" w:rsidR="00293E08" w:rsidRPr="00C20A01" w:rsidRDefault="008A03B5" w:rsidP="008A03B5">
      <w:pPr>
        <w:pStyle w:val="paragraph"/>
        <w:spacing w:before="0" w:beforeAutospacing="0" w:after="240" w:afterAutospacing="0"/>
        <w:jc w:val="both"/>
        <w:textAlignment w:val="baseline"/>
        <w:rPr>
          <w:rStyle w:val="normaltextrun"/>
          <w:noProof/>
          <w:lang w:val="en-GB"/>
        </w:rPr>
      </w:pPr>
      <w:r w:rsidRPr="00D86314">
        <w:rPr>
          <w:rStyle w:val="normaltextrun"/>
          <w:b/>
          <w:noProof/>
          <w:lang w:val="en-GB"/>
        </w:rPr>
        <w:t xml:space="preserve">The </w:t>
      </w:r>
      <w:r w:rsidR="00CE0A7D" w:rsidRPr="00D86314">
        <w:rPr>
          <w:rStyle w:val="normaltextrun"/>
          <w:b/>
          <w:bCs/>
          <w:noProof/>
          <w:lang w:val="en-GB"/>
        </w:rPr>
        <w:t>EU</w:t>
      </w:r>
      <w:r w:rsidRPr="00D86314">
        <w:rPr>
          <w:rStyle w:val="normaltextrun"/>
          <w:b/>
          <w:noProof/>
          <w:lang w:val="en-GB"/>
        </w:rPr>
        <w:t xml:space="preserve"> spectrum </w:t>
      </w:r>
      <w:r w:rsidR="00CE0A7D" w:rsidRPr="00D86314">
        <w:rPr>
          <w:rStyle w:val="normaltextrun"/>
          <w:b/>
          <w:bCs/>
          <w:noProof/>
          <w:lang w:val="en-GB"/>
        </w:rPr>
        <w:t xml:space="preserve">strategy </w:t>
      </w:r>
      <w:r w:rsidR="002D3CD7" w:rsidRPr="00D86314">
        <w:rPr>
          <w:rStyle w:val="normaltextrun"/>
          <w:b/>
          <w:bCs/>
          <w:noProof/>
          <w:lang w:val="en-GB"/>
        </w:rPr>
        <w:t>with</w:t>
      </w:r>
      <w:r w:rsidR="002D3CD7" w:rsidRPr="00D86314">
        <w:rPr>
          <w:rStyle w:val="normaltextrun"/>
          <w:noProof/>
          <w:lang w:val="en-GB"/>
        </w:rPr>
        <w:t xml:space="preserve"> </w:t>
      </w:r>
      <w:r w:rsidRPr="00D86314">
        <w:rPr>
          <w:rStyle w:val="normaltextrun"/>
          <w:b/>
          <w:noProof/>
          <w:lang w:val="en-GB"/>
        </w:rPr>
        <w:t>spectrum roadmap</w:t>
      </w:r>
      <w:r w:rsidR="002D3CD7" w:rsidRPr="00D86314">
        <w:rPr>
          <w:rStyle w:val="normaltextrun"/>
          <w:b/>
          <w:noProof/>
          <w:lang w:val="en-GB"/>
        </w:rPr>
        <w:t>s</w:t>
      </w:r>
      <w:r w:rsidRPr="00D86314">
        <w:rPr>
          <w:rStyle w:val="normaltextrun"/>
          <w:noProof/>
          <w:lang w:val="en-GB"/>
        </w:rPr>
        <w:t xml:space="preserve"> would cover not just spectrum for the 6G launch but also for other technologies, such as WiFi. Competent authorities would need to develop corresponding </w:t>
      </w:r>
      <w:r w:rsidRPr="00D86314">
        <w:rPr>
          <w:rStyle w:val="normaltextrun"/>
          <w:b/>
          <w:noProof/>
          <w:lang w:val="en-GB"/>
        </w:rPr>
        <w:t>national roadmaps,</w:t>
      </w:r>
      <w:r w:rsidRPr="00D86314">
        <w:rPr>
          <w:rStyle w:val="normaltextrun"/>
          <w:noProof/>
          <w:lang w:val="en-GB"/>
        </w:rPr>
        <w:t xml:space="preserve"> which would provide increased legal certainty and regulatory predictability to investors</w:t>
      </w:r>
      <w:r w:rsidR="005C5C0B" w:rsidRPr="00D86314">
        <w:rPr>
          <w:rStyle w:val="normaltextrun"/>
          <w:noProof/>
          <w:lang w:val="en-GB"/>
        </w:rPr>
        <w:t xml:space="preserve"> and authorise spectrum</w:t>
      </w:r>
      <w:r w:rsidR="00DD4825" w:rsidRPr="00D86314">
        <w:rPr>
          <w:rStyle w:val="normaltextrun"/>
          <w:noProof/>
          <w:lang w:val="en-GB"/>
        </w:rPr>
        <w:t xml:space="preserve"> within a period of time shorter than 24 months</w:t>
      </w:r>
      <w:r w:rsidRPr="00D86314">
        <w:rPr>
          <w:rStyle w:val="normaltextrun"/>
          <w:noProof/>
          <w:lang w:val="en-GB"/>
        </w:rPr>
        <w:t xml:space="preserve">. If a competent authority does not assign spectrum within defined timelines, it could be </w:t>
      </w:r>
      <w:r w:rsidR="007B3AE4" w:rsidRPr="00D86314">
        <w:rPr>
          <w:rStyle w:val="normaltextrun"/>
          <w:noProof/>
          <w:lang w:val="en-GB"/>
        </w:rPr>
        <w:t>taken</w:t>
      </w:r>
      <w:r w:rsidRPr="00D86314">
        <w:rPr>
          <w:rStyle w:val="normaltextrun"/>
          <w:noProof/>
          <w:lang w:val="en-GB"/>
        </w:rPr>
        <w:t xml:space="preserve"> to the </w:t>
      </w:r>
      <w:r w:rsidR="00EF4C93" w:rsidRPr="00D86314">
        <w:rPr>
          <w:rStyle w:val="normaltextrun"/>
          <w:noProof/>
          <w:lang w:val="en-GB"/>
        </w:rPr>
        <w:t>national court</w:t>
      </w:r>
      <w:r w:rsidR="0094141A" w:rsidRPr="00D86314">
        <w:rPr>
          <w:rStyle w:val="normaltextrun"/>
          <w:noProof/>
          <w:lang w:val="en-GB"/>
        </w:rPr>
        <w:t xml:space="preserve"> </w:t>
      </w:r>
      <w:r w:rsidR="00431DCC" w:rsidRPr="00D86314">
        <w:rPr>
          <w:rStyle w:val="normaltextrun"/>
          <w:noProof/>
          <w:lang w:val="en-GB"/>
        </w:rPr>
        <w:t>on the grounds of failure to act</w:t>
      </w:r>
      <w:r w:rsidRPr="00D86314">
        <w:rPr>
          <w:rStyle w:val="normaltextrun"/>
          <w:noProof/>
          <w:lang w:val="en-GB"/>
        </w:rPr>
        <w:t xml:space="preserve">. </w:t>
      </w:r>
      <w:r w:rsidR="00226636" w:rsidRPr="00D86314">
        <w:rPr>
          <w:rStyle w:val="normaltextrun"/>
          <w:noProof/>
          <w:lang w:val="en-GB"/>
        </w:rPr>
        <w:t xml:space="preserve">This measure echoes the proposal in the Draghi report to </w:t>
      </w:r>
      <w:r w:rsidR="00226636" w:rsidRPr="00C20A01">
        <w:rPr>
          <w:rStyle w:val="normaltextrun"/>
          <w:noProof/>
          <w:lang w:val="en-GB"/>
        </w:rPr>
        <w:t>harmonise the release of new frequency bands to allow investment across Member States by EU players, guarantee the timing of harmonisation and include the release of additional WiFi-dedicated bands into the spectrum guidelines, to allocate enough spectrum to 5G and 6G</w:t>
      </w:r>
      <w:r w:rsidR="00293E08" w:rsidRPr="00C20A01">
        <w:rPr>
          <w:rStyle w:val="normaltextrun"/>
          <w:noProof/>
          <w:lang w:val="en-GB"/>
        </w:rPr>
        <w:t>.</w:t>
      </w:r>
    </w:p>
    <w:p w14:paraId="616FCE23" w14:textId="4B020867" w:rsidR="008A03B5" w:rsidRPr="00D86314" w:rsidRDefault="008A03B5" w:rsidP="008A03B5">
      <w:pPr>
        <w:pStyle w:val="paragraph"/>
        <w:spacing w:before="0" w:beforeAutospacing="0" w:after="240" w:afterAutospacing="0"/>
        <w:jc w:val="both"/>
        <w:textAlignment w:val="baseline"/>
        <w:rPr>
          <w:rStyle w:val="eop"/>
          <w:noProof/>
          <w:lang w:val="en-GB"/>
        </w:rPr>
      </w:pPr>
      <w:r w:rsidRPr="00D86314">
        <w:rPr>
          <w:rStyle w:val="normaltextrun"/>
          <w:noProof/>
          <w:lang w:val="en-GB"/>
        </w:rPr>
        <w:t xml:space="preserve">The current mechanism for addressing </w:t>
      </w:r>
      <w:r w:rsidRPr="00D86314">
        <w:rPr>
          <w:rStyle w:val="normaltextrun"/>
          <w:b/>
          <w:bCs/>
          <w:noProof/>
          <w:lang w:val="en-GB"/>
        </w:rPr>
        <w:t>harmful interference</w:t>
      </w:r>
      <w:r w:rsidRPr="00D86314">
        <w:rPr>
          <w:rStyle w:val="normaltextrun"/>
          <w:noProof/>
          <w:lang w:val="en-GB"/>
        </w:rPr>
        <w:t xml:space="preserve"> between Member States would be extended to non-harmonised bands</w:t>
      </w:r>
      <w:r w:rsidR="004C2E4D" w:rsidRPr="00D86314">
        <w:rPr>
          <w:rStyle w:val="normaltextrun"/>
          <w:noProof/>
          <w:lang w:val="en-GB"/>
        </w:rPr>
        <w:t xml:space="preserve"> (in addition to setting deadlines</w:t>
      </w:r>
      <w:r w:rsidR="00774CC1" w:rsidRPr="00D86314">
        <w:rPr>
          <w:rStyle w:val="normaltextrun"/>
          <w:noProof/>
          <w:lang w:val="en-GB"/>
        </w:rPr>
        <w:t>)</w:t>
      </w:r>
      <w:r w:rsidRPr="00D86314">
        <w:rPr>
          <w:rStyle w:val="normaltextrun"/>
          <w:noProof/>
          <w:lang w:val="en-GB"/>
        </w:rPr>
        <w:t xml:space="preserve">. Lastly, a </w:t>
      </w:r>
      <w:r w:rsidRPr="00D86314">
        <w:rPr>
          <w:rStyle w:val="normaltextrun"/>
          <w:b/>
          <w:bCs/>
          <w:noProof/>
          <w:lang w:val="en-GB"/>
        </w:rPr>
        <w:t>petition for rule-making</w:t>
      </w:r>
      <w:r w:rsidRPr="00D86314">
        <w:rPr>
          <w:rStyle w:val="normaltextrun"/>
          <w:noProof/>
          <w:lang w:val="en-GB"/>
        </w:rPr>
        <w:t xml:space="preserve"> mechanism would be established for innovators to request the harmonisation of a band across the EU, with a procedure and obligations for the authorities to consider such request, giving innovators a structured process to support their innovative projects. Member States would be </w:t>
      </w:r>
      <w:r w:rsidRPr="00D86314">
        <w:rPr>
          <w:rStyle w:val="eop"/>
          <w:noProof/>
          <w:lang w:val="en-GB"/>
        </w:rPr>
        <w:t xml:space="preserve">required to coordinate their positions </w:t>
      </w:r>
      <w:r w:rsidRPr="00D86314">
        <w:rPr>
          <w:noProof/>
          <w:lang w:val="en-GB"/>
        </w:rPr>
        <w:t>at CEPT for issues related to security or technology sovereignty</w:t>
      </w:r>
      <w:r w:rsidRPr="00D86314">
        <w:rPr>
          <w:rStyle w:val="FootnoteReference"/>
          <w:noProof/>
          <w:lang w:val="en-GB"/>
        </w:rPr>
        <w:footnoteReference w:id="204"/>
      </w:r>
      <w:r w:rsidRPr="00D86314">
        <w:rPr>
          <w:noProof/>
          <w:lang w:val="en-GB"/>
        </w:rPr>
        <w:t>.</w:t>
      </w:r>
    </w:p>
    <w:p w14:paraId="412328EA" w14:textId="17F95981" w:rsidR="00100ABD" w:rsidRPr="00D86314" w:rsidRDefault="008A03B5" w:rsidP="008A03B5">
      <w:pPr>
        <w:pStyle w:val="paragraph"/>
        <w:spacing w:before="0" w:beforeAutospacing="0" w:after="120" w:afterAutospacing="0"/>
        <w:jc w:val="both"/>
        <w:rPr>
          <w:rStyle w:val="normaltextrun"/>
          <w:b/>
          <w:noProof/>
          <w:lang w:val="en-GB"/>
        </w:rPr>
      </w:pPr>
      <w:r w:rsidRPr="00D86314">
        <w:rPr>
          <w:rStyle w:val="normaltextrun"/>
          <w:b/>
          <w:noProof/>
          <w:lang w:val="en-GB"/>
        </w:rPr>
        <w:t xml:space="preserve">Option 3: Strong harmonisation and EU level rules </w:t>
      </w:r>
    </w:p>
    <w:p w14:paraId="1943EFFB" w14:textId="5771BB16" w:rsidR="008A03B5" w:rsidRPr="00D86314" w:rsidRDefault="008A03B5" w:rsidP="008A03B5">
      <w:pPr>
        <w:pStyle w:val="paragraph"/>
        <w:spacing w:before="0" w:beforeAutospacing="0" w:after="120" w:afterAutospacing="0"/>
        <w:jc w:val="both"/>
        <w:rPr>
          <w:noProof/>
          <w:lang w:val="en-GB"/>
        </w:rPr>
      </w:pPr>
      <w:r w:rsidRPr="00D86314">
        <w:rPr>
          <w:rStyle w:val="normaltextrun"/>
          <w:noProof/>
          <w:lang w:val="en-GB"/>
        </w:rPr>
        <w:t xml:space="preserve">In this option </w:t>
      </w:r>
      <w:r w:rsidRPr="00D86314">
        <w:rPr>
          <w:rStyle w:val="normaltextrun"/>
          <w:b/>
          <w:noProof/>
          <w:lang w:val="en-GB"/>
        </w:rPr>
        <w:t>fully harmonised authorisation processes</w:t>
      </w:r>
      <w:r w:rsidRPr="00D86314">
        <w:rPr>
          <w:rStyle w:val="normaltextrun"/>
          <w:noProof/>
          <w:lang w:val="en-GB"/>
        </w:rPr>
        <w:t xml:space="preserve"> aspects and conditions (e.g. auction design, reserve prices, award fees, annual fees, coverage obligations, QoS) would be imposed. The assignment of spectrum will based on </w:t>
      </w:r>
      <w:r w:rsidRPr="00D86314">
        <w:rPr>
          <w:rStyle w:val="normaltextrun"/>
          <w:b/>
          <w:noProof/>
          <w:lang w:val="en-GB"/>
        </w:rPr>
        <w:t>indefinite licence duration</w:t>
      </w:r>
      <w:r w:rsidRPr="00D86314">
        <w:rPr>
          <w:rStyle w:val="normaltextrun"/>
          <w:noProof/>
          <w:lang w:val="en-GB"/>
        </w:rPr>
        <w:t xml:space="preserve">. To exclude any artificial spectrum scarcity, the national authorities would be only authorised to impose </w:t>
      </w:r>
      <w:r w:rsidRPr="00D86314">
        <w:rPr>
          <w:rStyle w:val="normaltextrun"/>
          <w:b/>
          <w:noProof/>
          <w:lang w:val="en-GB"/>
        </w:rPr>
        <w:t>market shaping measures</w:t>
      </w:r>
      <w:r w:rsidRPr="00D86314">
        <w:rPr>
          <w:rStyle w:val="normaltextrun"/>
          <w:noProof/>
          <w:lang w:val="en-GB"/>
        </w:rPr>
        <w:t xml:space="preserve"> (e.g. spectrum caps) in case of dominance. The competence for awarding harmonised spectrum for certain services, would be transferred at Union level, under certain conditions (e.g. delays in assignment). All assignment measures for spectrum assigned at national level, should be submitted to </w:t>
      </w:r>
      <w:r w:rsidRPr="00D86314">
        <w:rPr>
          <w:rStyle w:val="normaltextrun"/>
          <w:i/>
          <w:noProof/>
          <w:lang w:val="en-GB"/>
        </w:rPr>
        <w:t>ex-ante</w:t>
      </w:r>
      <w:r w:rsidRPr="00D86314">
        <w:rPr>
          <w:rStyle w:val="normaltextrun"/>
          <w:noProof/>
          <w:lang w:val="en-GB"/>
        </w:rPr>
        <w:t xml:space="preserve"> spectrum scrutiny as under Option 2 with the same possible outcome. For spectrum assigned nationally, in addition to mandating an authorisation regime, including flexible authorisation, operators would have a right to request from multiple authorities to assign to them spectrum in a </w:t>
      </w:r>
      <w:r w:rsidRPr="00D86314">
        <w:rPr>
          <w:rStyle w:val="normaltextrun"/>
          <w:b/>
          <w:noProof/>
          <w:lang w:val="en-GB"/>
        </w:rPr>
        <w:t>joint selection</w:t>
      </w:r>
      <w:r w:rsidRPr="00D86314">
        <w:rPr>
          <w:rStyle w:val="normaltextrun"/>
          <w:noProof/>
          <w:lang w:val="en-GB"/>
        </w:rPr>
        <w:t xml:space="preserve"> </w:t>
      </w:r>
      <w:r w:rsidRPr="00D86314">
        <w:rPr>
          <w:rStyle w:val="normaltextrun"/>
          <w:b/>
          <w:noProof/>
          <w:lang w:val="en-GB"/>
        </w:rPr>
        <w:t xml:space="preserve">procedure </w:t>
      </w:r>
      <w:r w:rsidRPr="00D86314">
        <w:rPr>
          <w:rStyle w:val="normaltextrun"/>
          <w:noProof/>
          <w:lang w:val="en-GB"/>
        </w:rPr>
        <w:t>under harmonised authorisation conditions. A mandatory EU framework would be established to increase efficiency and enable spectrum sharing across all EU-harmonised bands. This framework would require the use of dynamic geolocation database systems. Coordination of the timing of assignment for every band would be done through deadlines set in hard law. Passed the deadline, the band would be auctioned on the basis of standard pre-established conditions. A mechanism under RSPG would coordinate the response of Member States to harmful interferences from third countries while for interferences between Member States it would be coupled with private enforcement to increase its effectiveness. Lastly, the scope of the petition for rulemaking would be extended beyond harmonisation of spectrum to also cover authorisation aspects like (innovative) shared spectrum use (e.g. shared use, local licences, temporary licences), as well as innovative approaches to improve spectrum efficiency. In exceptional cases, instead of CEPT, an ad hoc/high-level group of EU MS-only representatives would carry out the harmonisation work.</w:t>
      </w:r>
    </w:p>
    <w:p w14:paraId="1B68D07D" w14:textId="30684545" w:rsidR="008B4A56" w:rsidRPr="00D86314" w:rsidRDefault="005A2A0E" w:rsidP="0008275C">
      <w:pPr>
        <w:pStyle w:val="Heading1"/>
        <w:rPr>
          <w:noProof/>
          <w:lang w:val="en-GB"/>
        </w:rPr>
      </w:pPr>
      <w:bookmarkStart w:id="245" w:name="_Toc219718439"/>
      <w:r w:rsidRPr="00D86314">
        <w:rPr>
          <w:noProof/>
          <w:lang w:val="en-GB"/>
        </w:rPr>
        <w:t>Authorisation</w:t>
      </w:r>
      <w:bookmarkEnd w:id="245"/>
    </w:p>
    <w:p w14:paraId="7DFC7822" w14:textId="77777777" w:rsidR="005A2852" w:rsidRPr="00D86314" w:rsidRDefault="005A2852" w:rsidP="00BF67FD">
      <w:pPr>
        <w:pStyle w:val="paragraph"/>
        <w:spacing w:before="0" w:beforeAutospacing="0" w:after="120" w:afterAutospacing="0"/>
        <w:jc w:val="both"/>
        <w:rPr>
          <w:b/>
          <w:noProof/>
          <w:color w:val="000000" w:themeColor="text1"/>
          <w:lang w:val="en-GB"/>
        </w:rPr>
      </w:pPr>
      <w:bookmarkStart w:id="246" w:name="_Hlk206000490"/>
      <w:r w:rsidRPr="00D86314">
        <w:rPr>
          <w:rStyle w:val="normaltextrun"/>
          <w:b/>
          <w:noProof/>
          <w:color w:val="000000" w:themeColor="text1"/>
          <w:lang w:val="en-GB"/>
        </w:rPr>
        <w:t xml:space="preserve">Option 1: </w:t>
      </w:r>
      <w:r w:rsidRPr="00D86314">
        <w:rPr>
          <w:b/>
          <w:noProof/>
          <w:color w:val="000000" w:themeColor="text1"/>
          <w:lang w:val="en-GB"/>
        </w:rPr>
        <w:t xml:space="preserve">Partial harmonisation of authorisation: </w:t>
      </w:r>
    </w:p>
    <w:p w14:paraId="5E7FC455" w14:textId="27262AA5" w:rsidR="005A2852" w:rsidRPr="00D86314" w:rsidRDefault="000B7D54" w:rsidP="005A2852">
      <w:pPr>
        <w:pStyle w:val="paragraph"/>
        <w:spacing w:before="0" w:beforeAutospacing="0" w:after="0" w:afterAutospacing="0"/>
        <w:jc w:val="both"/>
        <w:rPr>
          <w:rStyle w:val="normaltextrun"/>
          <w:noProof/>
          <w:color w:val="000000" w:themeColor="text1"/>
          <w:lang w:val="en-GB"/>
        </w:rPr>
      </w:pPr>
      <w:r w:rsidRPr="00D86314">
        <w:rPr>
          <w:noProof/>
          <w:color w:val="000000" w:themeColor="text1"/>
          <w:lang w:val="en-GB"/>
        </w:rPr>
        <w:t>O</w:t>
      </w:r>
      <w:r w:rsidR="001A132B">
        <w:rPr>
          <w:noProof/>
          <w:color w:val="000000" w:themeColor="text1"/>
          <w:lang w:val="en-GB"/>
        </w:rPr>
        <w:t xml:space="preserve">ption </w:t>
      </w:r>
      <w:r w:rsidRPr="00D86314">
        <w:rPr>
          <w:noProof/>
          <w:color w:val="000000" w:themeColor="text1"/>
          <w:lang w:val="en-GB"/>
        </w:rPr>
        <w:t>1 addresses the lack of resilient pan-European networks by improving consistency through partial harmonisation of authorisation conditions and stronger enforcement of the EECC regime. Enhanced BEREC tools and templates help reduce fragmentation and improve security compliance. It supports more pan-European services by simplifying regulatory processes, though impact remains limited</w:t>
      </w:r>
      <w:r w:rsidR="4300B90B" w:rsidRPr="00D86314">
        <w:rPr>
          <w:noProof/>
          <w:color w:val="000000" w:themeColor="text1"/>
          <w:lang w:val="en-GB"/>
        </w:rPr>
        <w:t xml:space="preserve">. </w:t>
      </w:r>
      <w:r w:rsidRPr="00D86314">
        <w:rPr>
          <w:noProof/>
          <w:color w:val="000000" w:themeColor="text1"/>
          <w:lang w:val="en-GB"/>
        </w:rPr>
        <w:t>authorisations stay largely national.</w:t>
      </w:r>
      <w:r w:rsidR="00B01D42" w:rsidRPr="00D86314">
        <w:rPr>
          <w:noProof/>
          <w:color w:val="000000" w:themeColor="text1"/>
          <w:lang w:val="en-GB"/>
        </w:rPr>
        <w:t xml:space="preserve"> </w:t>
      </w:r>
      <w:r w:rsidR="005A2852" w:rsidRPr="00D86314">
        <w:rPr>
          <w:noProof/>
          <w:color w:val="000000" w:themeColor="text1"/>
          <w:lang w:val="en-GB"/>
        </w:rPr>
        <w:t>Th</w:t>
      </w:r>
      <w:r w:rsidRPr="00D86314">
        <w:rPr>
          <w:noProof/>
          <w:color w:val="000000" w:themeColor="text1"/>
          <w:lang w:val="en-GB"/>
        </w:rPr>
        <w:t>is</w:t>
      </w:r>
      <w:r w:rsidR="005A2852" w:rsidRPr="00D86314">
        <w:rPr>
          <w:noProof/>
          <w:color w:val="000000" w:themeColor="text1"/>
          <w:lang w:val="en-GB"/>
        </w:rPr>
        <w:t xml:space="preserve"> </w:t>
      </w:r>
      <w:r w:rsidR="005A2852" w:rsidRPr="00D86314">
        <w:rPr>
          <w:rStyle w:val="normaltextrun"/>
          <w:noProof/>
          <w:color w:val="000000" w:themeColor="text1"/>
          <w:lang w:val="en-GB"/>
        </w:rPr>
        <w:t>option establish</w:t>
      </w:r>
      <w:r w:rsidR="00B01D42" w:rsidRPr="00D86314">
        <w:rPr>
          <w:rStyle w:val="normaltextrun"/>
          <w:noProof/>
          <w:color w:val="000000" w:themeColor="text1"/>
          <w:lang w:val="en-GB"/>
        </w:rPr>
        <w:t>es</w:t>
      </w:r>
      <w:r w:rsidR="005A2852" w:rsidRPr="00D86314">
        <w:rPr>
          <w:rStyle w:val="normaltextrun"/>
          <w:noProof/>
          <w:color w:val="000000" w:themeColor="text1"/>
          <w:lang w:val="en-GB"/>
        </w:rPr>
        <w:t xml:space="preserve"> an EU-level maximum list of conditions for the general authorisation (updated), while conditions for satellite services would be softly harmonised through a common template. </w:t>
      </w:r>
      <w:r w:rsidR="0D20FE45" w:rsidRPr="00D86314">
        <w:rPr>
          <w:rStyle w:val="normaltextrun"/>
          <w:noProof/>
          <w:color w:val="000000" w:themeColor="text1"/>
          <w:lang w:val="en-GB"/>
        </w:rPr>
        <w:t>P</w:t>
      </w:r>
      <w:r w:rsidR="005A2852" w:rsidRPr="00D86314">
        <w:rPr>
          <w:rStyle w:val="normaltextrun"/>
          <w:noProof/>
          <w:color w:val="000000" w:themeColor="text1"/>
          <w:lang w:val="en-GB"/>
        </w:rPr>
        <w:t>roviders still obtain authorisation from the Member State of destination. However, cross-border providers (e.g. satellite operators, other B2B providers not offering B2C services) would benefit from a one-stop shop notification system. The BEREC Office could act as the one-stop shop, or as an intermediary between the notifying Member State and those where services are provided. Under this option even with the one-stop shop, national authorisation is still required in each Member State and conditions and rules applicable are not further simplified and harmonised.</w:t>
      </w:r>
    </w:p>
    <w:p w14:paraId="749351E2" w14:textId="77777777" w:rsidR="005A2852" w:rsidRPr="00D86314" w:rsidRDefault="005A2852" w:rsidP="005A2852">
      <w:pPr>
        <w:pStyle w:val="paragraph"/>
        <w:spacing w:before="0" w:beforeAutospacing="0" w:after="0" w:afterAutospacing="0"/>
        <w:jc w:val="both"/>
        <w:rPr>
          <w:rStyle w:val="normaltextrun"/>
          <w:noProof/>
          <w:lang w:val="en-GB"/>
        </w:rPr>
      </w:pPr>
      <w:r w:rsidRPr="00D86314">
        <w:rPr>
          <w:rStyle w:val="normaltextrun"/>
          <w:noProof/>
          <w:lang w:val="en-GB"/>
        </w:rPr>
        <w:t xml:space="preserve">Under this option, </w:t>
      </w:r>
      <w:r w:rsidRPr="00D86314">
        <w:rPr>
          <w:rStyle w:val="normaltextrun"/>
          <w:b/>
          <w:noProof/>
          <w:lang w:val="en-GB"/>
        </w:rPr>
        <w:t>on satellite</w:t>
      </w:r>
      <w:r w:rsidRPr="00D86314">
        <w:rPr>
          <w:rStyle w:val="normaltextrun"/>
          <w:noProof/>
          <w:lang w:val="en-GB"/>
        </w:rPr>
        <w:t xml:space="preserve">, to better address the existing barriers to the development of pan-European satellite services, the Commission would be empowered to conduct a </w:t>
      </w:r>
      <w:r w:rsidRPr="00D86314">
        <w:rPr>
          <w:rStyle w:val="normaltextrun"/>
          <w:b/>
          <w:noProof/>
          <w:lang w:val="en-GB"/>
        </w:rPr>
        <w:t>selection procedure</w:t>
      </w:r>
      <w:r w:rsidRPr="00D86314">
        <w:rPr>
          <w:rStyle w:val="normaltextrun"/>
          <w:noProof/>
          <w:lang w:val="en-GB"/>
        </w:rPr>
        <w:t xml:space="preserve"> for licensees of satellite spectrum for the provision of pan-European services. This would ensure that licensees may cost-efficiently deploy services covering the entire single market. Conditions for rights would still be defined and spectrum assigned at national level.</w:t>
      </w:r>
    </w:p>
    <w:p w14:paraId="52B94A54" w14:textId="77777777" w:rsidR="005A2852" w:rsidRPr="00D86314" w:rsidRDefault="005A2852" w:rsidP="005A2852">
      <w:pPr>
        <w:spacing w:before="240"/>
        <w:rPr>
          <w:b/>
          <w:noProof/>
        </w:rPr>
      </w:pPr>
      <w:r w:rsidRPr="00D86314">
        <w:rPr>
          <w:b/>
          <w:noProof/>
        </w:rPr>
        <w:t>Option 2</w:t>
      </w:r>
      <w:r w:rsidRPr="00D86314">
        <w:rPr>
          <w:b/>
          <w:bCs/>
          <w:noProof/>
        </w:rPr>
        <w:t>:</w:t>
      </w:r>
      <w:r w:rsidRPr="00D86314">
        <w:rPr>
          <w:b/>
          <w:noProof/>
        </w:rPr>
        <w:t xml:space="preserve"> Single “passport” for other networks and services than satellite and an EU-level authorisation for satellite spectrum</w:t>
      </w:r>
    </w:p>
    <w:p w14:paraId="296562D7" w14:textId="77777777" w:rsidR="005A2852" w:rsidRPr="00D86314" w:rsidRDefault="005A2852" w:rsidP="005A2852">
      <w:pPr>
        <w:pStyle w:val="paragraph"/>
        <w:spacing w:before="0" w:beforeAutospacing="0" w:after="120" w:afterAutospacing="0"/>
        <w:jc w:val="both"/>
        <w:rPr>
          <w:b/>
          <w:noProof/>
          <w:lang w:val="en-GB"/>
        </w:rPr>
      </w:pPr>
      <w:r w:rsidRPr="00D86314">
        <w:rPr>
          <w:b/>
          <w:noProof/>
          <w:lang w:val="en-GB"/>
        </w:rPr>
        <w:t>Single “passport” for other networks and services than satellite</w:t>
      </w:r>
    </w:p>
    <w:p w14:paraId="693BD826" w14:textId="7E3ECD9C" w:rsidR="006705CA" w:rsidRPr="00D86314" w:rsidRDefault="006705CA" w:rsidP="00703057">
      <w:pPr>
        <w:pStyle w:val="paragraph"/>
        <w:spacing w:after="120"/>
        <w:jc w:val="both"/>
        <w:rPr>
          <w:rStyle w:val="normaltextrun"/>
          <w:rFonts w:eastAsiaTheme="minorHAnsi"/>
          <w:noProof/>
          <w:color w:val="000000" w:themeColor="text1"/>
          <w:lang w:val="en-GB" w:eastAsia="en-US"/>
        </w:rPr>
      </w:pPr>
      <w:r w:rsidRPr="00D86314">
        <w:rPr>
          <w:rStyle w:val="normaltextrun"/>
          <w:noProof/>
          <w:color w:val="000000" w:themeColor="text1"/>
          <w:lang w:val="en-GB"/>
        </w:rPr>
        <w:t>O</w:t>
      </w:r>
      <w:r w:rsidR="001A132B">
        <w:rPr>
          <w:rStyle w:val="normaltextrun"/>
          <w:noProof/>
          <w:color w:val="000000" w:themeColor="text1"/>
          <w:lang w:val="en-GB"/>
        </w:rPr>
        <w:t xml:space="preserve">ption </w:t>
      </w:r>
      <w:r w:rsidRPr="00D86314">
        <w:rPr>
          <w:rStyle w:val="normaltextrun"/>
          <w:noProof/>
          <w:color w:val="000000" w:themeColor="text1"/>
          <w:lang w:val="en-GB"/>
        </w:rPr>
        <w:t>2 strengthens pan-European resilience by introducing a “single passport” for networks and services and harmonised EU-level authorisation for satellite spectrum. This creates a coherent regulatory environment, enabling seamless cross-border operations and reliable connectivity. It effectively promotes more pan-European services by removing administrative barriers and fostering market scalability and ensuring coordinated enforcement to establish a level playing field in satellite.</w:t>
      </w:r>
    </w:p>
    <w:p w14:paraId="318DA248" w14:textId="46905EB4" w:rsidR="005A2852" w:rsidRPr="00D86314" w:rsidRDefault="005A2852" w:rsidP="005A2852">
      <w:pPr>
        <w:pStyle w:val="paragraph"/>
        <w:spacing w:before="0" w:beforeAutospacing="0" w:after="120" w:afterAutospacing="0"/>
        <w:jc w:val="both"/>
        <w:rPr>
          <w:rStyle w:val="normaltextrun"/>
          <w:rFonts w:eastAsiaTheme="minorHAnsi"/>
          <w:noProof/>
          <w:color w:val="000000" w:themeColor="text1"/>
          <w:lang w:val="en-GB"/>
        </w:rPr>
      </w:pPr>
      <w:r w:rsidRPr="00D86314">
        <w:rPr>
          <w:rStyle w:val="normaltextrun"/>
          <w:noProof/>
          <w:color w:val="000000" w:themeColor="text1"/>
          <w:lang w:val="en-GB"/>
        </w:rPr>
        <w:t>This option proposes to simplify and fully harmonise all EECC conditions for the general authorisation, through a fixed and exhaustive list of conditions applicable in all Member States.</w:t>
      </w:r>
    </w:p>
    <w:p w14:paraId="21976545" w14:textId="739EC6D2" w:rsidR="005A2852" w:rsidRPr="00D86314" w:rsidRDefault="005A2852" w:rsidP="005A2852">
      <w:pPr>
        <w:pStyle w:val="paragraph"/>
        <w:spacing w:before="0" w:beforeAutospacing="0" w:after="120" w:afterAutospacing="0"/>
        <w:jc w:val="both"/>
        <w:rPr>
          <w:rStyle w:val="eop"/>
          <w:noProof/>
          <w:color w:val="000000" w:themeColor="text1"/>
          <w:lang w:val="en-GB"/>
        </w:rPr>
      </w:pPr>
      <w:r w:rsidRPr="00D86314">
        <w:rPr>
          <w:rStyle w:val="normaltextrun"/>
          <w:noProof/>
          <w:color w:val="000000" w:themeColor="text1"/>
          <w:lang w:val="en-GB"/>
        </w:rPr>
        <w:t>Providers would notify in one Member State only (the ‘Member State of notification’). Its competent authority would then coordinate with all other Member States where the provider intends to operate to ensure compliance with applicable rules. During this process, the authority would be assisted by the [BEREC Office], which would provide technical and procedural guidance to ensure consistency across the Union. Once coordination is complete, the Member State of notification issues the declaration(s) authorising the provision of networks and services, which are then valid in all Member States.</w:t>
      </w:r>
    </w:p>
    <w:p w14:paraId="4814DBFC" w14:textId="772E5CCF" w:rsidR="005A2852" w:rsidRPr="00D86314" w:rsidRDefault="005A2852" w:rsidP="005A2852">
      <w:pPr>
        <w:pStyle w:val="paragraph"/>
        <w:spacing w:before="0" w:beforeAutospacing="0" w:after="120" w:afterAutospacing="0"/>
        <w:jc w:val="both"/>
        <w:rPr>
          <w:rFonts w:ascii="Calibri" w:eastAsia="Calibri" w:hAnsi="Calibri" w:cs="Calibri"/>
          <w:noProof/>
          <w:sz w:val="22"/>
          <w:szCs w:val="22"/>
          <w:lang w:val="en-GB"/>
        </w:rPr>
      </w:pPr>
      <w:r w:rsidRPr="00D86314">
        <w:rPr>
          <w:rStyle w:val="normaltextrun"/>
          <w:noProof/>
          <w:color w:val="000000" w:themeColor="text1"/>
          <w:lang w:val="en-GB"/>
        </w:rPr>
        <w:t xml:space="preserve">Specific national rules and non–DNA requirements, such as the ones related to e.g. cybersecurity, data retention or lawful interception would be coordinated among Member States. To facilitate the process BEREC would issue guidelines to provide technical and procedural guidance to </w:t>
      </w:r>
      <w:r w:rsidR="6D592D3B" w:rsidRPr="00D86314">
        <w:rPr>
          <w:rStyle w:val="normaltextrun"/>
          <w:noProof/>
          <w:color w:val="000000" w:themeColor="text1"/>
          <w:lang w:val="en-GB"/>
        </w:rPr>
        <w:t>approximate th</w:t>
      </w:r>
      <w:r w:rsidR="79ED07E1" w:rsidRPr="00D86314">
        <w:rPr>
          <w:rStyle w:val="normaltextrun"/>
          <w:noProof/>
          <w:color w:val="000000" w:themeColor="text1"/>
          <w:lang w:val="en-GB"/>
        </w:rPr>
        <w:t>at</w:t>
      </w:r>
      <w:r w:rsidR="6D592D3B" w:rsidRPr="00D86314">
        <w:rPr>
          <w:rStyle w:val="normaltextrun"/>
          <w:noProof/>
          <w:color w:val="000000" w:themeColor="text1"/>
          <w:lang w:val="en-GB"/>
        </w:rPr>
        <w:t xml:space="preserve"> </w:t>
      </w:r>
      <w:r w:rsidR="6C2C92FB" w:rsidRPr="00D86314">
        <w:rPr>
          <w:rStyle w:val="normaltextrun"/>
          <w:noProof/>
          <w:color w:val="000000" w:themeColor="text1"/>
          <w:lang w:val="en-GB"/>
        </w:rPr>
        <w:t xml:space="preserve">conditions </w:t>
      </w:r>
      <w:r w:rsidR="0C780035" w:rsidRPr="00D86314">
        <w:rPr>
          <w:rStyle w:val="normaltextrun"/>
          <w:noProof/>
          <w:color w:val="000000" w:themeColor="text1"/>
          <w:lang w:val="en-GB"/>
        </w:rPr>
        <w:t xml:space="preserve">as much as possible </w:t>
      </w:r>
      <w:r w:rsidR="0F74A3D6" w:rsidRPr="00D86314">
        <w:rPr>
          <w:rStyle w:val="normaltextrun"/>
          <w:noProof/>
          <w:color w:val="000000" w:themeColor="text1"/>
          <w:lang w:val="en-GB"/>
        </w:rPr>
        <w:t xml:space="preserve">across the union. </w:t>
      </w:r>
      <w:r w:rsidR="1C3DFE9A" w:rsidRPr="00D86314">
        <w:rPr>
          <w:rStyle w:val="normaltextrun"/>
          <w:noProof/>
          <w:color w:val="000000" w:themeColor="text1"/>
          <w:lang w:val="en-GB"/>
        </w:rPr>
        <w:t xml:space="preserve">Coordination would first take place to inform the development of these BEREC guidelines, ensuring clarity on the applicable conditions and rules, and would subsequently continue for the approximation of any remaining national rules. </w:t>
      </w:r>
      <w:r w:rsidR="0F74A3D6" w:rsidRPr="00D86314">
        <w:rPr>
          <w:rStyle w:val="normaltextrun"/>
          <w:noProof/>
          <w:color w:val="000000" w:themeColor="text1"/>
          <w:lang w:val="en-GB"/>
        </w:rPr>
        <w:t>Th</w:t>
      </w:r>
      <w:r w:rsidR="006D6ED6" w:rsidRPr="00D86314">
        <w:rPr>
          <w:rStyle w:val="normaltextrun"/>
          <w:noProof/>
          <w:color w:val="000000" w:themeColor="text1"/>
          <w:lang w:val="en-GB"/>
        </w:rPr>
        <w:t>e</w:t>
      </w:r>
      <w:r w:rsidR="0F74A3D6" w:rsidRPr="00D86314">
        <w:rPr>
          <w:rStyle w:val="normaltextrun"/>
          <w:noProof/>
          <w:color w:val="000000" w:themeColor="text1"/>
          <w:lang w:val="en-GB"/>
        </w:rPr>
        <w:t>s</w:t>
      </w:r>
      <w:r w:rsidR="006D6ED6" w:rsidRPr="00D86314">
        <w:rPr>
          <w:rStyle w:val="normaltextrun"/>
          <w:noProof/>
          <w:color w:val="000000" w:themeColor="text1"/>
          <w:lang w:val="en-GB"/>
        </w:rPr>
        <w:t>e</w:t>
      </w:r>
      <w:r w:rsidR="0F74A3D6" w:rsidRPr="00D86314">
        <w:rPr>
          <w:rStyle w:val="normaltextrun"/>
          <w:noProof/>
          <w:color w:val="000000" w:themeColor="text1"/>
          <w:lang w:val="en-GB"/>
        </w:rPr>
        <w:t xml:space="preserve"> </w:t>
      </w:r>
      <w:r w:rsidR="6285C21E" w:rsidRPr="00D86314">
        <w:rPr>
          <w:rStyle w:val="normaltextrun"/>
          <w:noProof/>
          <w:color w:val="000000" w:themeColor="text1"/>
          <w:lang w:val="en-GB"/>
        </w:rPr>
        <w:t>guidelines</w:t>
      </w:r>
      <w:r w:rsidRPr="00D86314">
        <w:rPr>
          <w:rStyle w:val="normaltextrun"/>
          <w:noProof/>
          <w:color w:val="000000" w:themeColor="text1"/>
          <w:lang w:val="en-GB"/>
        </w:rPr>
        <w:t xml:space="preserve"> would also cover nationally specific rules/conditions. </w:t>
      </w:r>
      <w:r w:rsidR="5C029ADE" w:rsidRPr="00D86314">
        <w:rPr>
          <w:rStyle w:val="normaltextrun"/>
          <w:noProof/>
          <w:color w:val="000000" w:themeColor="text1"/>
          <w:lang w:val="en-GB"/>
        </w:rPr>
        <w:t xml:space="preserve">Such a </w:t>
      </w:r>
      <w:r w:rsidRPr="00D86314">
        <w:rPr>
          <w:rStyle w:val="normaltextrun"/>
          <w:noProof/>
          <w:color w:val="000000" w:themeColor="text1"/>
          <w:lang w:val="en-GB"/>
        </w:rPr>
        <w:t xml:space="preserve">cooperation mechanism could </w:t>
      </w:r>
      <w:r w:rsidR="137D9841" w:rsidRPr="00D86314">
        <w:rPr>
          <w:rStyle w:val="normaltextrun"/>
          <w:noProof/>
          <w:color w:val="000000" w:themeColor="text1"/>
          <w:lang w:val="en-GB"/>
        </w:rPr>
        <w:t xml:space="preserve">provide additional value </w:t>
      </w:r>
      <w:r w:rsidR="482E2BB8" w:rsidRPr="00D86314">
        <w:rPr>
          <w:rStyle w:val="normaltextrun"/>
          <w:noProof/>
          <w:color w:val="000000" w:themeColor="text1"/>
          <w:lang w:val="en-GB"/>
        </w:rPr>
        <w:t>over</w:t>
      </w:r>
      <w:r w:rsidR="137D9841" w:rsidRPr="00D86314">
        <w:rPr>
          <w:rStyle w:val="normaltextrun"/>
          <w:noProof/>
          <w:color w:val="000000" w:themeColor="text1"/>
          <w:lang w:val="en-GB"/>
        </w:rPr>
        <w:t xml:space="preserve"> time</w:t>
      </w:r>
      <w:r w:rsidR="0F74A3D6" w:rsidRPr="00D86314">
        <w:rPr>
          <w:rStyle w:val="normaltextrun"/>
          <w:noProof/>
          <w:color w:val="000000" w:themeColor="text1"/>
          <w:lang w:val="en-GB"/>
        </w:rPr>
        <w:t>.</w:t>
      </w:r>
      <w:r w:rsidR="3043959A" w:rsidRPr="00D86314">
        <w:rPr>
          <w:rFonts w:ascii="Calibri" w:eastAsia="Calibri" w:hAnsi="Calibri" w:cs="Calibri"/>
          <w:noProof/>
          <w:sz w:val="22"/>
          <w:szCs w:val="22"/>
          <w:lang w:val="en-GB"/>
        </w:rPr>
        <w:t xml:space="preserve"> </w:t>
      </w:r>
    </w:p>
    <w:p w14:paraId="63483D2B" w14:textId="4A62D96D" w:rsidR="005A2852" w:rsidRPr="00D86314" w:rsidRDefault="005A2852" w:rsidP="005A2852">
      <w:pPr>
        <w:pStyle w:val="paragraph"/>
        <w:spacing w:before="0" w:beforeAutospacing="0" w:after="120" w:afterAutospacing="0"/>
        <w:jc w:val="both"/>
        <w:textAlignment w:val="baseline"/>
        <w:rPr>
          <w:rStyle w:val="eop"/>
          <w:noProof/>
          <w:color w:val="000000"/>
          <w:lang w:val="en-GB"/>
        </w:rPr>
      </w:pPr>
      <w:r w:rsidRPr="00D86314">
        <w:rPr>
          <w:rStyle w:val="normaltextrun"/>
          <w:noProof/>
          <w:color w:val="000000" w:themeColor="text1"/>
          <w:lang w:val="en-GB"/>
        </w:rPr>
        <w:t xml:space="preserve">Terrestrial spectrum would continue to be assigned at national level, by each Member State, based on measures defined in </w:t>
      </w:r>
      <w:r w:rsidR="001A132B">
        <w:rPr>
          <w:rStyle w:val="normaltextrun"/>
          <w:noProof/>
          <w:color w:val="000000" w:themeColor="text1"/>
          <w:lang w:val="en-GB"/>
        </w:rPr>
        <w:t>s</w:t>
      </w:r>
      <w:r w:rsidRPr="00D86314">
        <w:rPr>
          <w:rStyle w:val="normaltextrun"/>
          <w:noProof/>
          <w:color w:val="000000" w:themeColor="text1"/>
          <w:lang w:val="en-GB"/>
        </w:rPr>
        <w:t xml:space="preserve">ection 5.2.2. </w:t>
      </w:r>
    </w:p>
    <w:p w14:paraId="2A93A1E1" w14:textId="77777777" w:rsidR="008902DE" w:rsidRDefault="008902DE" w:rsidP="005A2852">
      <w:pPr>
        <w:spacing w:before="240"/>
        <w:rPr>
          <w:b/>
          <w:noProof/>
        </w:rPr>
      </w:pPr>
    </w:p>
    <w:p w14:paraId="6C073BB7" w14:textId="77777777" w:rsidR="008902DE" w:rsidRDefault="008902DE" w:rsidP="005A2852">
      <w:pPr>
        <w:spacing w:before="240"/>
        <w:rPr>
          <w:b/>
          <w:noProof/>
        </w:rPr>
      </w:pPr>
    </w:p>
    <w:p w14:paraId="655F86AA" w14:textId="7CB5F865" w:rsidR="005A2852" w:rsidRPr="00D86314" w:rsidRDefault="005A2852" w:rsidP="005A2852">
      <w:pPr>
        <w:spacing w:before="240"/>
        <w:rPr>
          <w:b/>
          <w:noProof/>
        </w:rPr>
      </w:pPr>
      <w:r w:rsidRPr="00D86314">
        <w:rPr>
          <w:b/>
          <w:noProof/>
        </w:rPr>
        <w:t>EU-level authorisation for satellite spectrum</w:t>
      </w:r>
    </w:p>
    <w:p w14:paraId="1CBE251E" w14:textId="2C0EF8A9" w:rsidR="005A2852" w:rsidRPr="00D86314" w:rsidRDefault="005A2852" w:rsidP="005A2852">
      <w:pPr>
        <w:pStyle w:val="paragraph"/>
        <w:spacing w:before="0" w:beforeAutospacing="0" w:after="120" w:afterAutospacing="0"/>
        <w:jc w:val="both"/>
        <w:textAlignment w:val="baseline"/>
        <w:rPr>
          <w:rStyle w:val="normaltextrun"/>
          <w:rFonts w:eastAsiaTheme="minorEastAsia"/>
          <w:noProof/>
          <w:color w:val="000000" w:themeColor="text1"/>
          <w:lang w:val="en-GB"/>
        </w:rPr>
      </w:pPr>
      <w:r w:rsidRPr="00D86314">
        <w:rPr>
          <w:rStyle w:val="normaltextrun"/>
          <w:noProof/>
          <w:color w:val="000000" w:themeColor="text1"/>
          <w:lang w:val="en-GB"/>
        </w:rPr>
        <w:t xml:space="preserve">There would be a simplified authorisation at EU level. More specifically, the operator, by derogation to the Member State notification system, would notify its intention to provide satellite networks or services to </w:t>
      </w:r>
      <w:r w:rsidRPr="00D86314">
        <w:rPr>
          <w:rStyle w:val="normaltextrun"/>
          <w:rFonts w:eastAsiaTheme="minorEastAsia"/>
          <w:noProof/>
          <w:color w:val="000000" w:themeColor="text1"/>
          <w:lang w:val="en-GB"/>
        </w:rPr>
        <w:t>the Commission</w:t>
      </w:r>
      <w:r w:rsidRPr="00D86314">
        <w:rPr>
          <w:rStyle w:val="normaltextrun"/>
          <w:noProof/>
          <w:color w:val="000000" w:themeColor="text1"/>
          <w:lang w:val="en-GB"/>
        </w:rPr>
        <w:t xml:space="preserve"> which would </w:t>
      </w:r>
      <w:r w:rsidRPr="00D86314">
        <w:rPr>
          <w:rStyle w:val="normaltextrun"/>
          <w:rFonts w:eastAsiaTheme="minorEastAsia"/>
          <w:noProof/>
          <w:color w:val="000000" w:themeColor="text1"/>
          <w:lang w:val="en-GB"/>
        </w:rPr>
        <w:t xml:space="preserve">issue the </w:t>
      </w:r>
      <w:r w:rsidRPr="00D86314">
        <w:rPr>
          <w:rStyle w:val="normaltextrun"/>
          <w:noProof/>
          <w:color w:val="000000" w:themeColor="text1"/>
          <w:lang w:val="en-GB"/>
        </w:rPr>
        <w:t xml:space="preserve">declarations to provide networks or services and the </w:t>
      </w:r>
      <w:r w:rsidRPr="00D86314">
        <w:rPr>
          <w:rStyle w:val="normaltextrun"/>
          <w:rFonts w:eastAsiaTheme="minorEastAsia"/>
          <w:noProof/>
          <w:color w:val="000000" w:themeColor="text1"/>
          <w:lang w:val="en-GB"/>
        </w:rPr>
        <w:t>authorisations</w:t>
      </w:r>
      <w:r w:rsidRPr="00D86314">
        <w:rPr>
          <w:rStyle w:val="normaltextrun"/>
          <w:noProof/>
          <w:color w:val="000000" w:themeColor="text1"/>
          <w:lang w:val="en-GB"/>
        </w:rPr>
        <w:t xml:space="preserve"> to use spectrum</w:t>
      </w:r>
      <w:r w:rsidRPr="00D86314">
        <w:rPr>
          <w:rStyle w:val="normaltextrun"/>
          <w:rFonts w:eastAsiaTheme="minorEastAsia"/>
          <w:noProof/>
          <w:color w:val="000000" w:themeColor="text1"/>
          <w:lang w:val="en-GB"/>
        </w:rPr>
        <w:t xml:space="preserve"> including individual rights of use of spectrum</w:t>
      </w:r>
      <w:r w:rsidRPr="00D86314">
        <w:rPr>
          <w:rStyle w:val="normaltextrun"/>
          <w:noProof/>
          <w:color w:val="000000" w:themeColor="text1"/>
          <w:lang w:val="en-GB"/>
        </w:rPr>
        <w:t xml:space="preserve">, in the Member States where the provider wishes to provide services, even in the entire EU. In performing this task, the Commission would be assisted by </w:t>
      </w:r>
      <w:r w:rsidRPr="00D86314">
        <w:rPr>
          <w:noProof/>
          <w:color w:val="000000" w:themeColor="text1"/>
          <w:lang w:val="en-GB"/>
        </w:rPr>
        <w:t xml:space="preserve">[BEREC] </w:t>
      </w:r>
      <w:r w:rsidRPr="00D86314">
        <w:rPr>
          <w:rStyle w:val="normaltextrun"/>
          <w:noProof/>
          <w:color w:val="000000" w:themeColor="text1"/>
          <w:lang w:val="en-GB"/>
        </w:rPr>
        <w:t xml:space="preserve">Office. In cases of spectrum scarcity, the Commission would undertake a </w:t>
      </w:r>
      <w:r w:rsidRPr="00D86314">
        <w:rPr>
          <w:rStyle w:val="normaltextrun"/>
          <w:b/>
          <w:noProof/>
          <w:color w:val="000000" w:themeColor="text1"/>
          <w:lang w:val="en-GB"/>
        </w:rPr>
        <w:t>selection at EU level</w:t>
      </w:r>
      <w:r w:rsidRPr="00D86314">
        <w:rPr>
          <w:rStyle w:val="normaltextrun"/>
          <w:noProof/>
          <w:color w:val="000000" w:themeColor="text1"/>
          <w:lang w:val="en-GB"/>
        </w:rPr>
        <w:t xml:space="preserve"> granting them spectrum licences </w:t>
      </w:r>
      <w:r w:rsidRPr="00D86314">
        <w:rPr>
          <w:rStyle w:val="normaltextrun"/>
          <w:rFonts w:eastAsiaTheme="minorEastAsia"/>
          <w:noProof/>
          <w:color w:val="000000" w:themeColor="text1"/>
          <w:lang w:val="en-GB"/>
        </w:rPr>
        <w:t>through binding acts</w:t>
      </w:r>
      <w:r w:rsidRPr="00D86314">
        <w:rPr>
          <w:rStyle w:val="normaltextrun"/>
          <w:noProof/>
          <w:color w:val="000000" w:themeColor="text1"/>
          <w:lang w:val="en-GB"/>
        </w:rPr>
        <w:t>.</w:t>
      </w:r>
    </w:p>
    <w:p w14:paraId="45A29EF4" w14:textId="77777777" w:rsidR="005A2852" w:rsidRPr="00D86314" w:rsidRDefault="005A2852" w:rsidP="005A2852">
      <w:pPr>
        <w:pStyle w:val="paragraph"/>
        <w:spacing w:before="0" w:beforeAutospacing="0" w:after="120" w:afterAutospacing="0"/>
        <w:jc w:val="both"/>
        <w:textAlignment w:val="baseline"/>
        <w:rPr>
          <w:rStyle w:val="normaltextrun"/>
          <w:rFonts w:eastAsiaTheme="minorHAnsi"/>
          <w:noProof/>
          <w:color w:val="000000" w:themeColor="text1"/>
          <w:lang w:val="en-GB"/>
        </w:rPr>
      </w:pPr>
      <w:r w:rsidRPr="00D86314">
        <w:rPr>
          <w:rStyle w:val="normaltextrun"/>
          <w:rFonts w:eastAsiaTheme="minorEastAsia"/>
          <w:noProof/>
          <w:color w:val="000000" w:themeColor="text1"/>
          <w:lang w:val="en-GB"/>
        </w:rPr>
        <w:t xml:space="preserve">There would </w:t>
      </w:r>
      <w:r w:rsidRPr="00D86314">
        <w:rPr>
          <w:rStyle w:val="normaltextrun"/>
          <w:noProof/>
          <w:color w:val="000000" w:themeColor="text1"/>
          <w:lang w:val="en-GB"/>
        </w:rPr>
        <w:t xml:space="preserve">also </w:t>
      </w:r>
      <w:r w:rsidRPr="00D86314">
        <w:rPr>
          <w:rStyle w:val="normaltextrun"/>
          <w:rFonts w:eastAsiaTheme="minorEastAsia"/>
          <w:noProof/>
          <w:color w:val="000000" w:themeColor="text1"/>
          <w:lang w:val="en-GB"/>
        </w:rPr>
        <w:t xml:space="preserve">be </w:t>
      </w:r>
      <w:r w:rsidRPr="00D86314">
        <w:rPr>
          <w:rStyle w:val="normaltextrun"/>
          <w:noProof/>
          <w:color w:val="000000" w:themeColor="text1"/>
          <w:lang w:val="en-GB"/>
        </w:rPr>
        <w:t xml:space="preserve">a binding </w:t>
      </w:r>
      <w:r w:rsidRPr="00D86314">
        <w:rPr>
          <w:rStyle w:val="normaltextrun"/>
          <w:rFonts w:eastAsiaTheme="minorEastAsia"/>
          <w:b/>
          <w:bCs/>
          <w:noProof/>
          <w:color w:val="000000" w:themeColor="text1"/>
          <w:lang w:val="en-GB"/>
        </w:rPr>
        <w:t>EU-</w:t>
      </w:r>
      <w:r w:rsidRPr="00D86314">
        <w:rPr>
          <w:rStyle w:val="normaltextrun"/>
          <w:b/>
          <w:bCs/>
          <w:noProof/>
          <w:color w:val="000000" w:themeColor="text1"/>
          <w:lang w:val="en-GB"/>
        </w:rPr>
        <w:t>level compliance</w:t>
      </w:r>
      <w:r w:rsidRPr="00D86314">
        <w:rPr>
          <w:rStyle w:val="normaltextrun"/>
          <w:rFonts w:eastAsiaTheme="minorEastAsia"/>
          <w:b/>
          <w:bCs/>
          <w:noProof/>
          <w:color w:val="000000" w:themeColor="text1"/>
          <w:lang w:val="en-GB"/>
        </w:rPr>
        <w:t xml:space="preserve"> and enforcement framework</w:t>
      </w:r>
      <w:r w:rsidRPr="00D86314">
        <w:rPr>
          <w:rStyle w:val="normaltextrun"/>
          <w:rFonts w:eastAsiaTheme="minorEastAsia"/>
          <w:noProof/>
          <w:color w:val="000000" w:themeColor="text1"/>
          <w:lang w:val="en-GB"/>
        </w:rPr>
        <w:t xml:space="preserve"> for </w:t>
      </w:r>
      <w:r w:rsidRPr="00D86314">
        <w:rPr>
          <w:rStyle w:val="normaltextrun"/>
          <w:noProof/>
          <w:color w:val="000000" w:themeColor="text1"/>
          <w:lang w:val="en-GB"/>
        </w:rPr>
        <w:t>ensuring that</w:t>
      </w:r>
      <w:r w:rsidRPr="00D86314">
        <w:rPr>
          <w:rStyle w:val="normaltextrun"/>
          <w:rFonts w:eastAsiaTheme="minorEastAsia"/>
          <w:noProof/>
          <w:color w:val="000000" w:themeColor="text1"/>
          <w:lang w:val="en-GB"/>
        </w:rPr>
        <w:t xml:space="preserve"> satellite constellations’ access to the EU market </w:t>
      </w:r>
      <w:r w:rsidRPr="00D86314">
        <w:rPr>
          <w:rStyle w:val="normaltextrun"/>
          <w:noProof/>
          <w:color w:val="000000" w:themeColor="text1"/>
          <w:lang w:val="en-GB"/>
        </w:rPr>
        <w:t xml:space="preserve">complies </w:t>
      </w:r>
      <w:r w:rsidRPr="00D86314">
        <w:rPr>
          <w:rStyle w:val="normaltextrun"/>
          <w:rFonts w:eastAsiaTheme="minorEastAsia"/>
          <w:noProof/>
          <w:color w:val="000000" w:themeColor="text1"/>
          <w:lang w:val="en-GB"/>
        </w:rPr>
        <w:t xml:space="preserve">with the common conditions </w:t>
      </w:r>
      <w:r w:rsidRPr="00D86314">
        <w:rPr>
          <w:rStyle w:val="normaltextrun"/>
          <w:noProof/>
          <w:color w:val="000000" w:themeColor="text1"/>
          <w:lang w:val="en-GB"/>
        </w:rPr>
        <w:t>in line with</w:t>
      </w:r>
      <w:r w:rsidRPr="00D86314">
        <w:rPr>
          <w:rStyle w:val="normaltextrun"/>
          <w:rFonts w:eastAsiaTheme="minorEastAsia"/>
          <w:noProof/>
          <w:color w:val="000000" w:themeColor="text1"/>
          <w:lang w:val="en-GB"/>
        </w:rPr>
        <w:t xml:space="preserve"> international law, thus addressing </w:t>
      </w:r>
      <w:r w:rsidRPr="00D86314">
        <w:rPr>
          <w:noProof/>
          <w:lang w:val="en-GB"/>
        </w:rPr>
        <w:t>RSPG call for common authorisation requirements and for a coordinated enforcement approach</w:t>
      </w:r>
      <w:r w:rsidRPr="00D86314">
        <w:rPr>
          <w:noProof/>
          <w:vertAlign w:val="superscript"/>
          <w:lang w:val="en-GB"/>
        </w:rPr>
        <w:footnoteReference w:id="205"/>
      </w:r>
      <w:r w:rsidRPr="00D86314">
        <w:rPr>
          <w:rStyle w:val="normaltextrun"/>
          <w:rFonts w:eastAsiaTheme="minorEastAsia"/>
          <w:noProof/>
          <w:color w:val="000000" w:themeColor="text1"/>
          <w:lang w:val="en-GB"/>
        </w:rPr>
        <w:t>.</w:t>
      </w:r>
      <w:r w:rsidRPr="00D86314">
        <w:rPr>
          <w:rStyle w:val="normaltextrun"/>
          <w:noProof/>
          <w:color w:val="000000" w:themeColor="text1"/>
          <w:lang w:val="en-GB"/>
        </w:rPr>
        <w:t xml:space="preserve"> Coordinated enforcement at EU level would include withdrawal of the authorisation for the entire single market. </w:t>
      </w:r>
    </w:p>
    <w:p w14:paraId="31132760" w14:textId="5245DEAA" w:rsidR="006705CA" w:rsidRPr="00D86314" w:rsidRDefault="005A2852" w:rsidP="005A2852">
      <w:pPr>
        <w:pStyle w:val="paragraph"/>
        <w:spacing w:before="240" w:beforeAutospacing="0" w:after="120" w:afterAutospacing="0"/>
        <w:jc w:val="both"/>
        <w:textAlignment w:val="baseline"/>
        <w:rPr>
          <w:rStyle w:val="normaltextrun"/>
          <w:b/>
          <w:noProof/>
          <w:color w:val="000000" w:themeColor="text1"/>
          <w:lang w:val="en-GB"/>
        </w:rPr>
      </w:pPr>
      <w:r w:rsidRPr="00D86314">
        <w:rPr>
          <w:rStyle w:val="normaltextrun"/>
          <w:b/>
          <w:noProof/>
          <w:color w:val="000000" w:themeColor="text1"/>
          <w:lang w:val="en-GB"/>
        </w:rPr>
        <w:t xml:space="preserve">Option 3: </w:t>
      </w:r>
      <w:r w:rsidRPr="00D86314">
        <w:rPr>
          <w:rStyle w:val="normaltextrun"/>
          <w:b/>
          <w:noProof/>
          <w:lang w:val="en-GB"/>
        </w:rPr>
        <w:t xml:space="preserve">Country-of-origin authorisation </w:t>
      </w:r>
      <w:r w:rsidRPr="00D86314">
        <w:rPr>
          <w:rStyle w:val="normaltextrun"/>
          <w:b/>
          <w:noProof/>
          <w:color w:val="000000" w:themeColor="text1"/>
          <w:lang w:val="en-GB"/>
        </w:rPr>
        <w:t>for cross-border and B2B services</w:t>
      </w:r>
    </w:p>
    <w:p w14:paraId="0AB8D32E" w14:textId="4D3BF8E6" w:rsidR="005A2852" w:rsidRPr="00D86314" w:rsidRDefault="00610D2B" w:rsidP="00703057">
      <w:pPr>
        <w:rPr>
          <w:rStyle w:val="normaltextrun"/>
          <w:rFonts w:eastAsia="Times New Roman"/>
          <w:noProof/>
          <w:color w:val="000000" w:themeColor="text1"/>
          <w:lang w:eastAsia="en-IE"/>
        </w:rPr>
      </w:pPr>
      <w:r w:rsidRPr="00D86314">
        <w:rPr>
          <w:rStyle w:val="normaltextrun"/>
          <w:rFonts w:eastAsia="Times New Roman"/>
          <w:noProof/>
          <w:color w:val="000000" w:themeColor="text1"/>
          <w:lang w:eastAsia="en-IE"/>
        </w:rPr>
        <w:t>O</w:t>
      </w:r>
      <w:r w:rsidR="001A132B">
        <w:rPr>
          <w:rStyle w:val="normaltextrun"/>
          <w:rFonts w:eastAsia="Times New Roman"/>
          <w:noProof/>
          <w:color w:val="000000" w:themeColor="text1"/>
          <w:lang w:eastAsia="en-IE"/>
        </w:rPr>
        <w:t xml:space="preserve">ption </w:t>
      </w:r>
      <w:r w:rsidRPr="00D86314">
        <w:rPr>
          <w:rStyle w:val="normaltextrun"/>
          <w:rFonts w:eastAsia="Times New Roman"/>
          <w:noProof/>
          <w:color w:val="000000" w:themeColor="text1"/>
          <w:lang w:eastAsia="en-IE"/>
        </w:rPr>
        <w:t>3 improves cross-border resilience by allowing one Member State’s authorisation to apply EU-wide, reducing duplication and speeding service deployment. It facilitates pan-European services by simplifying compliance and encouraging expansion. However, it poses serious risks of forum shopping, as providers could exploit jurisdictions with weaker enforcement, undermining fairness and market integrity.</w:t>
      </w:r>
    </w:p>
    <w:p w14:paraId="6F8A4BB2" w14:textId="77777777" w:rsidR="005A2852" w:rsidRPr="00D86314" w:rsidRDefault="005A2852" w:rsidP="005A2852">
      <w:pPr>
        <w:pStyle w:val="paragraph"/>
        <w:spacing w:before="0" w:beforeAutospacing="0" w:after="120" w:afterAutospacing="0"/>
        <w:jc w:val="both"/>
        <w:textAlignment w:val="baseline"/>
        <w:rPr>
          <w:rStyle w:val="normaltextrun"/>
          <w:rFonts w:eastAsiaTheme="minorHAnsi"/>
          <w:noProof/>
          <w:color w:val="000000" w:themeColor="text1"/>
          <w:lang w:val="en-GB"/>
        </w:rPr>
      </w:pPr>
      <w:r w:rsidRPr="00D86314">
        <w:rPr>
          <w:rStyle w:val="normaltextrun"/>
          <w:noProof/>
          <w:color w:val="000000" w:themeColor="text1"/>
          <w:lang w:val="en-GB"/>
        </w:rPr>
        <w:t xml:space="preserve">This policy option entails the introduction of a general authorisation and notification obligation in only one country (the country of origin) for cross border (e.g., satellite) and B2B services. While providers would be obliged to respect the legislation of the Member States where they provide services, only the </w:t>
      </w:r>
      <w:r w:rsidRPr="00D86314">
        <w:rPr>
          <w:rStyle w:val="normaltextrun"/>
          <w:b/>
          <w:noProof/>
          <w:color w:val="000000" w:themeColor="text1"/>
          <w:lang w:val="en-GB"/>
        </w:rPr>
        <w:t>Member State</w:t>
      </w:r>
      <w:r w:rsidRPr="00D86314">
        <w:rPr>
          <w:rStyle w:val="normaltextrun"/>
          <w:noProof/>
          <w:color w:val="000000" w:themeColor="text1"/>
          <w:lang w:val="en-GB"/>
        </w:rPr>
        <w:t xml:space="preserve"> of origin would impose authorisation conditions and would be able to prevent the operator from providing services. It also foresees the simplification of conditions attached to the rights of use of numbers when used extraterritorially for B2B services.</w:t>
      </w:r>
    </w:p>
    <w:p w14:paraId="2786F084" w14:textId="77777777" w:rsidR="005A2852" w:rsidRPr="00D86314" w:rsidRDefault="005A2852" w:rsidP="005A2852">
      <w:pPr>
        <w:pStyle w:val="paragraph"/>
        <w:spacing w:before="0" w:beforeAutospacing="0" w:after="120" w:afterAutospacing="0"/>
        <w:jc w:val="both"/>
        <w:textAlignment w:val="baseline"/>
        <w:rPr>
          <w:rStyle w:val="eop"/>
          <w:rFonts w:eastAsiaTheme="minorHAnsi"/>
          <w:noProof/>
          <w:color w:val="000000"/>
          <w:lang w:val="en-GB" w:eastAsia="en-US"/>
        </w:rPr>
      </w:pPr>
      <w:r w:rsidRPr="00D86314">
        <w:rPr>
          <w:rStyle w:val="normaltextrun"/>
          <w:noProof/>
          <w:lang w:val="en-GB"/>
        </w:rPr>
        <w:t xml:space="preserve">As regards </w:t>
      </w:r>
      <w:r w:rsidRPr="00D86314">
        <w:rPr>
          <w:rStyle w:val="normaltextrun"/>
          <w:b/>
          <w:noProof/>
          <w:lang w:val="en-GB"/>
        </w:rPr>
        <w:t>satellite</w:t>
      </w:r>
      <w:r w:rsidRPr="00D86314">
        <w:rPr>
          <w:rStyle w:val="normaltextrun"/>
          <w:noProof/>
          <w:lang w:val="en-GB"/>
        </w:rPr>
        <w:t>, the Commission would be empowered to conduct a selection procedure for licensees of satellite spectrum for the provision of pan-European services. In order to manage access to the EU market of satellite constellations from third countries, the Commission, supported by the RSPG and</w:t>
      </w:r>
      <w:r w:rsidRPr="00D86314">
        <w:rPr>
          <w:noProof/>
          <w:lang w:val="en-GB"/>
        </w:rPr>
        <w:t xml:space="preserve"> (BEREC/RSPG) Office</w:t>
      </w:r>
      <w:r w:rsidRPr="00D86314">
        <w:rPr>
          <w:rStyle w:val="normaltextrun"/>
          <w:noProof/>
          <w:lang w:val="en-GB"/>
        </w:rPr>
        <w:t xml:space="preserve">, would set common requirements for satellite authorisations based on International Telecom Union (ITU) and create a coordinated compliance and common enforcement mechanism among Member States for allowing and efficiently control satellite constellations’ access to the EU market. The </w:t>
      </w:r>
      <w:r w:rsidRPr="00D86314">
        <w:rPr>
          <w:rStyle w:val="normaltextrun"/>
          <w:b/>
          <w:noProof/>
          <w:lang w:val="en-GB"/>
        </w:rPr>
        <w:t>country of origin</w:t>
      </w:r>
      <w:r w:rsidRPr="00D86314">
        <w:rPr>
          <w:rStyle w:val="normaltextrun"/>
          <w:noProof/>
          <w:lang w:val="en-GB"/>
        </w:rPr>
        <w:t xml:space="preserve"> would issue the rights of use following the common requirements and impose sanctions in case of non-compliance. </w:t>
      </w:r>
      <w:r w:rsidRPr="00D86314">
        <w:rPr>
          <w:rStyle w:val="normaltextrun"/>
          <w:noProof/>
          <w:color w:val="000000" w:themeColor="text1"/>
          <w:lang w:val="en-GB"/>
        </w:rPr>
        <w:t xml:space="preserve">This option entails mutual </w:t>
      </w:r>
      <w:r w:rsidRPr="00D86314">
        <w:rPr>
          <w:rStyle w:val="normaltextrun"/>
          <w:noProof/>
          <w:lang w:val="en-GB"/>
        </w:rPr>
        <w:t>recognition</w:t>
      </w:r>
      <w:r w:rsidRPr="00D86314">
        <w:rPr>
          <w:rStyle w:val="normaltextrun"/>
          <w:noProof/>
          <w:color w:val="000000" w:themeColor="text1"/>
          <w:lang w:val="en-GB"/>
        </w:rPr>
        <w:t xml:space="preserve"> of all applicable general authorisation conditions by all other Member States where networks and services will be provided.</w:t>
      </w:r>
    </w:p>
    <w:p w14:paraId="3A5797E6" w14:textId="143B6D18" w:rsidR="008B4A56" w:rsidRPr="00D86314" w:rsidRDefault="000575B4" w:rsidP="00B04C48">
      <w:pPr>
        <w:pStyle w:val="Heading1"/>
        <w:rPr>
          <w:noProof/>
          <w:lang w:val="en-GB"/>
        </w:rPr>
      </w:pPr>
      <w:bookmarkStart w:id="247" w:name="_Toc219718440"/>
      <w:bookmarkEnd w:id="246"/>
      <w:r w:rsidRPr="00D86314">
        <w:rPr>
          <w:noProof/>
          <w:lang w:val="en-GB"/>
        </w:rPr>
        <w:t>Governance</w:t>
      </w:r>
      <w:bookmarkEnd w:id="247"/>
    </w:p>
    <w:p w14:paraId="10A2D917" w14:textId="77777777" w:rsidR="00BF01AF" w:rsidRPr="00D86314" w:rsidRDefault="00BF01AF" w:rsidP="00BF01AF">
      <w:pPr>
        <w:rPr>
          <w:rFonts w:eastAsia="Calibri"/>
          <w:b/>
          <w:noProof/>
        </w:rPr>
      </w:pPr>
      <w:r w:rsidRPr="00D86314">
        <w:rPr>
          <w:rFonts w:eastAsia="Times New Roman"/>
          <w:b/>
          <w:noProof/>
        </w:rPr>
        <w:t>Option 1 – BEREC and RSPG as two separate bodies supported by the BEREC Office</w:t>
      </w:r>
    </w:p>
    <w:p w14:paraId="526F0937" w14:textId="77777777" w:rsidR="00BF01AF" w:rsidRPr="00D86314" w:rsidRDefault="00BF01AF" w:rsidP="00BF01AF">
      <w:pPr>
        <w:rPr>
          <w:rFonts w:eastAsia="Calibri"/>
          <w:noProof/>
        </w:rPr>
      </w:pPr>
      <w:r w:rsidRPr="00D86314">
        <w:rPr>
          <w:rFonts w:eastAsia="Calibri"/>
          <w:noProof/>
        </w:rPr>
        <w:t>Under this option, the RSPG would become a self-standing body</w:t>
      </w:r>
      <w:r w:rsidRPr="00D86314">
        <w:rPr>
          <w:rFonts w:eastAsia="Calibri"/>
          <w:noProof/>
          <w:vertAlign w:val="superscript"/>
        </w:rPr>
        <w:footnoteReference w:id="206"/>
      </w:r>
      <w:r w:rsidRPr="00D86314">
        <w:rPr>
          <w:rFonts w:eastAsia="Calibri"/>
          <w:noProof/>
        </w:rPr>
        <w:t>, with a structure similar to BEREC</w:t>
      </w:r>
      <w:r w:rsidRPr="00D86314">
        <w:rPr>
          <w:rFonts w:eastAsia="Calibri"/>
          <w:noProof/>
          <w:vertAlign w:val="superscript"/>
        </w:rPr>
        <w:footnoteReference w:id="207"/>
      </w:r>
      <w:r w:rsidRPr="00D86314">
        <w:rPr>
          <w:rFonts w:eastAsia="Calibri"/>
          <w:noProof/>
        </w:rPr>
        <w:t xml:space="preserve">. The RSPG will receive support from the BEREC Office, which will take over the RSPG secretariat function currently provided by DG CNECT. BEREC well-established two-tier structure would otherwise remain unchanged. </w:t>
      </w:r>
    </w:p>
    <w:p w14:paraId="669BDE92" w14:textId="7DB00E94" w:rsidR="00BF01AF" w:rsidRPr="00D86314" w:rsidRDefault="00BF01AF" w:rsidP="00BF01AF">
      <w:pPr>
        <w:rPr>
          <w:rFonts w:eastAsia="Calibri"/>
          <w:noProof/>
        </w:rPr>
      </w:pPr>
      <w:r w:rsidRPr="00D86314">
        <w:rPr>
          <w:rFonts w:eastAsia="Calibri"/>
          <w:noProof/>
        </w:rPr>
        <w:t>Given the lack of legal personality, BEREC and RSPG would not adopt any binding decisions. The decision-making competence would remain with the Commission, and Member States’ authorities. BEREC and the RSPG would advise, issue opinions, guidelines and undertake other types of activity supporting the EU policymaking (monitoring, reporting etc.). Member States and RSPG will maintain their competence on spectrum policy. To better align approaches in spectrum assignments, all major assignments will be subject to a mandatory Single Market</w:t>
      </w:r>
      <w:r w:rsidR="00FD5B8B" w:rsidRPr="00D86314">
        <w:rPr>
          <w:rFonts w:eastAsia="Calibri"/>
          <w:noProof/>
        </w:rPr>
        <w:t xml:space="preserve"> spect</w:t>
      </w:r>
      <w:r w:rsidRPr="00D86314">
        <w:rPr>
          <w:rFonts w:eastAsia="Calibri"/>
          <w:noProof/>
        </w:rPr>
        <w:t xml:space="preserve">rum procedure where RSPG and the Commission will be able to comment on draft measures in their entirety. The Commission could veto market shaping spectrum assignment conditions. The Commission advised by RSPG with a support of BEREC Office could also coordinate aspects of spectrum assignment, such as the development of authorisation conditions, manage the EU satellite authorisation and coordinate their enforcement, and select satellite licensees in cases of spectrum scarcity, following the example of the 2 GHz band. </w:t>
      </w:r>
    </w:p>
    <w:p w14:paraId="04B68440" w14:textId="767CB2BA" w:rsidR="00BF01AF" w:rsidRPr="00D86314" w:rsidRDefault="00BF01AF" w:rsidP="00BF01AF">
      <w:pPr>
        <w:rPr>
          <w:rFonts w:eastAsia="Calibri"/>
          <w:noProof/>
        </w:rPr>
      </w:pPr>
      <w:r w:rsidRPr="00D86314">
        <w:rPr>
          <w:rFonts w:eastAsia="Calibri"/>
          <w:noProof/>
        </w:rPr>
        <w:t xml:space="preserve">BEREC Office (EU agency) would provide expert and administrative assistance to both BEREC and RSPG. Specific mechanisms will be set up to ensure coherence and coordination between BEREC and RSPG as well as in areas where </w:t>
      </w:r>
      <w:r w:rsidRPr="00D86314">
        <w:rPr>
          <w:rFonts w:eastAsia="Times New Roman"/>
          <w:noProof/>
        </w:rPr>
        <w:t>NRAs have responsibilities beyond electronic communications under frameworks such as the DSA</w:t>
      </w:r>
      <w:r w:rsidR="009C3E0F" w:rsidRPr="00D86314">
        <w:rPr>
          <w:rFonts w:eastAsia="Times New Roman"/>
          <w:noProof/>
        </w:rPr>
        <w:t xml:space="preserve">, </w:t>
      </w:r>
      <w:r w:rsidRPr="00D86314">
        <w:rPr>
          <w:rFonts w:eastAsia="Times New Roman"/>
          <w:noProof/>
        </w:rPr>
        <w:t>Data Act</w:t>
      </w:r>
      <w:r w:rsidR="009C3E0F" w:rsidRPr="00D86314">
        <w:rPr>
          <w:rFonts w:eastAsia="Times New Roman"/>
          <w:noProof/>
        </w:rPr>
        <w:t>,</w:t>
      </w:r>
      <w:r w:rsidRPr="00D86314">
        <w:rPr>
          <w:rFonts w:eastAsia="Times New Roman"/>
          <w:noProof/>
        </w:rPr>
        <w:t xml:space="preserve"> or </w:t>
      </w:r>
      <w:r w:rsidR="009C3E0F" w:rsidRPr="00D86314">
        <w:rPr>
          <w:rFonts w:eastAsia="Times New Roman"/>
          <w:noProof/>
        </w:rPr>
        <w:t>NIS2</w:t>
      </w:r>
      <w:r w:rsidRPr="00D86314">
        <w:rPr>
          <w:rFonts w:eastAsia="Times New Roman"/>
          <w:noProof/>
        </w:rPr>
        <w:t xml:space="preserve">. </w:t>
      </w:r>
      <w:r w:rsidRPr="00D86314">
        <w:rPr>
          <w:rFonts w:eastAsia="Calibri"/>
          <w:noProof/>
        </w:rPr>
        <w:t>This option includes also</w:t>
      </w:r>
      <w:r w:rsidRPr="00D86314" w:rsidDel="00073FC3">
        <w:rPr>
          <w:rFonts w:eastAsia="Calibri"/>
          <w:noProof/>
        </w:rPr>
        <w:t xml:space="preserve"> </w:t>
      </w:r>
      <w:r w:rsidRPr="00D86314">
        <w:rPr>
          <w:rFonts w:eastAsia="Calibri"/>
          <w:noProof/>
        </w:rPr>
        <w:t>mandatory participation of Office’s staff to BEREC and RSPG working groups, including taking over some co-chairs’ workload if needed, which should increase BEREC’s and RSPG’s impact on harmonisation. The representativeness of BEREC output will be enhanced by mandating representation of other CAs each time a subject within their remit is discussed within BEREC. Under this option, NRAs will perform a role of national contact points responsible for coordinating and presenting their positions at the BEREC level.</w:t>
      </w:r>
    </w:p>
    <w:p w14:paraId="7D4AB41F" w14:textId="77777777" w:rsidR="00BF01AF" w:rsidRPr="00D86314" w:rsidRDefault="00BF01AF" w:rsidP="00BF01AF">
      <w:pPr>
        <w:rPr>
          <w:b/>
          <w:noProof/>
        </w:rPr>
      </w:pPr>
      <w:r w:rsidRPr="00D86314">
        <w:rPr>
          <w:b/>
          <w:noProof/>
        </w:rPr>
        <w:t>Option 2 - EU Agency (BEREC and BEREC Office merged), providing an office (support on administrative and preparatory tasks) to the RSPG</w:t>
      </w:r>
    </w:p>
    <w:p w14:paraId="499C5071" w14:textId="77777777" w:rsidR="00BF01AF" w:rsidRPr="00D86314" w:rsidRDefault="00BF01AF" w:rsidP="00BF01AF">
      <w:pPr>
        <w:rPr>
          <w:rFonts w:eastAsia="Calibri"/>
          <w:noProof/>
        </w:rPr>
      </w:pPr>
      <w:r w:rsidRPr="00D86314">
        <w:rPr>
          <w:rFonts w:eastAsia="Calibri"/>
          <w:noProof/>
        </w:rPr>
        <w:t xml:space="preserve">In this option, BEREC and the BEREC Office structures will be merged into a fully-fledged EU decentralised agency. This EU agency would take over the RSPG secretariat function currently provided by DG CNECT and provide support on administrative and preparatory tasks to the RSPG. The governance in the spectrum area would remain the same as in option 1, i.e. the RSPG would be established as a self-standing body with working groups, evolving from the status of Commission expert group, tasks division will be also the same as in option 1. </w:t>
      </w:r>
    </w:p>
    <w:p w14:paraId="0CC6D1B3" w14:textId="10C86247" w:rsidR="00BF01AF" w:rsidRPr="00D86314" w:rsidRDefault="00BF01AF" w:rsidP="00BF01AF">
      <w:pPr>
        <w:rPr>
          <w:rFonts w:eastAsia="Calibri"/>
          <w:noProof/>
        </w:rPr>
      </w:pPr>
      <w:r w:rsidRPr="00D86314">
        <w:rPr>
          <w:rFonts w:eastAsia="Calibri"/>
          <w:noProof/>
        </w:rPr>
        <w:t xml:space="preserve">The agency can be entrusted with decision-making powers on selected cross-border issues. To accomplish these tasks, the agency would need to be equipped with more staff and resources, entailing administrative and financial costs. National regulatory authorities would keep implementation powers. The impact on harmonisation and representativeness of BEREC </w:t>
      </w:r>
      <w:r w:rsidRPr="00D86314">
        <w:rPr>
          <w:rFonts w:eastAsia="Times New Roman"/>
          <w:noProof/>
        </w:rPr>
        <w:t xml:space="preserve">as well as the coordination between BEREC and RSPG </w:t>
      </w:r>
      <w:r w:rsidRPr="00D86314">
        <w:rPr>
          <w:rFonts w:eastAsia="Calibri"/>
          <w:noProof/>
        </w:rPr>
        <w:t>will be addressed a</w:t>
      </w:r>
      <w:r w:rsidRPr="00D86314">
        <w:rPr>
          <w:rFonts w:eastAsia="Times New Roman"/>
          <w:noProof/>
        </w:rPr>
        <w:t xml:space="preserve">s in </w:t>
      </w:r>
      <w:r w:rsidR="007D31A6">
        <w:rPr>
          <w:rFonts w:eastAsia="Times New Roman"/>
          <w:noProof/>
        </w:rPr>
        <w:t>o</w:t>
      </w:r>
      <w:r w:rsidRPr="00D86314">
        <w:rPr>
          <w:rFonts w:eastAsia="Times New Roman"/>
          <w:noProof/>
        </w:rPr>
        <w:t>ption 1.</w:t>
      </w:r>
    </w:p>
    <w:p w14:paraId="426780EA" w14:textId="77777777" w:rsidR="00BF01AF" w:rsidRPr="00D86314" w:rsidRDefault="00BF01AF" w:rsidP="00BF01AF">
      <w:pPr>
        <w:rPr>
          <w:b/>
          <w:noProof/>
        </w:rPr>
      </w:pPr>
      <w:r w:rsidRPr="00D86314">
        <w:rPr>
          <w:b/>
          <w:noProof/>
        </w:rPr>
        <w:t>Option 3 - Two separate agencies – BEREC + BEREC Office &amp; RSPG</w:t>
      </w:r>
    </w:p>
    <w:p w14:paraId="17C97663" w14:textId="6CF6DF20" w:rsidR="00BF01AF" w:rsidRPr="00D86314" w:rsidRDefault="00BF01AF" w:rsidP="00BF01AF">
      <w:pPr>
        <w:rPr>
          <w:rFonts w:eastAsia="Calibri"/>
          <w:noProof/>
        </w:rPr>
      </w:pPr>
      <w:r w:rsidRPr="00D86314">
        <w:rPr>
          <w:rFonts w:eastAsia="Calibri"/>
          <w:noProof/>
        </w:rPr>
        <w:t xml:space="preserve">Under this option, BEREC and the RSPG would become two separate – due to their diverse membership (NRAs for BEREC and NRAs and other CAs for RSPG) as well as different remit (electronic communications market regulation for BEREC and cross-sectoral radio spectrum policy for RSPG) – fully-fledged EU decentralised agencies, with legal personality and decision-making powers. This option would require establishing some enhanced coordination between BEREC and RSPG. </w:t>
      </w:r>
      <w:r w:rsidRPr="00D86314">
        <w:rPr>
          <w:noProof/>
        </w:rPr>
        <w:t xml:space="preserve">The Commission would have a monitoring or supervisory role and some decisional powers with respect to certain spectrum-related tasks, e.g. veto powers </w:t>
      </w:r>
      <w:r w:rsidRPr="00D86314">
        <w:rPr>
          <w:rFonts w:eastAsia="Calibri"/>
          <w:noProof/>
        </w:rPr>
        <w:t xml:space="preserve">under Single Market/EU spectrum scrutiny procedure </w:t>
      </w:r>
      <w:r w:rsidRPr="00D86314">
        <w:rPr>
          <w:noProof/>
        </w:rPr>
        <w:t xml:space="preserve">(see option 2). </w:t>
      </w:r>
    </w:p>
    <w:p w14:paraId="26CF8497" w14:textId="77777777" w:rsidR="00BF01AF" w:rsidRPr="00D86314" w:rsidRDefault="00BF01AF" w:rsidP="00BF01AF">
      <w:pPr>
        <w:rPr>
          <w:noProof/>
        </w:rPr>
      </w:pPr>
      <w:r w:rsidRPr="00D86314">
        <w:rPr>
          <w:rFonts w:eastAsia="Calibri"/>
          <w:noProof/>
        </w:rPr>
        <w:t xml:space="preserve">The two agencies may have the power to take binding decisions on new cross-border related tasks, where required and within the limits of their competences. In relation to spectrum, this option is likely to affect the allocation of shared competences between the Commission and the Member States, e.g., the selection and authorisation of operators of satellite spectrum, enforcement measures. </w:t>
      </w:r>
    </w:p>
    <w:p w14:paraId="61DD5465" w14:textId="77777777" w:rsidR="00E03BB2" w:rsidRPr="00D86314" w:rsidRDefault="00E03BB2" w:rsidP="00E03BB2">
      <w:pPr>
        <w:spacing w:after="200" w:line="276" w:lineRule="auto"/>
        <w:jc w:val="left"/>
        <w:rPr>
          <w:rFonts w:eastAsia="Times New Roman"/>
          <w:b/>
          <w:smallCaps/>
          <w:noProof/>
          <w:sz w:val="32"/>
          <w:szCs w:val="20"/>
        </w:rPr>
      </w:pPr>
      <w:r w:rsidRPr="00D86314">
        <w:rPr>
          <w:noProof/>
        </w:rPr>
        <w:br w:type="page"/>
      </w:r>
    </w:p>
    <w:p w14:paraId="770C40E9" w14:textId="779ED80E" w:rsidR="00822056" w:rsidRPr="00D86314" w:rsidRDefault="00822056" w:rsidP="00703057">
      <w:pPr>
        <w:pStyle w:val="Heading1"/>
        <w:numPr>
          <w:ilvl w:val="0"/>
          <w:numId w:val="0"/>
        </w:numPr>
        <w:rPr>
          <w:noProof/>
          <w:lang w:val="en-GB"/>
        </w:rPr>
      </w:pPr>
      <w:bookmarkStart w:id="248" w:name="_Toc219718441"/>
      <w:r w:rsidRPr="00D86314">
        <w:rPr>
          <w:noProof/>
          <w:lang w:val="en-GB"/>
        </w:rPr>
        <w:t xml:space="preserve">Annex </w:t>
      </w:r>
      <w:r w:rsidR="00F16512" w:rsidRPr="00D86314" w:rsidDel="005C50EF">
        <w:rPr>
          <w:noProof/>
          <w:lang w:val="en-GB"/>
        </w:rPr>
        <w:t>9</w:t>
      </w:r>
      <w:r w:rsidRPr="00D86314">
        <w:rPr>
          <w:noProof/>
          <w:lang w:val="en-GB"/>
        </w:rPr>
        <w:t xml:space="preserve">: </w:t>
      </w:r>
      <w:r w:rsidR="0015417B" w:rsidRPr="00D86314">
        <w:rPr>
          <w:noProof/>
          <w:lang w:val="en-GB"/>
        </w:rPr>
        <w:t xml:space="preserve">Analytical </w:t>
      </w:r>
      <w:r w:rsidR="00D16B78" w:rsidRPr="00D86314">
        <w:rPr>
          <w:noProof/>
          <w:lang w:val="en-GB"/>
        </w:rPr>
        <w:t xml:space="preserve">background for the </w:t>
      </w:r>
      <w:r w:rsidR="00715CF2" w:rsidRPr="00D86314">
        <w:rPr>
          <w:noProof/>
          <w:lang w:val="en-GB"/>
        </w:rPr>
        <w:t xml:space="preserve">assessment of impacts </w:t>
      </w:r>
      <w:r w:rsidR="00D51B51" w:rsidRPr="00D86314">
        <w:rPr>
          <w:noProof/>
          <w:lang w:val="en-GB"/>
        </w:rPr>
        <w:t xml:space="preserve">and </w:t>
      </w:r>
      <w:r w:rsidR="002D5045" w:rsidRPr="00D86314">
        <w:rPr>
          <w:noProof/>
          <w:lang w:val="en-GB"/>
        </w:rPr>
        <w:t>comparison of Policy Options</w:t>
      </w:r>
      <w:bookmarkEnd w:id="248"/>
      <w:r w:rsidR="002D5045" w:rsidRPr="00D86314">
        <w:rPr>
          <w:noProof/>
          <w:lang w:val="en-GB"/>
        </w:rPr>
        <w:t xml:space="preserve"> </w:t>
      </w:r>
      <w:bookmarkEnd w:id="242"/>
    </w:p>
    <w:p w14:paraId="6B2B7564" w14:textId="5B3812EA" w:rsidR="008071A9" w:rsidRPr="00D86314" w:rsidRDefault="008071A9" w:rsidP="00A00C17">
      <w:pPr>
        <w:pStyle w:val="Heading1"/>
        <w:numPr>
          <w:ilvl w:val="0"/>
          <w:numId w:val="27"/>
        </w:numPr>
        <w:rPr>
          <w:noProof/>
          <w:lang w:val="en-GB"/>
        </w:rPr>
      </w:pPr>
      <w:bookmarkStart w:id="249" w:name="_Toc219718442"/>
      <w:bookmarkStart w:id="250" w:name="_Toc208239228"/>
      <w:r w:rsidRPr="00D86314">
        <w:rPr>
          <w:noProof/>
          <w:lang w:val="en-GB"/>
        </w:rPr>
        <w:t>Impa</w:t>
      </w:r>
      <w:r w:rsidR="007E37C8" w:rsidRPr="00D86314">
        <w:rPr>
          <w:noProof/>
          <w:lang w:val="en-GB"/>
        </w:rPr>
        <w:t xml:space="preserve">ct and </w:t>
      </w:r>
      <w:r w:rsidR="005E1731" w:rsidRPr="00D86314">
        <w:rPr>
          <w:noProof/>
          <w:lang w:val="en-GB"/>
        </w:rPr>
        <w:t>comparison</w:t>
      </w:r>
      <w:r w:rsidR="007E37C8" w:rsidRPr="00D86314">
        <w:rPr>
          <w:noProof/>
          <w:lang w:val="en-GB"/>
        </w:rPr>
        <w:t xml:space="preserve"> of the </w:t>
      </w:r>
      <w:r w:rsidR="009B7E9D" w:rsidRPr="00D86314">
        <w:rPr>
          <w:noProof/>
          <w:lang w:val="en-GB"/>
        </w:rPr>
        <w:t>policy options</w:t>
      </w:r>
      <w:bookmarkEnd w:id="249"/>
    </w:p>
    <w:p w14:paraId="6B7E74BC" w14:textId="75BE546F" w:rsidR="00A269B9" w:rsidRPr="00D86314" w:rsidRDefault="008071A9" w:rsidP="009B7E9D">
      <w:pPr>
        <w:pStyle w:val="Text1"/>
        <w:ind w:left="0"/>
        <w:rPr>
          <w:noProof/>
        </w:rPr>
      </w:pPr>
      <w:r w:rsidRPr="00D86314">
        <w:rPr>
          <w:noProof/>
        </w:rPr>
        <w:t xml:space="preserve">This section </w:t>
      </w:r>
      <w:r w:rsidR="005E1731" w:rsidRPr="00D86314">
        <w:rPr>
          <w:noProof/>
        </w:rPr>
        <w:t xml:space="preserve">provides further details on the impacts and </w:t>
      </w:r>
      <w:r w:rsidR="00484802" w:rsidRPr="00D86314">
        <w:rPr>
          <w:noProof/>
        </w:rPr>
        <w:t>comparison</w:t>
      </w:r>
      <w:r w:rsidR="00081A12" w:rsidRPr="00D86314">
        <w:rPr>
          <w:noProof/>
        </w:rPr>
        <w:t xml:space="preserve"> of the policy options</w:t>
      </w:r>
      <w:r w:rsidR="009B7E9D" w:rsidRPr="00D86314">
        <w:rPr>
          <w:noProof/>
        </w:rPr>
        <w:t>.</w:t>
      </w:r>
    </w:p>
    <w:p w14:paraId="2D050F46" w14:textId="77777777" w:rsidR="003D5949" w:rsidRPr="00D86314" w:rsidRDefault="003148CC" w:rsidP="004B6FC1">
      <w:pPr>
        <w:pStyle w:val="Heading3"/>
        <w:numPr>
          <w:ilvl w:val="0"/>
          <w:numId w:val="0"/>
        </w:numPr>
        <w:rPr>
          <w:noProof/>
        </w:rPr>
      </w:pPr>
      <w:bookmarkStart w:id="251" w:name="_Toc219718443"/>
      <w:r w:rsidRPr="00D86314">
        <w:rPr>
          <w:noProof/>
        </w:rPr>
        <w:t xml:space="preserve">1.1. </w:t>
      </w:r>
      <w:r w:rsidR="02A4E81B" w:rsidRPr="00D86314">
        <w:rPr>
          <w:noProof/>
        </w:rPr>
        <w:t xml:space="preserve">Transition to </w:t>
      </w:r>
      <w:r w:rsidR="00D32BB6" w:rsidRPr="00D86314">
        <w:rPr>
          <w:noProof/>
        </w:rPr>
        <w:t>fibre</w:t>
      </w:r>
      <w:bookmarkEnd w:id="251"/>
    </w:p>
    <w:p w14:paraId="1464638E" w14:textId="17CABD9A" w:rsidR="00F9628F" w:rsidRPr="00D86314" w:rsidRDefault="00077A38" w:rsidP="004B6FC1">
      <w:pPr>
        <w:pStyle w:val="Heading3"/>
        <w:numPr>
          <w:ilvl w:val="0"/>
          <w:numId w:val="0"/>
        </w:numPr>
        <w:rPr>
          <w:noProof/>
        </w:rPr>
      </w:pPr>
      <w:bookmarkStart w:id="252" w:name="_Toc219718444"/>
      <w:r w:rsidRPr="00D86314">
        <w:rPr>
          <w:noProof/>
        </w:rPr>
        <w:t xml:space="preserve">1.1.1. </w:t>
      </w:r>
      <w:r w:rsidR="000370CE" w:rsidRPr="00D86314">
        <w:rPr>
          <w:noProof/>
        </w:rPr>
        <w:t>Effectiveness</w:t>
      </w:r>
      <w:bookmarkEnd w:id="252"/>
    </w:p>
    <w:p w14:paraId="42104BA1" w14:textId="77777777" w:rsidR="009059B0" w:rsidRPr="00D86314" w:rsidRDefault="009059B0" w:rsidP="009059B0">
      <w:pPr>
        <w:spacing w:after="160" w:line="259" w:lineRule="auto"/>
        <w:rPr>
          <w:noProof/>
        </w:rPr>
      </w:pPr>
      <w:r w:rsidRPr="00D86314">
        <w:rPr>
          <w:noProof/>
        </w:rPr>
        <w:t>The effectiveness of the policy options is assessed against their ability to achieve the general objectives. These objectives correspond to a set of intermediate and outcome indicators, including FTTH coverage and take-up, retail market concentration (HHI), take-up of Gigabit offers, prices for high-speed and Gigabit broadband, and average actual download and upload speeds.</w:t>
      </w:r>
    </w:p>
    <w:p w14:paraId="35ECFED3" w14:textId="77777777" w:rsidR="009059B0" w:rsidRPr="00D86314" w:rsidRDefault="009059B0" w:rsidP="009059B0">
      <w:pPr>
        <w:spacing w:after="160" w:line="259" w:lineRule="auto"/>
        <w:rPr>
          <w:noProof/>
        </w:rPr>
      </w:pPr>
      <w:r w:rsidRPr="00D86314">
        <w:rPr>
          <w:noProof/>
        </w:rPr>
        <w:t>Some of these indicators are assumed to be interrelated based on the data analysis. For example, FTTH take-up is linked to FTTH coverage (homes passed) and the availability of in-building fibre wiring in MDUs. Average download and upload speeds depend on FTTH take-up and on the take-up of Gigabit offers on Gigabit-capable networks, which is influenced by the price of Gigabit offers relative to other bandwidths. These prices, in turn, may be affected by infrastructure-based competition and other competitive dynamics that enable differentiation in speed and quality.</w:t>
      </w:r>
    </w:p>
    <w:tbl>
      <w:tblPr>
        <w:tblStyle w:val="PlainTable2"/>
        <w:tblW w:w="17137" w:type="dxa"/>
        <w:tblInd w:w="-142" w:type="dxa"/>
        <w:tblLayout w:type="fixed"/>
        <w:tblLook w:val="04A0" w:firstRow="1" w:lastRow="0" w:firstColumn="1" w:lastColumn="0" w:noHBand="0" w:noVBand="1"/>
      </w:tblPr>
      <w:tblGrid>
        <w:gridCol w:w="3402"/>
        <w:gridCol w:w="5434"/>
        <w:gridCol w:w="3911"/>
        <w:gridCol w:w="4390"/>
      </w:tblGrid>
      <w:tr w:rsidR="00894A59" w:rsidRPr="00D86314" w14:paraId="1119C216" w14:textId="77777777" w:rsidTr="00703057">
        <w:trPr>
          <w:gridAfter w:val="2"/>
          <w:cnfStyle w:val="100000000000" w:firstRow="1" w:lastRow="0" w:firstColumn="0" w:lastColumn="0" w:oddVBand="0" w:evenVBand="0" w:oddHBand="0" w:evenHBand="0" w:firstRowFirstColumn="0" w:firstRowLastColumn="0" w:lastRowFirstColumn="0" w:lastRowLastColumn="0"/>
          <w:wAfter w:w="8301" w:type="dxa"/>
        </w:trPr>
        <w:tc>
          <w:tcPr>
            <w:cnfStyle w:val="001000000000" w:firstRow="0" w:lastRow="0" w:firstColumn="1" w:lastColumn="0" w:oddVBand="0" w:evenVBand="0" w:oddHBand="0" w:evenHBand="0" w:firstRowFirstColumn="0" w:firstRowLastColumn="0" w:lastRowFirstColumn="0" w:lastRowLastColumn="0"/>
            <w:tcW w:w="3402" w:type="dxa"/>
          </w:tcPr>
          <w:p w14:paraId="25F8DA72" w14:textId="77777777" w:rsidR="00894A59" w:rsidRPr="00D86314" w:rsidRDefault="00894A59" w:rsidP="00EA737B">
            <w:pPr>
              <w:spacing w:after="120"/>
              <w:jc w:val="left"/>
              <w:rPr>
                <w:b w:val="0"/>
                <w:bCs w:val="0"/>
                <w:noProof/>
                <w:sz w:val="20"/>
                <w:szCs w:val="20"/>
              </w:rPr>
            </w:pPr>
            <w:r w:rsidRPr="00D86314">
              <w:rPr>
                <w:b w:val="0"/>
                <w:bCs w:val="0"/>
                <w:noProof/>
                <w:sz w:val="20"/>
                <w:szCs w:val="20"/>
              </w:rPr>
              <w:t>Objective</w:t>
            </w:r>
          </w:p>
        </w:tc>
        <w:tc>
          <w:tcPr>
            <w:tcW w:w="5434" w:type="dxa"/>
          </w:tcPr>
          <w:p w14:paraId="56E10215" w14:textId="77777777" w:rsidR="00894A59" w:rsidRPr="00D86314" w:rsidRDefault="00894A59" w:rsidP="00703057">
            <w:pPr>
              <w:spacing w:after="120"/>
              <w:ind w:left="371"/>
              <w:jc w:val="left"/>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D86314">
              <w:rPr>
                <w:b w:val="0"/>
                <w:bCs w:val="0"/>
                <w:noProof/>
                <w:sz w:val="20"/>
                <w:szCs w:val="20"/>
              </w:rPr>
              <w:t>Indicators</w:t>
            </w:r>
          </w:p>
        </w:tc>
      </w:tr>
      <w:tr w:rsidR="00894A59" w:rsidRPr="00D86314" w14:paraId="07246F07" w14:textId="77777777" w:rsidTr="00703057">
        <w:trPr>
          <w:gridAfter w:val="2"/>
          <w:cnfStyle w:val="000000100000" w:firstRow="0" w:lastRow="0" w:firstColumn="0" w:lastColumn="0" w:oddVBand="0" w:evenVBand="0" w:oddHBand="1" w:evenHBand="0" w:firstRowFirstColumn="0" w:firstRowLastColumn="0" w:lastRowFirstColumn="0" w:lastRowLastColumn="0"/>
          <w:wAfter w:w="8301" w:type="dxa"/>
          <w:trHeight w:val="604"/>
        </w:trPr>
        <w:tc>
          <w:tcPr>
            <w:cnfStyle w:val="001000000000" w:firstRow="0" w:lastRow="0" w:firstColumn="1" w:lastColumn="0" w:oddVBand="0" w:evenVBand="0" w:oddHBand="0" w:evenHBand="0" w:firstRowFirstColumn="0" w:firstRowLastColumn="0" w:lastRowFirstColumn="0" w:lastRowLastColumn="0"/>
            <w:tcW w:w="3402" w:type="dxa"/>
          </w:tcPr>
          <w:p w14:paraId="24379365" w14:textId="77777777" w:rsidR="00894A59" w:rsidRPr="00C20A01" w:rsidRDefault="00894A59" w:rsidP="00EA737B">
            <w:pPr>
              <w:pStyle w:val="bullettext"/>
              <w:numPr>
                <w:ilvl w:val="0"/>
                <w:numId w:val="0"/>
              </w:numPr>
              <w:spacing w:before="0"/>
              <w:jc w:val="left"/>
              <w:rPr>
                <w:rFonts w:ascii="Times New Roman" w:hAnsi="Times New Roman"/>
                <w:sz w:val="20"/>
                <w:szCs w:val="20"/>
              </w:rPr>
            </w:pPr>
            <w:r w:rsidRPr="00C20A01">
              <w:rPr>
                <w:rFonts w:ascii="Times New Roman" w:hAnsi="Times New Roman"/>
                <w:sz w:val="20"/>
                <w:szCs w:val="20"/>
              </w:rPr>
              <w:t>Foster full fibre coverage and take-up</w:t>
            </w:r>
          </w:p>
          <w:p w14:paraId="031E5586" w14:textId="77777777" w:rsidR="00894A59" w:rsidRPr="00D86314" w:rsidRDefault="00894A59" w:rsidP="00EA737B">
            <w:pPr>
              <w:spacing w:after="120"/>
              <w:jc w:val="left"/>
              <w:rPr>
                <w:noProof/>
                <w:sz w:val="20"/>
                <w:szCs w:val="20"/>
              </w:rPr>
            </w:pPr>
          </w:p>
        </w:tc>
        <w:tc>
          <w:tcPr>
            <w:tcW w:w="5434" w:type="dxa"/>
          </w:tcPr>
          <w:p w14:paraId="3DC3A243" w14:textId="77777777" w:rsidR="00894A59" w:rsidRPr="00D86314" w:rsidRDefault="00894A59"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86314">
              <w:rPr>
                <w:noProof/>
                <w:sz w:val="20"/>
                <w:szCs w:val="20"/>
              </w:rPr>
              <w:t>FTTH coverage (homes passed as % HH)</w:t>
            </w:r>
          </w:p>
          <w:p w14:paraId="1534C11B" w14:textId="77777777" w:rsidR="00894A59" w:rsidRPr="00D86314" w:rsidRDefault="00894A59"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86314">
              <w:rPr>
                <w:noProof/>
                <w:sz w:val="20"/>
                <w:szCs w:val="20"/>
              </w:rPr>
              <w:t>FTTH adoption (homes activated as % HH)</w:t>
            </w:r>
          </w:p>
          <w:p w14:paraId="23E0EE58" w14:textId="77777777" w:rsidR="00894A59" w:rsidRPr="00D86314" w:rsidRDefault="00894A59"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szCs w:val="20"/>
              </w:rPr>
            </w:pPr>
          </w:p>
        </w:tc>
      </w:tr>
      <w:tr w:rsidR="00894A59" w:rsidRPr="00D86314" w14:paraId="14283B9D" w14:textId="77777777" w:rsidTr="00703057">
        <w:tc>
          <w:tcPr>
            <w:cnfStyle w:val="001000000000" w:firstRow="0" w:lastRow="0" w:firstColumn="1" w:lastColumn="0" w:oddVBand="0" w:evenVBand="0" w:oddHBand="0" w:evenHBand="0" w:firstRowFirstColumn="0" w:firstRowLastColumn="0" w:lastRowFirstColumn="0" w:lastRowLastColumn="0"/>
            <w:tcW w:w="12747" w:type="dxa"/>
            <w:gridSpan w:val="3"/>
          </w:tcPr>
          <w:p w14:paraId="1BC416D8" w14:textId="77777777" w:rsidR="00894A59" w:rsidRPr="00D86314" w:rsidRDefault="00894A59" w:rsidP="00EA737B">
            <w:pPr>
              <w:spacing w:after="120"/>
              <w:jc w:val="left"/>
              <w:rPr>
                <w:noProof/>
                <w:sz w:val="20"/>
                <w:szCs w:val="20"/>
              </w:rPr>
            </w:pPr>
            <w:r w:rsidRPr="00D86314">
              <w:rPr>
                <w:noProof/>
                <w:sz w:val="20"/>
                <w:szCs w:val="20"/>
              </w:rPr>
              <w:t>Foster competition to boost innovation and take-up of higher speeds</w:t>
            </w:r>
          </w:p>
        </w:tc>
        <w:tc>
          <w:tcPr>
            <w:tcW w:w="4390" w:type="dxa"/>
          </w:tcPr>
          <w:p w14:paraId="4CAD11E4"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Intermediate indicators: number of ISPs offering VHCN / HHI in VHCN</w:t>
            </w:r>
          </w:p>
          <w:p w14:paraId="2694453A"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Final outcomes:</w:t>
            </w:r>
          </w:p>
          <w:p w14:paraId="21307D0B"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Prices for Gigabit broadband</w:t>
            </w:r>
          </w:p>
          <w:p w14:paraId="5C39C099"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Take-up of Gigabit offers</w:t>
            </w:r>
          </w:p>
          <w:p w14:paraId="2E9E90DD"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Average download and upload speeds</w:t>
            </w:r>
          </w:p>
        </w:tc>
      </w:tr>
      <w:tr w:rsidR="00894A59" w:rsidRPr="00D86314" w14:paraId="0B4F9234" w14:textId="77777777" w:rsidTr="00703057">
        <w:trPr>
          <w:gridAfter w:val="2"/>
          <w:cnfStyle w:val="000000100000" w:firstRow="0" w:lastRow="0" w:firstColumn="0" w:lastColumn="0" w:oddVBand="0" w:evenVBand="0" w:oddHBand="1" w:evenHBand="0" w:firstRowFirstColumn="0" w:firstRowLastColumn="0" w:lastRowFirstColumn="0" w:lastRowLastColumn="0"/>
          <w:wAfter w:w="8301" w:type="dxa"/>
        </w:trPr>
        <w:tc>
          <w:tcPr>
            <w:cnfStyle w:val="001000000000" w:firstRow="0" w:lastRow="0" w:firstColumn="1" w:lastColumn="0" w:oddVBand="0" w:evenVBand="0" w:oddHBand="0" w:evenHBand="0" w:firstRowFirstColumn="0" w:firstRowLastColumn="0" w:lastRowFirstColumn="0" w:lastRowLastColumn="0"/>
            <w:tcW w:w="3402" w:type="dxa"/>
          </w:tcPr>
          <w:p w14:paraId="6683BAE4" w14:textId="77777777" w:rsidR="00894A59" w:rsidRPr="00D86314" w:rsidRDefault="00894A59" w:rsidP="00EA737B">
            <w:pPr>
              <w:spacing w:after="120"/>
              <w:jc w:val="left"/>
              <w:rPr>
                <w:noProof/>
                <w:sz w:val="20"/>
                <w:szCs w:val="20"/>
              </w:rPr>
            </w:pPr>
            <w:r w:rsidRPr="00D86314">
              <w:rPr>
                <w:noProof/>
                <w:sz w:val="20"/>
                <w:szCs w:val="20"/>
              </w:rPr>
              <w:t>Address fragmentation impeding the single market</w:t>
            </w:r>
          </w:p>
        </w:tc>
        <w:tc>
          <w:tcPr>
            <w:tcW w:w="5434" w:type="dxa"/>
          </w:tcPr>
          <w:p w14:paraId="66A5BA42" w14:textId="77777777" w:rsidR="00894A59" w:rsidRPr="00D86314" w:rsidRDefault="00894A59"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86314">
              <w:rPr>
                <w:noProof/>
                <w:sz w:val="20"/>
                <w:szCs w:val="20"/>
              </w:rPr>
              <w:t>Consistency in wholesale access specifications across the EU including QoS guarantees for business services</w:t>
            </w:r>
          </w:p>
          <w:p w14:paraId="7EE7525C" w14:textId="77777777" w:rsidR="00894A59" w:rsidRPr="00D86314" w:rsidRDefault="00894A59"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86314">
              <w:rPr>
                <w:noProof/>
                <w:sz w:val="20"/>
                <w:szCs w:val="20"/>
              </w:rPr>
              <w:t>% take-up of wholesale access via mechanisms which permit differentiation (unbundling, uncontended VULA offering full flexibility)</w:t>
            </w:r>
          </w:p>
        </w:tc>
      </w:tr>
      <w:tr w:rsidR="00894A59" w:rsidRPr="00D86314" w14:paraId="5D9A28E8" w14:textId="77777777" w:rsidTr="00703057">
        <w:tc>
          <w:tcPr>
            <w:cnfStyle w:val="001000000000" w:firstRow="0" w:lastRow="0" w:firstColumn="1" w:lastColumn="0" w:oddVBand="0" w:evenVBand="0" w:oddHBand="0" w:evenHBand="0" w:firstRowFirstColumn="0" w:firstRowLastColumn="0" w:lastRowFirstColumn="0" w:lastRowLastColumn="0"/>
            <w:tcW w:w="12747" w:type="dxa"/>
            <w:gridSpan w:val="3"/>
          </w:tcPr>
          <w:p w14:paraId="06A89542" w14:textId="77777777" w:rsidR="00894A59" w:rsidRPr="00D86314" w:rsidRDefault="00894A59" w:rsidP="00EA737B">
            <w:pPr>
              <w:spacing w:after="120"/>
              <w:jc w:val="left"/>
              <w:rPr>
                <w:noProof/>
                <w:sz w:val="20"/>
                <w:szCs w:val="20"/>
              </w:rPr>
            </w:pPr>
            <w:r w:rsidRPr="00D86314">
              <w:rPr>
                <w:noProof/>
                <w:sz w:val="20"/>
                <w:szCs w:val="20"/>
              </w:rPr>
              <w:t>Simplification by updating and removing redundant provisions</w:t>
            </w:r>
          </w:p>
        </w:tc>
        <w:tc>
          <w:tcPr>
            <w:tcW w:w="4390" w:type="dxa"/>
          </w:tcPr>
          <w:p w14:paraId="0C72B994"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Removal of unused or contested provisions</w:t>
            </w:r>
          </w:p>
          <w:p w14:paraId="284629E0"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Improved coherence (external and internal)</w:t>
            </w:r>
          </w:p>
          <w:p w14:paraId="26C13850" w14:textId="77777777" w:rsidR="00894A59" w:rsidRPr="00D86314" w:rsidRDefault="00894A59"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Reduction in administrative burden</w:t>
            </w:r>
          </w:p>
        </w:tc>
      </w:tr>
    </w:tbl>
    <w:p w14:paraId="786231E9" w14:textId="77777777" w:rsidR="009126DF" w:rsidRPr="00D86314" w:rsidRDefault="009126DF" w:rsidP="009126DF">
      <w:pPr>
        <w:rPr>
          <w:noProof/>
        </w:rPr>
      </w:pPr>
      <w:r w:rsidRPr="00D86314">
        <w:rPr>
          <w:noProof/>
        </w:rPr>
        <w:t>The policy options differ in their approach to copper switch-off and access regulation, including when market analyses are triggered and what remedies are applied. The following sections present evidence on how these policies are likely to affect FTTH deployment and take-up, as well as end-user choice, price, and quality. This evidence informs the assessment of how effective each policy option is.</w:t>
      </w:r>
    </w:p>
    <w:p w14:paraId="13C7663A" w14:textId="7C24873B" w:rsidR="3F5E6F35" w:rsidRPr="00D86314" w:rsidRDefault="3F5E6F35" w:rsidP="00C75D61">
      <w:pPr>
        <w:rPr>
          <w:b/>
          <w:bCs/>
          <w:noProof/>
        </w:rPr>
      </w:pPr>
      <w:r w:rsidRPr="00D86314">
        <w:rPr>
          <w:b/>
          <w:bCs/>
          <w:noProof/>
        </w:rPr>
        <w:t xml:space="preserve">Effects of </w:t>
      </w:r>
      <w:r w:rsidR="7BE3CB03" w:rsidRPr="00D86314">
        <w:rPr>
          <w:b/>
          <w:bCs/>
          <w:noProof/>
        </w:rPr>
        <w:t xml:space="preserve">the </w:t>
      </w:r>
      <w:r w:rsidR="29EB5320" w:rsidRPr="00D86314">
        <w:rPr>
          <w:b/>
          <w:bCs/>
          <w:noProof/>
        </w:rPr>
        <w:t>n</w:t>
      </w:r>
      <w:r w:rsidR="2C36F05C" w:rsidRPr="00D86314">
        <w:rPr>
          <w:b/>
          <w:bCs/>
          <w:noProof/>
        </w:rPr>
        <w:t>ational</w:t>
      </w:r>
      <w:r w:rsidRPr="00D86314">
        <w:rPr>
          <w:b/>
          <w:bCs/>
          <w:noProof/>
        </w:rPr>
        <w:t xml:space="preserve"> Plans</w:t>
      </w:r>
    </w:p>
    <w:p w14:paraId="7D79B280" w14:textId="12CD55B4" w:rsidR="3F5E6F35" w:rsidRPr="00D86314" w:rsidRDefault="3F5E6F35" w:rsidP="00C75D61">
      <w:pPr>
        <w:rPr>
          <w:noProof/>
        </w:rPr>
      </w:pPr>
      <w:r w:rsidRPr="00D86314">
        <w:rPr>
          <w:noProof/>
        </w:rPr>
        <w:t xml:space="preserve">The requirements on national authorities to draft </w:t>
      </w:r>
      <w:r w:rsidR="39C84910" w:rsidRPr="00D86314">
        <w:rPr>
          <w:noProof/>
        </w:rPr>
        <w:t xml:space="preserve">a national plan setting out the measures to achieve transition to </w:t>
      </w:r>
      <w:r w:rsidR="00162A17" w:rsidRPr="00D86314">
        <w:rPr>
          <w:noProof/>
        </w:rPr>
        <w:t>fibre</w:t>
      </w:r>
      <w:r w:rsidRPr="00D86314">
        <w:rPr>
          <w:noProof/>
        </w:rPr>
        <w:t>, based on the input of the NRAs, ensures coordination at national level</w:t>
      </w:r>
      <w:r w:rsidR="2E0B9154" w:rsidRPr="00D86314">
        <w:rPr>
          <w:noProof/>
        </w:rPr>
        <w:t>. I</w:t>
      </w:r>
      <w:r w:rsidRPr="00D86314">
        <w:rPr>
          <w:noProof/>
        </w:rPr>
        <w:t>n particular</w:t>
      </w:r>
      <w:r w:rsidR="2DD9F290" w:rsidRPr="00D86314">
        <w:rPr>
          <w:noProof/>
        </w:rPr>
        <w:t>,</w:t>
      </w:r>
      <w:r w:rsidRPr="00D86314">
        <w:rPr>
          <w:noProof/>
        </w:rPr>
        <w:t xml:space="preserve"> in the option where these </w:t>
      </w:r>
      <w:r w:rsidR="00D83B61" w:rsidRPr="00D86314">
        <w:rPr>
          <w:noProof/>
        </w:rPr>
        <w:t>p</w:t>
      </w:r>
      <w:r w:rsidRPr="00D86314">
        <w:rPr>
          <w:noProof/>
        </w:rPr>
        <w:t>lans are subject to the Commission’s scrutiny</w:t>
      </w:r>
      <w:r w:rsidR="73275094" w:rsidRPr="00D86314">
        <w:rPr>
          <w:noProof/>
        </w:rPr>
        <w:t xml:space="preserve"> (Transition to Fibr</w:t>
      </w:r>
      <w:r w:rsidR="002C5E52" w:rsidRPr="00D86314">
        <w:rPr>
          <w:noProof/>
        </w:rPr>
        <w:t>e</w:t>
      </w:r>
      <w:r w:rsidR="73275094" w:rsidRPr="00D86314">
        <w:rPr>
          <w:noProof/>
        </w:rPr>
        <w:t xml:space="preserve"> Plan is submitted for Commission scrutiny in option 2)</w:t>
      </w:r>
      <w:r w:rsidRPr="00D86314">
        <w:rPr>
          <w:noProof/>
        </w:rPr>
        <w:t>, also consistency at EU level</w:t>
      </w:r>
      <w:r w:rsidR="6F71F835" w:rsidRPr="00D86314">
        <w:rPr>
          <w:noProof/>
        </w:rPr>
        <w:t xml:space="preserve"> is ensured</w:t>
      </w:r>
      <w:r w:rsidRPr="00D86314">
        <w:rPr>
          <w:noProof/>
        </w:rPr>
        <w:t xml:space="preserve">. The plans also ensure accountability of Member States in putting in place the right measures to directly and indirectly foster the deployment of </w:t>
      </w:r>
      <w:r w:rsidR="00D32BB6" w:rsidRPr="00D86314">
        <w:rPr>
          <w:noProof/>
        </w:rPr>
        <w:t>fibre</w:t>
      </w:r>
      <w:r w:rsidRPr="00D86314">
        <w:rPr>
          <w:noProof/>
        </w:rPr>
        <w:t xml:space="preserve"> networks.</w:t>
      </w:r>
    </w:p>
    <w:p w14:paraId="6A21AB68" w14:textId="77777777" w:rsidR="009126DF" w:rsidRPr="00D86314" w:rsidRDefault="009126DF" w:rsidP="00C75D61">
      <w:pPr>
        <w:rPr>
          <w:b/>
          <w:bCs/>
          <w:noProof/>
        </w:rPr>
      </w:pPr>
      <w:r w:rsidRPr="00D86314">
        <w:rPr>
          <w:b/>
          <w:bCs/>
          <w:noProof/>
        </w:rPr>
        <w:t>Effects of copper switch-off policies on outcomes</w:t>
      </w:r>
    </w:p>
    <w:p w14:paraId="28B9A70C" w14:textId="7E4ECC24" w:rsidR="009126DF" w:rsidRPr="00D86314" w:rsidRDefault="009126DF" w:rsidP="009126DF">
      <w:pPr>
        <w:rPr>
          <w:noProof/>
        </w:rPr>
      </w:pPr>
      <w:r w:rsidRPr="00D86314">
        <w:rPr>
          <w:noProof/>
        </w:rPr>
        <w:t>Copper switch-off should increase FTTH coverage by reduc</w:t>
      </w:r>
      <w:r w:rsidR="3EB9E9DA" w:rsidRPr="00D86314">
        <w:rPr>
          <w:noProof/>
        </w:rPr>
        <w:t>ing</w:t>
      </w:r>
      <w:r w:rsidRPr="00D86314">
        <w:rPr>
          <w:noProof/>
        </w:rPr>
        <w:t xml:space="preserve"> penetration risk (low take-up) and strengthen</w:t>
      </w:r>
      <w:r w:rsidR="2A8A0B67" w:rsidRPr="00D86314">
        <w:rPr>
          <w:noProof/>
        </w:rPr>
        <w:t>ing</w:t>
      </w:r>
      <w:r w:rsidRPr="00D86314">
        <w:rPr>
          <w:noProof/>
        </w:rPr>
        <w:t xml:space="preserve"> the business case for FTTH investment. Financial investors have identified copper switch-off as the single most important policy for improving the viability of alternative FTTH deployment.</w:t>
      </w:r>
    </w:p>
    <w:p w14:paraId="5FF8BE57" w14:textId="77777777" w:rsidR="009126DF" w:rsidRPr="00D86314" w:rsidRDefault="009126DF" w:rsidP="009126DF">
      <w:pPr>
        <w:rPr>
          <w:noProof/>
        </w:rPr>
      </w:pPr>
      <w:r w:rsidRPr="00D86314">
        <w:rPr>
          <w:noProof/>
        </w:rPr>
        <w:t>In areas already covered by FTTH, accelerating copper switch-off can directly boost FTTH take-up by requiring wholesale and retail customers on copper to migrate to fibre within a set timeframe. However, this only works if FTTH is available at the time of switch-off; otherwise, customers may have to rely on lower-performance technologies such as cable, FTTB/G.fast, FWA or mobile.</w:t>
      </w:r>
    </w:p>
    <w:p w14:paraId="64AAF9B4" w14:textId="77777777" w:rsidR="009126DF" w:rsidRPr="00D86314" w:rsidRDefault="009126DF" w:rsidP="009126DF">
      <w:pPr>
        <w:rPr>
          <w:noProof/>
        </w:rPr>
      </w:pPr>
      <w:r w:rsidRPr="00D86314">
        <w:rPr>
          <w:noProof/>
        </w:rPr>
        <w:t>Higher FTTH take-up is also linked to higher average broadband speeds, since FTTH supports more advanced performance than other technologies. At the same time, safeguards are needed to ensure consumers are not forced to pay higher prices for equivalent services when moving from copper to fibre.</w:t>
      </w:r>
    </w:p>
    <w:p w14:paraId="0C9275A7" w14:textId="41F2A69A" w:rsidR="00D628A3" w:rsidRPr="00D86314" w:rsidRDefault="009126DF" w:rsidP="00623C8D">
      <w:pPr>
        <w:pStyle w:val="Abbberschrift"/>
        <w:rPr>
          <w:noProof/>
          <w:szCs w:val="22"/>
        </w:rPr>
      </w:pPr>
      <w:r w:rsidRPr="00D86314">
        <w:rPr>
          <w:rStyle w:val="CaptionChar"/>
          <w:noProof/>
          <w:color w:val="auto"/>
          <w:sz w:val="22"/>
          <w:szCs w:val="22"/>
        </w:rPr>
        <w:t>Figure</w:t>
      </w:r>
      <w:r w:rsidR="005A5FCC" w:rsidRPr="00D86314">
        <w:rPr>
          <w:rStyle w:val="CaptionChar"/>
          <w:noProof/>
          <w:color w:val="auto"/>
          <w:sz w:val="22"/>
          <w:szCs w:val="22"/>
        </w:rPr>
        <w:t xml:space="preserve"> A9 1-1</w:t>
      </w:r>
      <w:r w:rsidRPr="00D86314">
        <w:rPr>
          <w:rStyle w:val="CaptionChar"/>
          <w:noProof/>
          <w:color w:val="auto"/>
          <w:sz w:val="22"/>
          <w:szCs w:val="22"/>
        </w:rPr>
        <w:t>:</w:t>
      </w:r>
      <w:r w:rsidRPr="00D86314">
        <w:rPr>
          <w:rStyle w:val="CaptionChar"/>
          <w:noProof/>
          <w:color w:val="auto"/>
          <w:sz w:val="22"/>
          <w:szCs w:val="22"/>
        </w:rPr>
        <w:tab/>
        <w:t xml:space="preserve"> FTT</w:t>
      </w:r>
      <w:r w:rsidRPr="00D86314">
        <w:rPr>
          <w:rFonts w:ascii="Times New Roman" w:hAnsi="Times New Roman"/>
          <w:i/>
          <w:noProof/>
          <w:szCs w:val="22"/>
        </w:rPr>
        <w:t>P</w:t>
      </w:r>
      <w:r w:rsidRPr="00D86314">
        <w:rPr>
          <w:rFonts w:ascii="Times New Roman" w:hAnsi="Times New Roman"/>
          <w:noProof/>
          <w:szCs w:val="22"/>
        </w:rPr>
        <w:t xml:space="preserve"> </w:t>
      </w:r>
      <w:r w:rsidRPr="00D86314">
        <w:rPr>
          <w:rFonts w:ascii="Times New Roman" w:hAnsi="Times New Roman"/>
          <w:i/>
          <w:noProof/>
          <w:szCs w:val="22"/>
        </w:rPr>
        <w:t>take-up in % of HH and median download speed (2024)</w:t>
      </w:r>
    </w:p>
    <w:p w14:paraId="2A9554D6" w14:textId="3842A24B" w:rsidR="009126DF" w:rsidRPr="00D86314" w:rsidRDefault="00BC038B" w:rsidP="00E529ED">
      <w:pPr>
        <w:pStyle w:val="Text1"/>
        <w:ind w:left="0"/>
        <w:rPr>
          <w:noProof/>
        </w:rPr>
      </w:pPr>
      <w:r w:rsidRPr="00CA2C0B">
        <w:rPr>
          <w:noProof/>
          <w:szCs w:val="24"/>
          <w:lang w:eastAsia="en-GB"/>
        </w:rPr>
        <w:drawing>
          <wp:inline distT="0" distB="0" distL="0" distR="0" wp14:anchorId="6F58F893" wp14:editId="43451DBB">
            <wp:extent cx="5217588" cy="3366424"/>
            <wp:effectExtent l="0" t="0" r="2540" b="5715"/>
            <wp:docPr id="1099127570" name="Grafik 2" descr="A graph with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27570" name="Grafik 2" descr="A graph with dots and lines&#10;&#10;AI-generated content may be incorrect."/>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240674" cy="3381319"/>
                    </a:xfrm>
                    <a:prstGeom prst="rect">
                      <a:avLst/>
                    </a:prstGeom>
                    <a:noFill/>
                  </pic:spPr>
                </pic:pic>
              </a:graphicData>
            </a:graphic>
          </wp:inline>
        </w:drawing>
      </w:r>
    </w:p>
    <w:p w14:paraId="276800E3" w14:textId="77777777" w:rsidR="00A42ECC" w:rsidRPr="00D86314" w:rsidRDefault="00A42ECC" w:rsidP="00A42ECC">
      <w:pPr>
        <w:pStyle w:val="Quelle"/>
        <w:rPr>
          <w:rFonts w:ascii="Times New Roman" w:hAnsi="Times New Roman"/>
          <w:noProof/>
          <w:sz w:val="24"/>
          <w:szCs w:val="24"/>
        </w:rPr>
      </w:pPr>
      <w:r w:rsidRPr="00D86314">
        <w:rPr>
          <w:rFonts w:ascii="Times New Roman" w:hAnsi="Times New Roman"/>
          <w:noProof/>
          <w:sz w:val="22"/>
          <w:szCs w:val="22"/>
        </w:rPr>
        <w:t>Source: WIK based on FTTH Council (2025)</w:t>
      </w:r>
      <w:r w:rsidRPr="00D86314">
        <w:rPr>
          <w:rStyle w:val="FootnoteReference"/>
          <w:rFonts w:ascii="Times New Roman" w:hAnsi="Times New Roman"/>
          <w:noProof/>
          <w:sz w:val="22"/>
          <w:szCs w:val="22"/>
        </w:rPr>
        <w:footnoteReference w:id="208"/>
      </w:r>
      <w:r w:rsidRPr="00D86314">
        <w:rPr>
          <w:rFonts w:ascii="Times New Roman" w:hAnsi="Times New Roman"/>
          <w:noProof/>
          <w:sz w:val="22"/>
          <w:szCs w:val="22"/>
        </w:rPr>
        <w:t xml:space="preserve"> and Ookla (2025)</w:t>
      </w:r>
      <w:r w:rsidRPr="00D86314">
        <w:rPr>
          <w:rFonts w:ascii="Times New Roman" w:hAnsi="Times New Roman"/>
          <w:noProof/>
          <w:sz w:val="24"/>
          <w:szCs w:val="24"/>
        </w:rPr>
        <w:t>.</w:t>
      </w:r>
      <w:r w:rsidRPr="00D86314">
        <w:rPr>
          <w:rStyle w:val="FootnoteReference"/>
          <w:rFonts w:ascii="Times New Roman" w:hAnsi="Times New Roman"/>
          <w:noProof/>
          <w:sz w:val="24"/>
          <w:szCs w:val="24"/>
        </w:rPr>
        <w:footnoteReference w:id="209"/>
      </w:r>
      <w:r w:rsidRPr="00D86314" w:rsidDel="00E36ADE">
        <w:rPr>
          <w:rFonts w:ascii="Times New Roman" w:hAnsi="Times New Roman"/>
          <w:noProof/>
          <w:sz w:val="24"/>
          <w:szCs w:val="24"/>
        </w:rPr>
        <w:t xml:space="preserve"> </w:t>
      </w:r>
    </w:p>
    <w:p w14:paraId="0E3A5007" w14:textId="02F57A03" w:rsidR="000544A4" w:rsidRPr="00D86314" w:rsidRDefault="44EE97C4" w:rsidP="000544A4">
      <w:pPr>
        <w:rPr>
          <w:noProof/>
        </w:rPr>
      </w:pPr>
      <w:r w:rsidRPr="00D86314">
        <w:rPr>
          <w:noProof/>
        </w:rPr>
        <w:t xml:space="preserve">A </w:t>
      </w:r>
      <w:r w:rsidR="000544A4" w:rsidRPr="00D86314">
        <w:rPr>
          <w:noProof/>
        </w:rPr>
        <w:t>key problem is the lack of commercial incentives for copper network owners to deploy FTTH or switch-off copper networks in cases where they upgraded copper to FTTC</w:t>
      </w:r>
      <w:r w:rsidR="3D126799" w:rsidRPr="00D86314">
        <w:rPr>
          <w:noProof/>
        </w:rPr>
        <w:t>. Therefore</w:t>
      </w:r>
      <w:r w:rsidR="000544A4" w:rsidRPr="00D86314">
        <w:rPr>
          <w:noProof/>
        </w:rPr>
        <w:t>, options which require copper switch-off under conditions</w:t>
      </w:r>
      <w:r w:rsidR="1FCABF26" w:rsidRPr="00D86314">
        <w:rPr>
          <w:noProof/>
        </w:rPr>
        <w:t>,</w:t>
      </w:r>
      <w:r w:rsidR="000544A4" w:rsidRPr="00D86314">
        <w:rPr>
          <w:noProof/>
        </w:rPr>
        <w:t xml:space="preserve"> where </w:t>
      </w:r>
      <w:r w:rsidR="5A8AD3E0" w:rsidRPr="00D86314">
        <w:rPr>
          <w:noProof/>
        </w:rPr>
        <w:t xml:space="preserve">the switch off </w:t>
      </w:r>
      <w:r w:rsidR="000544A4" w:rsidRPr="00D86314">
        <w:rPr>
          <w:noProof/>
        </w:rPr>
        <w:t>could be expected to be a reasonable response to the market situation and would result in improvements in consumer outcomes, are likely to be more effective in expanding FTTH deployment and take-up</w:t>
      </w:r>
      <w:r w:rsidR="1D533911" w:rsidRPr="00D86314">
        <w:rPr>
          <w:noProof/>
        </w:rPr>
        <w:t>. Conversely, options</w:t>
      </w:r>
      <w:r w:rsidR="000544A4" w:rsidRPr="00D86314">
        <w:rPr>
          <w:noProof/>
        </w:rPr>
        <w:t xml:space="preserve"> which merely encourage copper switch-off or rely on market forces to achieve the </w:t>
      </w:r>
      <w:r w:rsidR="2635AAA5" w:rsidRPr="00D86314">
        <w:rPr>
          <w:noProof/>
        </w:rPr>
        <w:t xml:space="preserve">migration to </w:t>
      </w:r>
      <w:r w:rsidR="000544A4" w:rsidRPr="00D86314">
        <w:rPr>
          <w:noProof/>
        </w:rPr>
        <w:t>modern fibre lines</w:t>
      </w:r>
      <w:r w:rsidR="5FAEE1F0" w:rsidRPr="00D86314">
        <w:rPr>
          <w:noProof/>
        </w:rPr>
        <w:t xml:space="preserve"> are </w:t>
      </w:r>
      <w:r w:rsidR="19A2F3E5" w:rsidRPr="00D86314">
        <w:rPr>
          <w:noProof/>
        </w:rPr>
        <w:t>likely</w:t>
      </w:r>
      <w:r w:rsidR="5FAEE1F0" w:rsidRPr="00D86314">
        <w:rPr>
          <w:noProof/>
        </w:rPr>
        <w:t xml:space="preserve"> to be less effective</w:t>
      </w:r>
      <w:r w:rsidR="000544A4" w:rsidRPr="00D86314">
        <w:rPr>
          <w:noProof/>
        </w:rPr>
        <w:t>.</w:t>
      </w:r>
      <w:bookmarkStart w:id="253" w:name="_Ref214054610"/>
    </w:p>
    <w:p w14:paraId="182CEFBC" w14:textId="77777777" w:rsidR="000544A4" w:rsidRPr="00D86314" w:rsidRDefault="000544A4" w:rsidP="00C75D61">
      <w:pPr>
        <w:rPr>
          <w:b/>
          <w:bCs/>
          <w:noProof/>
        </w:rPr>
      </w:pPr>
      <w:r w:rsidRPr="00D86314">
        <w:rPr>
          <w:b/>
          <w:bCs/>
          <w:noProof/>
        </w:rPr>
        <w:t>Effects of access regulation on outcomes</w:t>
      </w:r>
      <w:bookmarkEnd w:id="253"/>
    </w:p>
    <w:p w14:paraId="0EF5B746" w14:textId="3E3776A0" w:rsidR="000544A4" w:rsidRPr="00D86314" w:rsidRDefault="000544A4" w:rsidP="000544A4">
      <w:pPr>
        <w:rPr>
          <w:noProof/>
        </w:rPr>
      </w:pPr>
      <w:r w:rsidRPr="00D86314">
        <w:rPr>
          <w:noProof/>
        </w:rPr>
        <w:t xml:space="preserve">The approach to access regulation influences FTTH coverage through infrastructure competition, in particular through the application of SMP regulation of </w:t>
      </w:r>
      <w:r w:rsidR="7AF8A956" w:rsidRPr="00D86314">
        <w:rPr>
          <w:noProof/>
        </w:rPr>
        <w:t>physical</w:t>
      </w:r>
      <w:r w:rsidR="0AD9997E" w:rsidRPr="00D86314">
        <w:rPr>
          <w:noProof/>
        </w:rPr>
        <w:t xml:space="preserve"> infrastructure</w:t>
      </w:r>
      <w:r w:rsidRPr="00D86314">
        <w:rPr>
          <w:noProof/>
        </w:rPr>
        <w:t>, which</w:t>
      </w:r>
      <w:r w:rsidR="0AD9997E" w:rsidRPr="00D86314">
        <w:rPr>
          <w:noProof/>
        </w:rPr>
        <w:t xml:space="preserve">, as described in Annex 7, has been a key enabler for the deployment of </w:t>
      </w:r>
      <w:r w:rsidR="00E57B78" w:rsidRPr="00D86314">
        <w:rPr>
          <w:noProof/>
        </w:rPr>
        <w:t>fibre</w:t>
      </w:r>
      <w:r w:rsidR="0AD9997E" w:rsidRPr="00D86314">
        <w:rPr>
          <w:noProof/>
        </w:rPr>
        <w:t xml:space="preserve">. </w:t>
      </w:r>
      <w:r w:rsidR="4F433540" w:rsidRPr="00D86314">
        <w:rPr>
          <w:noProof/>
        </w:rPr>
        <w:t>This</w:t>
      </w:r>
      <w:r w:rsidRPr="00D86314">
        <w:rPr>
          <w:noProof/>
        </w:rPr>
        <w:t xml:space="preserve"> enables alternative fibre investors to use the incumbents’ ducts and poles to deploy their own fibre networks.</w:t>
      </w:r>
      <w:r w:rsidRPr="00D86314">
        <w:rPr>
          <w:rStyle w:val="FootnoteReference"/>
          <w:noProof/>
        </w:rPr>
        <w:footnoteReference w:id="210"/>
      </w:r>
      <w:r w:rsidRPr="00D86314">
        <w:rPr>
          <w:noProof/>
        </w:rPr>
        <w:t xml:space="preserve"> In turn, increased FTTH coverage is linked to increased FTTH take-up.</w:t>
      </w:r>
    </w:p>
    <w:p w14:paraId="03849FD9" w14:textId="549560E8" w:rsidR="000544A4" w:rsidRPr="00D86314" w:rsidRDefault="000544A4" w:rsidP="000544A4">
      <w:pPr>
        <w:rPr>
          <w:noProof/>
        </w:rPr>
      </w:pPr>
      <w:r w:rsidRPr="00D86314">
        <w:rPr>
          <w:noProof/>
        </w:rPr>
        <w:t>In areas where extensive network duplication is not economically viable, access regulation also plays a vital role in promoting competition in retail broadband services</w:t>
      </w:r>
      <w:r w:rsidR="0B6A08B4" w:rsidRPr="00D86314">
        <w:rPr>
          <w:noProof/>
        </w:rPr>
        <w:t xml:space="preserve"> for the ultimate benefit of end users</w:t>
      </w:r>
      <w:r w:rsidRPr="00D86314">
        <w:rPr>
          <w:noProof/>
        </w:rPr>
        <w:t xml:space="preserve">. </w:t>
      </w:r>
    </w:p>
    <w:p w14:paraId="6E1CC3A7" w14:textId="4EB72166" w:rsidR="000544A4" w:rsidRPr="00D86314" w:rsidRDefault="000544A4" w:rsidP="000544A4">
      <w:pPr>
        <w:rPr>
          <w:noProof/>
        </w:rPr>
      </w:pPr>
      <w:r w:rsidRPr="00D86314">
        <w:rPr>
          <w:noProof/>
        </w:rPr>
        <w:t>The impact of access regulation on investment, choice, price and quality depends on how well it is targeted. This requires NRAs to proactively gather data, understand market dynamics, and adjust regulation as needed. The threshold for intervention is also key. Today, intervention is mainly based on SMP. NRAs may also apply Article</w:t>
      </w:r>
      <w:r w:rsidR="00F53F9A">
        <w:rPr>
          <w:noProof/>
        </w:rPr>
        <w:t> </w:t>
      </w:r>
      <w:r w:rsidRPr="00D86314">
        <w:rPr>
          <w:noProof/>
        </w:rPr>
        <w:t>61(3) to require access to wiring up to the first distribution point (and sometimes beyond) when replicating such infrastructure would be economically inefficient or physically impractical.</w:t>
      </w:r>
    </w:p>
    <w:p w14:paraId="608AD6D3" w14:textId="757272B6" w:rsidR="000544A4" w:rsidRPr="00D86314" w:rsidRDefault="000544A4" w:rsidP="000544A4">
      <w:pPr>
        <w:rPr>
          <w:noProof/>
        </w:rPr>
      </w:pPr>
      <w:r w:rsidRPr="00D86314">
        <w:rPr>
          <w:noProof/>
        </w:rPr>
        <w:t>The effects of regulation also depend on whether remedies are appropriately designed. In particular, to achieve competition in quality and price, it is necessary that the wholesale access products allow access seekers to make use of the full capabilities of the underlying infrastructure and differentiate their offers from those of the access provider. Effective retail competition in quality and price, linked to infrastructure competition or unbundling</w:t>
      </w:r>
      <w:r w:rsidR="178475F7" w:rsidRPr="00D86314">
        <w:rPr>
          <w:noProof/>
        </w:rPr>
        <w:t>,</w:t>
      </w:r>
      <w:r w:rsidRPr="00D86314">
        <w:rPr>
          <w:noProof/>
        </w:rPr>
        <w:t xml:space="preserve"> is linked to higher availability and lower prices for high-speed broadband offers, which should lead to higher take-up in the absence of consumer inertia. </w:t>
      </w:r>
    </w:p>
    <w:p w14:paraId="1F44C75A" w14:textId="74EFBC18" w:rsidR="001B247D" w:rsidRPr="00D86314" w:rsidRDefault="00A7507D" w:rsidP="00E822A0">
      <w:pPr>
        <w:pStyle w:val="ListParagraph"/>
        <w:keepNext/>
        <w:numPr>
          <w:ilvl w:val="3"/>
          <w:numId w:val="32"/>
        </w:numPr>
        <w:ind w:left="0" w:firstLine="0"/>
        <w:outlineLvl w:val="2"/>
        <w:rPr>
          <w:i/>
          <w:iCs/>
          <w:noProof/>
        </w:rPr>
      </w:pPr>
      <w:bookmarkStart w:id="254" w:name="_Toc219718445"/>
      <w:r w:rsidRPr="00D86314">
        <w:rPr>
          <w:i/>
          <w:iCs/>
          <w:noProof/>
        </w:rPr>
        <w:t>Option 1</w:t>
      </w:r>
      <w:bookmarkEnd w:id="254"/>
    </w:p>
    <w:p w14:paraId="496051EA" w14:textId="786967EE" w:rsidR="00BD0B3A" w:rsidRPr="00D86314" w:rsidRDefault="00BD0B3A" w:rsidP="00BD0B3A">
      <w:pPr>
        <w:rPr>
          <w:noProof/>
        </w:rPr>
      </w:pPr>
      <w:r w:rsidRPr="00D86314">
        <w:rPr>
          <w:noProof/>
        </w:rPr>
        <w:t>Option 1 would set a non-binding 2030 target for copper switch-off across the EU. Past experience with similar non-binding tools—like the Digital Decade Policy Programme (DDPP) and the 2020 Connectivity Toolbox—shows that such approaches can help coordination but are generally not effective enough. For example, the DDPP already includes a 2030 Gigabit coverage target and requires national roadmaps, yet large differences in fibre rollout remain across the EU, with major gaps in countries such as Germany, Austria, Greece, and Czech</w:t>
      </w:r>
      <w:r w:rsidR="008E30E9" w:rsidRPr="00D86314">
        <w:rPr>
          <w:noProof/>
        </w:rPr>
        <w:t>ia</w:t>
      </w:r>
      <w:r w:rsidRPr="00D86314">
        <w:rPr>
          <w:noProof/>
        </w:rPr>
        <w:t>. In some cases, public funding and regulation even supported FTTC, working against the fibre goal. Likewise, the Connectivity Toolbox ultimately needed legal obligations under the Gigabit Infrastructure Act because voluntary guidance alone failed to deliver results.</w:t>
      </w:r>
    </w:p>
    <w:p w14:paraId="0F33621E" w14:textId="7FD0D7B2" w:rsidR="00BD0B3A" w:rsidRPr="00D86314" w:rsidRDefault="00BD0B3A" w:rsidP="00BD0B3A">
      <w:pPr>
        <w:rPr>
          <w:noProof/>
        </w:rPr>
      </w:pPr>
      <w:r w:rsidRPr="00D86314">
        <w:rPr>
          <w:noProof/>
        </w:rPr>
        <w:t>Non-binding guidance has also failed to harmonise wholesale access products. Differences in specifications and limited support for competition persist despite EU-level guidance on VULA and BEREC’s reports on Layer 2 wholesale access. Therefore, while legally mandated BEREC Guidelines on copper switch-off and wholesale products might help somewhat, they are unlikely to substantially change today’s widely varying national practices.</w:t>
      </w:r>
    </w:p>
    <w:p w14:paraId="4147BFC9" w14:textId="77777777" w:rsidR="00BD0B3A" w:rsidRPr="00D86314" w:rsidRDefault="00BD0B3A" w:rsidP="00BD0B3A">
      <w:pPr>
        <w:rPr>
          <w:noProof/>
        </w:rPr>
      </w:pPr>
      <w:r w:rsidRPr="00D86314">
        <w:rPr>
          <w:noProof/>
        </w:rPr>
        <w:t xml:space="preserve">This option contains elements that should have a broadly positive effect on the management of copper switch-off processes and support for mapping and planning for the deployment of FTTH networks. Specifically, updating the VHCN definition to include fibre to the home (rather than being limited to the distribution point or terminating segment) should increase the focus of Member States on facilitating the deployment of fibre in-building and adopting the required standards to support these developments. </w:t>
      </w:r>
    </w:p>
    <w:p w14:paraId="78956645" w14:textId="41D5C326" w:rsidR="00BD0B3A" w:rsidRPr="00D86314" w:rsidRDefault="00BD0B3A" w:rsidP="00BD0B3A">
      <w:pPr>
        <w:rPr>
          <w:noProof/>
        </w:rPr>
      </w:pPr>
      <w:r w:rsidRPr="00D86314">
        <w:rPr>
          <w:noProof/>
        </w:rPr>
        <w:t xml:space="preserve">By updating the reference in </w:t>
      </w:r>
      <w:r w:rsidR="005C1C10" w:rsidRPr="00D86314">
        <w:rPr>
          <w:noProof/>
        </w:rPr>
        <w:t xml:space="preserve">the current </w:t>
      </w:r>
      <w:r w:rsidR="000C432D" w:rsidRPr="00D86314">
        <w:rPr>
          <w:noProof/>
        </w:rPr>
        <w:t>A</w:t>
      </w:r>
      <w:r w:rsidRPr="00D86314">
        <w:rPr>
          <w:noProof/>
        </w:rPr>
        <w:t>rt</w:t>
      </w:r>
      <w:r w:rsidR="005C1C10" w:rsidRPr="00D86314">
        <w:rPr>
          <w:noProof/>
        </w:rPr>
        <w:t>icle</w:t>
      </w:r>
      <w:r w:rsidR="00F53F9A">
        <w:rPr>
          <w:noProof/>
        </w:rPr>
        <w:t> </w:t>
      </w:r>
      <w:r w:rsidRPr="00D86314">
        <w:rPr>
          <w:noProof/>
        </w:rPr>
        <w:t xml:space="preserve">22 (geographic surveys) </w:t>
      </w:r>
      <w:r w:rsidR="000C432D" w:rsidRPr="00D86314">
        <w:rPr>
          <w:noProof/>
        </w:rPr>
        <w:t>EECC</w:t>
      </w:r>
      <w:r w:rsidRPr="00D86314">
        <w:rPr>
          <w:noProof/>
        </w:rPr>
        <w:t xml:space="preserve"> to refer to FTTH rather than 100 Mbps, this option would improve the relevance of forecasts regarding the reach of Gigabit capable infrastructure, although the collection of data regarding planned VHCN deployments would remain optional. In this context it is worth noting that only 17 of the 24 Member States that provided information chose to collect data on a forward-looking basis, and only 9 chose to make use of that information to invite declarations regarding the deployment of broadband at speeds of more than 100 Mbps, despite the analysis of regulatory approaches taken and associated outcomes suggesting that such a measure could have been helpful in facilitating FTTH deployments and identifying gap areas while seeking to limit unviable network duplication.</w:t>
      </w:r>
    </w:p>
    <w:p w14:paraId="1681669F" w14:textId="2EC75755" w:rsidR="00BD0B3A" w:rsidRPr="00D86314" w:rsidRDefault="00BD0B3A" w:rsidP="00BD0B3A">
      <w:pPr>
        <w:rPr>
          <w:noProof/>
        </w:rPr>
      </w:pPr>
      <w:r w:rsidRPr="00D86314">
        <w:rPr>
          <w:noProof/>
        </w:rPr>
        <w:t>The delinking of provisions on migration (</w:t>
      </w:r>
      <w:r w:rsidR="4240BD79" w:rsidRPr="00D86314">
        <w:rPr>
          <w:noProof/>
        </w:rPr>
        <w:t>A</w:t>
      </w:r>
      <w:r w:rsidRPr="00D86314">
        <w:rPr>
          <w:noProof/>
        </w:rPr>
        <w:t>rt</w:t>
      </w:r>
      <w:r w:rsidR="401E672B" w:rsidRPr="00D86314">
        <w:rPr>
          <w:noProof/>
        </w:rPr>
        <w:t>icle</w:t>
      </w:r>
      <w:r w:rsidR="00F53F9A">
        <w:rPr>
          <w:noProof/>
        </w:rPr>
        <w:t> </w:t>
      </w:r>
      <w:r w:rsidRPr="00D86314">
        <w:rPr>
          <w:noProof/>
        </w:rPr>
        <w:t xml:space="preserve">81) from SMP and linkage to ownership of copper networks under this option would enable greater utilisation of these measures by NRAs, </w:t>
      </w:r>
      <w:r w:rsidR="00A75E90" w:rsidRPr="00D86314">
        <w:rPr>
          <w:noProof/>
        </w:rPr>
        <w:t>supporting</w:t>
      </w:r>
      <w:r w:rsidRPr="00D86314">
        <w:rPr>
          <w:noProof/>
        </w:rPr>
        <w:t xml:space="preserve"> in the copper switch-off process. This is important, in view of the developments in some Member States to find no SMP in the copper segment of the wholesale local access market due to potential for substitution in this segment with mobile and/or fixed wireless broadband access. </w:t>
      </w:r>
    </w:p>
    <w:p w14:paraId="122DD6E1" w14:textId="1BB5B6F0" w:rsidR="00A7507D" w:rsidRPr="00D86314" w:rsidRDefault="00BD0B3A" w:rsidP="00BD0B3A">
      <w:pPr>
        <w:rPr>
          <w:noProof/>
        </w:rPr>
      </w:pPr>
      <w:r w:rsidRPr="00D86314">
        <w:rPr>
          <w:noProof/>
        </w:rPr>
        <w:t xml:space="preserve">Regarding access regulation, this option provides for stability in the regime regarding SMP regulation, which, was the preferred option amongst nearly all categories of stakeholder with the exception of </w:t>
      </w:r>
      <w:r w:rsidR="27429C1D" w:rsidRPr="00D86314">
        <w:rPr>
          <w:noProof/>
        </w:rPr>
        <w:t xml:space="preserve">some </w:t>
      </w:r>
      <w:r w:rsidRPr="00D86314">
        <w:rPr>
          <w:noProof/>
        </w:rPr>
        <w:t>incumbents. The current regime requires NRAs to proactively conduct market reviews and act where required to address competition concerns via SMP regulation where not otherwise adequately addressed through commercial means or other provisions in the GIA or EECC. The EU-wide consistency and predictability ensured by this approach should support the continued investment and competition in FTTH networks that was achieved under the current regulatory framework.</w:t>
      </w:r>
    </w:p>
    <w:p w14:paraId="4B7BBEBF" w14:textId="6EA1A579" w:rsidR="00C14470" w:rsidRPr="00D86314" w:rsidRDefault="00A27E8D" w:rsidP="00703057">
      <w:pPr>
        <w:rPr>
          <w:noProof/>
        </w:rPr>
      </w:pPr>
      <w:r w:rsidRPr="00D86314">
        <w:rPr>
          <w:noProof/>
        </w:rPr>
        <w:t>However, a shortcoming of this option (as well as option 2) is that it may not be well suited to addressing situations involving tight oligopolies that would not give rise to competitive outcomes in the absence of ex ante regulation.</w:t>
      </w:r>
      <w:r w:rsidRPr="00D86314">
        <w:rPr>
          <w:rFonts w:cstheme="minorBidi"/>
          <w:noProof/>
          <w:kern w:val="2"/>
          <w14:ligatures w14:val="standardContextual"/>
        </w:rPr>
        <w:t xml:space="preserve"> </w:t>
      </w:r>
      <w:r w:rsidR="00607E8A" w:rsidRPr="00D86314">
        <w:rPr>
          <w:rFonts w:cstheme="minorBidi"/>
          <w:noProof/>
          <w:kern w:val="2"/>
          <w14:ligatures w14:val="standardContextual"/>
        </w:rPr>
        <w:t>However, as stated in Annex 11 (Evaluation Report)</w:t>
      </w:r>
      <w:r w:rsidR="00F452BA" w:rsidRPr="00D86314">
        <w:rPr>
          <w:rFonts w:cstheme="minorBidi"/>
          <w:noProof/>
          <w:kern w:val="2"/>
          <w14:ligatures w14:val="standardContextual"/>
        </w:rPr>
        <w:t xml:space="preserve">, </w:t>
      </w:r>
      <w:r w:rsidR="00F452BA" w:rsidRPr="00D86314">
        <w:rPr>
          <w:noProof/>
        </w:rPr>
        <w:t>t</w:t>
      </w:r>
      <w:r w:rsidR="00607E8A" w:rsidRPr="00D86314">
        <w:rPr>
          <w:noProof/>
        </w:rPr>
        <w:t xml:space="preserve">he oligopolistic markets have, so far been addressed either under the spectrum authorisation regime or under competition law. Furthermore, the SMP Guidelines, adopted in 2018, specifically focus on the joint SMP findings. </w:t>
      </w:r>
      <w:r w:rsidRPr="00D86314">
        <w:rPr>
          <w:noProof/>
        </w:rPr>
        <w:t xml:space="preserve"> </w:t>
      </w:r>
      <w:r w:rsidR="006A6E7D" w:rsidRPr="00D86314">
        <w:rPr>
          <w:noProof/>
        </w:rPr>
        <w:t>The amendment to Article</w:t>
      </w:r>
      <w:r w:rsidR="00F53F9A">
        <w:rPr>
          <w:noProof/>
        </w:rPr>
        <w:t> </w:t>
      </w:r>
      <w:r w:rsidR="006A6E7D" w:rsidRPr="00D86314">
        <w:rPr>
          <w:noProof/>
        </w:rPr>
        <w:t>61(3) to enable NRAs to apply it pro-actively up to the first distribution point would further improve the existing access regime, as it could encourage the use of Article</w:t>
      </w:r>
      <w:r w:rsidR="00F53F9A">
        <w:rPr>
          <w:noProof/>
        </w:rPr>
        <w:t> </w:t>
      </w:r>
      <w:r w:rsidR="006A6E7D" w:rsidRPr="00D86314">
        <w:rPr>
          <w:noProof/>
        </w:rPr>
        <w:t>61(3) for the sharing of in-building fibre wiring, facilitating infrastructure competition for MDUs more widely across the EU (noting that only 7 NRAs have made use of Article 61(3) thus far). Although this is likely to apply only in limited cases, it could also potentially facilitate the use of Article</w:t>
      </w:r>
      <w:r w:rsidR="00F53F9A">
        <w:rPr>
          <w:noProof/>
        </w:rPr>
        <w:t> </w:t>
      </w:r>
      <w:r w:rsidR="006A6E7D" w:rsidRPr="00D86314">
        <w:rPr>
          <w:noProof/>
        </w:rPr>
        <w:t>61(3) beyond in-building wiring in cases where fibre has been deployed in a manner that would allow access at an economically viable access point outside the building such as when point to point fibre deployments have been pursued. Option 2</w:t>
      </w:r>
      <w:r w:rsidR="00C14470" w:rsidRPr="00D86314">
        <w:rPr>
          <w:noProof/>
        </w:rPr>
        <w:t>.</w:t>
      </w:r>
    </w:p>
    <w:p w14:paraId="342352F0" w14:textId="437A2ED1" w:rsidR="56893664" w:rsidRPr="00D86314" w:rsidRDefault="00DC5BBF">
      <w:pPr>
        <w:rPr>
          <w:noProof/>
        </w:rPr>
      </w:pPr>
      <w:r w:rsidRPr="00D86314">
        <w:rPr>
          <w:noProof/>
        </w:rPr>
        <w:t xml:space="preserve">The requirement for Member States to </w:t>
      </w:r>
      <w:r w:rsidR="56893664" w:rsidRPr="00D86314">
        <w:rPr>
          <w:noProof/>
        </w:rPr>
        <w:t xml:space="preserve">develop, based on the input provided by NRAs, a Fibre </w:t>
      </w:r>
      <w:r w:rsidR="60DFE301" w:rsidRPr="00D86314">
        <w:rPr>
          <w:noProof/>
        </w:rPr>
        <w:t>Transition</w:t>
      </w:r>
      <w:r w:rsidR="56893664" w:rsidRPr="00D86314">
        <w:rPr>
          <w:noProof/>
        </w:rPr>
        <w:t xml:space="preserve"> </w:t>
      </w:r>
      <w:r w:rsidR="1DE2A88A" w:rsidRPr="00D86314">
        <w:rPr>
          <w:noProof/>
        </w:rPr>
        <w:t>P</w:t>
      </w:r>
      <w:r w:rsidR="56893664" w:rsidRPr="00D86314">
        <w:rPr>
          <w:noProof/>
        </w:rPr>
        <w:t xml:space="preserve">lan will </w:t>
      </w:r>
      <w:r w:rsidRPr="00D86314">
        <w:rPr>
          <w:noProof/>
        </w:rPr>
        <w:t xml:space="preserve">ensure </w:t>
      </w:r>
      <w:r w:rsidR="56893664" w:rsidRPr="00D86314">
        <w:rPr>
          <w:noProof/>
        </w:rPr>
        <w:t xml:space="preserve">a coordination at </w:t>
      </w:r>
      <w:r w:rsidR="3B2D77D6" w:rsidRPr="00D86314">
        <w:rPr>
          <w:noProof/>
        </w:rPr>
        <w:t xml:space="preserve">national level in supporting the deployment of </w:t>
      </w:r>
      <w:r w:rsidR="00E57B78" w:rsidRPr="00D86314">
        <w:rPr>
          <w:noProof/>
        </w:rPr>
        <w:t>fibre</w:t>
      </w:r>
      <w:r w:rsidR="3B2D77D6" w:rsidRPr="00D86314">
        <w:rPr>
          <w:noProof/>
        </w:rPr>
        <w:t xml:space="preserve"> through concrete measures. This would also ensure that the coverage </w:t>
      </w:r>
      <w:r w:rsidR="2DAC6C83" w:rsidRPr="00D86314">
        <w:rPr>
          <w:noProof/>
        </w:rPr>
        <w:t xml:space="preserve">measures and the </w:t>
      </w:r>
      <w:r w:rsidRPr="00D86314">
        <w:rPr>
          <w:noProof/>
        </w:rPr>
        <w:t>copper switch</w:t>
      </w:r>
      <w:r w:rsidR="2DAC6C83" w:rsidRPr="00D86314">
        <w:rPr>
          <w:noProof/>
        </w:rPr>
        <w:t xml:space="preserve"> </w:t>
      </w:r>
      <w:r w:rsidRPr="00D86314">
        <w:rPr>
          <w:noProof/>
        </w:rPr>
        <w:t>off</w:t>
      </w:r>
      <w:r w:rsidR="2DAC6C83" w:rsidRPr="00D86314">
        <w:rPr>
          <w:noProof/>
        </w:rPr>
        <w:t xml:space="preserve"> measures are coordinated and complement each other. In particular, </w:t>
      </w:r>
      <w:r w:rsidR="4F528D5C" w:rsidRPr="00D86314">
        <w:rPr>
          <w:noProof/>
        </w:rPr>
        <w:t>meeting the</w:t>
      </w:r>
      <w:r w:rsidR="2DAC6C83" w:rsidRPr="00D86314">
        <w:rPr>
          <w:noProof/>
        </w:rPr>
        <w:t xml:space="preserve"> coverage </w:t>
      </w:r>
      <w:r w:rsidR="3B2D77D6" w:rsidRPr="00D86314">
        <w:rPr>
          <w:noProof/>
        </w:rPr>
        <w:t xml:space="preserve">objectives </w:t>
      </w:r>
      <w:r w:rsidR="56DEF60D" w:rsidRPr="00D86314">
        <w:rPr>
          <w:noProof/>
        </w:rPr>
        <w:t>will</w:t>
      </w:r>
      <w:r w:rsidR="1A09F92A" w:rsidRPr="00D86314">
        <w:rPr>
          <w:noProof/>
        </w:rPr>
        <w:t xml:space="preserve"> facilitate meeting the requirements for the start of the CSO</w:t>
      </w:r>
      <w:r w:rsidR="159EC038" w:rsidRPr="00D86314">
        <w:rPr>
          <w:noProof/>
        </w:rPr>
        <w:t xml:space="preserve"> and therefore increase take up</w:t>
      </w:r>
      <w:r w:rsidR="1A09F92A" w:rsidRPr="00D86314">
        <w:rPr>
          <w:noProof/>
        </w:rPr>
        <w:t>.</w:t>
      </w:r>
      <w:r w:rsidR="2EA51685" w:rsidRPr="00D86314">
        <w:rPr>
          <w:noProof/>
        </w:rPr>
        <w:t xml:space="preserve"> The assessment of the NRA will inform the national authorities</w:t>
      </w:r>
      <w:r w:rsidR="3F3079F5" w:rsidRPr="00D86314">
        <w:rPr>
          <w:noProof/>
        </w:rPr>
        <w:t>’</w:t>
      </w:r>
      <w:r w:rsidR="2EA51685" w:rsidRPr="00D86314">
        <w:rPr>
          <w:noProof/>
        </w:rPr>
        <w:t xml:space="preserve"> decision to switch off the </w:t>
      </w:r>
      <w:r w:rsidR="01BB2B5F" w:rsidRPr="00D86314">
        <w:rPr>
          <w:noProof/>
        </w:rPr>
        <w:t>network</w:t>
      </w:r>
      <w:r w:rsidR="2EA51685" w:rsidRPr="00D86314">
        <w:rPr>
          <w:noProof/>
        </w:rPr>
        <w:t xml:space="preserve"> and will also ensure that the </w:t>
      </w:r>
      <w:r w:rsidR="6E3317DA" w:rsidRPr="00D86314">
        <w:rPr>
          <w:noProof/>
        </w:rPr>
        <w:t xml:space="preserve">other conditions </w:t>
      </w:r>
      <w:r w:rsidR="4AFE8B7A" w:rsidRPr="00D86314">
        <w:rPr>
          <w:noProof/>
        </w:rPr>
        <w:t xml:space="preserve">and safeguards </w:t>
      </w:r>
      <w:r w:rsidR="6E3317DA" w:rsidRPr="00D86314">
        <w:rPr>
          <w:noProof/>
        </w:rPr>
        <w:t xml:space="preserve">for the CSO are met. The scrutiny of the Commission </w:t>
      </w:r>
      <w:r w:rsidR="73F8CDB5" w:rsidRPr="00D86314">
        <w:rPr>
          <w:noProof/>
        </w:rPr>
        <w:t>will ensure consistency and coordination at EU level</w:t>
      </w:r>
      <w:r w:rsidR="1A09F92A" w:rsidRPr="00D86314">
        <w:rPr>
          <w:noProof/>
        </w:rPr>
        <w:t>.</w:t>
      </w:r>
    </w:p>
    <w:p w14:paraId="3B552B7D" w14:textId="22AF1600" w:rsidR="00DC5BBF" w:rsidRPr="00D86314" w:rsidRDefault="00DC5BBF" w:rsidP="00DC5BBF">
      <w:pPr>
        <w:rPr>
          <w:noProof/>
        </w:rPr>
      </w:pPr>
      <w:r w:rsidRPr="00D86314">
        <w:rPr>
          <w:noProof/>
        </w:rPr>
        <w:t xml:space="preserve">The requirement for Member States to ensure copper switch-off, </w:t>
      </w:r>
      <w:r w:rsidR="0241F859" w:rsidRPr="00D86314">
        <w:rPr>
          <w:noProof/>
        </w:rPr>
        <w:t>under certain conditions</w:t>
      </w:r>
      <w:r w:rsidRPr="00D86314">
        <w:rPr>
          <w:noProof/>
        </w:rPr>
        <w:t xml:space="preserve">, along with safeguards to protect competition and consumers, should accelerate FTTH deployment and copper switch-off. This approach supports the viability and expansion of FTTH investments and ensures consumers benefit from improved infrastructure </w:t>
      </w:r>
      <w:r w:rsidR="7764284A" w:rsidRPr="00D86314">
        <w:rPr>
          <w:noProof/>
        </w:rPr>
        <w:t xml:space="preserve">availability, </w:t>
      </w:r>
      <w:r w:rsidRPr="00D86314">
        <w:rPr>
          <w:noProof/>
        </w:rPr>
        <w:t xml:space="preserve">quality and reliability. With a legal </w:t>
      </w:r>
      <w:r w:rsidR="7BD70015" w:rsidRPr="00D86314" w:rsidDel="7BD70015">
        <w:rPr>
          <w:noProof/>
        </w:rPr>
        <w:t>requirement</w:t>
      </w:r>
      <w:r w:rsidRPr="00D86314">
        <w:rPr>
          <w:noProof/>
        </w:rPr>
        <w:t>,</w:t>
      </w:r>
      <w:r w:rsidR="3B5E6CA4" w:rsidRPr="00D86314">
        <w:rPr>
          <w:noProof/>
        </w:rPr>
        <w:t xml:space="preserve"> </w:t>
      </w:r>
      <w:r w:rsidRPr="00D86314">
        <w:rPr>
          <w:noProof/>
        </w:rPr>
        <w:t xml:space="preserve">Member States are more likely to take concrete steps to address </w:t>
      </w:r>
      <w:r w:rsidR="00EF204D" w:rsidRPr="00D86314">
        <w:rPr>
          <w:noProof/>
        </w:rPr>
        <w:t>fibre</w:t>
      </w:r>
      <w:r w:rsidRPr="00D86314">
        <w:rPr>
          <w:noProof/>
        </w:rPr>
        <w:t xml:space="preserve"> gaps through declarations, State Aid, and attention to technical aspects like in-building </w:t>
      </w:r>
      <w:r w:rsidR="00EF204D" w:rsidRPr="00D86314">
        <w:rPr>
          <w:noProof/>
        </w:rPr>
        <w:t>fibre</w:t>
      </w:r>
      <w:r w:rsidRPr="00D86314">
        <w:rPr>
          <w:noProof/>
        </w:rPr>
        <w:t xml:space="preserve"> wiring standardization.</w:t>
      </w:r>
    </w:p>
    <w:p w14:paraId="4D7233E0" w14:textId="6BD311AC" w:rsidR="00DC5BBF" w:rsidRPr="00D86314" w:rsidRDefault="00DC5BBF" w:rsidP="00DC5BBF">
      <w:pPr>
        <w:rPr>
          <w:noProof/>
        </w:rPr>
      </w:pPr>
      <w:r w:rsidRPr="00D86314">
        <w:rPr>
          <w:noProof/>
        </w:rPr>
        <w:t xml:space="preserve">A mandate for CSO </w:t>
      </w:r>
      <w:r w:rsidR="6B51D577" w:rsidRPr="00D86314">
        <w:rPr>
          <w:noProof/>
        </w:rPr>
        <w:t>will be a clear signal for investors and the market at large across the Union. It</w:t>
      </w:r>
      <w:r w:rsidRPr="00D86314">
        <w:rPr>
          <w:noProof/>
        </w:rPr>
        <w:t xml:space="preserve"> can incentivize alternative fibre investors to achieve 95% coverage and offer competitive retail and wholesale prices, facilitating a smooth consumer transition without additional charges. Additionally, the obligation for NRAs to analyse mass-market and enterprise connectivity related to CSO will address potential reductions in infrastructure competition. This will support fibre-based competition on best-practice wholesale product specifications defined at the EU level, fostering differentiation in quality and price.</w:t>
      </w:r>
    </w:p>
    <w:p w14:paraId="5A68BF80" w14:textId="5461C356" w:rsidR="00DC5BBF" w:rsidRPr="00D86314" w:rsidRDefault="00DC5BBF" w:rsidP="00DC5BBF">
      <w:pPr>
        <w:rPr>
          <w:noProof/>
        </w:rPr>
      </w:pPr>
      <w:r w:rsidRPr="00D86314">
        <w:rPr>
          <w:noProof/>
        </w:rPr>
        <w:t>This option would also provide a clear signal to consumers and business users as well as building-owners which have not yet upgraded their in-building wiring that migration will occur and that they should prepare for this outcome. This could accelerate the replacement of legacy equipment and connections relying on copper (in particular by businesses), and could encourage end-users to switch to fibre networks in advance of the deadline. Those (estimated at around 20%)</w:t>
      </w:r>
      <w:r w:rsidRPr="00D86314">
        <w:rPr>
          <w:rStyle w:val="FootnoteReference"/>
          <w:noProof/>
        </w:rPr>
        <w:footnoteReference w:id="211"/>
      </w:r>
      <w:r w:rsidRPr="00D86314">
        <w:rPr>
          <w:noProof/>
        </w:rPr>
        <w:t xml:space="preserve"> that may be resistant to switching, would also be migrated, </w:t>
      </w:r>
      <w:r w:rsidR="219299FB" w:rsidRPr="00D86314">
        <w:rPr>
          <w:noProof/>
        </w:rPr>
        <w:t xml:space="preserve">subject to the legal requirements being met, </w:t>
      </w:r>
      <w:r w:rsidRPr="00D86314">
        <w:rPr>
          <w:noProof/>
        </w:rPr>
        <w:t xml:space="preserve">thereby increasing take-up on FTTH networks and improving the business case. </w:t>
      </w:r>
    </w:p>
    <w:p w14:paraId="7F876FC2" w14:textId="676BFBA8" w:rsidR="00DC5BBF" w:rsidRPr="00D86314" w:rsidRDefault="00DC5BBF" w:rsidP="00DC5BBF">
      <w:pPr>
        <w:rPr>
          <w:noProof/>
        </w:rPr>
      </w:pPr>
      <w:r w:rsidRPr="00D86314">
        <w:rPr>
          <w:noProof/>
        </w:rPr>
        <w:t>Market analysis by the NRA with appropriate intervention at wholesale level where needed, coupled with requirements that CSO should only take place if it does not result in higher prices for similar services along with the right to connectivity at standard terms and conditions should limit the potential for price increases under this option</w:t>
      </w:r>
      <w:r w:rsidR="2FC5026B" w:rsidRPr="00D86314">
        <w:rPr>
          <w:noProof/>
        </w:rPr>
        <w:t xml:space="preserve"> and safeguard end-users</w:t>
      </w:r>
      <w:r w:rsidRPr="00D86314">
        <w:rPr>
          <w:noProof/>
        </w:rPr>
        <w:t>.</w:t>
      </w:r>
    </w:p>
    <w:p w14:paraId="39F4E4BA" w14:textId="122A2DAD" w:rsidR="0006125C" w:rsidRPr="00D86314" w:rsidRDefault="00D818A1" w:rsidP="00DC5BBF">
      <w:pPr>
        <w:rPr>
          <w:noProof/>
        </w:rPr>
      </w:pPr>
      <w:r w:rsidRPr="00D86314">
        <w:rPr>
          <w:b/>
          <w:bCs/>
          <w:noProof/>
        </w:rPr>
        <w:t>A</w:t>
      </w:r>
      <w:r w:rsidR="00DC5BBF" w:rsidRPr="00D86314">
        <w:rPr>
          <w:b/>
          <w:bCs/>
          <w:noProof/>
        </w:rPr>
        <w:t>vailable data suggests that a mandatory transition from copper (incl</w:t>
      </w:r>
      <w:r w:rsidRPr="00D86314">
        <w:rPr>
          <w:b/>
          <w:bCs/>
          <w:noProof/>
        </w:rPr>
        <w:t>.</w:t>
      </w:r>
      <w:r w:rsidR="00DC5BBF" w:rsidRPr="00D86314">
        <w:rPr>
          <w:b/>
          <w:bCs/>
          <w:noProof/>
        </w:rPr>
        <w:t xml:space="preserve"> FTTC) to FTTH should result in end-users experiencing increased speeds and greater reliability for similar price</w:t>
      </w:r>
      <w:r w:rsidR="00DC5BBF" w:rsidRPr="00D86314">
        <w:rPr>
          <w:noProof/>
        </w:rPr>
        <w:t xml:space="preserve">. </w:t>
      </w:r>
      <w:r w:rsidR="00BE1259" w:rsidRPr="00D86314">
        <w:rPr>
          <w:noProof/>
        </w:rPr>
        <w:t xml:space="preserve">According to our price comparison </w:t>
      </w:r>
      <w:r w:rsidR="00414CAB" w:rsidRPr="00D86314">
        <w:rPr>
          <w:noProof/>
        </w:rPr>
        <w:t>in Member States</w:t>
      </w:r>
      <w:r w:rsidR="00D239A1" w:rsidRPr="00D86314">
        <w:rPr>
          <w:noProof/>
        </w:rPr>
        <w:t xml:space="preserve"> with high share of copper-based</w:t>
      </w:r>
      <w:r w:rsidR="007A65DC" w:rsidRPr="00D86314">
        <w:rPr>
          <w:noProof/>
        </w:rPr>
        <w:t xml:space="preserve"> connections</w:t>
      </w:r>
      <w:r w:rsidR="00B66F03" w:rsidRPr="00D86314">
        <w:rPr>
          <w:noProof/>
        </w:rPr>
        <w:t xml:space="preserve">, </w:t>
      </w:r>
      <w:r w:rsidR="00912BB1" w:rsidRPr="00D86314">
        <w:rPr>
          <w:noProof/>
        </w:rPr>
        <w:t xml:space="preserve">the </w:t>
      </w:r>
      <w:r w:rsidR="008458F1" w:rsidRPr="00D86314">
        <w:rPr>
          <w:noProof/>
        </w:rPr>
        <w:t>cheapest fibre</w:t>
      </w:r>
      <w:r w:rsidR="000C4AB1" w:rsidRPr="00D86314">
        <w:rPr>
          <w:noProof/>
        </w:rPr>
        <w:t>-based offer</w:t>
      </w:r>
      <w:r w:rsidR="008458F1" w:rsidRPr="00D86314">
        <w:rPr>
          <w:noProof/>
        </w:rPr>
        <w:t xml:space="preserve"> is </w:t>
      </w:r>
      <w:r w:rsidR="004C52BC" w:rsidRPr="00D86314">
        <w:rPr>
          <w:noProof/>
        </w:rPr>
        <w:t xml:space="preserve">no </w:t>
      </w:r>
      <w:r w:rsidR="000C4AB1" w:rsidRPr="00D86314">
        <w:rPr>
          <w:noProof/>
        </w:rPr>
        <w:t>more expensive than the cheapest copper-based offer.</w:t>
      </w:r>
    </w:p>
    <w:p w14:paraId="09D752A7" w14:textId="221E8BEB" w:rsidR="00DC5BBF" w:rsidRPr="00D86314" w:rsidRDefault="00D8051E" w:rsidP="00F145FB">
      <w:pPr>
        <w:keepNext/>
        <w:rPr>
          <w:noProof/>
          <w:sz w:val="22"/>
          <w:szCs w:val="22"/>
        </w:rPr>
      </w:pPr>
      <w:r w:rsidRPr="00D86314">
        <w:rPr>
          <w:noProof/>
          <w:sz w:val="22"/>
          <w:szCs w:val="22"/>
        </w:rPr>
        <w:t xml:space="preserve">Table </w:t>
      </w:r>
      <w:r w:rsidR="00B8241B" w:rsidRPr="00D86314">
        <w:rPr>
          <w:noProof/>
          <w:sz w:val="22"/>
          <w:szCs w:val="22"/>
        </w:rPr>
        <w:t>A</w:t>
      </w:r>
      <w:r w:rsidR="00F31AB2" w:rsidRPr="00D86314">
        <w:rPr>
          <w:noProof/>
          <w:sz w:val="22"/>
          <w:szCs w:val="22"/>
        </w:rPr>
        <w:t>9 1-1</w:t>
      </w:r>
      <w:r w:rsidRPr="00D86314">
        <w:rPr>
          <w:noProof/>
          <w:sz w:val="22"/>
          <w:szCs w:val="22"/>
        </w:rPr>
        <w:t>:</w:t>
      </w:r>
      <w:r w:rsidR="00E25C26" w:rsidRPr="00D86314">
        <w:rPr>
          <w:noProof/>
          <w:sz w:val="22"/>
          <w:szCs w:val="22"/>
        </w:rPr>
        <w:t xml:space="preserve"> Price </w:t>
      </w:r>
      <w:r w:rsidRPr="00D86314">
        <w:rPr>
          <w:noProof/>
          <w:sz w:val="22"/>
          <w:szCs w:val="22"/>
        </w:rPr>
        <w:t>comparison</w:t>
      </w:r>
      <w:r w:rsidR="00E25C26" w:rsidRPr="00D86314">
        <w:rPr>
          <w:noProof/>
          <w:sz w:val="22"/>
          <w:szCs w:val="22"/>
        </w:rPr>
        <w:t xml:space="preserve"> </w:t>
      </w:r>
      <w:r w:rsidR="00AC11DD" w:rsidRPr="00D86314">
        <w:rPr>
          <w:noProof/>
          <w:sz w:val="22"/>
          <w:szCs w:val="22"/>
        </w:rPr>
        <w:t>–</w:t>
      </w:r>
      <w:r w:rsidR="00E25C26" w:rsidRPr="00D86314">
        <w:rPr>
          <w:noProof/>
          <w:sz w:val="22"/>
          <w:szCs w:val="22"/>
        </w:rPr>
        <w:t xml:space="preserve"> </w:t>
      </w:r>
      <w:r w:rsidR="00AC11DD" w:rsidRPr="00D86314">
        <w:rPr>
          <w:noProof/>
          <w:sz w:val="22"/>
          <w:szCs w:val="22"/>
        </w:rPr>
        <w:t>cheapest</w:t>
      </w:r>
      <w:r w:rsidR="00E25C26" w:rsidRPr="00D86314">
        <w:rPr>
          <w:noProof/>
          <w:sz w:val="22"/>
          <w:szCs w:val="22"/>
        </w:rPr>
        <w:t xml:space="preserve"> offers</w:t>
      </w:r>
    </w:p>
    <w:p w14:paraId="5EF79A54" w14:textId="185D5074" w:rsidR="004C52BC" w:rsidRPr="00D86314" w:rsidRDefault="004C52BC" w:rsidP="00DC5BBF">
      <w:pPr>
        <w:rPr>
          <w:noProof/>
        </w:rPr>
      </w:pPr>
      <w:r w:rsidRPr="00CA2C0B">
        <w:rPr>
          <w:noProof/>
          <w:lang w:eastAsia="en-GB"/>
        </w:rPr>
        <w:drawing>
          <wp:inline distT="0" distB="0" distL="0" distR="0" wp14:anchorId="18C548D0" wp14:editId="05293184">
            <wp:extent cx="3663950" cy="1835150"/>
            <wp:effectExtent l="0" t="0" r="0" b="0"/>
            <wp:docPr id="132910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663950" cy="1835150"/>
                    </a:xfrm>
                    <a:prstGeom prst="rect">
                      <a:avLst/>
                    </a:prstGeom>
                    <a:noFill/>
                    <a:ln>
                      <a:noFill/>
                    </a:ln>
                  </pic:spPr>
                </pic:pic>
              </a:graphicData>
            </a:graphic>
          </wp:inline>
        </w:drawing>
      </w:r>
    </w:p>
    <w:p w14:paraId="13BD8741" w14:textId="4CA31C98" w:rsidR="00C105ED" w:rsidRPr="00D86314" w:rsidRDefault="00C105ED" w:rsidP="00DC5BBF">
      <w:pPr>
        <w:rPr>
          <w:noProof/>
        </w:rPr>
      </w:pPr>
      <w:r w:rsidRPr="00D86314">
        <w:rPr>
          <w:noProof/>
          <w:sz w:val="20"/>
          <w:szCs w:val="20"/>
        </w:rPr>
        <w:t xml:space="preserve">Source: </w:t>
      </w:r>
      <w:r w:rsidR="00F007E1" w:rsidRPr="00D86314">
        <w:rPr>
          <w:noProof/>
          <w:sz w:val="20"/>
          <w:szCs w:val="20"/>
        </w:rPr>
        <w:t>DG CNECT</w:t>
      </w:r>
      <w:r w:rsidR="00F1435B" w:rsidRPr="00D86314">
        <w:rPr>
          <w:rStyle w:val="FootnoteReference"/>
          <w:noProof/>
        </w:rPr>
        <w:footnoteReference w:id="212"/>
      </w:r>
    </w:p>
    <w:p w14:paraId="1B1A705B" w14:textId="5C4A53FE" w:rsidR="00F7564C" w:rsidRPr="00D86314" w:rsidRDefault="00830CC8" w:rsidP="00DC5BBF">
      <w:pPr>
        <w:rPr>
          <w:noProof/>
        </w:rPr>
      </w:pPr>
      <w:r w:rsidRPr="00D86314">
        <w:rPr>
          <w:noProof/>
        </w:rPr>
        <w:t>While the average price difference is 0%</w:t>
      </w:r>
      <w:r w:rsidR="00857D03" w:rsidRPr="00D86314">
        <w:rPr>
          <w:noProof/>
        </w:rPr>
        <w:t xml:space="preserve">, </w:t>
      </w:r>
      <w:r w:rsidR="00BB12C7" w:rsidRPr="00D86314">
        <w:rPr>
          <w:noProof/>
        </w:rPr>
        <w:t>t</w:t>
      </w:r>
      <w:r w:rsidR="0067714D" w:rsidRPr="00D86314">
        <w:rPr>
          <w:noProof/>
        </w:rPr>
        <w:t>he</w:t>
      </w:r>
      <w:r w:rsidR="00BF135B" w:rsidRPr="00D86314">
        <w:rPr>
          <w:noProof/>
        </w:rPr>
        <w:t xml:space="preserve"> difference</w:t>
      </w:r>
      <w:r w:rsidR="0067714D" w:rsidRPr="00D86314">
        <w:rPr>
          <w:noProof/>
        </w:rPr>
        <w:t xml:space="preserve">s </w:t>
      </w:r>
      <w:r w:rsidR="00DD0591" w:rsidRPr="00D86314">
        <w:rPr>
          <w:noProof/>
        </w:rPr>
        <w:t>in member States</w:t>
      </w:r>
      <w:r w:rsidR="0067714D" w:rsidRPr="00D86314">
        <w:rPr>
          <w:noProof/>
        </w:rPr>
        <w:t xml:space="preserve"> range from </w:t>
      </w:r>
      <w:r w:rsidR="00C97CAE" w:rsidRPr="00D86314">
        <w:rPr>
          <w:noProof/>
        </w:rPr>
        <w:t>-32% to +21%</w:t>
      </w:r>
      <w:r w:rsidR="00BB12C7" w:rsidRPr="00D86314">
        <w:rPr>
          <w:noProof/>
        </w:rPr>
        <w:t xml:space="preserve"> </w:t>
      </w:r>
      <w:r w:rsidR="00C97CAE" w:rsidRPr="00D86314">
        <w:rPr>
          <w:noProof/>
        </w:rPr>
        <w:t>.</w:t>
      </w:r>
      <w:r w:rsidR="00BF135B" w:rsidRPr="00D86314">
        <w:rPr>
          <w:noProof/>
        </w:rPr>
        <w:t xml:space="preserve"> </w:t>
      </w:r>
      <w:r w:rsidR="0002191D" w:rsidRPr="00D86314">
        <w:rPr>
          <w:noProof/>
        </w:rPr>
        <w:t xml:space="preserve">Hereby, </w:t>
      </w:r>
      <w:r w:rsidR="003A72F8" w:rsidRPr="00D86314">
        <w:rPr>
          <w:noProof/>
        </w:rPr>
        <w:t xml:space="preserve">it should be noted that offers vary over </w:t>
      </w:r>
      <w:r w:rsidR="00523D8F" w:rsidRPr="00D86314">
        <w:rPr>
          <w:noProof/>
        </w:rPr>
        <w:t>time,</w:t>
      </w:r>
      <w:r w:rsidR="003A72F8" w:rsidRPr="00D86314">
        <w:rPr>
          <w:noProof/>
        </w:rPr>
        <w:t xml:space="preserve"> and </w:t>
      </w:r>
      <w:r w:rsidR="00D7700A" w:rsidRPr="00D86314">
        <w:rPr>
          <w:noProof/>
        </w:rPr>
        <w:t xml:space="preserve">some </w:t>
      </w:r>
      <w:r w:rsidR="00BB23E0" w:rsidRPr="00D86314">
        <w:rPr>
          <w:noProof/>
        </w:rPr>
        <w:t xml:space="preserve">depend on </w:t>
      </w:r>
      <w:r w:rsidR="00523D8F" w:rsidRPr="00D86314">
        <w:rPr>
          <w:noProof/>
        </w:rPr>
        <w:t xml:space="preserve">the </w:t>
      </w:r>
      <w:r w:rsidR="00BB23E0" w:rsidRPr="00D86314">
        <w:rPr>
          <w:noProof/>
        </w:rPr>
        <w:t xml:space="preserve">location. The above table presents </w:t>
      </w:r>
      <w:r w:rsidR="002536F8" w:rsidRPr="00D86314">
        <w:rPr>
          <w:noProof/>
        </w:rPr>
        <w:t>the situation in November 2025 and</w:t>
      </w:r>
      <w:r w:rsidR="00F04875" w:rsidRPr="00D86314">
        <w:rPr>
          <w:noProof/>
        </w:rPr>
        <w:t xml:space="preserve"> </w:t>
      </w:r>
      <w:r w:rsidR="00214928" w:rsidRPr="00D86314">
        <w:rPr>
          <w:noProof/>
        </w:rPr>
        <w:t>for</w:t>
      </w:r>
      <w:r w:rsidR="00F04875" w:rsidRPr="00D86314">
        <w:rPr>
          <w:noProof/>
        </w:rPr>
        <w:t xml:space="preserve"> random locations (when address is required). </w:t>
      </w:r>
      <w:r w:rsidR="00F61564" w:rsidRPr="00D86314">
        <w:rPr>
          <w:noProof/>
        </w:rPr>
        <w:t xml:space="preserve">In </w:t>
      </w:r>
      <w:r w:rsidR="004A6509" w:rsidRPr="00D86314">
        <w:rPr>
          <w:noProof/>
        </w:rPr>
        <w:t>some</w:t>
      </w:r>
      <w:r w:rsidR="00F61564" w:rsidRPr="00D86314">
        <w:rPr>
          <w:noProof/>
        </w:rPr>
        <w:t xml:space="preserve"> cases</w:t>
      </w:r>
      <w:r w:rsidR="005677FC" w:rsidRPr="00D86314">
        <w:rPr>
          <w:noProof/>
        </w:rPr>
        <w:t xml:space="preserve"> (e.g. Proximus </w:t>
      </w:r>
      <w:r w:rsidR="00A95298" w:rsidRPr="00D86314">
        <w:rPr>
          <w:noProof/>
        </w:rPr>
        <w:t xml:space="preserve">and Telenet </w:t>
      </w:r>
      <w:r w:rsidR="005677FC" w:rsidRPr="00D86314">
        <w:rPr>
          <w:noProof/>
        </w:rPr>
        <w:t>in Belgi</w:t>
      </w:r>
      <w:r w:rsidR="005D5CB8" w:rsidRPr="00D86314">
        <w:rPr>
          <w:noProof/>
        </w:rPr>
        <w:t>u</w:t>
      </w:r>
      <w:r w:rsidR="005677FC" w:rsidRPr="00D86314">
        <w:rPr>
          <w:noProof/>
        </w:rPr>
        <w:t>m</w:t>
      </w:r>
      <w:r w:rsidR="005D5CB8" w:rsidRPr="00D86314">
        <w:rPr>
          <w:noProof/>
        </w:rPr>
        <w:t xml:space="preserve">, </w:t>
      </w:r>
      <w:r w:rsidR="00A95298" w:rsidRPr="00D86314">
        <w:rPr>
          <w:noProof/>
        </w:rPr>
        <w:t>NOVA in Greece)</w:t>
      </w:r>
      <w:r w:rsidR="00F04875" w:rsidRPr="00D86314">
        <w:rPr>
          <w:noProof/>
        </w:rPr>
        <w:t xml:space="preserve">, </w:t>
      </w:r>
      <w:r w:rsidR="004A6509" w:rsidRPr="00D86314">
        <w:rPr>
          <w:noProof/>
        </w:rPr>
        <w:t xml:space="preserve">operators </w:t>
      </w:r>
      <w:r w:rsidR="00131894" w:rsidRPr="00D86314">
        <w:rPr>
          <w:noProof/>
        </w:rPr>
        <w:t xml:space="preserve">offer the </w:t>
      </w:r>
      <w:r w:rsidR="0080445D" w:rsidRPr="00D86314">
        <w:rPr>
          <w:noProof/>
        </w:rPr>
        <w:t xml:space="preserve">same product independent of </w:t>
      </w:r>
      <w:r w:rsidR="00582188" w:rsidRPr="00D86314">
        <w:rPr>
          <w:noProof/>
        </w:rPr>
        <w:t xml:space="preserve">technology </w:t>
      </w:r>
      <w:r w:rsidR="0080445D" w:rsidRPr="00D86314">
        <w:rPr>
          <w:noProof/>
        </w:rPr>
        <w:t xml:space="preserve">and specify that the service is delivered </w:t>
      </w:r>
      <w:r w:rsidR="009D62DB" w:rsidRPr="00D86314">
        <w:rPr>
          <w:noProof/>
        </w:rPr>
        <w:t>over fibre, copper or cable depending on the address.</w:t>
      </w:r>
    </w:p>
    <w:p w14:paraId="78BFD41F" w14:textId="2E5C7837" w:rsidR="00D8051E" w:rsidRPr="00D86314" w:rsidRDefault="00F7564C" w:rsidP="00DC5BBF">
      <w:pPr>
        <w:rPr>
          <w:noProof/>
        </w:rPr>
      </w:pPr>
      <w:r w:rsidRPr="00D86314">
        <w:rPr>
          <w:noProof/>
        </w:rPr>
        <w:t xml:space="preserve">In terms of </w:t>
      </w:r>
      <w:r w:rsidR="004152D4" w:rsidRPr="00D86314">
        <w:rPr>
          <w:noProof/>
        </w:rPr>
        <w:t>download speeds</w:t>
      </w:r>
      <w:r w:rsidR="004848F1" w:rsidRPr="00D86314">
        <w:rPr>
          <w:noProof/>
        </w:rPr>
        <w:t xml:space="preserve">, the </w:t>
      </w:r>
      <w:r w:rsidR="009D2710" w:rsidRPr="00D86314">
        <w:rPr>
          <w:noProof/>
        </w:rPr>
        <w:t xml:space="preserve">average difference of </w:t>
      </w:r>
      <w:r w:rsidR="005952C8" w:rsidRPr="00D86314">
        <w:rPr>
          <w:noProof/>
        </w:rPr>
        <w:t xml:space="preserve">almost 600%, meaning </w:t>
      </w:r>
      <w:r w:rsidR="007068C6" w:rsidRPr="00D86314">
        <w:rPr>
          <w:noProof/>
        </w:rPr>
        <w:t xml:space="preserve">the cheapest </w:t>
      </w:r>
      <w:r w:rsidR="005952C8" w:rsidRPr="00D86314">
        <w:rPr>
          <w:noProof/>
        </w:rPr>
        <w:t xml:space="preserve">fibre-based product </w:t>
      </w:r>
      <w:r w:rsidR="00D8736E" w:rsidRPr="00D86314">
        <w:rPr>
          <w:noProof/>
        </w:rPr>
        <w:t>is</w:t>
      </w:r>
      <w:r w:rsidR="005952C8" w:rsidRPr="00D86314">
        <w:rPr>
          <w:noProof/>
        </w:rPr>
        <w:t xml:space="preserve"> six times </w:t>
      </w:r>
      <w:r w:rsidR="000C153F" w:rsidRPr="00D86314">
        <w:rPr>
          <w:noProof/>
        </w:rPr>
        <w:t>faster</w:t>
      </w:r>
      <w:r w:rsidR="00F94D40" w:rsidRPr="00D86314">
        <w:rPr>
          <w:noProof/>
        </w:rPr>
        <w:t xml:space="preserve"> than </w:t>
      </w:r>
      <w:r w:rsidR="00C903BE" w:rsidRPr="00D86314">
        <w:rPr>
          <w:noProof/>
        </w:rPr>
        <w:t xml:space="preserve">the cheapest </w:t>
      </w:r>
      <w:r w:rsidR="00F94D40" w:rsidRPr="00D86314">
        <w:rPr>
          <w:noProof/>
        </w:rPr>
        <w:t>copper one.</w:t>
      </w:r>
      <w:r w:rsidR="00D8736E" w:rsidRPr="00D86314">
        <w:rPr>
          <w:noProof/>
        </w:rPr>
        <w:t xml:space="preserve"> Hereby, </w:t>
      </w:r>
      <w:r w:rsidR="00B069AC" w:rsidRPr="00D86314">
        <w:rPr>
          <w:noProof/>
        </w:rPr>
        <w:t>the speed advantage of fibre varies from</w:t>
      </w:r>
      <w:r w:rsidR="00C604A0" w:rsidRPr="00D86314">
        <w:rPr>
          <w:noProof/>
        </w:rPr>
        <w:t xml:space="preserve"> -33% to </w:t>
      </w:r>
      <w:r w:rsidR="004374EB" w:rsidRPr="00D86314">
        <w:rPr>
          <w:noProof/>
        </w:rPr>
        <w:t>1150%.</w:t>
      </w:r>
    </w:p>
    <w:p w14:paraId="25E5576D" w14:textId="06449DB0" w:rsidR="00D8051E" w:rsidRPr="00D86314" w:rsidRDefault="00D8051E" w:rsidP="00F145FB">
      <w:pPr>
        <w:keepNext/>
        <w:rPr>
          <w:noProof/>
          <w:sz w:val="22"/>
          <w:szCs w:val="22"/>
        </w:rPr>
      </w:pPr>
      <w:r w:rsidRPr="00D86314">
        <w:rPr>
          <w:noProof/>
          <w:sz w:val="22"/>
          <w:szCs w:val="22"/>
        </w:rPr>
        <w:t>Table</w:t>
      </w:r>
      <w:r w:rsidR="00445D7F" w:rsidRPr="00D86314">
        <w:rPr>
          <w:noProof/>
          <w:sz w:val="22"/>
          <w:szCs w:val="22"/>
        </w:rPr>
        <w:t xml:space="preserve"> </w:t>
      </w:r>
      <w:r w:rsidR="00F31AB2" w:rsidRPr="00D86314">
        <w:rPr>
          <w:noProof/>
          <w:sz w:val="22"/>
          <w:szCs w:val="22"/>
        </w:rPr>
        <w:t>A9 1-2</w:t>
      </w:r>
      <w:r w:rsidRPr="00D86314">
        <w:rPr>
          <w:noProof/>
          <w:sz w:val="22"/>
          <w:szCs w:val="22"/>
        </w:rPr>
        <w:t>: Download speed (Mbit/s)</w:t>
      </w:r>
    </w:p>
    <w:p w14:paraId="41155125" w14:textId="1E6B38B1" w:rsidR="004848F1" w:rsidRPr="00D86314" w:rsidRDefault="004848F1" w:rsidP="00A01B62">
      <w:pPr>
        <w:rPr>
          <w:noProof/>
        </w:rPr>
      </w:pPr>
      <w:r w:rsidRPr="00CA2C0B">
        <w:rPr>
          <w:noProof/>
          <w:lang w:eastAsia="en-GB"/>
        </w:rPr>
        <w:drawing>
          <wp:inline distT="0" distB="0" distL="0" distR="0" wp14:anchorId="0EE872C6" wp14:editId="57BD90DC">
            <wp:extent cx="3663950" cy="1835150"/>
            <wp:effectExtent l="0" t="0" r="0" b="0"/>
            <wp:docPr id="679069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663950" cy="1835150"/>
                    </a:xfrm>
                    <a:prstGeom prst="rect">
                      <a:avLst/>
                    </a:prstGeom>
                    <a:noFill/>
                    <a:ln>
                      <a:noFill/>
                    </a:ln>
                  </pic:spPr>
                </pic:pic>
              </a:graphicData>
            </a:graphic>
          </wp:inline>
        </w:drawing>
      </w:r>
    </w:p>
    <w:p w14:paraId="4C04FD74" w14:textId="7AD5952F" w:rsidR="00120799" w:rsidRPr="00D86314" w:rsidRDefault="00D623A0" w:rsidP="004966F8">
      <w:pPr>
        <w:rPr>
          <w:noProof/>
        </w:rPr>
      </w:pPr>
      <w:r w:rsidRPr="00D86314">
        <w:rPr>
          <w:noProof/>
        </w:rPr>
        <w:t xml:space="preserve">Overall, </w:t>
      </w:r>
      <w:r w:rsidR="000369B8" w:rsidRPr="00D86314">
        <w:rPr>
          <w:noProof/>
        </w:rPr>
        <w:t>based on our sample</w:t>
      </w:r>
      <w:r w:rsidRPr="00D86314">
        <w:rPr>
          <w:noProof/>
        </w:rPr>
        <w:t xml:space="preserve">, </w:t>
      </w:r>
      <w:r w:rsidR="00975C70" w:rsidRPr="00D86314">
        <w:rPr>
          <w:noProof/>
        </w:rPr>
        <w:t xml:space="preserve">fibre-based </w:t>
      </w:r>
      <w:r w:rsidR="004E3A19" w:rsidRPr="00D86314">
        <w:rPr>
          <w:noProof/>
        </w:rPr>
        <w:t>products are no more expensive than copp</w:t>
      </w:r>
      <w:r w:rsidR="008A0D5B" w:rsidRPr="00D86314">
        <w:rPr>
          <w:noProof/>
        </w:rPr>
        <w:t>er-based ones but offers superior</w:t>
      </w:r>
      <w:r w:rsidR="005853C1" w:rsidRPr="00D86314">
        <w:rPr>
          <w:noProof/>
        </w:rPr>
        <w:t xml:space="preserve"> speed and quality</w:t>
      </w:r>
      <w:r w:rsidR="008A0D5B" w:rsidRPr="00D86314">
        <w:rPr>
          <w:noProof/>
        </w:rPr>
        <w:t>.</w:t>
      </w:r>
      <w:r w:rsidR="005C0A97" w:rsidRPr="00D86314">
        <w:rPr>
          <w:noProof/>
        </w:rPr>
        <w:t xml:space="preserve"> </w:t>
      </w:r>
    </w:p>
    <w:p w14:paraId="313CED92" w14:textId="1E054179" w:rsidR="004966F8" w:rsidRPr="00D86314" w:rsidRDefault="004966F8" w:rsidP="004966F8">
      <w:pPr>
        <w:rPr>
          <w:noProof/>
        </w:rPr>
      </w:pPr>
      <w:r w:rsidRPr="00D86314">
        <w:rPr>
          <w:noProof/>
        </w:rPr>
        <w:t xml:space="preserve">This finding is consistent with the fact that the cost of fibre-based broadband is not intrinsically higher than that of copper-based broadband. </w:t>
      </w:r>
      <w:r w:rsidR="00CA2993" w:rsidRPr="00D86314">
        <w:rPr>
          <w:noProof/>
        </w:rPr>
        <w:t>This is particularly the case w</w:t>
      </w:r>
      <w:r w:rsidR="00D2778F" w:rsidRPr="00D86314">
        <w:rPr>
          <w:noProof/>
        </w:rPr>
        <w:t xml:space="preserve">hen unviable duplication of infrastructure is removed via copper switch-off, thereby </w:t>
      </w:r>
      <w:r w:rsidR="00870682" w:rsidRPr="00D86314">
        <w:rPr>
          <w:noProof/>
        </w:rPr>
        <w:t>eliminating</w:t>
      </w:r>
      <w:r w:rsidR="00D2778F" w:rsidRPr="00D86314">
        <w:rPr>
          <w:noProof/>
        </w:rPr>
        <w:t xml:space="preserve"> the demand-risk associated with parallel operation of copper and fibre</w:t>
      </w:r>
      <w:r w:rsidR="00434BBF" w:rsidRPr="00D86314">
        <w:rPr>
          <w:noProof/>
        </w:rPr>
        <w:t xml:space="preserve">. </w:t>
      </w:r>
      <w:r w:rsidR="009567A7" w:rsidRPr="00D86314">
        <w:rPr>
          <w:noProof/>
        </w:rPr>
        <w:t xml:space="preserve">It </w:t>
      </w:r>
      <w:r w:rsidR="003E4086" w:rsidRPr="00D86314">
        <w:rPr>
          <w:noProof/>
        </w:rPr>
        <w:t>is noteworthy that</w:t>
      </w:r>
      <w:r w:rsidR="009567A7" w:rsidRPr="00D86314">
        <w:rPr>
          <w:noProof/>
        </w:rPr>
        <w:t xml:space="preserve"> </w:t>
      </w:r>
      <w:r w:rsidRPr="00D86314">
        <w:rPr>
          <w:noProof/>
        </w:rPr>
        <w:t xml:space="preserve">NRAs have </w:t>
      </w:r>
      <w:r w:rsidR="00236C7B" w:rsidRPr="00D86314">
        <w:rPr>
          <w:noProof/>
        </w:rPr>
        <w:t xml:space="preserve">been </w:t>
      </w:r>
      <w:r w:rsidR="00CB1F91" w:rsidRPr="00D86314">
        <w:rPr>
          <w:noProof/>
        </w:rPr>
        <w:t>setting regulated prices for copper networks</w:t>
      </w:r>
      <w:r w:rsidR="00236C7B" w:rsidRPr="00D86314">
        <w:rPr>
          <w:noProof/>
        </w:rPr>
        <w:t xml:space="preserve"> </w:t>
      </w:r>
      <w:r w:rsidRPr="00D86314">
        <w:rPr>
          <w:noProof/>
        </w:rPr>
        <w:t xml:space="preserve">based on </w:t>
      </w:r>
      <w:r w:rsidR="00495391" w:rsidRPr="00D86314">
        <w:rPr>
          <w:noProof/>
        </w:rPr>
        <w:t xml:space="preserve">the cost structure of </w:t>
      </w:r>
      <w:r w:rsidRPr="00D86314">
        <w:rPr>
          <w:noProof/>
        </w:rPr>
        <w:t>FTTH</w:t>
      </w:r>
      <w:r w:rsidR="00495391" w:rsidRPr="00D86314">
        <w:rPr>
          <w:noProof/>
        </w:rPr>
        <w:t xml:space="preserve">, </w:t>
      </w:r>
      <w:r w:rsidRPr="00D86314">
        <w:rPr>
          <w:noProof/>
        </w:rPr>
        <w:t xml:space="preserve">as </w:t>
      </w:r>
      <w:r w:rsidR="007A3A52" w:rsidRPr="00D86314">
        <w:rPr>
          <w:noProof/>
        </w:rPr>
        <w:t>it is considered the most cost</w:t>
      </w:r>
      <w:r w:rsidR="000F3229" w:rsidRPr="00D86314">
        <w:rPr>
          <w:noProof/>
        </w:rPr>
        <w:t>-</w:t>
      </w:r>
      <w:r w:rsidR="007A3A52" w:rsidRPr="00D86314">
        <w:rPr>
          <w:noProof/>
        </w:rPr>
        <w:t xml:space="preserve">effective </w:t>
      </w:r>
      <w:r w:rsidR="00A741FF" w:rsidRPr="00D86314">
        <w:rPr>
          <w:noProof/>
        </w:rPr>
        <w:t>technology</w:t>
      </w:r>
      <w:r w:rsidRPr="00D86314">
        <w:rPr>
          <w:noProof/>
        </w:rPr>
        <w:t xml:space="preserve">. </w:t>
      </w:r>
    </w:p>
    <w:p w14:paraId="0CA2FA1C" w14:textId="519D0937" w:rsidR="004966F8" w:rsidRPr="00D86314" w:rsidRDefault="004966F8" w:rsidP="004966F8">
      <w:pPr>
        <w:rPr>
          <w:noProof/>
        </w:rPr>
      </w:pPr>
      <w:r w:rsidRPr="00D86314">
        <w:rPr>
          <w:noProof/>
        </w:rPr>
        <w:t>The experience of countries such as France (see following chart) and Italy shows that when there is effective competition enabling differentiation on price and quality on fibre (via physical unbundling and IRU), charges for even very high bandwidths over fibre (Gigabit bandwidths) are similar to charges for broadband provided over copper at significant lower speeds.</w:t>
      </w:r>
    </w:p>
    <w:p w14:paraId="374227CE" w14:textId="549423EF" w:rsidR="004966F8" w:rsidRPr="00D86314" w:rsidRDefault="004966F8" w:rsidP="004966F8">
      <w:pPr>
        <w:pStyle w:val="Abbberschrift"/>
        <w:rPr>
          <w:rFonts w:ascii="Times New Roman" w:hAnsi="Times New Roman"/>
          <w:noProof/>
          <w:szCs w:val="22"/>
        </w:rPr>
      </w:pPr>
      <w:bookmarkStart w:id="255" w:name="_Toc208239999"/>
      <w:r w:rsidRPr="00D86314">
        <w:rPr>
          <w:rStyle w:val="CaptionChar"/>
          <w:noProof/>
          <w:color w:val="auto"/>
          <w:sz w:val="22"/>
          <w:szCs w:val="22"/>
        </w:rPr>
        <w:t>Figure</w:t>
      </w:r>
      <w:r w:rsidR="00632D99" w:rsidRPr="00D86314">
        <w:rPr>
          <w:rStyle w:val="CaptionChar"/>
          <w:noProof/>
          <w:color w:val="auto"/>
          <w:sz w:val="22"/>
          <w:szCs w:val="22"/>
        </w:rPr>
        <w:t xml:space="preserve"> A9 1-2: </w:t>
      </w:r>
      <w:r w:rsidRPr="00D86314">
        <w:rPr>
          <w:rFonts w:ascii="Times New Roman" w:hAnsi="Times New Roman"/>
          <w:i/>
          <w:noProof/>
          <w:szCs w:val="22"/>
        </w:rPr>
        <w:t>Development of broadband prices in France (2012-2024)</w:t>
      </w:r>
      <w:bookmarkEnd w:id="255"/>
    </w:p>
    <w:p w14:paraId="7FFDD7D5" w14:textId="77777777" w:rsidR="004966F8" w:rsidRPr="00D86314" w:rsidRDefault="004966F8" w:rsidP="004966F8">
      <w:pPr>
        <w:rPr>
          <w:noProof/>
        </w:rPr>
      </w:pPr>
      <w:r w:rsidRPr="00CA2C0B">
        <w:rPr>
          <w:noProof/>
          <w:lang w:eastAsia="en-GB"/>
        </w:rPr>
        <w:drawing>
          <wp:inline distT="0" distB="0" distL="0" distR="0" wp14:anchorId="6893F20F" wp14:editId="0EBA205D">
            <wp:extent cx="4026107" cy="2057506"/>
            <wp:effectExtent l="0" t="0" r="0" b="0"/>
            <wp:docPr id="714381101" name="Grafik 1" descr="Ein Bild, das Text, Screensho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82589" name="Grafik 1" descr="Ein Bild, das Text, Screenshot, Reihe, Diagramm enthält.&#10;&#10;KI-generierte Inhalte können fehlerhaft sein."/>
                    <pic:cNvPicPr/>
                  </pic:nvPicPr>
                  <pic:blipFill>
                    <a:blip r:embed="rId152"/>
                    <a:stretch>
                      <a:fillRect/>
                    </a:stretch>
                  </pic:blipFill>
                  <pic:spPr>
                    <a:xfrm>
                      <a:off x="0" y="0"/>
                      <a:ext cx="4026107" cy="2057506"/>
                    </a:xfrm>
                    <a:prstGeom prst="rect">
                      <a:avLst/>
                    </a:prstGeom>
                  </pic:spPr>
                </pic:pic>
              </a:graphicData>
            </a:graphic>
          </wp:inline>
        </w:drawing>
      </w:r>
    </w:p>
    <w:p w14:paraId="484E09F4" w14:textId="77777777" w:rsidR="004966F8" w:rsidRPr="00D86314" w:rsidRDefault="004966F8" w:rsidP="004966F8">
      <w:pPr>
        <w:rPr>
          <w:noProof/>
          <w:sz w:val="18"/>
          <w:szCs w:val="18"/>
        </w:rPr>
      </w:pPr>
      <w:r w:rsidRPr="00D86314">
        <w:rPr>
          <w:noProof/>
          <w:sz w:val="18"/>
          <w:szCs w:val="18"/>
        </w:rPr>
        <w:t>Source: Arcep</w:t>
      </w:r>
    </w:p>
    <w:p w14:paraId="0972C1AD" w14:textId="7691FF0A" w:rsidR="004966F8" w:rsidRPr="00D86314" w:rsidRDefault="004966F8" w:rsidP="004966F8">
      <w:pPr>
        <w:rPr>
          <w:noProof/>
        </w:rPr>
      </w:pPr>
      <w:r w:rsidRPr="00D86314">
        <w:rPr>
          <w:noProof/>
        </w:rPr>
        <w:t xml:space="preserve">Alongside the CSO obligation on copper network operators at the EU level, it is essential to plan a detailed migration and copper switch-off process. This option requires copper network operators that have not already done so to submit a CSO plan, providing clarity and transparency to investors in FTTH and access seekers. It ensures that NRAs take appropriate steps to oversee the CSO process, complying with EU law regarding deadlines, supporting competition and investment in FTTH networks, and protecting consumer welfare. In most countries that have progressed with CSO, NRAs have been involved in overseeing, implementing, and monitoring this process, setting conditions such as transparency obligations, coverage thresholds, alternative technologies identification, and notice periods. It encourages switch-off in areas where alternative investors have deployed fibre and </w:t>
      </w:r>
      <w:r w:rsidR="6BA1751C" w:rsidRPr="00D86314">
        <w:rPr>
          <w:noProof/>
        </w:rPr>
        <w:t>requires Member States to</w:t>
      </w:r>
      <w:r w:rsidRPr="00D86314">
        <w:rPr>
          <w:noProof/>
        </w:rPr>
        <w:t xml:space="preserve"> determine which alternative technologies might be used in specific cases, such as rural areas where FTTH may not be viable for all households.</w:t>
      </w:r>
    </w:p>
    <w:p w14:paraId="6A7F55F1" w14:textId="77777777" w:rsidR="004966F8" w:rsidRPr="00D86314" w:rsidRDefault="004966F8" w:rsidP="004966F8">
      <w:pPr>
        <w:rPr>
          <w:noProof/>
        </w:rPr>
      </w:pPr>
      <w:r w:rsidRPr="00D86314">
        <w:rPr>
          <w:noProof/>
        </w:rPr>
        <w:t xml:space="preserve">Regarding the </w:t>
      </w:r>
      <w:r w:rsidRPr="00D86314">
        <w:rPr>
          <w:b/>
          <w:bCs/>
          <w:noProof/>
        </w:rPr>
        <w:t>feasibility</w:t>
      </w:r>
      <w:r w:rsidRPr="00D86314">
        <w:rPr>
          <w:noProof/>
        </w:rPr>
        <w:t xml:space="preserve"> of this option, it is important to note that, aside from the need to ensure widespread FTTH coverage, copper switch-off requires implementation at several layers.</w:t>
      </w:r>
      <w:r w:rsidRPr="00D86314">
        <w:rPr>
          <w:rStyle w:val="FootnoteReference"/>
          <w:noProof/>
        </w:rPr>
        <w:footnoteReference w:id="213"/>
      </w:r>
      <w:r w:rsidRPr="00D86314">
        <w:rPr>
          <w:noProof/>
        </w:rPr>
        <w:t xml:space="preserve"> </w:t>
      </w:r>
    </w:p>
    <w:p w14:paraId="3210DDC9" w14:textId="49866DF0" w:rsidR="004966F8" w:rsidRPr="00D86314" w:rsidRDefault="004966F8" w:rsidP="004966F8">
      <w:pPr>
        <w:rPr>
          <w:noProof/>
        </w:rPr>
      </w:pPr>
      <w:r w:rsidRPr="00D86314">
        <w:rPr>
          <w:noProof/>
        </w:rPr>
        <w:t xml:space="preserve">According to the </w:t>
      </w:r>
      <w:r w:rsidR="00805C1A" w:rsidRPr="00D86314">
        <w:rPr>
          <w:noProof/>
        </w:rPr>
        <w:t>S</w:t>
      </w:r>
      <w:r w:rsidRPr="00D86314">
        <w:rPr>
          <w:noProof/>
        </w:rPr>
        <w:t>tudy</w:t>
      </w:r>
      <w:r w:rsidR="00805C1A" w:rsidRPr="00D86314">
        <w:rPr>
          <w:noProof/>
        </w:rPr>
        <w:t xml:space="preserve"> on Access Regulation,</w:t>
      </w:r>
      <w:r w:rsidRPr="00D86314">
        <w:rPr>
          <w:noProof/>
        </w:rPr>
        <w:t xml:space="preserve"> supporting the impact assessment, for example IT-processes have to be developed to implement the stop sell and switch-off by area (e.g. defined as area covered by a copper exchange or municipality)</w:t>
      </w:r>
      <w:r w:rsidR="749AD48F" w:rsidRPr="00D86314">
        <w:rPr>
          <w:noProof/>
        </w:rPr>
        <w:t>.</w:t>
      </w:r>
      <w:r w:rsidRPr="00D86314">
        <w:rPr>
          <w:noProof/>
        </w:rPr>
        <w:t xml:space="preserve"> Information campaigns and procedures to inform end users also have to be planned and implemented.</w:t>
      </w:r>
      <w:r w:rsidRPr="00D86314">
        <w:rPr>
          <w:rStyle w:val="FootnoteReference"/>
          <w:noProof/>
        </w:rPr>
        <w:footnoteReference w:id="214"/>
      </w:r>
      <w:r w:rsidRPr="00D86314">
        <w:rPr>
          <w:noProof/>
        </w:rPr>
        <w:t xml:space="preserve"> </w:t>
      </w:r>
    </w:p>
    <w:p w14:paraId="4C193CB0" w14:textId="320DD8C5" w:rsidR="004966F8" w:rsidRPr="00D86314" w:rsidRDefault="004966F8" w:rsidP="004966F8">
      <w:pPr>
        <w:rPr>
          <w:noProof/>
        </w:rPr>
      </w:pPr>
      <w:r w:rsidRPr="00D86314">
        <w:rPr>
          <w:noProof/>
        </w:rPr>
        <w:t xml:space="preserve">In addition, copper switch-off means that critical safety devices still running on copper PSTN have to be migrated to alternative networks. Key services which belong to this category are intruder &amp; fire alarms, stand-alone security alarms, telecare / medical alert, lift emergency autodiallers, </w:t>
      </w:r>
      <w:r w:rsidR="00D74668" w:rsidRPr="00D86314">
        <w:rPr>
          <w:noProof/>
        </w:rPr>
        <w:t>miscellaneous</w:t>
      </w:r>
      <w:r w:rsidRPr="00D86314">
        <w:rPr>
          <w:noProof/>
        </w:rPr>
        <w:t xml:space="preserve"> monitoring services (fire panels, SCADA, building-management, traffic &amp; ATM lines). It also impacts monitoring control systems used by the water, energy and transport industries.</w:t>
      </w:r>
      <w:r w:rsidRPr="00D86314">
        <w:rPr>
          <w:rStyle w:val="FootnoteReference"/>
          <w:noProof/>
        </w:rPr>
        <w:footnoteReference w:id="215"/>
      </w:r>
      <w:r w:rsidRPr="00D86314">
        <w:rPr>
          <w:noProof/>
        </w:rPr>
        <w:t xml:space="preserve"> </w:t>
      </w:r>
    </w:p>
    <w:p w14:paraId="71722426" w14:textId="107752EF" w:rsidR="004966F8" w:rsidRPr="00D86314" w:rsidRDefault="004966F8" w:rsidP="004966F8">
      <w:pPr>
        <w:rPr>
          <w:noProof/>
        </w:rPr>
      </w:pPr>
      <w:r w:rsidRPr="00D86314">
        <w:rPr>
          <w:noProof/>
        </w:rPr>
        <w:t>There is no comprehensive data on the share of critical devices or monitoring systems using copper networks.</w:t>
      </w:r>
      <w:r w:rsidR="002A4B7D" w:rsidRPr="00D86314">
        <w:rPr>
          <w:noProof/>
        </w:rPr>
        <w:t xml:space="preserve"> </w:t>
      </w:r>
      <w:r w:rsidRPr="00D86314">
        <w:rPr>
          <w:noProof/>
        </w:rPr>
        <w:t>In the context of a WIK study on copper migration and copper switch-off for the Gigabitforum in Germany, network operators and service providers interviewed were unanimous in their opinion that all the associated problems can be solved and have already been solved to a large extent in the migration from the PSTN to all IP.</w:t>
      </w:r>
      <w:r w:rsidRPr="00D86314">
        <w:rPr>
          <w:rStyle w:val="FootnoteReference"/>
          <w:noProof/>
        </w:rPr>
        <w:footnoteReference w:id="216"/>
      </w:r>
      <w:r w:rsidRPr="00D86314">
        <w:rPr>
          <w:noProof/>
        </w:rPr>
        <w:t xml:space="preserve"> It is also relevant to note that PSTN switch-off has progressed in many countries in advance of copper switch-off.</w:t>
      </w:r>
      <w:r w:rsidRPr="00D86314">
        <w:rPr>
          <w:rStyle w:val="FootnoteReference"/>
          <w:noProof/>
        </w:rPr>
        <w:footnoteReference w:id="217"/>
      </w:r>
      <w:r w:rsidRPr="00D86314">
        <w:rPr>
          <w:noProof/>
        </w:rPr>
        <w:t xml:space="preserve"> </w:t>
      </w:r>
    </w:p>
    <w:p w14:paraId="42E1C6E8" w14:textId="6172DE30" w:rsidR="004966F8" w:rsidRPr="00D86314" w:rsidRDefault="004966F8" w:rsidP="004966F8">
      <w:pPr>
        <w:rPr>
          <w:noProof/>
        </w:rPr>
      </w:pPr>
      <w:r w:rsidRPr="00D86314">
        <w:rPr>
          <w:noProof/>
        </w:rPr>
        <w:t>There is also evidence to suggest that upgrades to legacy equipment are being prioritised for operational reasons, and that maintaining such equipment could give rise to safety concerns. In contrast with that, the migration of consumers, businesses and government is linked with benefits as for example the take-up and use of a new generation of telecare services and energy savings.</w:t>
      </w:r>
      <w:r w:rsidRPr="00D86314">
        <w:rPr>
          <w:rStyle w:val="FootnoteReference"/>
          <w:noProof/>
        </w:rPr>
        <w:footnoteReference w:id="218"/>
      </w:r>
      <w:r w:rsidRPr="00D86314">
        <w:rPr>
          <w:noProof/>
        </w:rPr>
        <w:t xml:space="preserve"> </w:t>
      </w:r>
    </w:p>
    <w:p w14:paraId="127CAFD7" w14:textId="560C6C91" w:rsidR="004966F8" w:rsidRPr="00D86314" w:rsidRDefault="004966F8" w:rsidP="004966F8">
      <w:pPr>
        <w:rPr>
          <w:noProof/>
        </w:rPr>
      </w:pPr>
      <w:r w:rsidRPr="00D86314">
        <w:rPr>
          <w:noProof/>
        </w:rPr>
        <w:t xml:space="preserve">With these factors in mind, </w:t>
      </w:r>
      <w:r w:rsidR="009C1FB8" w:rsidRPr="00D86314">
        <w:rPr>
          <w:noProof/>
        </w:rPr>
        <w:t xml:space="preserve">it is </w:t>
      </w:r>
      <w:r w:rsidRPr="00D86314">
        <w:rPr>
          <w:noProof/>
        </w:rPr>
        <w:t>assume</w:t>
      </w:r>
      <w:r w:rsidR="009C1FB8" w:rsidRPr="00D86314">
        <w:rPr>
          <w:noProof/>
        </w:rPr>
        <w:t>d</w:t>
      </w:r>
      <w:r w:rsidRPr="00D86314">
        <w:rPr>
          <w:noProof/>
        </w:rPr>
        <w:t xml:space="preserve"> that the challenges related to the migration of critical services will be addressed. A mandatory CSO</w:t>
      </w:r>
      <w:r w:rsidR="3692FFCE" w:rsidRPr="00D86314">
        <w:rPr>
          <w:noProof/>
        </w:rPr>
        <w:t xml:space="preserve"> by a</w:t>
      </w:r>
      <w:r w:rsidRPr="00D86314">
        <w:rPr>
          <w:noProof/>
        </w:rPr>
        <w:t xml:space="preserve"> target date</w:t>
      </w:r>
      <w:r w:rsidR="1F1DC64B" w:rsidRPr="00D86314">
        <w:rPr>
          <w:noProof/>
        </w:rPr>
        <w:t>, subject to certain conditions,</w:t>
      </w:r>
      <w:r w:rsidRPr="00D86314">
        <w:rPr>
          <w:noProof/>
        </w:rPr>
        <w:t xml:space="preserve"> could have a positive effect by raising awareness of the technical challenges and ensure that the relevant planning and decision processes are initiated ahead of time. </w:t>
      </w:r>
    </w:p>
    <w:p w14:paraId="5472821A" w14:textId="37F772B9" w:rsidR="004966F8" w:rsidRPr="00D86314" w:rsidRDefault="004966F8" w:rsidP="004966F8">
      <w:pPr>
        <w:rPr>
          <w:noProof/>
        </w:rPr>
      </w:pPr>
      <w:r w:rsidRPr="00D86314">
        <w:rPr>
          <w:noProof/>
        </w:rPr>
        <w:t xml:space="preserve">Countries likely to be most affected by the CSO policies associated with this option are those lagging in FTTH deployment, with widespread FTTC deployments and a high proportion of FTTB coverage. These countries will experience pronounced positive effects from </w:t>
      </w:r>
      <w:r w:rsidR="02944E9A" w:rsidRPr="00D86314">
        <w:rPr>
          <w:noProof/>
        </w:rPr>
        <w:t>this option</w:t>
      </w:r>
      <w:r w:rsidRPr="00D86314">
        <w:rPr>
          <w:noProof/>
        </w:rPr>
        <w:t>, although the benefits may be delayed beyond 2030 due to incomplete fibre coverage and other conditions. More specifically, an analysis of available data (which is however incomplete), regarding FTTH coverage, FTTB prevalence, focus on in-building fibre wiring and copper switch-off plans suggests that the status of compliance with the conditions requiring CSO will be as follows.</w:t>
      </w:r>
    </w:p>
    <w:p w14:paraId="55682D09" w14:textId="77777777" w:rsidR="004966F8" w:rsidRPr="00D86314" w:rsidRDefault="004966F8" w:rsidP="004966F8">
      <w:pPr>
        <w:rPr>
          <w:noProof/>
        </w:rPr>
      </w:pPr>
      <w:r w:rsidRPr="00D86314">
        <w:rPr>
          <w:noProof/>
        </w:rPr>
        <w:t>Full nationwide CSO by 2030 is expected to be possible in 15 countries (CY, DK, EE, FR, HR, IE, IT, LT, LU, MT, NL, PT, RO, SI and ES). In the remaining countries, in most cases, the majority of areas will meet the coverage and pricing condition by 2030 (while those which do not meet the pricing condition might do so in future if appropriate action is taken to promote competition on FTTH following a market analysis). Based on our analysis of available data, the following developments might be expected:</w:t>
      </w:r>
      <w:r w:rsidRPr="00D86314">
        <w:rPr>
          <w:rStyle w:val="FootnoteReference"/>
          <w:noProof/>
        </w:rPr>
        <w:footnoteReference w:id="219"/>
      </w:r>
    </w:p>
    <w:p w14:paraId="189496FA" w14:textId="77AE488C" w:rsidR="004966F8" w:rsidRPr="00D86314" w:rsidRDefault="004966F8" w:rsidP="00A00C17">
      <w:pPr>
        <w:pStyle w:val="ListParagraph"/>
        <w:numPr>
          <w:ilvl w:val="0"/>
          <w:numId w:val="43"/>
        </w:numPr>
        <w:spacing w:after="160" w:line="259" w:lineRule="auto"/>
        <w:ind w:left="1069"/>
        <w:jc w:val="left"/>
        <w:rPr>
          <w:noProof/>
        </w:rPr>
      </w:pPr>
      <w:r w:rsidRPr="00D86314">
        <w:rPr>
          <w:noProof/>
        </w:rPr>
        <w:t xml:space="preserve">In 5 countries (AT, CZ, DE, EL, BE) the conditions are unlikely to be met </w:t>
      </w:r>
      <w:r w:rsidR="7C3D078D" w:rsidRPr="00D86314">
        <w:rPr>
          <w:noProof/>
        </w:rPr>
        <w:t xml:space="preserve">in 2030 </w:t>
      </w:r>
      <w:r w:rsidRPr="00D86314">
        <w:rPr>
          <w:noProof/>
        </w:rPr>
        <w:t>for a significant number of areas representing at least 15% of households. Excessive pricing for fibre-based broadband may also need to be addressed.</w:t>
      </w:r>
    </w:p>
    <w:p w14:paraId="1770AD18" w14:textId="40D1FD0A" w:rsidR="004966F8" w:rsidRPr="00D86314" w:rsidRDefault="004966F8" w:rsidP="00A00C17">
      <w:pPr>
        <w:pStyle w:val="ListParagraph"/>
        <w:numPr>
          <w:ilvl w:val="0"/>
          <w:numId w:val="43"/>
        </w:numPr>
        <w:spacing w:after="160" w:line="259" w:lineRule="auto"/>
        <w:ind w:left="1069"/>
        <w:jc w:val="left"/>
        <w:rPr>
          <w:noProof/>
        </w:rPr>
      </w:pPr>
      <w:r w:rsidRPr="00D86314">
        <w:rPr>
          <w:noProof/>
        </w:rPr>
        <w:t xml:space="preserve">In 3 countries (LV, PL, SK) conditions may not be met for a smaller share of </w:t>
      </w:r>
      <w:r w:rsidR="5F65C0D1" w:rsidRPr="00D86314">
        <w:rPr>
          <w:noProof/>
        </w:rPr>
        <w:t xml:space="preserve">households </w:t>
      </w:r>
      <w:r w:rsidRPr="00D86314">
        <w:rPr>
          <w:noProof/>
        </w:rPr>
        <w:t>(&lt;15%) which are not served with fibre as of 2030.</w:t>
      </w:r>
    </w:p>
    <w:p w14:paraId="58AD3501" w14:textId="2AA8F666" w:rsidR="004966F8" w:rsidRPr="00D86314" w:rsidRDefault="004966F8" w:rsidP="00A00C17">
      <w:pPr>
        <w:pStyle w:val="ListParagraph"/>
        <w:numPr>
          <w:ilvl w:val="0"/>
          <w:numId w:val="43"/>
        </w:numPr>
        <w:spacing w:after="160" w:line="259" w:lineRule="auto"/>
        <w:ind w:left="1069"/>
        <w:contextualSpacing w:val="0"/>
        <w:jc w:val="left"/>
        <w:rPr>
          <w:noProof/>
        </w:rPr>
      </w:pPr>
      <w:r w:rsidRPr="00D86314">
        <w:rPr>
          <w:noProof/>
        </w:rPr>
        <w:t xml:space="preserve">In 4 countries (BG, FI, HU, SE) conditions may not be met for </w:t>
      </w:r>
      <w:r w:rsidR="734031CE" w:rsidRPr="00D86314">
        <w:rPr>
          <w:noProof/>
        </w:rPr>
        <w:t xml:space="preserve">in some areas for </w:t>
      </w:r>
      <w:r w:rsidRPr="00D86314">
        <w:rPr>
          <w:noProof/>
        </w:rPr>
        <w:t>some MDUs due to the need to upgrade the wiring from copper to fibre and extra time may be required to complete this process.</w:t>
      </w:r>
    </w:p>
    <w:p w14:paraId="73B85100" w14:textId="2D11FCD8" w:rsidR="004966F8" w:rsidRPr="00D86314" w:rsidRDefault="004966F8" w:rsidP="004966F8">
      <w:pPr>
        <w:rPr>
          <w:noProof/>
        </w:rPr>
      </w:pPr>
      <w:r w:rsidRPr="00D86314">
        <w:rPr>
          <w:noProof/>
        </w:rPr>
        <w:t xml:space="preserve">As regards </w:t>
      </w:r>
      <w:r w:rsidRPr="00D86314">
        <w:rPr>
          <w:b/>
          <w:bCs/>
          <w:noProof/>
        </w:rPr>
        <w:t xml:space="preserve">effects of the </w:t>
      </w:r>
      <w:r w:rsidRPr="00D86314" w:rsidDel="00465B2F">
        <w:rPr>
          <w:b/>
          <w:noProof/>
        </w:rPr>
        <w:t xml:space="preserve">CSO </w:t>
      </w:r>
      <w:r w:rsidRPr="00D86314">
        <w:rPr>
          <w:b/>
          <w:bCs/>
          <w:noProof/>
        </w:rPr>
        <w:t>obligation envisaged under option 2 on coverage, speed and greenhouse gas emissions</w:t>
      </w:r>
      <w:r w:rsidRPr="00D86314">
        <w:rPr>
          <w:noProof/>
        </w:rPr>
        <w:t xml:space="preserve">, as illustrated in the game theoretic analysis (see below), when accompanied with measures under art 61(3) regarding in-building wiring (or access at other points if relevant), this option has the effect of providing an incentive for different operators (cable, incumbent, alternative fibre investor) to be first to deploy fibre in-building, creating a race to invest. </w:t>
      </w:r>
    </w:p>
    <w:p w14:paraId="07D7458D" w14:textId="0E32DAB2" w:rsidR="004966F8" w:rsidRPr="00D86314" w:rsidRDefault="004966F8" w:rsidP="004966F8">
      <w:pPr>
        <w:rPr>
          <w:noProof/>
        </w:rPr>
      </w:pPr>
      <w:r w:rsidRPr="00D86314">
        <w:rPr>
          <w:noProof/>
        </w:rPr>
        <w:t>This should accelerate the pace of FTTH and maximise both speeds and environmental benefits. Examples of these effects can be seen in France, Spain and Portugal. However, operators would need to have access to the building to deploy in-building fibre, or otherwise, if they wish to maintain control/maintenance of the in-building wiring themselves, building owners would need to be obliged to make upgrades to legacy wiring within a given period. In addition</w:t>
      </w:r>
      <w:r w:rsidR="00597437" w:rsidRPr="00D86314">
        <w:rPr>
          <w:noProof/>
        </w:rPr>
        <w:t>,</w:t>
      </w:r>
      <w:r w:rsidRPr="00D86314">
        <w:rPr>
          <w:noProof/>
        </w:rPr>
        <w:t xml:space="preserve"> for the race to invest to materialise, alternative fibre investors would need equivalent access to ducts and poles as those available to the copper network owner. It would therefore be important for NRAs in countries which have limited FTTH coverage, to consider whether this could </w:t>
      </w:r>
      <w:r w:rsidR="00F145FB" w:rsidRPr="00D86314">
        <w:rPr>
          <w:noProof/>
        </w:rPr>
        <w:t xml:space="preserve">be </w:t>
      </w:r>
      <w:r w:rsidRPr="00D86314">
        <w:rPr>
          <w:noProof/>
        </w:rPr>
        <w:t xml:space="preserve">fostered by improving conditions for </w:t>
      </w:r>
      <w:r w:rsidR="45DA9153" w:rsidRPr="00D86314">
        <w:rPr>
          <w:noProof/>
        </w:rPr>
        <w:t>ex-ant</w:t>
      </w:r>
      <w:r w:rsidR="0B2A17B3" w:rsidRPr="00D86314">
        <w:rPr>
          <w:noProof/>
        </w:rPr>
        <w:t>e</w:t>
      </w:r>
      <w:r w:rsidR="45DA9153" w:rsidRPr="00D86314">
        <w:rPr>
          <w:noProof/>
        </w:rPr>
        <w:t xml:space="preserve"> regulated access to physical infrastructure</w:t>
      </w:r>
      <w:r w:rsidRPr="00D86314">
        <w:rPr>
          <w:noProof/>
        </w:rPr>
        <w:t>, in the context of market reviews associated with copper switch-off.</w:t>
      </w:r>
    </w:p>
    <w:p w14:paraId="2FC7D3E9" w14:textId="450D65A7" w:rsidR="00CF3B78" w:rsidRPr="00D86314" w:rsidRDefault="00CF3B78" w:rsidP="00445D7F">
      <w:pPr>
        <w:keepNext/>
        <w:spacing w:before="240"/>
        <w:ind w:left="1701" w:hanging="1701"/>
        <w:rPr>
          <w:noProof/>
          <w:sz w:val="22"/>
          <w:szCs w:val="22"/>
        </w:rPr>
      </w:pPr>
      <w:r w:rsidRPr="00D86314">
        <w:rPr>
          <w:noProof/>
          <w:sz w:val="22"/>
          <w:szCs w:val="22"/>
        </w:rPr>
        <w:t>Table</w:t>
      </w:r>
      <w:r w:rsidR="00CE5E77" w:rsidRPr="00D86314">
        <w:rPr>
          <w:noProof/>
          <w:sz w:val="22"/>
          <w:szCs w:val="22"/>
        </w:rPr>
        <w:t xml:space="preserve"> A9 1-3</w:t>
      </w:r>
      <w:r w:rsidRPr="00D86314">
        <w:rPr>
          <w:noProof/>
          <w:sz w:val="22"/>
          <w:szCs w:val="22"/>
        </w:rPr>
        <w:tab/>
        <w:t>Analysis of effects of options targeting FTTH/ CSO on FTTH / B deployment incentives for different categories of operator</w:t>
      </w:r>
    </w:p>
    <w:tbl>
      <w:tblPr>
        <w:tblStyle w:val="PlainTable1"/>
        <w:tblW w:w="9067" w:type="dxa"/>
        <w:tblLayout w:type="fixed"/>
        <w:tblLook w:val="04A0" w:firstRow="1" w:lastRow="0" w:firstColumn="1" w:lastColumn="0" w:noHBand="0" w:noVBand="1"/>
      </w:tblPr>
      <w:tblGrid>
        <w:gridCol w:w="4533"/>
        <w:gridCol w:w="4534"/>
      </w:tblGrid>
      <w:tr w:rsidR="00CF3B78" w:rsidRPr="00D86314" w14:paraId="2395EF60" w14:textId="77777777" w:rsidTr="00703057">
        <w:trPr>
          <w:cnfStyle w:val="100000000000" w:firstRow="1" w:lastRow="0" w:firstColumn="0" w:lastColumn="0" w:oddVBand="0" w:evenVBand="0" w:oddHBand="0" w:evenHBand="0" w:firstRowFirstColumn="0" w:firstRowLastColumn="0" w:lastRowFirstColumn="0" w:lastRowLastColumn="0"/>
          <w:trHeight w:val="785"/>
        </w:trPr>
        <w:tc>
          <w:tcPr>
            <w:cnfStyle w:val="001000000000" w:firstRow="0" w:lastRow="0" w:firstColumn="1" w:lastColumn="0" w:oddVBand="0" w:evenVBand="0" w:oddHBand="0" w:evenHBand="0" w:firstRowFirstColumn="0" w:firstRowLastColumn="0" w:lastRowFirstColumn="0" w:lastRowLastColumn="0"/>
            <w:tcW w:w="0" w:type="dxa"/>
          </w:tcPr>
          <w:p w14:paraId="20194BDE" w14:textId="77777777" w:rsidR="00CF3B78" w:rsidRPr="00D86314" w:rsidRDefault="00CF3B78" w:rsidP="00EA737B">
            <w:pPr>
              <w:spacing w:after="120"/>
              <w:jc w:val="left"/>
              <w:rPr>
                <w:noProof/>
                <w:sz w:val="20"/>
              </w:rPr>
            </w:pPr>
          </w:p>
        </w:tc>
        <w:tc>
          <w:tcPr>
            <w:tcW w:w="0" w:type="dxa"/>
          </w:tcPr>
          <w:p w14:paraId="05803C4C" w14:textId="77777777" w:rsidR="00CF3B78" w:rsidRPr="00D86314" w:rsidRDefault="00CF3B78" w:rsidP="00EA737B">
            <w:pPr>
              <w:spacing w:after="120"/>
              <w:jc w:val="left"/>
              <w:cnfStyle w:val="100000000000" w:firstRow="1" w:lastRow="0" w:firstColumn="0" w:lastColumn="0" w:oddVBand="0" w:evenVBand="0" w:oddHBand="0" w:evenHBand="0" w:firstRowFirstColumn="0" w:firstRowLastColumn="0" w:lastRowFirstColumn="0" w:lastRowLastColumn="0"/>
              <w:rPr>
                <w:noProof/>
                <w:sz w:val="20"/>
              </w:rPr>
            </w:pPr>
            <w:r w:rsidRPr="00D86314">
              <w:rPr>
                <w:noProof/>
                <w:sz w:val="20"/>
              </w:rPr>
              <w:t>Obligation on copper owner i.e. incumbent to switch-off copper (twisted copper pair) in areas where 95% coverage FTTH by 2030 (derogation possible)</w:t>
            </w:r>
          </w:p>
        </w:tc>
      </w:tr>
      <w:tr w:rsidR="00CF3B78" w:rsidRPr="00D86314" w14:paraId="49B40E98" w14:textId="77777777" w:rsidTr="00703057">
        <w:trPr>
          <w:cnfStyle w:val="000000100000" w:firstRow="0" w:lastRow="0" w:firstColumn="0" w:lastColumn="0" w:oddVBand="0" w:evenVBand="0" w:oddHBand="1" w:evenHBand="0" w:firstRowFirstColumn="0" w:firstRowLastColumn="0" w:lastRowFirstColumn="0" w:lastRowLastColumn="0"/>
          <w:trHeight w:val="1526"/>
        </w:trPr>
        <w:tc>
          <w:tcPr>
            <w:cnfStyle w:val="001000000000" w:firstRow="0" w:lastRow="0" w:firstColumn="1" w:lastColumn="0" w:oddVBand="0" w:evenVBand="0" w:oddHBand="0" w:evenHBand="0" w:firstRowFirstColumn="0" w:firstRowLastColumn="0" w:lastRowFirstColumn="0" w:lastRowLastColumn="0"/>
            <w:tcW w:w="0" w:type="dxa"/>
          </w:tcPr>
          <w:p w14:paraId="4A0CFF74" w14:textId="77777777" w:rsidR="00CF3B78" w:rsidRPr="00D86314" w:rsidRDefault="00CF3B78" w:rsidP="00EA737B">
            <w:pPr>
              <w:spacing w:after="120"/>
              <w:jc w:val="left"/>
              <w:rPr>
                <w:noProof/>
                <w:sz w:val="20"/>
              </w:rPr>
            </w:pPr>
            <w:r w:rsidRPr="00D86314">
              <w:rPr>
                <w:noProof/>
                <w:sz w:val="20"/>
              </w:rPr>
              <w:t>Scenario 1:</w:t>
            </w:r>
            <w:r w:rsidRPr="00D86314">
              <w:rPr>
                <w:noProof/>
              </w:rPr>
              <w:t xml:space="preserve"> </w:t>
            </w:r>
            <w:r w:rsidRPr="00D86314">
              <w:rPr>
                <w:noProof/>
              </w:rPr>
              <w:tab/>
            </w:r>
            <w:r w:rsidRPr="00D86314">
              <w:rPr>
                <w:noProof/>
                <w:sz w:val="20"/>
              </w:rPr>
              <w:br/>
              <w:t>Cable operator controls coax in-building in a given area.</w:t>
            </w:r>
          </w:p>
          <w:p w14:paraId="6FB0ED37" w14:textId="77777777" w:rsidR="00CF3B78" w:rsidRPr="00D86314" w:rsidRDefault="00CF3B78" w:rsidP="00EA737B">
            <w:pPr>
              <w:spacing w:after="120"/>
              <w:jc w:val="left"/>
              <w:rPr>
                <w:noProof/>
                <w:sz w:val="20"/>
              </w:rPr>
            </w:pPr>
          </w:p>
        </w:tc>
        <w:tc>
          <w:tcPr>
            <w:tcW w:w="0" w:type="dxa"/>
          </w:tcPr>
          <w:p w14:paraId="71893C48" w14:textId="77777777" w:rsidR="00CF3B78" w:rsidRPr="00D86314" w:rsidRDefault="00CF3B78"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rPr>
            </w:pPr>
            <w:r w:rsidRPr="00D86314">
              <w:rPr>
                <w:noProof/>
                <w:sz w:val="20"/>
              </w:rPr>
              <w:t>Cable operator: Deploys FTTB if not already deployed to deter parallel FTTH deployment. May maintain coax in-building temporarily in situations where duplication of fibre is not viable. Then upgrades in-building to FTTH in order to trigger switch-off and transfer of customers from incumbent. Refuses wholesale access to in-building cabling. May alternatively offer bitstream access at excessive rates or refuse wholesale access to bitstream</w:t>
            </w:r>
          </w:p>
          <w:p w14:paraId="47F605B9" w14:textId="77777777" w:rsidR="00CF3B78" w:rsidRPr="00D86314" w:rsidRDefault="00CF3B78"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rPr>
            </w:pPr>
            <w:r w:rsidRPr="00D86314">
              <w:rPr>
                <w:noProof/>
                <w:sz w:val="20"/>
              </w:rPr>
              <w:t>Incumbent: If duplication to building viable and if others have not reached the building first, seeks to deploy FTTH and switch-off copper. May face issues in accessing the building if the building owner is not required to give access. If duplication to building is not viable and/or the incumbent is not able to gain access to deploy fibre in-building, it may maintain existing copper network FTTC or deploy FTTB / G.fast and request derogation to 2035</w:t>
            </w:r>
          </w:p>
          <w:p w14:paraId="325A351B" w14:textId="77777777" w:rsidR="00CF3B78" w:rsidRPr="00D86314" w:rsidRDefault="00CF3B78"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rPr>
            </w:pPr>
            <w:r w:rsidRPr="00D86314">
              <w:rPr>
                <w:noProof/>
                <w:sz w:val="20"/>
              </w:rPr>
              <w:t>Alternative fibre investor: If duplication to building viable and if others have not reached the building first, seeks to deploy FTTH to trigger a copper switch-off obligation on the incumbent to facilitate transfer of customers onto its network. If duplication to the building is not viable and / or it has issues in gaining access to deploy in-building fibre, no fibre deployment takes place.</w:t>
            </w:r>
          </w:p>
        </w:tc>
      </w:tr>
      <w:tr w:rsidR="00CF3B78" w:rsidRPr="00D86314" w14:paraId="487CD933" w14:textId="77777777" w:rsidTr="00703057">
        <w:trPr>
          <w:trHeight w:val="708"/>
        </w:trPr>
        <w:tc>
          <w:tcPr>
            <w:cnfStyle w:val="001000000000" w:firstRow="0" w:lastRow="0" w:firstColumn="1" w:lastColumn="0" w:oddVBand="0" w:evenVBand="0" w:oddHBand="0" w:evenHBand="0" w:firstRowFirstColumn="0" w:firstRowLastColumn="0" w:lastRowFirstColumn="0" w:lastRowLastColumn="0"/>
            <w:tcW w:w="0" w:type="dxa"/>
          </w:tcPr>
          <w:p w14:paraId="1BA0C97E" w14:textId="77777777" w:rsidR="00CF3B78" w:rsidRPr="00D86314" w:rsidRDefault="00CF3B78" w:rsidP="00EA737B">
            <w:pPr>
              <w:spacing w:after="120"/>
              <w:jc w:val="left"/>
              <w:rPr>
                <w:noProof/>
                <w:sz w:val="20"/>
              </w:rPr>
            </w:pPr>
            <w:r w:rsidRPr="00D86314">
              <w:rPr>
                <w:noProof/>
                <w:sz w:val="20"/>
              </w:rPr>
              <w:t xml:space="preserve">Scenario 2: </w:t>
            </w:r>
            <w:r w:rsidRPr="00D86314">
              <w:rPr>
                <w:noProof/>
              </w:rPr>
              <w:tab/>
            </w:r>
            <w:r w:rsidRPr="00D86314">
              <w:rPr>
                <w:noProof/>
              </w:rPr>
              <w:br/>
            </w:r>
            <w:r w:rsidRPr="00D86314">
              <w:rPr>
                <w:noProof/>
                <w:sz w:val="20"/>
              </w:rPr>
              <w:t>Building owner is responsible for in-building cabling. In-building cabling may in these cases involve coax in addition to twisted copper pairs</w:t>
            </w:r>
          </w:p>
        </w:tc>
        <w:tc>
          <w:tcPr>
            <w:tcW w:w="0" w:type="dxa"/>
          </w:tcPr>
          <w:p w14:paraId="55F00B41" w14:textId="64A731E3" w:rsidR="00CF3B78" w:rsidRPr="00D86314" w:rsidRDefault="00CF3B78"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Cable operator: If duplication is viable, may race to seek access to building to upgrade in-building to FTTH in order to gain monopoly in-building and trigger switch-off. If duplication is not viable, and fibre not already deployed, cable operator deploys FTTB and uses access to coax in-building temporarily to limit viability for others to deploy FTTH. In time, may seek access to building to upgrade to FTTH in order to trigger switch-off and transfer of copper customers.</w:t>
            </w:r>
          </w:p>
          <w:p w14:paraId="6F6323AF" w14:textId="681FC070" w:rsidR="00CF3B78" w:rsidRPr="00D86314" w:rsidRDefault="00CF3B78"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86314">
              <w:rPr>
                <w:noProof/>
                <w:sz w:val="20"/>
                <w:szCs w:val="20"/>
              </w:rPr>
              <w:t>Incumbent: If duplication is viable or if duplication is not viable but no other network is there yet, and access to building is possible, may race to seek access to building to upgrade in-building to FTTH to gain monopoly. Triggers switch-off with aim of transferring copper customers to its own fibre network. If access to building is challenging, and it is viable, may deploy FTTB and make use of in-building coax if has capability to do so (to limit potential for others to be there first). Derogation not relevant for incumbent in this case. Presumably it would voluntarily seek to decommission copper up to the building.</w:t>
            </w:r>
          </w:p>
          <w:p w14:paraId="495CD98C" w14:textId="77777777" w:rsidR="00CF3B78" w:rsidRPr="00D86314" w:rsidRDefault="00CF3B78"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rPr>
            </w:pPr>
            <w:r w:rsidRPr="00D86314">
              <w:rPr>
                <w:noProof/>
                <w:sz w:val="20"/>
              </w:rPr>
              <w:t>Alternative fibre investor. If viable (i.e. no other fibre network there, or if there is fibre but duplication is viable), will race to gain access to building to upgrade in-building cabling to fibre to gain monopoly and trigger switch-off to transfer copper customers to its own network. If building access is difficult or if another actor is likely to be first and duplication is not possible, no investment.</w:t>
            </w:r>
          </w:p>
          <w:p w14:paraId="081FD6B7" w14:textId="77777777" w:rsidR="00CF3B78" w:rsidRPr="00D86314" w:rsidRDefault="00CF3B78" w:rsidP="00EA737B">
            <w:pPr>
              <w:spacing w:after="120"/>
              <w:jc w:val="left"/>
              <w:cnfStyle w:val="000000000000" w:firstRow="0" w:lastRow="0" w:firstColumn="0" w:lastColumn="0" w:oddVBand="0" w:evenVBand="0" w:oddHBand="0" w:evenHBand="0" w:firstRowFirstColumn="0" w:firstRowLastColumn="0" w:lastRowFirstColumn="0" w:lastRowLastColumn="0"/>
              <w:rPr>
                <w:noProof/>
                <w:sz w:val="20"/>
              </w:rPr>
            </w:pPr>
            <w:r w:rsidRPr="00D86314">
              <w:rPr>
                <w:noProof/>
                <w:sz w:val="20"/>
              </w:rPr>
              <w:t xml:space="preserve">Building owner. May have incentive to upgrade in-building wiring to fibre in view of switch-off target, especially if it can gain financially from providing access to operators. Or may grant access to an operator to upgrade. </w:t>
            </w:r>
          </w:p>
        </w:tc>
      </w:tr>
      <w:tr w:rsidR="00CF3B78" w:rsidRPr="00D86314" w14:paraId="312E9158" w14:textId="77777777" w:rsidTr="00703057">
        <w:trPr>
          <w:cnfStyle w:val="000000100000" w:firstRow="0" w:lastRow="0" w:firstColumn="0" w:lastColumn="0" w:oddVBand="0" w:evenVBand="0" w:oddHBand="1" w:evenHBand="0" w:firstRowFirstColumn="0" w:firstRowLastColumn="0" w:lastRowFirstColumn="0" w:lastRowLastColumn="0"/>
          <w:trHeight w:val="1390"/>
        </w:trPr>
        <w:tc>
          <w:tcPr>
            <w:cnfStyle w:val="001000000000" w:firstRow="0" w:lastRow="0" w:firstColumn="1" w:lastColumn="0" w:oddVBand="0" w:evenVBand="0" w:oddHBand="0" w:evenHBand="0" w:firstRowFirstColumn="0" w:firstRowLastColumn="0" w:lastRowFirstColumn="0" w:lastRowLastColumn="0"/>
            <w:tcW w:w="0" w:type="dxa"/>
          </w:tcPr>
          <w:p w14:paraId="78A549E3" w14:textId="77777777" w:rsidR="00CF3B78" w:rsidRPr="00D86314" w:rsidRDefault="00CF3B78" w:rsidP="00EA737B">
            <w:pPr>
              <w:spacing w:after="120"/>
              <w:jc w:val="left"/>
              <w:rPr>
                <w:noProof/>
                <w:sz w:val="20"/>
              </w:rPr>
            </w:pPr>
            <w:r w:rsidRPr="00D86314">
              <w:rPr>
                <w:noProof/>
                <w:sz w:val="20"/>
              </w:rPr>
              <w:t xml:space="preserve">Scenario 3: </w:t>
            </w:r>
            <w:r w:rsidRPr="00D86314">
              <w:rPr>
                <w:noProof/>
              </w:rPr>
              <w:tab/>
            </w:r>
            <w:r w:rsidRPr="00D86314">
              <w:rPr>
                <w:noProof/>
              </w:rPr>
              <w:br/>
            </w:r>
            <w:r w:rsidRPr="00D86314">
              <w:rPr>
                <w:noProof/>
                <w:sz w:val="20"/>
              </w:rPr>
              <w:t xml:space="preserve">Fibre gaps – incumbent may have FTTC / VDSL today, </w:t>
            </w:r>
          </w:p>
          <w:p w14:paraId="78106F37" w14:textId="77777777" w:rsidR="00CF3B78" w:rsidRPr="00D86314" w:rsidRDefault="00CF3B78" w:rsidP="00EA737B">
            <w:pPr>
              <w:spacing w:after="120"/>
              <w:jc w:val="left"/>
              <w:rPr>
                <w:noProof/>
                <w:sz w:val="20"/>
              </w:rPr>
            </w:pPr>
            <w:r w:rsidRPr="00D86314">
              <w:rPr>
                <w:noProof/>
                <w:sz w:val="20"/>
              </w:rPr>
              <w:t xml:space="preserve">Likely high share of in-building copper </w:t>
            </w:r>
          </w:p>
        </w:tc>
        <w:tc>
          <w:tcPr>
            <w:tcW w:w="0" w:type="dxa"/>
          </w:tcPr>
          <w:p w14:paraId="29878499" w14:textId="77777777" w:rsidR="00CF3B78" w:rsidRPr="00D86314" w:rsidRDefault="00CF3B78"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rPr>
            </w:pPr>
            <w:r w:rsidRPr="00D86314">
              <w:rPr>
                <w:noProof/>
                <w:sz w:val="20"/>
              </w:rPr>
              <w:t>Cable operator: If present, and if access to building is possible, incentive to race to deploy FTTH in-building, benefit from in-building monopoly and trigger switch-off</w:t>
            </w:r>
          </w:p>
          <w:p w14:paraId="4EF69F8C" w14:textId="77777777" w:rsidR="00CF3B78" w:rsidRPr="00D86314" w:rsidRDefault="00CF3B78"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rPr>
            </w:pPr>
            <w:r w:rsidRPr="00D86314">
              <w:rPr>
                <w:noProof/>
                <w:sz w:val="20"/>
              </w:rPr>
              <w:t>Incumbent. Incentive to race to deploy FTTH in-building, benefit from in-building monopoly and trigger switch-off (will seek to transfer to its own network)</w:t>
            </w:r>
          </w:p>
          <w:p w14:paraId="6653A003" w14:textId="77777777" w:rsidR="00CF3B78" w:rsidRPr="00D86314" w:rsidRDefault="00CF3B78" w:rsidP="00EA737B">
            <w:pPr>
              <w:spacing w:after="120"/>
              <w:jc w:val="left"/>
              <w:cnfStyle w:val="000000100000" w:firstRow="0" w:lastRow="0" w:firstColumn="0" w:lastColumn="0" w:oddVBand="0" w:evenVBand="0" w:oddHBand="1" w:evenHBand="0" w:firstRowFirstColumn="0" w:firstRowLastColumn="0" w:lastRowFirstColumn="0" w:lastRowLastColumn="0"/>
              <w:rPr>
                <w:noProof/>
                <w:sz w:val="20"/>
              </w:rPr>
            </w:pPr>
            <w:r w:rsidRPr="00D86314">
              <w:rPr>
                <w:noProof/>
                <w:sz w:val="20"/>
              </w:rPr>
              <w:t>Alternative fibre investor. If access to building is possible, incentive to race to deploy FTTH in-building, benefit from in-building monopoly and trigger switch-off</w:t>
            </w:r>
          </w:p>
        </w:tc>
      </w:tr>
    </w:tbl>
    <w:p w14:paraId="628AB947" w14:textId="3CF797B9" w:rsidR="00CF3B78" w:rsidRPr="00D86314" w:rsidRDefault="00CF3B78" w:rsidP="00CF3B78">
      <w:pPr>
        <w:rPr>
          <w:noProof/>
          <w:sz w:val="22"/>
          <w:szCs w:val="22"/>
        </w:rPr>
      </w:pPr>
      <w:r w:rsidRPr="00D86314">
        <w:rPr>
          <w:noProof/>
          <w:sz w:val="22"/>
          <w:szCs w:val="22"/>
        </w:rPr>
        <w:t>Source: WIK-Consult</w:t>
      </w:r>
    </w:p>
    <w:p w14:paraId="3661641D" w14:textId="34204854" w:rsidR="00710CFC" w:rsidRPr="00D86314" w:rsidRDefault="65FAA28B" w:rsidP="00710CFC">
      <w:pPr>
        <w:keepNext/>
        <w:rPr>
          <w:b/>
          <w:bCs/>
          <w:noProof/>
        </w:rPr>
      </w:pPr>
      <w:r w:rsidRPr="00D86314">
        <w:rPr>
          <w:b/>
          <w:bCs/>
          <w:noProof/>
        </w:rPr>
        <w:t xml:space="preserve">Effects of the </w:t>
      </w:r>
      <w:r w:rsidR="3C57E39B" w:rsidRPr="00D86314">
        <w:rPr>
          <w:b/>
          <w:bCs/>
          <w:noProof/>
        </w:rPr>
        <w:t xml:space="preserve">updated </w:t>
      </w:r>
      <w:r w:rsidR="00710CFC" w:rsidRPr="00D86314">
        <w:rPr>
          <w:b/>
          <w:bCs/>
          <w:noProof/>
        </w:rPr>
        <w:t>access regulation</w:t>
      </w:r>
    </w:p>
    <w:p w14:paraId="0BC829E3" w14:textId="5C411383" w:rsidR="00710CFC" w:rsidRPr="00D86314" w:rsidRDefault="00710CFC" w:rsidP="00710CFC">
      <w:pPr>
        <w:rPr>
          <w:bCs/>
          <w:noProof/>
        </w:rPr>
      </w:pPr>
      <w:r w:rsidRPr="00D86314">
        <w:rPr>
          <w:bCs/>
          <w:noProof/>
        </w:rPr>
        <w:t xml:space="preserve">The requirement to gather data at regional level is likely to be positive, strengthening the quality of market analyses and ensuring that access regulation is appropriately targeted. </w:t>
      </w:r>
      <w:r w:rsidR="760FB34C" w:rsidRPr="00D86314">
        <w:rPr>
          <w:noProof/>
        </w:rPr>
        <w:t>D</w:t>
      </w:r>
      <w:r w:rsidRPr="00D86314">
        <w:rPr>
          <w:bCs/>
          <w:noProof/>
        </w:rPr>
        <w:t xml:space="preserve">ata gathering </w:t>
      </w:r>
      <w:r w:rsidRPr="00D86314">
        <w:rPr>
          <w:noProof/>
        </w:rPr>
        <w:t>requirement</w:t>
      </w:r>
      <w:r w:rsidR="0753F90F" w:rsidRPr="00D86314">
        <w:rPr>
          <w:noProof/>
        </w:rPr>
        <w:t>s</w:t>
      </w:r>
      <w:r w:rsidRPr="00D86314">
        <w:rPr>
          <w:bCs/>
          <w:noProof/>
        </w:rPr>
        <w:t xml:space="preserve"> encompassing data regarding dedicated connectivity as well as mass-market connectivity, could lead to a better understanding of the competitive dynamics of this market, and improved targeting of access regulation </w:t>
      </w:r>
      <w:r w:rsidR="7311D043" w:rsidRPr="00D86314">
        <w:rPr>
          <w:noProof/>
        </w:rPr>
        <w:t xml:space="preserve">Enabling </w:t>
      </w:r>
      <w:r w:rsidRPr="00D86314">
        <w:rPr>
          <w:noProof/>
        </w:rPr>
        <w:t>NRAs t</w:t>
      </w:r>
      <w:r w:rsidR="4171E0B6" w:rsidRPr="00D86314">
        <w:rPr>
          <w:noProof/>
        </w:rPr>
        <w:t xml:space="preserve">o use </w:t>
      </w:r>
      <w:r w:rsidRPr="00D86314">
        <w:rPr>
          <w:bCs/>
          <w:noProof/>
        </w:rPr>
        <w:t>Article</w:t>
      </w:r>
      <w:r w:rsidR="00F53F9A">
        <w:rPr>
          <w:bCs/>
          <w:noProof/>
        </w:rPr>
        <w:t> </w:t>
      </w:r>
      <w:r w:rsidRPr="00D86314">
        <w:rPr>
          <w:bCs/>
          <w:noProof/>
        </w:rPr>
        <w:t>61(3) instead of SMP regulation in certain situations and to apply Article</w:t>
      </w:r>
      <w:r w:rsidR="00F53F9A">
        <w:rPr>
          <w:bCs/>
          <w:noProof/>
        </w:rPr>
        <w:t> </w:t>
      </w:r>
      <w:r w:rsidRPr="00D86314">
        <w:rPr>
          <w:bCs/>
          <w:noProof/>
        </w:rPr>
        <w:t xml:space="preserve">61(3) beyond the first distribution point (including potentially to active access) on their own initiative should also be positive, and could potentially encourage additional use of this provision, which was a key driver behind the outcomes experienced in the French broadband market. </w:t>
      </w:r>
    </w:p>
    <w:p w14:paraId="18FBB286" w14:textId="727E22C6" w:rsidR="00710CFC" w:rsidRPr="00D86314" w:rsidRDefault="00710CFC" w:rsidP="00710CFC">
      <w:pPr>
        <w:rPr>
          <w:bCs/>
          <w:noProof/>
        </w:rPr>
      </w:pPr>
      <w:r w:rsidRPr="00D86314">
        <w:rPr>
          <w:bCs/>
          <w:noProof/>
        </w:rPr>
        <w:t>The requirement for the CSO process to be accompanied by a comprehensive and forward-looking market review with a view to ensuring that the transition is effectively managed in a manner which supports competition in a fibre environment, should ensure that, in the initial phase of the implementation of this option under the DNA, NRAs consider the use of Article</w:t>
      </w:r>
      <w:r w:rsidR="00F53F9A">
        <w:rPr>
          <w:bCs/>
          <w:noProof/>
        </w:rPr>
        <w:t> </w:t>
      </w:r>
      <w:r w:rsidRPr="00D86314">
        <w:rPr>
          <w:bCs/>
          <w:noProof/>
        </w:rPr>
        <w:t xml:space="preserve">61(3) as described above as well as potentially adaptations to SMP regulation to reflect changes in market structure and technology following CSO. Such a market review should also ensure that NRAs reflect best practice wholesale specifications when determining what, if any, adaptations should be made to remedies in connection with the transition from copper to fibre. </w:t>
      </w:r>
    </w:p>
    <w:p w14:paraId="0AFC75FB" w14:textId="2B12EDA3" w:rsidR="00710CFC" w:rsidRPr="00D86314" w:rsidRDefault="00710CFC" w:rsidP="00710CFC">
      <w:pPr>
        <w:rPr>
          <w:bCs/>
          <w:noProof/>
        </w:rPr>
      </w:pPr>
      <w:r w:rsidRPr="00D86314">
        <w:rPr>
          <w:bCs/>
          <w:noProof/>
        </w:rPr>
        <w:t xml:space="preserve">Such a market review will also be needed to ensure that a smooth transition can made between copper and fibre at the wholesale level, whether between different products on the former incumbents’ network or between the former incumbent and a new fibre wholesale access provider. </w:t>
      </w:r>
      <w:r w:rsidR="6A8B0B09" w:rsidRPr="00D86314">
        <w:rPr>
          <w:noProof/>
        </w:rPr>
        <w:t>WIK considers that t</w:t>
      </w:r>
      <w:r w:rsidRPr="00D86314">
        <w:rPr>
          <w:bCs/>
          <w:noProof/>
        </w:rPr>
        <w:t xml:space="preserve">he threat of unviable fibre over-build (construction by the former incumbent in an area where an alternative fibre network has been deployed and only one fibre network is viable) is also likely to be heightened during the CSO process, as former incumbents seek to avoid transferring customers to an alternative fibre network. </w:t>
      </w:r>
    </w:p>
    <w:p w14:paraId="6508B449" w14:textId="35216265" w:rsidR="00710CFC" w:rsidRPr="00D86314" w:rsidRDefault="00710CFC" w:rsidP="00710CFC">
      <w:pPr>
        <w:rPr>
          <w:bCs/>
          <w:noProof/>
        </w:rPr>
      </w:pPr>
      <w:r w:rsidRPr="00D86314">
        <w:rPr>
          <w:noProof/>
        </w:rPr>
        <w:t>In this context, it is relevant to note that, on a forward-looking basis, data , as well as theoretical models,</w:t>
      </w:r>
      <w:r w:rsidRPr="00D86314">
        <w:rPr>
          <w:rStyle w:val="FootnoteReference"/>
          <w:noProof/>
        </w:rPr>
        <w:footnoteReference w:id="220"/>
      </w:r>
      <w:r w:rsidRPr="00D86314">
        <w:rPr>
          <w:noProof/>
        </w:rPr>
        <w:t xml:space="preserve"> and responses by NRAs and stakeholders to the online survey issued by the </w:t>
      </w:r>
      <w:r w:rsidR="5ADEB7C5" w:rsidRPr="00D86314">
        <w:rPr>
          <w:noProof/>
        </w:rPr>
        <w:t xml:space="preserve">WIK </w:t>
      </w:r>
      <w:r w:rsidRPr="00D86314">
        <w:rPr>
          <w:noProof/>
        </w:rPr>
        <w:t xml:space="preserve">study team in Q2 2025 (following figure) suggest that on average, in an FTTH environment following CSO, more than 50% of households will be served with only one FTTH infrastructure. </w:t>
      </w:r>
    </w:p>
    <w:p w14:paraId="1246D39C" w14:textId="77410D9F" w:rsidR="00710CFC" w:rsidRPr="00D86314" w:rsidRDefault="00710CFC" w:rsidP="00710CFC">
      <w:pPr>
        <w:rPr>
          <w:bCs/>
          <w:noProof/>
        </w:rPr>
      </w:pPr>
      <w:r w:rsidRPr="00D86314">
        <w:rPr>
          <w:noProof/>
        </w:rPr>
        <w:t>Financial investors also observe that, to maintain viability in FTTH, it is necessary to limit duplication to the minimum with one noting that no more than around 20% households lie in areas where network duplication (i.e. two or more infrastructures) would be considered economically sustainable.</w:t>
      </w:r>
      <w:r w:rsidRPr="00D86314">
        <w:rPr>
          <w:rStyle w:val="FootnoteReference"/>
          <w:noProof/>
        </w:rPr>
        <w:footnoteReference w:id="221"/>
      </w:r>
      <w:r w:rsidRPr="00D86314">
        <w:rPr>
          <w:bCs/>
          <w:noProof/>
        </w:rPr>
        <w:t>.</w:t>
      </w:r>
    </w:p>
    <w:p w14:paraId="4230CEB4" w14:textId="2DA261B0" w:rsidR="00710CFC" w:rsidRPr="00D86314" w:rsidRDefault="00710CFC" w:rsidP="00710CFC">
      <w:pPr>
        <w:rPr>
          <w:bCs/>
          <w:noProof/>
        </w:rPr>
      </w:pPr>
      <w:r w:rsidRPr="00D86314">
        <w:rPr>
          <w:bCs/>
          <w:noProof/>
        </w:rPr>
        <w:t>The positive effects on competition, pricing on fibre networks and the take-up of higher speed broadband offers on fibre that have been assumed to be linked to this option, have been conditioned on the accompaniment of the copper switch-off process by a market analysis process and the associated imposition and/or amendment of remedies as needed (via Article</w:t>
      </w:r>
      <w:r w:rsidR="00F53F9A">
        <w:rPr>
          <w:bCs/>
          <w:noProof/>
        </w:rPr>
        <w:t> </w:t>
      </w:r>
      <w:r w:rsidRPr="00D86314">
        <w:rPr>
          <w:bCs/>
          <w:noProof/>
        </w:rPr>
        <w:t>61(3) and/or SMP regulation applying to PIA, WLA and dedicated connectivity) to safeguard consumer and business interests.</w:t>
      </w:r>
    </w:p>
    <w:p w14:paraId="388D2CD1" w14:textId="511BA87E" w:rsidR="00710CFC" w:rsidRPr="00D86314" w:rsidRDefault="00710CFC" w:rsidP="00710CFC">
      <w:pPr>
        <w:rPr>
          <w:bCs/>
          <w:noProof/>
        </w:rPr>
      </w:pPr>
      <w:r w:rsidRPr="00D86314">
        <w:rPr>
          <w:bCs/>
          <w:noProof/>
        </w:rPr>
        <w:t>However, while a market review timed around CSO should secure positive outcomes in the short term, this option may be associated with uncertainties in a longer</w:t>
      </w:r>
      <w:r w:rsidR="00AE3DC6" w:rsidRPr="00D86314">
        <w:rPr>
          <w:bCs/>
          <w:noProof/>
        </w:rPr>
        <w:t>-</w:t>
      </w:r>
      <w:r w:rsidRPr="00D86314">
        <w:rPr>
          <w:bCs/>
          <w:noProof/>
        </w:rPr>
        <w:t>term horizon, in the event that there are no longer obligations for NRAs to periodically review connectivity markets.</w:t>
      </w:r>
    </w:p>
    <w:p w14:paraId="7750781E" w14:textId="337455DA" w:rsidR="004B57B0" w:rsidRPr="00D86314" w:rsidRDefault="6957872F" w:rsidP="004B57B0">
      <w:pPr>
        <w:rPr>
          <w:noProof/>
        </w:rPr>
      </w:pPr>
      <w:r w:rsidRPr="00D86314">
        <w:rPr>
          <w:noProof/>
        </w:rPr>
        <w:t>It should be noted that the review of the RRM is not part of this process</w:t>
      </w:r>
      <w:r w:rsidR="26249326" w:rsidRPr="00D86314">
        <w:rPr>
          <w:noProof/>
        </w:rPr>
        <w:t>. In addition,</w:t>
      </w:r>
      <w:r w:rsidRPr="00D86314">
        <w:rPr>
          <w:noProof/>
        </w:rPr>
        <w:t xml:space="preserve"> </w:t>
      </w:r>
      <w:r w:rsidR="7A88CEB4" w:rsidRPr="00D86314">
        <w:rPr>
          <w:noProof/>
        </w:rPr>
        <w:t xml:space="preserve">even if the Commission were </w:t>
      </w:r>
      <w:r w:rsidR="2E1959DA" w:rsidRPr="00D86314">
        <w:rPr>
          <w:noProof/>
        </w:rPr>
        <w:t xml:space="preserve">to amend the text of the DNA to make </w:t>
      </w:r>
      <w:r w:rsidR="7A88CEB4" w:rsidRPr="00D86314">
        <w:rPr>
          <w:noProof/>
        </w:rPr>
        <w:t>the issuance of this Recommendation</w:t>
      </w:r>
      <w:r w:rsidR="7AD14AE8" w:rsidRPr="00D86314">
        <w:rPr>
          <w:noProof/>
        </w:rPr>
        <w:t xml:space="preserve"> merely optional (and not an obligation on the </w:t>
      </w:r>
      <w:r w:rsidR="002067F2" w:rsidRPr="00D86314">
        <w:rPr>
          <w:noProof/>
        </w:rPr>
        <w:t>Commission</w:t>
      </w:r>
      <w:r w:rsidR="7AD14AE8" w:rsidRPr="00D86314">
        <w:rPr>
          <w:noProof/>
        </w:rPr>
        <w:t xml:space="preserve"> as in the current text of the EEC), this would not automa</w:t>
      </w:r>
      <w:r w:rsidR="7FE439EA" w:rsidRPr="00D86314">
        <w:rPr>
          <w:noProof/>
        </w:rPr>
        <w:t>tically imply that the Commission would decide not to issue such a Recommendation any longer.</w:t>
      </w:r>
      <w:r w:rsidR="004B57B0" w:rsidRPr="00D86314">
        <w:rPr>
          <w:noProof/>
        </w:rPr>
        <w:t xml:space="preserve"> </w:t>
      </w:r>
      <w:r w:rsidR="328D7CA1" w:rsidRPr="00D86314">
        <w:rPr>
          <w:noProof/>
        </w:rPr>
        <w:t xml:space="preserve">However, </w:t>
      </w:r>
      <w:r w:rsidR="2A6578D7" w:rsidRPr="00D86314">
        <w:rPr>
          <w:noProof/>
        </w:rPr>
        <w:t xml:space="preserve">WIK considers </w:t>
      </w:r>
      <w:r w:rsidR="2BC82C45" w:rsidRPr="00D86314">
        <w:rPr>
          <w:noProof/>
        </w:rPr>
        <w:t xml:space="preserve">in its study </w:t>
      </w:r>
      <w:r w:rsidR="2A6578D7" w:rsidRPr="00D86314">
        <w:rPr>
          <w:noProof/>
        </w:rPr>
        <w:t xml:space="preserve">that </w:t>
      </w:r>
      <w:r w:rsidR="004B57B0" w:rsidRPr="00D86314">
        <w:rPr>
          <w:b/>
          <w:bCs/>
          <w:noProof/>
        </w:rPr>
        <w:t xml:space="preserve">if the RRM is made optional under this option and </w:t>
      </w:r>
      <w:r w:rsidR="115CADC1" w:rsidRPr="00D86314">
        <w:rPr>
          <w:b/>
          <w:bCs/>
          <w:noProof/>
        </w:rPr>
        <w:t xml:space="preserve">the Commission ultimately decides not to </w:t>
      </w:r>
      <w:r w:rsidR="2F9280E3" w:rsidRPr="00D86314">
        <w:rPr>
          <w:b/>
          <w:bCs/>
          <w:noProof/>
        </w:rPr>
        <w:t>recommend markets for ex-ante regulation and</w:t>
      </w:r>
      <w:r w:rsidR="24EBB390" w:rsidRPr="00D86314">
        <w:rPr>
          <w:b/>
          <w:bCs/>
          <w:noProof/>
        </w:rPr>
        <w:t xml:space="preserve"> </w:t>
      </w:r>
      <w:r w:rsidR="004B57B0" w:rsidRPr="00D86314">
        <w:rPr>
          <w:b/>
          <w:bCs/>
          <w:noProof/>
        </w:rPr>
        <w:t>no other mechanism is introduced requir</w:t>
      </w:r>
      <w:r w:rsidR="6A3BDCF1" w:rsidRPr="00D86314">
        <w:rPr>
          <w:b/>
          <w:bCs/>
          <w:noProof/>
        </w:rPr>
        <w:t>ing</w:t>
      </w:r>
      <w:r w:rsidR="004B57B0" w:rsidRPr="00D86314">
        <w:rPr>
          <w:b/>
          <w:bCs/>
          <w:noProof/>
        </w:rPr>
        <w:t xml:space="preserve"> NRAs to periodically assess </w:t>
      </w:r>
      <w:r w:rsidR="3F7B0549" w:rsidRPr="00D86314">
        <w:rPr>
          <w:b/>
          <w:bCs/>
          <w:noProof/>
        </w:rPr>
        <w:t>the market situation</w:t>
      </w:r>
      <w:r w:rsidR="004B57B0" w:rsidRPr="00D86314">
        <w:rPr>
          <w:b/>
          <w:bCs/>
          <w:noProof/>
        </w:rPr>
        <w:t>, this could result in an increase in Type II errors (a failure to tackle competition problems where they exist)</w:t>
      </w:r>
      <w:r w:rsidR="62A62978" w:rsidRPr="00D86314">
        <w:rPr>
          <w:b/>
          <w:bCs/>
          <w:noProof/>
        </w:rPr>
        <w:t>.</w:t>
      </w:r>
      <w:r w:rsidR="004B57B0" w:rsidRPr="00D86314">
        <w:rPr>
          <w:noProof/>
        </w:rPr>
        <w:t xml:space="preserve"> Conversely, </w:t>
      </w:r>
      <w:r w:rsidR="71C056F0" w:rsidRPr="00D86314">
        <w:rPr>
          <w:noProof/>
        </w:rPr>
        <w:t>WIK considers that</w:t>
      </w:r>
      <w:r w:rsidR="004B57B0" w:rsidRPr="00D86314">
        <w:rPr>
          <w:noProof/>
        </w:rPr>
        <w:t xml:space="preserve">, in the event that an analysis is conducted, the EC could still issue a veto in the event that such a conclusion is not justified, avoiding over-regulation (addressing Type I errors). Action proposed by the NRA would also be subject to scrutiny by national courts. </w:t>
      </w:r>
    </w:p>
    <w:p w14:paraId="1566812D" w14:textId="5BCB18C6" w:rsidR="004B57B0" w:rsidRPr="00D86314" w:rsidRDefault="0580A288" w:rsidP="004B57B0">
      <w:pPr>
        <w:rPr>
          <w:noProof/>
        </w:rPr>
      </w:pPr>
      <w:r w:rsidRPr="00D86314">
        <w:rPr>
          <w:noProof/>
        </w:rPr>
        <w:t>In addition, according to WIK,</w:t>
      </w:r>
      <w:r w:rsidR="004B57B0" w:rsidRPr="00D86314">
        <w:rPr>
          <w:noProof/>
        </w:rPr>
        <w:t xml:space="preserve"> </w:t>
      </w:r>
      <w:r w:rsidR="4EF2CACC" w:rsidRPr="00D86314">
        <w:rPr>
          <w:noProof/>
        </w:rPr>
        <w:t xml:space="preserve">the </w:t>
      </w:r>
      <w:r w:rsidR="004B57B0" w:rsidRPr="00D86314">
        <w:rPr>
          <w:noProof/>
        </w:rPr>
        <w:t xml:space="preserve">likely </w:t>
      </w:r>
      <w:r w:rsidR="4D2CA38E" w:rsidRPr="00D86314">
        <w:rPr>
          <w:noProof/>
        </w:rPr>
        <w:t>perception by</w:t>
      </w:r>
      <w:r w:rsidR="004B57B0" w:rsidRPr="00D86314">
        <w:rPr>
          <w:noProof/>
        </w:rPr>
        <w:t xml:space="preserve"> NRAs and the financial markets that there is no longer a presumption that any market will be susceptible to ex ante regulation EU-wide in a full fibre environment. In turn, this may increase the perception of risk associated with broadband service providers relying on wholesale access, affecting investor sentiment. As alternative broadband operators already have a higher operator-specific WACC than incumbents as reported by Barclays </w:t>
      </w:r>
      <w:r w:rsidR="00805C1A" w:rsidRPr="00D86314">
        <w:rPr>
          <w:noProof/>
        </w:rPr>
        <w:t>in the Study on Finance and USO</w:t>
      </w:r>
      <w:r w:rsidR="004B57B0" w:rsidRPr="00D86314">
        <w:rPr>
          <w:noProof/>
        </w:rPr>
        <w:t xml:space="preserve"> and as the majority of these providers are already failing to meet their cost of capital, deregulatory signals could further undermine the financial viability of these actors. </w:t>
      </w:r>
      <w:r w:rsidR="7FA288FE" w:rsidRPr="00D86314">
        <w:rPr>
          <w:noProof/>
        </w:rPr>
        <w:t>These concerns have also been represented by stakeholders.</w:t>
      </w:r>
    </w:p>
    <w:p w14:paraId="128A1F9E" w14:textId="5F0A0CD4" w:rsidR="004B57B0" w:rsidRPr="00D86314" w:rsidRDefault="7FA288FE" w:rsidP="004B57B0">
      <w:pPr>
        <w:rPr>
          <w:noProof/>
        </w:rPr>
      </w:pPr>
      <w:r w:rsidRPr="00D86314">
        <w:rPr>
          <w:noProof/>
        </w:rPr>
        <w:t xml:space="preserve">The above factors </w:t>
      </w:r>
      <w:r w:rsidR="004B57B0" w:rsidRPr="00D86314">
        <w:rPr>
          <w:noProof/>
        </w:rPr>
        <w:t>could lead to reduced levels of retail competition, which may in turn lead to higher prices for high</w:t>
      </w:r>
      <w:r w:rsidR="00DA4F04" w:rsidRPr="00D86314">
        <w:rPr>
          <w:noProof/>
        </w:rPr>
        <w:t>-</w:t>
      </w:r>
      <w:r w:rsidR="004B57B0" w:rsidRPr="00D86314">
        <w:rPr>
          <w:noProof/>
        </w:rPr>
        <w:t>speed broadband, limiting take-up of Gigabit offers and reducing average broadband speeds. These effects are likely to be mitigated, as certain countries such as France have already implemented long-term regulatory solutions which support competitive FTTH markets on the basis of long-term agreements (IRUs), while others may continue to take the required action at a national level, and provide the additional analysis required to meet new requirements e.g. in relation to the three</w:t>
      </w:r>
      <w:r w:rsidR="0017244C" w:rsidRPr="00D86314">
        <w:rPr>
          <w:noProof/>
        </w:rPr>
        <w:t>-</w:t>
      </w:r>
      <w:r w:rsidR="004B57B0" w:rsidRPr="00D86314">
        <w:rPr>
          <w:noProof/>
        </w:rPr>
        <w:t xml:space="preserve">criteria test. </w:t>
      </w:r>
      <w:r w:rsidR="0E245A99" w:rsidRPr="00D86314">
        <w:rPr>
          <w:noProof/>
        </w:rPr>
        <w:t>WIK considers that t</w:t>
      </w:r>
      <w:r w:rsidR="004B57B0" w:rsidRPr="00D86314">
        <w:rPr>
          <w:noProof/>
        </w:rPr>
        <w:t>h</w:t>
      </w:r>
      <w:r w:rsidR="4C29077D" w:rsidRPr="00D86314">
        <w:rPr>
          <w:noProof/>
        </w:rPr>
        <w:t>ese</w:t>
      </w:r>
      <w:r w:rsidR="004B57B0" w:rsidRPr="00D86314">
        <w:rPr>
          <w:noProof/>
        </w:rPr>
        <w:t xml:space="preserve"> problem</w:t>
      </w:r>
      <w:r w:rsidR="5EB9DAC2" w:rsidRPr="00D86314">
        <w:rPr>
          <w:noProof/>
        </w:rPr>
        <w:t>s</w:t>
      </w:r>
      <w:r w:rsidR="004B57B0" w:rsidRPr="00D86314">
        <w:rPr>
          <w:noProof/>
        </w:rPr>
        <w:t xml:space="preserve"> could be addressed</w:t>
      </w:r>
      <w:r w:rsidR="35469874" w:rsidRPr="00D86314">
        <w:rPr>
          <w:noProof/>
        </w:rPr>
        <w:t xml:space="preserve">, in case the </w:t>
      </w:r>
      <w:r w:rsidR="004B57B0" w:rsidRPr="00D86314">
        <w:rPr>
          <w:noProof/>
        </w:rPr>
        <w:t xml:space="preserve">RRM </w:t>
      </w:r>
      <w:r w:rsidR="21072AC4" w:rsidRPr="00D86314">
        <w:rPr>
          <w:noProof/>
        </w:rPr>
        <w:t>is not ma</w:t>
      </w:r>
      <w:r w:rsidR="00DA4F04" w:rsidRPr="00D86314">
        <w:rPr>
          <w:noProof/>
        </w:rPr>
        <w:t>i</w:t>
      </w:r>
      <w:r w:rsidR="21072AC4" w:rsidRPr="00D86314">
        <w:rPr>
          <w:noProof/>
        </w:rPr>
        <w:t xml:space="preserve">ntained </w:t>
      </w:r>
      <w:r w:rsidR="004B57B0" w:rsidRPr="00D86314">
        <w:rPr>
          <w:noProof/>
        </w:rPr>
        <w:t>in its current form</w:t>
      </w:r>
      <w:r w:rsidR="183ED540" w:rsidRPr="00D86314">
        <w:rPr>
          <w:noProof/>
        </w:rPr>
        <w:t xml:space="preserve">, </w:t>
      </w:r>
      <w:r w:rsidR="69DB8986" w:rsidRPr="00D86314">
        <w:rPr>
          <w:noProof/>
        </w:rPr>
        <w:t xml:space="preserve">by </w:t>
      </w:r>
      <w:r w:rsidR="004B57B0" w:rsidRPr="00D86314">
        <w:rPr>
          <w:noProof/>
        </w:rPr>
        <w:t>requir</w:t>
      </w:r>
      <w:r w:rsidR="72F973E9" w:rsidRPr="00D86314">
        <w:rPr>
          <w:noProof/>
        </w:rPr>
        <w:t>ing</w:t>
      </w:r>
      <w:r w:rsidR="004B57B0" w:rsidRPr="00D86314">
        <w:rPr>
          <w:noProof/>
        </w:rPr>
        <w:t xml:space="preserve"> NRAs to periodically analyse the geographic data they are required to gather and assess whether it indicates any competition problems on retail markets based on a modified greenfield approach (i.e. taking into account underlying infrastructure duplication and forward-looking expectations regarding replicability). If competition problems are identified, NRAs could be required to review the underlying wholesale markets in detail and pursue appropriate measures based on SMP and/or Article</w:t>
      </w:r>
      <w:r w:rsidR="00F53F9A">
        <w:rPr>
          <w:noProof/>
        </w:rPr>
        <w:t> </w:t>
      </w:r>
      <w:r w:rsidR="004B57B0" w:rsidRPr="00D86314">
        <w:rPr>
          <w:noProof/>
        </w:rPr>
        <w:t xml:space="preserve">61(3) in the event that other measures such as the GIA PIA would be insufficient to address the identified competition issues. </w:t>
      </w:r>
    </w:p>
    <w:p w14:paraId="0F24F608" w14:textId="69317D85" w:rsidR="006661EC" w:rsidRPr="00D86314" w:rsidRDefault="006661EC" w:rsidP="006661EC">
      <w:pPr>
        <w:rPr>
          <w:noProof/>
        </w:rPr>
      </w:pPr>
      <w:r w:rsidRPr="00D86314">
        <w:rPr>
          <w:noProof/>
        </w:rPr>
        <w:t xml:space="preserve">The establishment of </w:t>
      </w:r>
      <w:r w:rsidRPr="00D86314">
        <w:rPr>
          <w:b/>
          <w:bCs/>
          <w:noProof/>
        </w:rPr>
        <w:t>harmonised product specifications</w:t>
      </w:r>
      <w:r w:rsidRPr="00D86314">
        <w:rPr>
          <w:noProof/>
        </w:rPr>
        <w:t xml:space="preserve"> for key wholesale products including FTTH unbundling, VULA, ethernet leased lines and Quality of Service parameters for business should also ensure that, in cases where regulation is applied, wholesale products will enable </w:t>
      </w:r>
      <w:r w:rsidR="00996BAF" w:rsidRPr="00D86314">
        <w:rPr>
          <w:noProof/>
        </w:rPr>
        <w:t xml:space="preserve">greater consistency </w:t>
      </w:r>
      <w:r w:rsidR="006E6208" w:rsidRPr="00D86314">
        <w:rPr>
          <w:noProof/>
        </w:rPr>
        <w:t>in applying access regulation across the Union</w:t>
      </w:r>
      <w:r w:rsidR="00BB32FF" w:rsidRPr="00D86314">
        <w:rPr>
          <w:noProof/>
        </w:rPr>
        <w:t xml:space="preserve">. Further to that the harmonised products should ensure </w:t>
      </w:r>
      <w:r w:rsidRPr="00D86314">
        <w:rPr>
          <w:noProof/>
        </w:rPr>
        <w:t>differentiation in quality and price</w:t>
      </w:r>
      <w:r w:rsidR="00BB32FF" w:rsidRPr="00D86314">
        <w:rPr>
          <w:noProof/>
        </w:rPr>
        <w:t xml:space="preserve"> </w:t>
      </w:r>
      <w:r w:rsidR="000D5010" w:rsidRPr="00D86314">
        <w:rPr>
          <w:noProof/>
        </w:rPr>
        <w:t xml:space="preserve">and </w:t>
      </w:r>
      <w:r w:rsidR="00BB32FF" w:rsidRPr="00D86314">
        <w:rPr>
          <w:noProof/>
        </w:rPr>
        <w:t xml:space="preserve">hence </w:t>
      </w:r>
      <w:r w:rsidR="000D5010" w:rsidRPr="00D86314">
        <w:rPr>
          <w:noProof/>
        </w:rPr>
        <w:t>contribute to high</w:t>
      </w:r>
      <w:r w:rsidR="00E16DF7" w:rsidRPr="00D86314">
        <w:rPr>
          <w:noProof/>
        </w:rPr>
        <w:t>er degree of competition</w:t>
      </w:r>
      <w:r w:rsidRPr="00D86314">
        <w:rPr>
          <w:noProof/>
        </w:rPr>
        <w:t xml:space="preserve">. </w:t>
      </w:r>
      <w:r w:rsidR="00E16DF7" w:rsidRPr="00D86314">
        <w:rPr>
          <w:noProof/>
        </w:rPr>
        <w:t xml:space="preserve">The harmonization of access products coupled with </w:t>
      </w:r>
      <w:r w:rsidR="00FA2B7C" w:rsidRPr="00D86314">
        <w:rPr>
          <w:noProof/>
        </w:rPr>
        <w:t>w</w:t>
      </w:r>
      <w:r w:rsidRPr="00D86314">
        <w:rPr>
          <w:noProof/>
        </w:rPr>
        <w:t xml:space="preserve">ell-targeted regulation including </w:t>
      </w:r>
      <w:r w:rsidR="00FA2B7C" w:rsidRPr="00D86314">
        <w:rPr>
          <w:noProof/>
        </w:rPr>
        <w:t>access to</w:t>
      </w:r>
      <w:r w:rsidRPr="00D86314">
        <w:rPr>
          <w:noProof/>
        </w:rPr>
        <w:t xml:space="preserve"> in-building wiring and potentially beyond should support greater take-up of Gigabit broadband and higher broadband speeds. </w:t>
      </w:r>
    </w:p>
    <w:p w14:paraId="368EA066" w14:textId="77777777" w:rsidR="00D761AA" w:rsidRPr="00D86314" w:rsidRDefault="006661EC" w:rsidP="006661EC">
      <w:pPr>
        <w:rPr>
          <w:noProof/>
        </w:rPr>
      </w:pPr>
      <w:r w:rsidRPr="00D86314">
        <w:rPr>
          <w:noProof/>
        </w:rPr>
        <w:t>Evidence regarding the positive impacts of physical fibre unbundling on the availability of Gigabit offers at affordable prices, can be found in countries such as France and Italy. Evidence regarding the impact of EU-wide action to standardise wholesale products in a manner which boosts competition and innovation can also be seen from the impact on broadband deployment and speed of the 2000 Local Loop Unbundling Regulation. These impacts were quantified in a 2015 study of the impact of unbundling on UK broadband, which showed how this measure fostered broadband by stimulating competition in the upgrade of active equipment on passive unbundled loops.</w:t>
      </w:r>
      <w:r w:rsidRPr="00D86314">
        <w:rPr>
          <w:rStyle w:val="FootnoteReference"/>
          <w:noProof/>
        </w:rPr>
        <w:footnoteReference w:id="222"/>
      </w:r>
      <w:r w:rsidRPr="00D86314">
        <w:rPr>
          <w:noProof/>
        </w:rPr>
        <w:t xml:space="preserve"> </w:t>
      </w:r>
    </w:p>
    <w:p w14:paraId="3C702A15" w14:textId="444B954C" w:rsidR="00BE3018" w:rsidRPr="00D86314" w:rsidRDefault="00BE3018" w:rsidP="006661EC">
      <w:pPr>
        <w:rPr>
          <w:noProof/>
        </w:rPr>
      </w:pPr>
      <w:r w:rsidRPr="00D86314">
        <w:rPr>
          <w:noProof/>
        </w:rPr>
        <w:t>VULA, “virtual unbundled local access” is a locally provided bitstream product (where the access provider retains full control of its connection). This product should mimic the functionality of “unbundling” in those situations where (due to technical reasons) physical unbundling is not feasible. VULA is used where there is no end-to-end connection which can be physically separated and rented.</w:t>
      </w:r>
    </w:p>
    <w:p w14:paraId="4EE117D1" w14:textId="77777777" w:rsidR="006D053B" w:rsidRPr="00D86314" w:rsidRDefault="006D053B" w:rsidP="00482A19">
      <w:pPr>
        <w:rPr>
          <w:noProof/>
        </w:rPr>
      </w:pPr>
      <w:r w:rsidRPr="00D86314">
        <w:rPr>
          <w:noProof/>
        </w:rPr>
        <w:t>VULA, in order to mimic unbundling should have the following features:</w:t>
      </w:r>
    </w:p>
    <w:p w14:paraId="2C5B9CF2" w14:textId="77777777" w:rsidR="006D053B" w:rsidRPr="00D86314" w:rsidRDefault="006D053B" w:rsidP="006D053B">
      <w:pPr>
        <w:numPr>
          <w:ilvl w:val="0"/>
          <w:numId w:val="99"/>
        </w:numPr>
        <w:rPr>
          <w:noProof/>
        </w:rPr>
      </w:pPr>
      <w:r w:rsidRPr="00D86314">
        <w:rPr>
          <w:noProof/>
        </w:rPr>
        <w:t>occur locally (point of handover)</w:t>
      </w:r>
    </w:p>
    <w:p w14:paraId="51A0B898" w14:textId="77777777" w:rsidR="006D053B" w:rsidRPr="00D86314" w:rsidRDefault="006D053B" w:rsidP="006D053B">
      <w:pPr>
        <w:numPr>
          <w:ilvl w:val="0"/>
          <w:numId w:val="99"/>
        </w:numPr>
        <w:rPr>
          <w:noProof/>
        </w:rPr>
      </w:pPr>
      <w:r w:rsidRPr="00D86314">
        <w:rPr>
          <w:noProof/>
        </w:rPr>
        <w:t xml:space="preserve">be generic and provide access seekers with a transmission capacity which should support different types of services and is uncontended in practice; </w:t>
      </w:r>
    </w:p>
    <w:p w14:paraId="1DD68067" w14:textId="77777777" w:rsidR="006D053B" w:rsidRPr="00D86314" w:rsidRDefault="006D053B" w:rsidP="006D053B">
      <w:pPr>
        <w:numPr>
          <w:ilvl w:val="0"/>
          <w:numId w:val="99"/>
        </w:numPr>
        <w:rPr>
          <w:noProof/>
        </w:rPr>
      </w:pPr>
      <w:r w:rsidRPr="00D86314">
        <w:rPr>
          <w:noProof/>
        </w:rPr>
        <w:t xml:space="preserve">provide access seekers with sufficient control over the transmission network to allow for product differentiation and innovation </w:t>
      </w:r>
    </w:p>
    <w:p w14:paraId="4908B972" w14:textId="77777777" w:rsidR="006D053B" w:rsidRPr="00D86314" w:rsidRDefault="006D053B" w:rsidP="006D053B">
      <w:pPr>
        <w:numPr>
          <w:ilvl w:val="0"/>
          <w:numId w:val="99"/>
        </w:numPr>
        <w:rPr>
          <w:noProof/>
        </w:rPr>
      </w:pPr>
      <w:r w:rsidRPr="00D86314">
        <w:rPr>
          <w:noProof/>
        </w:rPr>
        <w:t>be provided with pricing that facilitates its use in a similar manner to physical unbundling.</w:t>
      </w:r>
    </w:p>
    <w:p w14:paraId="0550E319" w14:textId="73419718" w:rsidR="00BE3018" w:rsidRPr="00D86314" w:rsidRDefault="006D053B" w:rsidP="006661EC">
      <w:pPr>
        <w:rPr>
          <w:noProof/>
        </w:rPr>
      </w:pPr>
      <w:r w:rsidRPr="00D86314">
        <w:rPr>
          <w:noProof/>
        </w:rPr>
        <w:t xml:space="preserve">VULA is an access product created for regulatory purposes. Therefore, divergences in its applications have been observed. The aim of </w:t>
      </w:r>
      <w:r w:rsidR="00FD3BBF" w:rsidRPr="00D86314">
        <w:rPr>
          <w:noProof/>
        </w:rPr>
        <w:t>the</w:t>
      </w:r>
      <w:r w:rsidRPr="00D86314">
        <w:rPr>
          <w:noProof/>
        </w:rPr>
        <w:t xml:space="preserve"> harmonisation is to ensure that VULA products in the future contain the above</w:t>
      </w:r>
      <w:r w:rsidR="00B2635C" w:rsidRPr="00D86314">
        <w:rPr>
          <w:noProof/>
        </w:rPr>
        <w:t>-</w:t>
      </w:r>
      <w:r w:rsidRPr="00D86314">
        <w:rPr>
          <w:noProof/>
        </w:rPr>
        <w:t xml:space="preserve">mentioned features. </w:t>
      </w:r>
    </w:p>
    <w:p w14:paraId="75372149" w14:textId="5277AE59" w:rsidR="006661EC" w:rsidRPr="00D86314" w:rsidRDefault="006661EC" w:rsidP="006661EC">
      <w:pPr>
        <w:rPr>
          <w:noProof/>
        </w:rPr>
      </w:pPr>
      <w:r w:rsidRPr="00D86314">
        <w:rPr>
          <w:noProof/>
        </w:rPr>
        <w:t>It is important to note that the effects on innovation and speed of VULA at EU level are unlikely to match the effects on innovation of copper unbundled loops, due to point to multi-point fibre architectures which limit viability of unbundling and the intrinsic limitations of VULA compared with physical unbundling.</w:t>
      </w:r>
      <w:r w:rsidRPr="00D86314">
        <w:rPr>
          <w:rStyle w:val="FootnoteReference"/>
          <w:noProof/>
        </w:rPr>
        <w:footnoteReference w:id="223"/>
      </w:r>
      <w:r w:rsidRPr="00D86314">
        <w:rPr>
          <w:noProof/>
        </w:rPr>
        <w:t xml:space="preserve"> However, even if harmonised EU specifications mainly affect the specification of VULA, this should have positive impacts on competition in higher bandwidth broadband services.</w:t>
      </w:r>
    </w:p>
    <w:p w14:paraId="17FF55C5" w14:textId="16C9DDC4" w:rsidR="006661EC" w:rsidRPr="00D86314" w:rsidRDefault="006661EC" w:rsidP="006661EC">
      <w:pPr>
        <w:rPr>
          <w:noProof/>
        </w:rPr>
      </w:pPr>
      <w:r w:rsidRPr="00D86314">
        <w:rPr>
          <w:noProof/>
        </w:rPr>
        <w:t xml:space="preserve">Harmonisation of specifications for key wholesale products as well as attention to quality of service guarantees for businesses should also contribute to the development of competition in services for multi-site and multinational enterprises. This is important, noting that retail and wholesale market shares of incumbents in the supply of such </w:t>
      </w:r>
      <w:r w:rsidR="00FD3BBF" w:rsidRPr="00D86314">
        <w:rPr>
          <w:noProof/>
        </w:rPr>
        <w:t xml:space="preserve">business </w:t>
      </w:r>
      <w:r w:rsidRPr="00D86314">
        <w:rPr>
          <w:noProof/>
        </w:rPr>
        <w:t>services are often higher than for residential customers, and competition may be limited by the lack of availability of wholesale access with appropriate service guarantees at all required locations.</w:t>
      </w:r>
      <w:r w:rsidRPr="00D86314">
        <w:rPr>
          <w:rStyle w:val="FootnoteReference"/>
          <w:noProof/>
        </w:rPr>
        <w:footnoteReference w:id="224"/>
      </w:r>
      <w:r w:rsidRPr="00D86314">
        <w:rPr>
          <w:noProof/>
        </w:rPr>
        <w:t xml:space="preserve"> Stakeholders specialised in the provision of services to multi-national businesses confirm the value of this option in supporting cross-border service provision. Other stakeholders which are more focused on national service provision suggest that the impact of standardised wholesale characteristics on cross-border provision in multiple countries would be limited. </w:t>
      </w:r>
    </w:p>
    <w:p w14:paraId="42B93CDD" w14:textId="48294E8A" w:rsidR="00CF3B78" w:rsidRPr="00D86314" w:rsidRDefault="009A60E0" w:rsidP="00A73D29">
      <w:pPr>
        <w:pStyle w:val="ListParagraph"/>
        <w:keepNext/>
        <w:numPr>
          <w:ilvl w:val="3"/>
          <w:numId w:val="32"/>
        </w:numPr>
        <w:ind w:left="0" w:firstLine="0"/>
        <w:outlineLvl w:val="2"/>
        <w:rPr>
          <w:i/>
          <w:iCs/>
          <w:noProof/>
        </w:rPr>
      </w:pPr>
      <w:bookmarkStart w:id="257" w:name="_Toc219718446"/>
      <w:r w:rsidRPr="00D86314">
        <w:rPr>
          <w:i/>
          <w:iCs/>
          <w:noProof/>
        </w:rPr>
        <w:t>Option 3</w:t>
      </w:r>
      <w:bookmarkEnd w:id="257"/>
    </w:p>
    <w:p w14:paraId="398A1745" w14:textId="2E6ADE23" w:rsidR="005C7FC5" w:rsidRPr="00D86314" w:rsidRDefault="005C7FC5" w:rsidP="00703057">
      <w:pPr>
        <w:rPr>
          <w:noProof/>
        </w:rPr>
      </w:pPr>
      <w:r w:rsidRPr="00D86314">
        <w:rPr>
          <w:b/>
          <w:bCs/>
          <w:noProof/>
        </w:rPr>
        <w:t>Option 3</w:t>
      </w:r>
      <w:r w:rsidRPr="00D86314">
        <w:rPr>
          <w:noProof/>
        </w:rPr>
        <w:t xml:space="preserve"> involves a significant shift in the current approach regarding access regulation, with an emphasis on deregulation and reliance on existing measures regarding access to physical infrastructure (such as ducts and poles) under the GIA. This option was widely preferred by former incumbent operators participating in interviews and responding to the online survey issued for the purposes of this study. </w:t>
      </w:r>
    </w:p>
    <w:p w14:paraId="5821369B" w14:textId="77777777" w:rsidR="005C7FC5" w:rsidRPr="00D86314" w:rsidRDefault="005C7FC5" w:rsidP="00703057">
      <w:pPr>
        <w:rPr>
          <w:noProof/>
        </w:rPr>
      </w:pPr>
      <w:r w:rsidRPr="00D86314">
        <w:rPr>
          <w:noProof/>
        </w:rPr>
        <w:t xml:space="preserve">This option would significantly simplify the existing regime, as it would imply the widescale removal of the existing access-related provisions. However, it is associated with a number of challenges which are likely to limit its effectiveness in achieving the Gigabit objectives or in securing harmonised outcomes. </w:t>
      </w:r>
    </w:p>
    <w:p w14:paraId="01AB8E75" w14:textId="24A0A473" w:rsidR="005C7FC5" w:rsidRPr="00D86314" w:rsidRDefault="005C7FC5" w:rsidP="00703057">
      <w:pPr>
        <w:rPr>
          <w:noProof/>
        </w:rPr>
      </w:pPr>
      <w:r w:rsidRPr="00D86314">
        <w:rPr>
          <w:noProof/>
        </w:rPr>
        <w:t xml:space="preserve">A key negative aspect is that it would require a significant change from the regulatory approaches in place at the time when fibre investments were made. This is likely to create considerable uncertainty amongst investors, undermining confidence and potentially impacting the already fragile financial situation, in particular of alternative fibre investors and alternative broadband providers, which rely on wholesale access. </w:t>
      </w:r>
    </w:p>
    <w:p w14:paraId="54DA792C" w14:textId="17A7B475" w:rsidR="005C7FC5" w:rsidRPr="00D86314" w:rsidRDefault="06B3D572" w:rsidP="00703057">
      <w:pPr>
        <w:rPr>
          <w:noProof/>
        </w:rPr>
      </w:pPr>
      <w:r w:rsidRPr="00D86314">
        <w:rPr>
          <w:noProof/>
        </w:rPr>
        <w:t>T</w:t>
      </w:r>
      <w:r w:rsidR="005C7FC5" w:rsidRPr="00D86314">
        <w:rPr>
          <w:noProof/>
        </w:rPr>
        <w:t>he changes envisaged under option 3 are likely to have negative impacts on fibre investment and take-up in two ways. Firstly, a shift away from SMP regulation of ducts and poles (which has been the primary mechanism used to support deployment by alternative investors) towards PIA regulation under the GIA</w:t>
      </w:r>
      <w:r w:rsidR="005C7FC5" w:rsidRPr="00D86314" w:rsidDel="005C7FC5">
        <w:rPr>
          <w:noProof/>
        </w:rPr>
        <w:t xml:space="preserve"> </w:t>
      </w:r>
      <w:r w:rsidR="005C7FC5" w:rsidRPr="00D86314">
        <w:rPr>
          <w:noProof/>
        </w:rPr>
        <w:t>would mean replacing a regime which relies</w:t>
      </w:r>
      <w:r w:rsidR="005C7FC5" w:rsidRPr="00D86314" w:rsidDel="005C7FC5">
        <w:rPr>
          <w:noProof/>
        </w:rPr>
        <w:t xml:space="preserve"> on</w:t>
      </w:r>
      <w:r w:rsidR="005C7FC5" w:rsidRPr="00D86314">
        <w:rPr>
          <w:noProof/>
        </w:rPr>
        <w:t xml:space="preserve"> strict cost-orientation and non-discrimination</w:t>
      </w:r>
      <w:r w:rsidR="6D847B56" w:rsidRPr="00D86314">
        <w:rPr>
          <w:noProof/>
        </w:rPr>
        <w:t>,</w:t>
      </w:r>
      <w:r w:rsidR="005C7FC5" w:rsidRPr="00D86314">
        <w:rPr>
          <w:noProof/>
        </w:rPr>
        <w:t xml:space="preserve"> as advocated under the 2024 EC Gigabit Recommendation,</w:t>
      </w:r>
      <w:r w:rsidR="005C7FC5" w:rsidRPr="00D86314">
        <w:rPr>
          <w:rStyle w:val="FootnoteReference"/>
          <w:noProof/>
        </w:rPr>
        <w:footnoteReference w:id="225"/>
      </w:r>
      <w:r w:rsidR="005C7FC5" w:rsidRPr="00D86314">
        <w:rPr>
          <w:noProof/>
        </w:rPr>
        <w:t xml:space="preserve"> with one in which access to telecom ducts (including those of the incumbent) would be subject to fair and reasonable pricing. In line with Article</w:t>
      </w:r>
      <w:r w:rsidR="00F53F9A">
        <w:rPr>
          <w:noProof/>
        </w:rPr>
        <w:t> </w:t>
      </w:r>
      <w:r w:rsidR="005C7FC5" w:rsidRPr="00D86314">
        <w:rPr>
          <w:noProof/>
        </w:rPr>
        <w:t>3 of the GIA, various additional conditions, such as the impact of pricing of duct and pole access on the business case for VHCN of the access provider would need to be taken into account when setting wholesale charges. Wholesale prices would also be set in the context of case</w:t>
      </w:r>
      <w:r w:rsidR="00B2635C" w:rsidRPr="00D86314">
        <w:rPr>
          <w:noProof/>
        </w:rPr>
        <w:t>-</w:t>
      </w:r>
      <w:r w:rsidR="005C7FC5" w:rsidRPr="00D86314">
        <w:rPr>
          <w:noProof/>
        </w:rPr>
        <w:t>by</w:t>
      </w:r>
      <w:r w:rsidR="00B2635C" w:rsidRPr="00D86314">
        <w:rPr>
          <w:noProof/>
        </w:rPr>
        <w:t>-</w:t>
      </w:r>
      <w:r w:rsidR="005C7FC5" w:rsidRPr="00D86314">
        <w:rPr>
          <w:noProof/>
        </w:rPr>
        <w:t>case dispute resolution rather than established in a Reference Offer via a market review procedure. The differences in the pricing principles between the two regimes mean that the wholesale price of duct and pole access from the former incumbent would be likely to increase</w:t>
      </w:r>
      <w:r w:rsidR="4F986786" w:rsidRPr="00D86314">
        <w:rPr>
          <w:noProof/>
        </w:rPr>
        <w:t>.</w:t>
      </w:r>
      <w:r w:rsidR="005C7FC5" w:rsidRPr="00D86314">
        <w:rPr>
          <w:noProof/>
        </w:rPr>
        <w:t xml:space="preserve"> </w:t>
      </w:r>
      <w:r w:rsidR="7338C233" w:rsidRPr="00D86314">
        <w:rPr>
          <w:noProof/>
        </w:rPr>
        <w:t xml:space="preserve">This could </w:t>
      </w:r>
      <w:r w:rsidR="005C7FC5" w:rsidRPr="00D86314">
        <w:rPr>
          <w:noProof/>
        </w:rPr>
        <w:t>deter further investments by alternative providers as well as putting into question the business case of alternative operators whose existing fibre deployments have been based on SMP regulated duct and pole access. This</w:t>
      </w:r>
      <w:r w:rsidR="56BD2F12" w:rsidRPr="00D86314">
        <w:rPr>
          <w:noProof/>
        </w:rPr>
        <w:t xml:space="preserve"> may</w:t>
      </w:r>
      <w:r w:rsidR="005C7FC5" w:rsidRPr="00D86314">
        <w:rPr>
          <w:noProof/>
        </w:rPr>
        <w:t xml:space="preserve"> have a widespread effect, noting that 17 of the 27 Member States currently mandate SMP duct and pole access and take-up of PIA under the GIA is significantly lower than SMP PIA</w:t>
      </w:r>
      <w:r w:rsidR="005C7FC5" w:rsidRPr="00D86314">
        <w:rPr>
          <w:rStyle w:val="FootnoteReference"/>
          <w:noProof/>
        </w:rPr>
        <w:footnoteReference w:id="226"/>
      </w:r>
      <w:r w:rsidR="005C7FC5" w:rsidRPr="00D86314">
        <w:rPr>
          <w:noProof/>
        </w:rPr>
        <w:t xml:space="preserve">. The vast majority of respondents to the June-July 2025 stakeholder survey considered that duct and pole access </w:t>
      </w:r>
      <w:r w:rsidR="42BFE857" w:rsidRPr="00D86314">
        <w:rPr>
          <w:noProof/>
        </w:rPr>
        <w:t>was key for fibr</w:t>
      </w:r>
      <w:r w:rsidR="009C50F3" w:rsidRPr="00D86314">
        <w:rPr>
          <w:noProof/>
        </w:rPr>
        <w:t>e</w:t>
      </w:r>
      <w:r w:rsidR="42BFE857" w:rsidRPr="00D86314">
        <w:rPr>
          <w:noProof/>
        </w:rPr>
        <w:t xml:space="preserve"> deployment and </w:t>
      </w:r>
      <w:r w:rsidR="005C7FC5" w:rsidRPr="00D86314">
        <w:rPr>
          <w:noProof/>
        </w:rPr>
        <w:t xml:space="preserve">favoured the inclusion in the DNA of duct and pole access regulation that goes beyond that permitted under the GIA. </w:t>
      </w:r>
      <w:r w:rsidR="6B4D3C33" w:rsidRPr="00D86314">
        <w:rPr>
          <w:noProof/>
        </w:rPr>
        <w:t>M</w:t>
      </w:r>
      <w:r w:rsidR="005C7FC5" w:rsidRPr="00D86314">
        <w:rPr>
          <w:noProof/>
        </w:rPr>
        <w:t>ore than half of existing FTTH deployments to date have been made by alternative operators,</w:t>
      </w:r>
      <w:r w:rsidR="005C7FC5" w:rsidRPr="00D86314">
        <w:rPr>
          <w:rStyle w:val="FootnoteReference"/>
          <w:noProof/>
        </w:rPr>
        <w:footnoteReference w:id="227"/>
      </w:r>
      <w:r w:rsidR="005C7FC5" w:rsidRPr="00D86314">
        <w:rPr>
          <w:noProof/>
        </w:rPr>
        <w:t xml:space="preserve"> many of whom are likely to have </w:t>
      </w:r>
      <w:r w:rsidR="4E99E1F6" w:rsidRPr="00D86314">
        <w:rPr>
          <w:noProof/>
        </w:rPr>
        <w:t xml:space="preserve">relied </w:t>
      </w:r>
      <w:r w:rsidR="005C7FC5" w:rsidRPr="00D86314">
        <w:rPr>
          <w:noProof/>
        </w:rPr>
        <w:t>been on SMP duct and pole access.</w:t>
      </w:r>
      <w:r w:rsidR="06E300C3" w:rsidRPr="00D86314">
        <w:rPr>
          <w:noProof/>
        </w:rPr>
        <w:t xml:space="preserve"> </w:t>
      </w:r>
      <w:r w:rsidR="0C95EA50" w:rsidRPr="00D86314">
        <w:rPr>
          <w:noProof/>
        </w:rPr>
        <w:t>Th</w:t>
      </w:r>
      <w:r w:rsidR="7659E083" w:rsidRPr="00D86314">
        <w:rPr>
          <w:noProof/>
        </w:rPr>
        <w:t>e</w:t>
      </w:r>
      <w:r w:rsidR="005C7FC5" w:rsidRPr="00D86314">
        <w:rPr>
          <w:noProof/>
        </w:rPr>
        <w:t xml:space="preserve"> majority of alternative fibre investors favour the retention of strong PIA measures under the DNA. </w:t>
      </w:r>
      <w:r w:rsidR="27CAE8C9" w:rsidRPr="00D86314">
        <w:rPr>
          <w:noProof/>
        </w:rPr>
        <w:t>They consider that a</w:t>
      </w:r>
      <w:r w:rsidR="0C95EA50" w:rsidRPr="00D86314">
        <w:rPr>
          <w:noProof/>
        </w:rPr>
        <w:t>n</w:t>
      </w:r>
      <w:r w:rsidR="005C7FC5" w:rsidRPr="00D86314">
        <w:rPr>
          <w:noProof/>
        </w:rPr>
        <w:t xml:space="preserve"> increase in the price of ducts and poles that are already being used by alternative investors could further tip an already challenging business case for these operators, expanding the profitability challenges that these operators already face.</w:t>
      </w:r>
      <w:r w:rsidR="005C7FC5" w:rsidRPr="00D86314">
        <w:rPr>
          <w:rStyle w:val="FootnoteReference"/>
          <w:noProof/>
        </w:rPr>
        <w:footnoteReference w:id="228"/>
      </w:r>
    </w:p>
    <w:p w14:paraId="5C676B8B" w14:textId="7ADCC1A4" w:rsidR="005C7FC5" w:rsidRPr="00D86314" w:rsidRDefault="005C7FC5" w:rsidP="00703057">
      <w:pPr>
        <w:rPr>
          <w:noProof/>
        </w:rPr>
      </w:pPr>
      <w:r w:rsidRPr="00D86314">
        <w:rPr>
          <w:noProof/>
        </w:rPr>
        <w:t xml:space="preserve">Negative impacts from this option would </w:t>
      </w:r>
      <w:r w:rsidR="1C12EC97" w:rsidRPr="00D86314">
        <w:rPr>
          <w:noProof/>
        </w:rPr>
        <w:t xml:space="preserve">include </w:t>
      </w:r>
      <w:r w:rsidRPr="00D86314">
        <w:rPr>
          <w:noProof/>
        </w:rPr>
        <w:t>significant limitations in the regulatory regime for access to fibre</w:t>
      </w:r>
      <w:r w:rsidR="47C917F7" w:rsidRPr="00D86314">
        <w:rPr>
          <w:noProof/>
        </w:rPr>
        <w:t xml:space="preserve">, </w:t>
      </w:r>
      <w:r w:rsidRPr="00D86314">
        <w:rPr>
          <w:noProof/>
        </w:rPr>
        <w:t>likely to result in the worsening of access conditions for fibre in areas where competition would not be effective in the absence of regulated access.</w:t>
      </w:r>
    </w:p>
    <w:p w14:paraId="2D84D08F" w14:textId="6C9D0356" w:rsidR="005C7FC5" w:rsidRPr="00D86314" w:rsidRDefault="005C7FC5" w:rsidP="00703057">
      <w:pPr>
        <w:rPr>
          <w:noProof/>
        </w:rPr>
      </w:pPr>
      <w:r w:rsidRPr="00D86314">
        <w:rPr>
          <w:noProof/>
        </w:rPr>
        <w:t xml:space="preserve">In this context, it is worth noting that it is common practice for network operators controlling fibre networks to voluntarily offer wholesale access, including in areas served with a single fibre network, in order to maximise take-up on the network. This was confirmed by operators deploying fibre networks in the context of a questionnaire distributed for </w:t>
      </w:r>
      <w:r w:rsidR="00805C1A" w:rsidRPr="00D86314">
        <w:rPr>
          <w:noProof/>
        </w:rPr>
        <w:t>the Study on Access Regulation</w:t>
      </w:r>
      <w:r w:rsidRPr="00D86314">
        <w:rPr>
          <w:noProof/>
        </w:rPr>
        <w:t>. Changing the threshold for intervention so that no access regulation can be applied if a network is “open”, would also provide incentives to continue the provision of such voluntary offers, or provide access in the event that this is not provided today.</w:t>
      </w:r>
    </w:p>
    <w:p w14:paraId="5B41BE50" w14:textId="027AD453" w:rsidR="005C7FC5" w:rsidRPr="00D86314" w:rsidRDefault="005C7FC5" w:rsidP="00703057">
      <w:pPr>
        <w:rPr>
          <w:noProof/>
        </w:rPr>
      </w:pPr>
      <w:r w:rsidRPr="00D86314">
        <w:rPr>
          <w:noProof/>
        </w:rPr>
        <w:t xml:space="preserve">However, </w:t>
      </w:r>
      <w:r w:rsidR="50986247" w:rsidRPr="00D86314">
        <w:rPr>
          <w:noProof/>
        </w:rPr>
        <w:t xml:space="preserve">access seekers in the replies to the questionnaires distributed in the context of </w:t>
      </w:r>
      <w:r w:rsidR="00805C1A" w:rsidRPr="00D86314">
        <w:rPr>
          <w:noProof/>
        </w:rPr>
        <w:t>Study on Access Regulation,</w:t>
      </w:r>
      <w:r w:rsidR="50986247" w:rsidRPr="00D86314">
        <w:rPr>
          <w:noProof/>
        </w:rPr>
        <w:t xml:space="preserve"> highlighted</w:t>
      </w:r>
      <w:r w:rsidRPr="00D86314">
        <w:rPr>
          <w:noProof/>
        </w:rPr>
        <w:t xml:space="preserve"> that wholesale access will only have a meaningful effect on retail competition and consumer welfare (in circumstances where this is not secured via infrastructure competition) if the access provided allows access seekers to compete on quality and price</w:t>
      </w:r>
      <w:r w:rsidR="724EC7B1" w:rsidRPr="00D86314">
        <w:rPr>
          <w:noProof/>
        </w:rPr>
        <w:t xml:space="preserve">. </w:t>
      </w:r>
      <w:r w:rsidR="59FFD793" w:rsidRPr="00D86314">
        <w:rPr>
          <w:noProof/>
        </w:rPr>
        <w:t>WIK considers</w:t>
      </w:r>
      <w:r w:rsidRPr="00D86314">
        <w:rPr>
          <w:noProof/>
        </w:rPr>
        <w:t xml:space="preserve"> that in the absence of more concrete and elaborated wholesale access obligations, including obligations to provide access at the passive layer or products having a similar level of flexibility, access providers which are not constrained by competitive forces are likely to offer bitstream services, set charges for higher bandwidth offers at a high level, and may (if they are vertically integrated) discriminate in favour of their own retail operations to maximise profits at both the wholesale and retail level. This risk was clearly highlighted by access seekers and is supported by the fact that access providers typically prefer to offer active access</w:t>
      </w:r>
      <w:r w:rsidR="3FDDC42C" w:rsidRPr="00D86314">
        <w:rPr>
          <w:noProof/>
        </w:rPr>
        <w:t xml:space="preserve">. </w:t>
      </w:r>
      <w:r w:rsidR="56C8C6A0" w:rsidRPr="00D86314">
        <w:rPr>
          <w:noProof/>
        </w:rPr>
        <w:t>Conversely,</w:t>
      </w:r>
      <w:r w:rsidRPr="00D86314">
        <w:rPr>
          <w:noProof/>
        </w:rPr>
        <w:t xml:space="preserve"> access seekers in particular in the mass-market, but also for large business sites and mobile backhaul</w:t>
      </w:r>
      <w:r w:rsidR="7794D1CF" w:rsidRPr="00D86314">
        <w:rPr>
          <w:noProof/>
        </w:rPr>
        <w:t>,</w:t>
      </w:r>
      <w:r w:rsidRPr="00D86314">
        <w:rPr>
          <w:noProof/>
        </w:rPr>
        <w:t xml:space="preserve"> highlight the need for access to passive products or</w:t>
      </w:r>
      <w:r w:rsidR="6DE6B0AB" w:rsidRPr="00D86314">
        <w:rPr>
          <w:noProof/>
        </w:rPr>
        <w:t>,</w:t>
      </w:r>
      <w:r w:rsidRPr="00D86314">
        <w:rPr>
          <w:noProof/>
        </w:rPr>
        <w:t xml:space="preserve"> in the absence of that, products allowing the differentiation of offers from that of the access providers.</w:t>
      </w:r>
    </w:p>
    <w:p w14:paraId="042EF508" w14:textId="3B38A968" w:rsidR="005C7FC5" w:rsidRPr="00D86314" w:rsidRDefault="005C7FC5" w:rsidP="00703057">
      <w:pPr>
        <w:rPr>
          <w:noProof/>
        </w:rPr>
      </w:pPr>
      <w:r w:rsidRPr="00D86314">
        <w:rPr>
          <w:noProof/>
        </w:rPr>
        <w:t>The restrictions on the circumstances in which access could be mandated along with the absence of standardised wholesale products would likely also worsen the existing fragmentation of offers.</w:t>
      </w:r>
    </w:p>
    <w:p w14:paraId="3FA0BA0A" w14:textId="5D92DE43" w:rsidR="005C7FC5" w:rsidRPr="00D86314" w:rsidRDefault="005C7FC5" w:rsidP="00703057">
      <w:pPr>
        <w:rPr>
          <w:noProof/>
        </w:rPr>
      </w:pPr>
      <w:r w:rsidRPr="00D86314">
        <w:rPr>
          <w:noProof/>
        </w:rPr>
        <w:t>Under this option, copper migration and possibly also copper switch-off may be accelerated in certain cases following the removal of restrictions e.g. regarding FTTH coverage and the availability of alternatives in the limited cases where FTTH is not available. However, experience suggests that accelerated switch-off would occur in areas where this was to the benefit of the copper incumbent i.e. where it has its own fibre access network.</w:t>
      </w:r>
      <w:r w:rsidRPr="00D86314">
        <w:rPr>
          <w:rStyle w:val="FootnoteReference"/>
          <w:noProof/>
        </w:rPr>
        <w:footnoteReference w:id="229"/>
      </w:r>
      <w:r w:rsidRPr="00D86314">
        <w:rPr>
          <w:noProof/>
        </w:rPr>
        <w:t xml:space="preserve"> On the other hand, as with the status quo, the incumbent copper owner would not have any obligation or incentive to switch off its network in areas where an alternative provider has deployed fibre. </w:t>
      </w:r>
      <w:r w:rsidR="1CB7ED72" w:rsidRPr="00D86314">
        <w:rPr>
          <w:noProof/>
        </w:rPr>
        <w:t xml:space="preserve">This option is unlikely to produce any change either on the incumbents’ plans and incentives to deploy </w:t>
      </w:r>
      <w:r w:rsidR="00A67753" w:rsidRPr="00D86314">
        <w:rPr>
          <w:noProof/>
        </w:rPr>
        <w:t>fibre</w:t>
      </w:r>
      <w:r w:rsidR="1CB7ED72" w:rsidRPr="00D86314">
        <w:rPr>
          <w:noProof/>
        </w:rPr>
        <w:t xml:space="preserve">. </w:t>
      </w:r>
      <w:r w:rsidRPr="00D86314">
        <w:rPr>
          <w:noProof/>
        </w:rPr>
        <w:t>In countries where FTTC is widespread, this would likely worsen the already fragile business case for alternative fibre providers, limiting investment incentives and restricting take-up. Withdrawing provisions which enable NRAs to oversee the copper switch-off process would also likely result in reduced transparency regarding incumbents’ copper switch-off plans</w:t>
      </w:r>
      <w:r w:rsidR="0C6B6D50" w:rsidRPr="00D86314">
        <w:rPr>
          <w:noProof/>
        </w:rPr>
        <w:t xml:space="preserve"> and may negatively impact also end-users</w:t>
      </w:r>
      <w:r w:rsidRPr="00D86314">
        <w:rPr>
          <w:noProof/>
        </w:rPr>
        <w:t>.</w:t>
      </w:r>
    </w:p>
    <w:p w14:paraId="08439E89" w14:textId="5E099702" w:rsidR="009A60E0" w:rsidRPr="00D86314" w:rsidRDefault="00445A3E" w:rsidP="00A73D29">
      <w:pPr>
        <w:pStyle w:val="ListParagraph"/>
        <w:keepNext/>
        <w:numPr>
          <w:ilvl w:val="3"/>
          <w:numId w:val="32"/>
        </w:numPr>
        <w:ind w:left="0" w:firstLine="0"/>
        <w:outlineLvl w:val="2"/>
        <w:rPr>
          <w:i/>
          <w:iCs/>
          <w:noProof/>
        </w:rPr>
      </w:pPr>
      <w:bookmarkStart w:id="258" w:name="_Toc219718447"/>
      <w:r w:rsidRPr="00D86314">
        <w:rPr>
          <w:i/>
          <w:iCs/>
          <w:noProof/>
        </w:rPr>
        <w:t>Option 4</w:t>
      </w:r>
      <w:bookmarkEnd w:id="258"/>
    </w:p>
    <w:p w14:paraId="71B8DA54" w14:textId="77777777" w:rsidR="00D747DF" w:rsidRPr="00D86314" w:rsidRDefault="00D747DF" w:rsidP="00703057">
      <w:pPr>
        <w:rPr>
          <w:noProof/>
        </w:rPr>
      </w:pPr>
      <w:r w:rsidRPr="00D86314">
        <w:rPr>
          <w:b/>
          <w:bCs/>
          <w:noProof/>
        </w:rPr>
        <w:t>Option 4</w:t>
      </w:r>
      <w:r w:rsidRPr="00D86314">
        <w:rPr>
          <w:noProof/>
        </w:rPr>
        <w:t xml:space="preserve">, which involves the replacement of the current SMP and Art 61(3) regime with an obligation on all operators to negotiate wholesale access would also significantly simplify the existing framework, as the majority of existing provisions could be removed. </w:t>
      </w:r>
    </w:p>
    <w:p w14:paraId="140DE568" w14:textId="77777777" w:rsidR="00D747DF" w:rsidRPr="00D86314" w:rsidRDefault="00D747DF" w:rsidP="00703057">
      <w:pPr>
        <w:rPr>
          <w:noProof/>
        </w:rPr>
      </w:pPr>
      <w:r w:rsidRPr="00D86314">
        <w:rPr>
          <w:noProof/>
        </w:rPr>
        <w:t xml:space="preserve">A strict deadline for copper switch-off would eliminate uncertainties and the potential for delay inherent in the approaches to copper switch-off proposed in options 1 and 2. This would likely increase the incentives for Member States as well as operators to address coverage gaps and establish switch-off plans. This would likely result in an acceleration in FTTH deployment ahead of the switch-off deadline. However, the lack of flexibility over the deadline could lead to an over-use of public funding to address gaps that might otherwise be addressed via commercial means, and/or an outcome in which a material proportion of consumers are unserved with adequate fixed broadband offers at the moment when switch-off occurs, and would thus be forced to use alternative options such as the use of mobile broadband at a fixed location. This would have implications for the achievable bandwidths available for such customers. </w:t>
      </w:r>
    </w:p>
    <w:p w14:paraId="74267D1A" w14:textId="43CAE01C" w:rsidR="00D747DF" w:rsidRPr="00D86314" w:rsidRDefault="00D747DF" w:rsidP="00703057">
      <w:pPr>
        <w:rPr>
          <w:noProof/>
        </w:rPr>
      </w:pPr>
      <w:r w:rsidRPr="00D86314">
        <w:rPr>
          <w:noProof/>
        </w:rPr>
        <w:t xml:space="preserve">According to the BEREC progress report on managing copper network switch-off and the NRA survey conducted for the </w:t>
      </w:r>
      <w:r w:rsidR="00805C1A" w:rsidRPr="00D86314">
        <w:rPr>
          <w:noProof/>
        </w:rPr>
        <w:t>Study on Access Regulation,</w:t>
      </w:r>
      <w:r w:rsidRPr="00D86314">
        <w:rPr>
          <w:noProof/>
        </w:rPr>
        <w:t xml:space="preserve"> 9 countries (DK, FR, LU, MT, PT, RO, SE, ES and CY) are planning to switch-off copper by 2030 or earlier. 16 countries (AT, B</w:t>
      </w:r>
      <w:r w:rsidR="7A973BF4" w:rsidRPr="00D86314">
        <w:rPr>
          <w:noProof/>
        </w:rPr>
        <w:t>G</w:t>
      </w:r>
      <w:r w:rsidRPr="00D86314">
        <w:rPr>
          <w:noProof/>
        </w:rPr>
        <w:t>, CZ, DE, EE, EL, FI, HR, HU, IE, LV, LT, the NL, PL, SK and SI) have not set a target date. Estonia and Finland are already advanced in copper switch-off. 6 countries (Bulgaria, Hungary, Ireland, Lithuania, the Netherlands, Poland and Slovenia) have a fibre coverage of at least 70% so that they might succeed in achieving the target date.</w:t>
      </w:r>
    </w:p>
    <w:p w14:paraId="039A42BD" w14:textId="77777777" w:rsidR="00D747DF" w:rsidRPr="00D86314" w:rsidRDefault="00D747DF" w:rsidP="00703057">
      <w:pPr>
        <w:rPr>
          <w:noProof/>
        </w:rPr>
      </w:pPr>
      <w:r w:rsidRPr="00D86314">
        <w:rPr>
          <w:noProof/>
        </w:rPr>
        <w:t xml:space="preserve">However, a further 7 countries (Austria, Belgium, Czechia, Germany, Greece, Latvia and Slovakia) are lagging behind in fibre roll-out and FTTH penetration (in % of broadband subscriptions) which means that in these countries there may be a need for additional public funding and customers will have to be migrated to other technologies or alternative cable/fibre networks (if available). However, there are countries where there is no or only limited coverage of cable such as CZ, HR, IT, EL, LV and SK. </w:t>
      </w:r>
    </w:p>
    <w:p w14:paraId="4FFEFC8A" w14:textId="0DB926DC" w:rsidR="00D747DF" w:rsidRPr="00D86314" w:rsidRDefault="00D747DF" w:rsidP="00703057">
      <w:pPr>
        <w:rPr>
          <w:noProof/>
        </w:rPr>
      </w:pPr>
      <w:r w:rsidRPr="00D86314">
        <w:rPr>
          <w:noProof/>
        </w:rPr>
        <w:t xml:space="preserve">In conclusion, </w:t>
      </w:r>
      <w:r w:rsidR="007373CA" w:rsidRPr="00D86314">
        <w:rPr>
          <w:noProof/>
        </w:rPr>
        <w:t xml:space="preserve">it is </w:t>
      </w:r>
      <w:r w:rsidRPr="00D86314">
        <w:rPr>
          <w:noProof/>
        </w:rPr>
        <w:t>expect</w:t>
      </w:r>
      <w:r w:rsidR="007373CA" w:rsidRPr="00D86314">
        <w:rPr>
          <w:noProof/>
        </w:rPr>
        <w:t>ed</w:t>
      </w:r>
      <w:r w:rsidRPr="00D86314">
        <w:rPr>
          <w:noProof/>
        </w:rPr>
        <w:t xml:space="preserve"> that at least 9 countries (AT, CZ, DE, EL, HR, LV, SK, IT, BE) would need to address coverage gaps with public funding in order to meet the switch-off deadline with a transition to fibre or highly specified 5G FWA, or would need to rely on alternative technologies, including potential</w:t>
      </w:r>
      <w:r w:rsidR="40A3C489" w:rsidRPr="00D86314">
        <w:rPr>
          <w:noProof/>
        </w:rPr>
        <w:t>ly</w:t>
      </w:r>
      <w:r w:rsidRPr="00D86314">
        <w:rPr>
          <w:noProof/>
        </w:rPr>
        <w:t xml:space="preserve"> mobile. Nevertheless, there will be a stronger impact on FTTH coverage and take-up than under option 2 resulting from the effort of copper network operators to comply with requirement. </w:t>
      </w:r>
    </w:p>
    <w:p w14:paraId="042B1699" w14:textId="4A502FE7" w:rsidR="00D747DF" w:rsidRPr="00D86314" w:rsidRDefault="00D747DF" w:rsidP="00703057">
      <w:pPr>
        <w:rPr>
          <w:noProof/>
        </w:rPr>
      </w:pPr>
      <w:r w:rsidRPr="00D86314">
        <w:rPr>
          <w:noProof/>
        </w:rPr>
        <w:t xml:space="preserve">As regards access regulation on physical infrastructure, the hard-wiring into legislation of the obligation for copper networks </w:t>
      </w:r>
      <w:r w:rsidR="5B91E56B" w:rsidRPr="00D86314">
        <w:rPr>
          <w:noProof/>
        </w:rPr>
        <w:t xml:space="preserve">owners, </w:t>
      </w:r>
      <w:r w:rsidRPr="00D86314">
        <w:rPr>
          <w:noProof/>
        </w:rPr>
        <w:t>which were previously found to have SMP to provide duct access on cost-oriented and non-discriminatory terms and conditions on an ongoing basis, would likely increase certainty for alternative fibre investors. This strengthening of the conditions to access incumbent</w:t>
      </w:r>
      <w:r w:rsidR="222A8861" w:rsidRPr="00D86314">
        <w:rPr>
          <w:noProof/>
        </w:rPr>
        <w:t>s’</w:t>
      </w:r>
      <w:r w:rsidRPr="00D86314">
        <w:rPr>
          <w:noProof/>
        </w:rPr>
        <w:t xml:space="preserve"> duct and pole infrastructure, could support additional fibre deployment by alternative investors, which could in turn foster a race to invest between incumbent and alternative fibre investors. </w:t>
      </w:r>
      <w:r w:rsidR="7B82F1E7" w:rsidRPr="00D86314">
        <w:rPr>
          <w:noProof/>
        </w:rPr>
        <w:t>T</w:t>
      </w:r>
      <w:r w:rsidRPr="00D86314">
        <w:rPr>
          <w:noProof/>
        </w:rPr>
        <w:t>his is likely to increase the pace of fibre deployment, leading to higher take-up of fibre.</w:t>
      </w:r>
    </w:p>
    <w:p w14:paraId="40794F8A" w14:textId="282A729B" w:rsidR="00D747DF" w:rsidRPr="00D86314" w:rsidRDefault="00D747DF" w:rsidP="00703057">
      <w:pPr>
        <w:rPr>
          <w:noProof/>
        </w:rPr>
      </w:pPr>
      <w:r w:rsidRPr="00D86314">
        <w:rPr>
          <w:noProof/>
        </w:rPr>
        <w:t xml:space="preserve">Reliance on symmetric regulation for wholesale access to fibre would implicitly mean that access would be required in cases characterised by non-competitive oligopoly, thereby addressing a challenge that may persist in the other options under consideration. This could result in additional choice in fibre-based broadband services compared with the status quo or other options. However, as this option would apply fibre access obligations on all operators, it would be necessary (as is the case in the GIA) for such obligations to be less stringent than </w:t>
      </w:r>
      <w:r w:rsidR="55E9428E" w:rsidRPr="00D86314">
        <w:rPr>
          <w:noProof/>
        </w:rPr>
        <w:t>those</w:t>
      </w:r>
      <w:r w:rsidRPr="00D86314">
        <w:rPr>
          <w:noProof/>
        </w:rPr>
        <w:t xml:space="preserve"> applied </w:t>
      </w:r>
      <w:r w:rsidR="55E9428E" w:rsidRPr="00D86314">
        <w:rPr>
          <w:noProof/>
        </w:rPr>
        <w:t xml:space="preserve">based on </w:t>
      </w:r>
      <w:r w:rsidRPr="00D86314">
        <w:rPr>
          <w:noProof/>
        </w:rPr>
        <w:t xml:space="preserve">SMP or </w:t>
      </w:r>
      <w:r w:rsidR="154226DA" w:rsidRPr="00D86314">
        <w:rPr>
          <w:noProof/>
        </w:rPr>
        <w:t xml:space="preserve">on </w:t>
      </w:r>
      <w:r w:rsidRPr="00D86314">
        <w:rPr>
          <w:noProof/>
        </w:rPr>
        <w:t xml:space="preserve">other findings relating to competitive concerns. For example, this may mean that common specifications for wholesale access products might focus on bitstream rather than physical and virtual unbundling and quality of service parameters for business. Meanwhile, wholesale prices would likely be set on the basis of a fair and reasonable test rather than cost-orientation, which may not be appropriate in situations where the access provider has the ability and incentive to set wholesale prices above the competitive level and is not adequately constrained from doing so. If applied in this way, access obligations are likely to be less effective than the status quo, as well as options 1 and 2 in supporting differentiated offers (including higher speeds) in situations where the market alone would not deliver competitive outcomes in the absence of ex ante regulation. </w:t>
      </w:r>
    </w:p>
    <w:p w14:paraId="040EA49B" w14:textId="3C186248" w:rsidR="00D747DF" w:rsidRPr="00D86314" w:rsidRDefault="00D747DF" w:rsidP="00703057">
      <w:pPr>
        <w:rPr>
          <w:noProof/>
        </w:rPr>
      </w:pPr>
      <w:r w:rsidRPr="00D86314">
        <w:rPr>
          <w:noProof/>
        </w:rPr>
        <w:t>Reliance on case</w:t>
      </w:r>
      <w:r w:rsidR="00582C4F" w:rsidRPr="00D86314">
        <w:rPr>
          <w:noProof/>
        </w:rPr>
        <w:t>-</w:t>
      </w:r>
      <w:r w:rsidRPr="00D86314">
        <w:rPr>
          <w:noProof/>
        </w:rPr>
        <w:t>by</w:t>
      </w:r>
      <w:r w:rsidR="00582C4F" w:rsidRPr="00D86314">
        <w:rPr>
          <w:noProof/>
        </w:rPr>
        <w:t>-</w:t>
      </w:r>
      <w:r w:rsidRPr="00D86314">
        <w:rPr>
          <w:noProof/>
        </w:rPr>
        <w:t>case dispute resolution instead of a periodic market analysis procedure could also reduce the efficacy of measures regarding access regulation (by delaying their resolution and making the procedure more complex), in addition to increasing administrative costs and creating uncertainty. This would be likely to reduce the quality of competition compared with options 1 or 2. In addition, it should be noted that the shift in the threshold for access regulation from the current regime that is implied by this option carries the same downside regarding uncertainty and a lack of predictability as described in option 3.</w:t>
      </w:r>
      <w:bookmarkStart w:id="259" w:name="_Ref214181352"/>
      <w:bookmarkStart w:id="260" w:name="_Toc214231514"/>
    </w:p>
    <w:p w14:paraId="199A1A86" w14:textId="64D6BA73" w:rsidR="005213C3" w:rsidRPr="00D86314" w:rsidRDefault="004B6FC1" w:rsidP="004B6FC1">
      <w:pPr>
        <w:pStyle w:val="Heading3"/>
        <w:numPr>
          <w:ilvl w:val="0"/>
          <w:numId w:val="0"/>
        </w:numPr>
        <w:rPr>
          <w:noProof/>
        </w:rPr>
      </w:pPr>
      <w:bookmarkStart w:id="261" w:name="_Toc219718448"/>
      <w:bookmarkEnd w:id="259"/>
      <w:bookmarkEnd w:id="260"/>
      <w:r w:rsidRPr="00D86314">
        <w:rPr>
          <w:noProof/>
        </w:rPr>
        <w:t xml:space="preserve">1.1.2 </w:t>
      </w:r>
      <w:r w:rsidR="005213C3" w:rsidRPr="00D86314">
        <w:rPr>
          <w:noProof/>
        </w:rPr>
        <w:t>Efficiency</w:t>
      </w:r>
      <w:bookmarkEnd w:id="261"/>
    </w:p>
    <w:p w14:paraId="1DEA70DC" w14:textId="77777777" w:rsidR="0030465E" w:rsidRPr="00D86314" w:rsidRDefault="0030465E" w:rsidP="00E529ED">
      <w:pPr>
        <w:rPr>
          <w:noProof/>
        </w:rPr>
      </w:pPr>
      <w:r w:rsidRPr="00D86314">
        <w:rPr>
          <w:noProof/>
        </w:rPr>
        <w:t>Efficiency assessments involve a comparison of direct and indirect costs and benefits. As the direct benefits can be derived from the assessment of effectiveness, while indirect benefits are described in relation to economic, social and environmental impacts.</w:t>
      </w:r>
    </w:p>
    <w:p w14:paraId="41F8A987" w14:textId="77777777" w:rsidR="00E03252" w:rsidRPr="00D86314" w:rsidRDefault="0030465E" w:rsidP="00A73D29">
      <w:pPr>
        <w:pStyle w:val="ListParagraph"/>
        <w:keepNext/>
        <w:ind w:left="0"/>
        <w:outlineLvl w:val="2"/>
        <w:rPr>
          <w:i/>
          <w:iCs/>
          <w:noProof/>
        </w:rPr>
      </w:pPr>
      <w:bookmarkStart w:id="262" w:name="_Toc219718449"/>
      <w:r w:rsidRPr="00D86314">
        <w:rPr>
          <w:i/>
          <w:iCs/>
          <w:noProof/>
        </w:rPr>
        <w:t xml:space="preserve">1.1.2.1. </w:t>
      </w:r>
      <w:r w:rsidR="00E03252" w:rsidRPr="00D86314">
        <w:rPr>
          <w:i/>
          <w:iCs/>
          <w:noProof/>
        </w:rPr>
        <w:t>Administrative costs under the baseline</w:t>
      </w:r>
      <w:bookmarkEnd w:id="262"/>
      <w:r w:rsidR="00E03252" w:rsidRPr="00D86314">
        <w:rPr>
          <w:i/>
          <w:iCs/>
          <w:noProof/>
        </w:rPr>
        <w:t xml:space="preserve"> </w:t>
      </w:r>
    </w:p>
    <w:p w14:paraId="57C8F0C7" w14:textId="77777777" w:rsidR="006244D4" w:rsidRPr="00D86314" w:rsidRDefault="006244D4" w:rsidP="006244D4">
      <w:pPr>
        <w:rPr>
          <w:noProof/>
        </w:rPr>
      </w:pPr>
      <w:r w:rsidRPr="00D86314">
        <w:rPr>
          <w:noProof/>
        </w:rPr>
        <w:t>The main obligations in the EECC which give rise to costs to stakeholders and which are relevant to the Impact Assessment under the DNA are:</w:t>
      </w:r>
    </w:p>
    <w:p w14:paraId="68FC2C5E" w14:textId="227A1B19" w:rsidR="006244D4" w:rsidRPr="00D86314" w:rsidRDefault="006244D4" w:rsidP="00A00C17">
      <w:pPr>
        <w:pStyle w:val="ListParagraph"/>
        <w:numPr>
          <w:ilvl w:val="0"/>
          <w:numId w:val="58"/>
        </w:numPr>
        <w:spacing w:after="160" w:line="259" w:lineRule="auto"/>
        <w:rPr>
          <w:rFonts w:eastAsia="Times New Roman"/>
          <w:noProof/>
        </w:rPr>
      </w:pPr>
      <w:r w:rsidRPr="00D86314">
        <w:rPr>
          <w:rFonts w:eastAsia="Times New Roman"/>
          <w:noProof/>
        </w:rPr>
        <w:t>Data Collection (Article</w:t>
      </w:r>
      <w:r w:rsidR="00F53F9A">
        <w:rPr>
          <w:rFonts w:eastAsia="Times New Roman"/>
          <w:noProof/>
        </w:rPr>
        <w:t> </w:t>
      </w:r>
      <w:r w:rsidRPr="00D86314">
        <w:rPr>
          <w:rFonts w:eastAsia="Times New Roman"/>
          <w:noProof/>
        </w:rPr>
        <w:t>22): NRAs must gather and update geographical survey data every three years, detailing electronic communications networks' capabilities and quality of service. This data informs National Broadband Plans, coverage obligations, and State Aid. BEREC provides implementation guidelines.</w:t>
      </w:r>
    </w:p>
    <w:p w14:paraId="6CF77D88" w14:textId="3E4E9731" w:rsidR="006244D4" w:rsidRPr="00D86314" w:rsidRDefault="006244D4" w:rsidP="00A00C17">
      <w:pPr>
        <w:pStyle w:val="ListParagraph"/>
        <w:numPr>
          <w:ilvl w:val="0"/>
          <w:numId w:val="58"/>
        </w:numPr>
        <w:spacing w:after="160" w:line="259" w:lineRule="auto"/>
        <w:rPr>
          <w:rFonts w:eastAsia="Times New Roman"/>
          <w:noProof/>
        </w:rPr>
      </w:pPr>
      <w:r w:rsidRPr="00D86314">
        <w:rPr>
          <w:rFonts w:eastAsia="Times New Roman"/>
          <w:noProof/>
        </w:rPr>
        <w:t>Market Analysis (Article</w:t>
      </w:r>
      <w:r w:rsidR="00F53F9A">
        <w:rPr>
          <w:rFonts w:eastAsia="Times New Roman"/>
          <w:noProof/>
        </w:rPr>
        <w:t> </w:t>
      </w:r>
      <w:r w:rsidRPr="00D86314">
        <w:rPr>
          <w:rFonts w:eastAsia="Times New Roman"/>
          <w:noProof/>
        </w:rPr>
        <w:t>64 &amp; 67): The Commission must adopt and update a Recommendation on relevant product and service markets. NRAs analy</w:t>
      </w:r>
      <w:r w:rsidR="007F54F9" w:rsidRPr="00D86314">
        <w:rPr>
          <w:rFonts w:eastAsia="Times New Roman"/>
          <w:noProof/>
        </w:rPr>
        <w:t>s</w:t>
      </w:r>
      <w:r w:rsidRPr="00D86314">
        <w:rPr>
          <w:rFonts w:eastAsia="Times New Roman"/>
          <w:noProof/>
        </w:rPr>
        <w:t>e these markets every five years or within three years of a Commission recommendation. If Significant Market Power (SMP) is found, NRAs impose obligations such as wholesale access, non-discrimination, price control, and transparency.</w:t>
      </w:r>
    </w:p>
    <w:p w14:paraId="6D97BAF2" w14:textId="07EE63EA" w:rsidR="006244D4" w:rsidRPr="00D86314" w:rsidRDefault="006244D4" w:rsidP="00A00C17">
      <w:pPr>
        <w:pStyle w:val="ListParagraph"/>
        <w:numPr>
          <w:ilvl w:val="0"/>
          <w:numId w:val="58"/>
        </w:numPr>
        <w:spacing w:after="160" w:line="259" w:lineRule="auto"/>
        <w:rPr>
          <w:rFonts w:eastAsia="Times New Roman"/>
          <w:noProof/>
        </w:rPr>
      </w:pPr>
      <w:r w:rsidRPr="00D86314">
        <w:rPr>
          <w:rFonts w:eastAsia="Times New Roman"/>
          <w:noProof/>
        </w:rPr>
        <w:t>Network Decommissioning (Article</w:t>
      </w:r>
      <w:r w:rsidR="00F53F9A">
        <w:rPr>
          <w:rFonts w:eastAsia="Times New Roman"/>
          <w:noProof/>
        </w:rPr>
        <w:t> </w:t>
      </w:r>
      <w:r w:rsidRPr="00D86314">
        <w:rPr>
          <w:rFonts w:eastAsia="Times New Roman"/>
          <w:noProof/>
        </w:rPr>
        <w:t>81): SMP-designated undertakings must notify NRAs before decommissioning networks, including legacy copper networks. NRAs ensure a transparent timetable, appropriate notice periods, and availability of alternative products of comparable quality. Migration obligations may be withdrawn upon NRA confirmation of compliance.</w:t>
      </w:r>
    </w:p>
    <w:p w14:paraId="63787307" w14:textId="77777777" w:rsidR="006244D4" w:rsidRPr="00D86314" w:rsidRDefault="006244D4" w:rsidP="006244D4">
      <w:pPr>
        <w:rPr>
          <w:noProof/>
        </w:rPr>
      </w:pPr>
      <w:r w:rsidRPr="00D86314">
        <w:rPr>
          <w:noProof/>
        </w:rPr>
        <w:t xml:space="preserve">The following table provides information about the number of FTEs currently involved in activities related to access regulation across the EU. Extrapolations from data provided by NRAs suggest that, out of a total FTEs employed in NRAs/ DSBs of approximately 9,500, around 725 FTEs are involved in access-related issues. </w:t>
      </w:r>
    </w:p>
    <w:p w14:paraId="1EE1C12A" w14:textId="67EB4E2A" w:rsidR="006244D4" w:rsidRPr="00D86314" w:rsidRDefault="006244D4" w:rsidP="00271373">
      <w:pPr>
        <w:pStyle w:val="Tabberschrift"/>
        <w:spacing w:before="240"/>
        <w:rPr>
          <w:rFonts w:ascii="Times New Roman" w:hAnsi="Times New Roman"/>
          <w:noProof/>
          <w:szCs w:val="22"/>
        </w:rPr>
      </w:pPr>
      <w:bookmarkStart w:id="263" w:name="_Toc208240000"/>
      <w:bookmarkStart w:id="264" w:name="_Toc214231326"/>
      <w:r w:rsidRPr="00D86314">
        <w:rPr>
          <w:rFonts w:ascii="Times New Roman" w:hAnsi="Times New Roman"/>
          <w:noProof/>
          <w:szCs w:val="22"/>
        </w:rPr>
        <w:t>Table</w:t>
      </w:r>
      <w:r w:rsidR="00351FE3" w:rsidRPr="00D86314">
        <w:rPr>
          <w:rFonts w:ascii="Times New Roman" w:hAnsi="Times New Roman"/>
          <w:noProof/>
          <w:szCs w:val="22"/>
        </w:rPr>
        <w:t xml:space="preserve"> </w:t>
      </w:r>
      <w:r w:rsidR="005812B7" w:rsidRPr="00D86314">
        <w:rPr>
          <w:rFonts w:ascii="Times New Roman" w:hAnsi="Times New Roman"/>
          <w:noProof/>
          <w:szCs w:val="22"/>
        </w:rPr>
        <w:t>A9 1-</w:t>
      </w:r>
      <w:r w:rsidR="00E467C9" w:rsidRPr="00D86314">
        <w:rPr>
          <w:rFonts w:ascii="Times New Roman" w:hAnsi="Times New Roman"/>
          <w:noProof/>
          <w:szCs w:val="22"/>
        </w:rPr>
        <w:t>4</w:t>
      </w:r>
      <w:r w:rsidRPr="00D86314">
        <w:rPr>
          <w:rFonts w:ascii="Times New Roman" w:hAnsi="Times New Roman"/>
          <w:noProof/>
          <w:szCs w:val="22"/>
        </w:rPr>
        <w:t>:</w:t>
      </w:r>
      <w:r w:rsidRPr="00D86314">
        <w:rPr>
          <w:rFonts w:ascii="Times New Roman" w:hAnsi="Times New Roman"/>
          <w:noProof/>
          <w:szCs w:val="22"/>
        </w:rPr>
        <w:tab/>
        <w:t>FTEs involved in access related issues</w:t>
      </w:r>
      <w:bookmarkEnd w:id="263"/>
      <w:bookmarkEnd w:id="264"/>
    </w:p>
    <w:tbl>
      <w:tblPr>
        <w:tblStyle w:val="PlainTable1"/>
        <w:tblW w:w="5000" w:type="pct"/>
        <w:tblLook w:val="04A0" w:firstRow="1" w:lastRow="0" w:firstColumn="1" w:lastColumn="0" w:noHBand="0" w:noVBand="1"/>
      </w:tblPr>
      <w:tblGrid>
        <w:gridCol w:w="1230"/>
        <w:gridCol w:w="1230"/>
        <w:gridCol w:w="1230"/>
        <w:gridCol w:w="1230"/>
        <w:gridCol w:w="1230"/>
        <w:gridCol w:w="1229"/>
        <w:gridCol w:w="1229"/>
      </w:tblGrid>
      <w:tr w:rsidR="006244D4" w:rsidRPr="00D86314" w14:paraId="092279B0" w14:textId="77777777" w:rsidTr="00EA737B">
        <w:trPr>
          <w:cnfStyle w:val="100000000000" w:firstRow="1" w:lastRow="0" w:firstColumn="0" w:lastColumn="0" w:oddVBand="0" w:evenVBand="0" w:oddHBand="0" w:evenHBand="0" w:firstRowFirstColumn="0" w:firstRowLastColumn="0" w:lastRowFirstColumn="0" w:lastRowLastColumn="0"/>
          <w:trHeight w:val="1019"/>
        </w:trPr>
        <w:tc>
          <w:tcPr>
            <w:cnfStyle w:val="001000000000" w:firstRow="0" w:lastRow="0" w:firstColumn="1" w:lastColumn="0" w:oddVBand="0" w:evenVBand="0" w:oddHBand="0" w:evenHBand="0" w:firstRowFirstColumn="0" w:firstRowLastColumn="0" w:lastRowFirstColumn="0" w:lastRowLastColumn="0"/>
            <w:tcW w:w="714" w:type="pct"/>
            <w:noWrap/>
            <w:hideMark/>
          </w:tcPr>
          <w:p w14:paraId="55BC3821" w14:textId="77777777" w:rsidR="006244D4" w:rsidRPr="00D86314" w:rsidRDefault="006244D4" w:rsidP="00EA737B">
            <w:pPr>
              <w:spacing w:after="0"/>
              <w:rPr>
                <w:noProof/>
                <w:sz w:val="16"/>
                <w:szCs w:val="16"/>
              </w:rPr>
            </w:pPr>
          </w:p>
        </w:tc>
        <w:tc>
          <w:tcPr>
            <w:tcW w:w="714" w:type="pct"/>
            <w:hideMark/>
          </w:tcPr>
          <w:p w14:paraId="30C23BF5" w14:textId="77777777" w:rsidR="006244D4" w:rsidRPr="00D86314" w:rsidRDefault="006244D4"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D86314">
              <w:rPr>
                <w:noProof/>
                <w:sz w:val="16"/>
                <w:szCs w:val="16"/>
              </w:rPr>
              <w:t>Total FTEs NRA /DSB</w:t>
            </w:r>
          </w:p>
        </w:tc>
        <w:tc>
          <w:tcPr>
            <w:tcW w:w="714" w:type="pct"/>
            <w:hideMark/>
          </w:tcPr>
          <w:p w14:paraId="2682E40C" w14:textId="77777777" w:rsidR="006244D4" w:rsidRPr="00D86314" w:rsidRDefault="006244D4"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D86314">
              <w:rPr>
                <w:noProof/>
                <w:sz w:val="16"/>
                <w:szCs w:val="16"/>
              </w:rPr>
              <w:t>FTEs engaged in dispute resolution BCRD/GIA</w:t>
            </w:r>
          </w:p>
        </w:tc>
        <w:tc>
          <w:tcPr>
            <w:tcW w:w="714" w:type="pct"/>
            <w:hideMark/>
          </w:tcPr>
          <w:p w14:paraId="06736320" w14:textId="77777777" w:rsidR="006244D4" w:rsidRPr="00D86314" w:rsidRDefault="006244D4"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D86314">
              <w:rPr>
                <w:noProof/>
                <w:sz w:val="16"/>
                <w:szCs w:val="16"/>
              </w:rPr>
              <w:t>FTEs engaged in market reviews</w:t>
            </w:r>
          </w:p>
        </w:tc>
        <w:tc>
          <w:tcPr>
            <w:tcW w:w="714" w:type="pct"/>
            <w:hideMark/>
          </w:tcPr>
          <w:p w14:paraId="13AE7009" w14:textId="77777777" w:rsidR="006244D4" w:rsidRPr="00D86314" w:rsidRDefault="006244D4"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D86314">
              <w:rPr>
                <w:noProof/>
                <w:sz w:val="16"/>
                <w:szCs w:val="16"/>
              </w:rPr>
              <w:t>FTEs engaged in symmetric regulation</w:t>
            </w:r>
          </w:p>
        </w:tc>
        <w:tc>
          <w:tcPr>
            <w:tcW w:w="714" w:type="pct"/>
            <w:hideMark/>
          </w:tcPr>
          <w:p w14:paraId="260CBF98" w14:textId="77777777" w:rsidR="006244D4" w:rsidRPr="00D86314" w:rsidRDefault="006244D4"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D86314">
              <w:rPr>
                <w:noProof/>
                <w:sz w:val="16"/>
                <w:szCs w:val="16"/>
              </w:rPr>
              <w:t xml:space="preserve">FTEs engaged in geographic survey's </w:t>
            </w:r>
          </w:p>
        </w:tc>
        <w:tc>
          <w:tcPr>
            <w:tcW w:w="714" w:type="pct"/>
            <w:hideMark/>
          </w:tcPr>
          <w:p w14:paraId="521EF825" w14:textId="77777777" w:rsidR="006244D4" w:rsidRPr="00D86314" w:rsidRDefault="006244D4"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D86314">
              <w:rPr>
                <w:noProof/>
                <w:sz w:val="16"/>
                <w:szCs w:val="16"/>
              </w:rPr>
              <w:t>FTEs engaged in dispute resolutions (Art. 26)</w:t>
            </w:r>
          </w:p>
        </w:tc>
      </w:tr>
      <w:tr w:rsidR="00F67D9F" w:rsidRPr="00D86314" w14:paraId="7E599F9D" w14:textId="77777777" w:rsidTr="00EA737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714" w:type="pct"/>
            <w:hideMark/>
          </w:tcPr>
          <w:p w14:paraId="0AA30B0A" w14:textId="77777777" w:rsidR="00F67D9F" w:rsidRPr="00D86314" w:rsidRDefault="00F67D9F" w:rsidP="00F67D9F">
            <w:pPr>
              <w:spacing w:after="0"/>
              <w:jc w:val="left"/>
              <w:rPr>
                <w:noProof/>
                <w:sz w:val="16"/>
                <w:szCs w:val="16"/>
              </w:rPr>
            </w:pPr>
            <w:r w:rsidRPr="00D86314">
              <w:rPr>
                <w:noProof/>
                <w:sz w:val="16"/>
                <w:szCs w:val="16"/>
              </w:rPr>
              <w:t>Total</w:t>
            </w:r>
          </w:p>
        </w:tc>
        <w:tc>
          <w:tcPr>
            <w:tcW w:w="714" w:type="pct"/>
            <w:noWrap/>
            <w:hideMark/>
          </w:tcPr>
          <w:p w14:paraId="2BEB37A8" w14:textId="5F7BB2F1"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5</w:t>
            </w:r>
            <w:r>
              <w:rPr>
                <w:noProof/>
                <w:sz w:val="16"/>
                <w:szCs w:val="16"/>
              </w:rPr>
              <w:t> </w:t>
            </w:r>
            <w:r w:rsidRPr="00F87B9B">
              <w:rPr>
                <w:noProof/>
                <w:sz w:val="16"/>
                <w:szCs w:val="16"/>
              </w:rPr>
              <w:t>238</w:t>
            </w:r>
          </w:p>
        </w:tc>
        <w:tc>
          <w:tcPr>
            <w:tcW w:w="714" w:type="pct"/>
            <w:noWrap/>
            <w:hideMark/>
          </w:tcPr>
          <w:p w14:paraId="79C2E445" w14:textId="278CA477"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59.2</w:t>
            </w:r>
          </w:p>
        </w:tc>
        <w:tc>
          <w:tcPr>
            <w:tcW w:w="714" w:type="pct"/>
            <w:noWrap/>
            <w:hideMark/>
          </w:tcPr>
          <w:p w14:paraId="44BC2CC4" w14:textId="598E25B2"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185</w:t>
            </w:r>
          </w:p>
        </w:tc>
        <w:tc>
          <w:tcPr>
            <w:tcW w:w="714" w:type="pct"/>
            <w:noWrap/>
            <w:hideMark/>
          </w:tcPr>
          <w:p w14:paraId="020E453B" w14:textId="3D490DE8"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26.5</w:t>
            </w:r>
          </w:p>
        </w:tc>
        <w:tc>
          <w:tcPr>
            <w:tcW w:w="714" w:type="pct"/>
            <w:noWrap/>
            <w:hideMark/>
          </w:tcPr>
          <w:p w14:paraId="78829CBB" w14:textId="36A75ADE"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118</w:t>
            </w:r>
          </w:p>
        </w:tc>
        <w:tc>
          <w:tcPr>
            <w:tcW w:w="714" w:type="pct"/>
            <w:noWrap/>
            <w:hideMark/>
          </w:tcPr>
          <w:p w14:paraId="45C3A9E5" w14:textId="4D55CB77"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41.1</w:t>
            </w:r>
          </w:p>
        </w:tc>
      </w:tr>
      <w:tr w:rsidR="00F67D9F" w:rsidRPr="00D86314" w14:paraId="42514FB7" w14:textId="77777777" w:rsidTr="00EA737B">
        <w:trPr>
          <w:trHeight w:val="495"/>
        </w:trPr>
        <w:tc>
          <w:tcPr>
            <w:cnfStyle w:val="001000000000" w:firstRow="0" w:lastRow="0" w:firstColumn="1" w:lastColumn="0" w:oddVBand="0" w:evenVBand="0" w:oddHBand="0" w:evenHBand="0" w:firstRowFirstColumn="0" w:firstRowLastColumn="0" w:lastRowFirstColumn="0" w:lastRowLastColumn="0"/>
            <w:tcW w:w="714" w:type="pct"/>
            <w:hideMark/>
          </w:tcPr>
          <w:p w14:paraId="4F4D39AD" w14:textId="77777777" w:rsidR="00F67D9F" w:rsidRPr="00D86314" w:rsidRDefault="00F67D9F" w:rsidP="00F67D9F">
            <w:pPr>
              <w:spacing w:after="0"/>
              <w:jc w:val="left"/>
              <w:rPr>
                <w:noProof/>
                <w:sz w:val="16"/>
                <w:szCs w:val="16"/>
              </w:rPr>
            </w:pPr>
            <w:r w:rsidRPr="00D86314">
              <w:rPr>
                <w:noProof/>
                <w:sz w:val="16"/>
                <w:szCs w:val="16"/>
              </w:rPr>
              <w:t>Total responses</w:t>
            </w:r>
          </w:p>
        </w:tc>
        <w:tc>
          <w:tcPr>
            <w:tcW w:w="714" w:type="pct"/>
            <w:noWrap/>
            <w:hideMark/>
          </w:tcPr>
          <w:p w14:paraId="60AA9490" w14:textId="6F6B85BF"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15</w:t>
            </w:r>
          </w:p>
        </w:tc>
        <w:tc>
          <w:tcPr>
            <w:tcW w:w="714" w:type="pct"/>
            <w:noWrap/>
            <w:hideMark/>
          </w:tcPr>
          <w:p w14:paraId="0B1235AD" w14:textId="0AF6D159"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12</w:t>
            </w:r>
          </w:p>
        </w:tc>
        <w:tc>
          <w:tcPr>
            <w:tcW w:w="714" w:type="pct"/>
            <w:noWrap/>
            <w:hideMark/>
          </w:tcPr>
          <w:p w14:paraId="54A1EDC3" w14:textId="39C9F89B"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17</w:t>
            </w:r>
          </w:p>
        </w:tc>
        <w:tc>
          <w:tcPr>
            <w:tcW w:w="714" w:type="pct"/>
            <w:noWrap/>
            <w:hideMark/>
          </w:tcPr>
          <w:p w14:paraId="632B295B" w14:textId="145331C5"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9</w:t>
            </w:r>
          </w:p>
        </w:tc>
        <w:tc>
          <w:tcPr>
            <w:tcW w:w="714" w:type="pct"/>
            <w:noWrap/>
            <w:hideMark/>
          </w:tcPr>
          <w:p w14:paraId="09DE67E5" w14:textId="56A915C7"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12</w:t>
            </w:r>
          </w:p>
        </w:tc>
        <w:tc>
          <w:tcPr>
            <w:tcW w:w="714" w:type="pct"/>
            <w:noWrap/>
            <w:hideMark/>
          </w:tcPr>
          <w:p w14:paraId="34447BE2" w14:textId="2FB54A83"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13</w:t>
            </w:r>
          </w:p>
        </w:tc>
      </w:tr>
      <w:tr w:rsidR="00F67D9F" w:rsidRPr="00D86314" w14:paraId="3431172F" w14:textId="77777777" w:rsidTr="00EA737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714" w:type="pct"/>
            <w:hideMark/>
          </w:tcPr>
          <w:p w14:paraId="446BE550" w14:textId="77777777" w:rsidR="00F67D9F" w:rsidRPr="00D86314" w:rsidRDefault="00F67D9F" w:rsidP="00F67D9F">
            <w:pPr>
              <w:spacing w:after="0"/>
              <w:jc w:val="left"/>
              <w:rPr>
                <w:noProof/>
                <w:sz w:val="16"/>
                <w:szCs w:val="16"/>
              </w:rPr>
            </w:pPr>
            <w:r w:rsidRPr="00D86314">
              <w:rPr>
                <w:noProof/>
                <w:sz w:val="16"/>
                <w:szCs w:val="16"/>
              </w:rPr>
              <w:t>Average number of FTEs per NRA and topic</w:t>
            </w:r>
          </w:p>
        </w:tc>
        <w:tc>
          <w:tcPr>
            <w:tcW w:w="714" w:type="pct"/>
            <w:noWrap/>
            <w:hideMark/>
          </w:tcPr>
          <w:p w14:paraId="7A4912FD" w14:textId="58F8478C"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349.20</w:t>
            </w:r>
          </w:p>
        </w:tc>
        <w:tc>
          <w:tcPr>
            <w:tcW w:w="714" w:type="pct"/>
            <w:noWrap/>
            <w:hideMark/>
          </w:tcPr>
          <w:p w14:paraId="606A6773" w14:textId="47DDBC65"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4.93</w:t>
            </w:r>
          </w:p>
        </w:tc>
        <w:tc>
          <w:tcPr>
            <w:tcW w:w="714" w:type="pct"/>
            <w:noWrap/>
            <w:hideMark/>
          </w:tcPr>
          <w:p w14:paraId="6D0F8436" w14:textId="2091562B"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10.88</w:t>
            </w:r>
          </w:p>
        </w:tc>
        <w:tc>
          <w:tcPr>
            <w:tcW w:w="714" w:type="pct"/>
            <w:noWrap/>
            <w:hideMark/>
          </w:tcPr>
          <w:p w14:paraId="074FF8DE" w14:textId="02A3838B"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2.94</w:t>
            </w:r>
          </w:p>
        </w:tc>
        <w:tc>
          <w:tcPr>
            <w:tcW w:w="714" w:type="pct"/>
            <w:noWrap/>
            <w:hideMark/>
          </w:tcPr>
          <w:p w14:paraId="220B09D5" w14:textId="55FA2FC1"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9.83</w:t>
            </w:r>
          </w:p>
        </w:tc>
        <w:tc>
          <w:tcPr>
            <w:tcW w:w="714" w:type="pct"/>
            <w:noWrap/>
            <w:hideMark/>
          </w:tcPr>
          <w:p w14:paraId="1C84F82A" w14:textId="7A06EB29" w:rsidR="00F67D9F" w:rsidRPr="00D86314" w:rsidRDefault="00F67D9F" w:rsidP="00F67D9F">
            <w:pPr>
              <w:spacing w:after="0"/>
              <w:jc w:val="right"/>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3.16</w:t>
            </w:r>
          </w:p>
        </w:tc>
      </w:tr>
      <w:tr w:rsidR="00F67D9F" w:rsidRPr="00D86314" w14:paraId="69A21372" w14:textId="77777777" w:rsidTr="00EA737B">
        <w:trPr>
          <w:trHeight w:val="1200"/>
        </w:trPr>
        <w:tc>
          <w:tcPr>
            <w:cnfStyle w:val="001000000000" w:firstRow="0" w:lastRow="0" w:firstColumn="1" w:lastColumn="0" w:oddVBand="0" w:evenVBand="0" w:oddHBand="0" w:evenHBand="0" w:firstRowFirstColumn="0" w:firstRowLastColumn="0" w:lastRowFirstColumn="0" w:lastRowLastColumn="0"/>
            <w:tcW w:w="714" w:type="pct"/>
            <w:hideMark/>
          </w:tcPr>
          <w:p w14:paraId="5A533B31" w14:textId="77777777" w:rsidR="00F67D9F" w:rsidRPr="00D86314" w:rsidRDefault="00F67D9F" w:rsidP="00F67D9F">
            <w:pPr>
              <w:spacing w:after="0"/>
              <w:jc w:val="left"/>
              <w:rPr>
                <w:noProof/>
                <w:sz w:val="16"/>
                <w:szCs w:val="16"/>
              </w:rPr>
            </w:pPr>
            <w:r w:rsidRPr="00D86314">
              <w:rPr>
                <w:noProof/>
                <w:sz w:val="16"/>
                <w:szCs w:val="16"/>
              </w:rPr>
              <w:t>Total number of FTEs in the EU27 per Topic based on average</w:t>
            </w:r>
          </w:p>
        </w:tc>
        <w:tc>
          <w:tcPr>
            <w:tcW w:w="714" w:type="pct"/>
            <w:noWrap/>
            <w:hideMark/>
          </w:tcPr>
          <w:p w14:paraId="4612ADD4" w14:textId="767871E3"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9</w:t>
            </w:r>
            <w:r>
              <w:rPr>
                <w:noProof/>
                <w:sz w:val="16"/>
                <w:szCs w:val="16"/>
              </w:rPr>
              <w:t> </w:t>
            </w:r>
            <w:r w:rsidRPr="00F87B9B">
              <w:rPr>
                <w:noProof/>
                <w:sz w:val="16"/>
                <w:szCs w:val="16"/>
              </w:rPr>
              <w:t>428.40</w:t>
            </w:r>
          </w:p>
        </w:tc>
        <w:tc>
          <w:tcPr>
            <w:tcW w:w="714" w:type="pct"/>
            <w:noWrap/>
            <w:hideMark/>
          </w:tcPr>
          <w:p w14:paraId="55A36E7D" w14:textId="05B6042F"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133.20</w:t>
            </w:r>
          </w:p>
        </w:tc>
        <w:tc>
          <w:tcPr>
            <w:tcW w:w="714" w:type="pct"/>
            <w:noWrap/>
            <w:hideMark/>
          </w:tcPr>
          <w:p w14:paraId="79D28E65" w14:textId="32CB3626"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293.82</w:t>
            </w:r>
          </w:p>
        </w:tc>
        <w:tc>
          <w:tcPr>
            <w:tcW w:w="714" w:type="pct"/>
            <w:noWrap/>
            <w:hideMark/>
          </w:tcPr>
          <w:p w14:paraId="1DADA27E" w14:textId="38E916B0"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79.50</w:t>
            </w:r>
          </w:p>
        </w:tc>
        <w:tc>
          <w:tcPr>
            <w:tcW w:w="714" w:type="pct"/>
            <w:noWrap/>
            <w:hideMark/>
          </w:tcPr>
          <w:p w14:paraId="293F8189" w14:textId="61183155"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265.50</w:t>
            </w:r>
          </w:p>
        </w:tc>
        <w:tc>
          <w:tcPr>
            <w:tcW w:w="714" w:type="pct"/>
            <w:noWrap/>
            <w:hideMark/>
          </w:tcPr>
          <w:p w14:paraId="04591C5F" w14:textId="78296A15" w:rsidR="00F67D9F" w:rsidRPr="00D86314" w:rsidRDefault="00F67D9F" w:rsidP="00F67D9F">
            <w:pPr>
              <w:spacing w:after="0"/>
              <w:jc w:val="righ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85.36</w:t>
            </w:r>
          </w:p>
        </w:tc>
      </w:tr>
    </w:tbl>
    <w:p w14:paraId="09D0D954" w14:textId="7344058D" w:rsidR="006244D4" w:rsidRPr="00D86314" w:rsidRDefault="006244D4" w:rsidP="006244D4">
      <w:pPr>
        <w:pStyle w:val="Quelle"/>
        <w:rPr>
          <w:rFonts w:ascii="Times New Roman" w:hAnsi="Times New Roman"/>
          <w:noProof/>
          <w:sz w:val="20"/>
        </w:rPr>
      </w:pPr>
      <w:r w:rsidRPr="00D86314">
        <w:rPr>
          <w:rFonts w:ascii="Times New Roman" w:hAnsi="Times New Roman"/>
          <w:noProof/>
          <w:sz w:val="20"/>
        </w:rPr>
        <w:t>Source:</w:t>
      </w:r>
      <w:r w:rsidR="00CD30F1" w:rsidRPr="00D86314">
        <w:rPr>
          <w:rFonts w:ascii="Times New Roman" w:hAnsi="Times New Roman"/>
          <w:noProof/>
          <w:sz w:val="20"/>
        </w:rPr>
        <w:t xml:space="preserve"> </w:t>
      </w:r>
      <w:r w:rsidRPr="00D86314">
        <w:rPr>
          <w:rFonts w:ascii="Times New Roman" w:hAnsi="Times New Roman"/>
          <w:noProof/>
          <w:sz w:val="20"/>
        </w:rPr>
        <w:t>WIK-Consult</w:t>
      </w:r>
    </w:p>
    <w:p w14:paraId="2C2E27FC" w14:textId="15EBAC2D" w:rsidR="006244D4" w:rsidRPr="00D86314" w:rsidRDefault="006244D4" w:rsidP="006244D4">
      <w:pPr>
        <w:pStyle w:val="Quelle"/>
        <w:ind w:left="0" w:firstLine="0"/>
        <w:rPr>
          <w:rFonts w:ascii="Times New Roman" w:hAnsi="Times New Roman"/>
          <w:noProof/>
          <w:sz w:val="24"/>
          <w:szCs w:val="24"/>
        </w:rPr>
      </w:pPr>
      <w:r w:rsidRPr="00D86314">
        <w:rPr>
          <w:rFonts w:ascii="Times New Roman" w:hAnsi="Times New Roman"/>
          <w:noProof/>
          <w:sz w:val="24"/>
          <w:szCs w:val="24"/>
        </w:rPr>
        <w:t xml:space="preserve">According to the data provided by NRAs in the context of online survey Jan 2025, 34% of FTEs in NRAs are involved in market reviews and </w:t>
      </w:r>
      <w:r w:rsidRPr="00D86314">
        <w:rPr>
          <w:rFonts w:ascii="Times New Roman" w:eastAsiaTheme="minorEastAsia" w:hAnsi="Times New Roman"/>
          <w:noProof/>
          <w:sz w:val="24"/>
          <w:szCs w:val="24"/>
          <w:lang w:eastAsia="en-US"/>
        </w:rPr>
        <w:t>the imposition of access regulation on SMP operators. An average of 9% are involved in symmetric regulation (although this is likely to be skewed by figures in France and Croatia, which rely on these measures extensively). Meanwhile, a relatively high proportion (31%) of resources within NRAs are engaged in the preparation of geographic surveys (data gathering) in connection with Article</w:t>
      </w:r>
      <w:r w:rsidR="00F53F9A">
        <w:rPr>
          <w:rFonts w:ascii="Times New Roman" w:eastAsiaTheme="minorEastAsia" w:hAnsi="Times New Roman"/>
          <w:noProof/>
          <w:sz w:val="24"/>
          <w:szCs w:val="24"/>
          <w:lang w:eastAsia="en-US"/>
        </w:rPr>
        <w:t> </w:t>
      </w:r>
      <w:r w:rsidRPr="00D86314">
        <w:rPr>
          <w:rFonts w:ascii="Times New Roman" w:eastAsiaTheme="minorEastAsia" w:hAnsi="Times New Roman"/>
          <w:noProof/>
          <w:sz w:val="24"/>
          <w:szCs w:val="24"/>
          <w:lang w:eastAsia="en-US"/>
        </w:rPr>
        <w:t>22</w:t>
      </w:r>
      <w:r w:rsidRPr="00D86314">
        <w:rPr>
          <w:rStyle w:val="FootnoteReference"/>
          <w:rFonts w:eastAsiaTheme="minorEastAsia"/>
          <w:noProof/>
        </w:rPr>
        <w:footnoteReference w:id="230"/>
      </w:r>
      <w:r w:rsidRPr="00D86314">
        <w:rPr>
          <w:rFonts w:ascii="Times New Roman" w:eastAsiaTheme="minorEastAsia" w:hAnsi="Times New Roman"/>
          <w:noProof/>
          <w:sz w:val="24"/>
          <w:szCs w:val="24"/>
          <w:lang w:eastAsia="en-US"/>
        </w:rPr>
        <w:t xml:space="preserve"> and a further 10% in dispute resolution under Articl</w:t>
      </w:r>
      <w:r w:rsidR="001F29AA">
        <w:rPr>
          <w:rFonts w:ascii="Times New Roman" w:eastAsiaTheme="minorEastAsia" w:hAnsi="Times New Roman"/>
          <w:noProof/>
          <w:sz w:val="24"/>
          <w:szCs w:val="24"/>
          <w:lang w:eastAsia="en-US"/>
        </w:rPr>
        <w:t>e</w:t>
      </w:r>
      <w:r w:rsidR="00F53F9A">
        <w:rPr>
          <w:rFonts w:ascii="Times New Roman" w:eastAsiaTheme="minorEastAsia" w:hAnsi="Times New Roman"/>
          <w:noProof/>
          <w:sz w:val="24"/>
          <w:szCs w:val="24"/>
          <w:lang w:eastAsia="en-US"/>
        </w:rPr>
        <w:t> </w:t>
      </w:r>
      <w:r w:rsidRPr="00D86314">
        <w:rPr>
          <w:rFonts w:ascii="Times New Roman" w:eastAsiaTheme="minorEastAsia" w:hAnsi="Times New Roman"/>
          <w:noProof/>
          <w:sz w:val="24"/>
          <w:szCs w:val="24"/>
          <w:lang w:eastAsia="en-US"/>
        </w:rPr>
        <w:t>26 EECC.</w:t>
      </w:r>
      <w:r w:rsidRPr="00D86314">
        <w:rPr>
          <w:rFonts w:ascii="Times New Roman" w:hAnsi="Times New Roman"/>
          <w:noProof/>
          <w:sz w:val="24"/>
          <w:szCs w:val="24"/>
        </w:rPr>
        <w:t xml:space="preserve"> </w:t>
      </w:r>
    </w:p>
    <w:p w14:paraId="01C0B86E" w14:textId="030AADDE" w:rsidR="006244D4" w:rsidRPr="00D86314" w:rsidRDefault="006244D4" w:rsidP="006244D4">
      <w:pPr>
        <w:pStyle w:val="Quelle"/>
        <w:ind w:left="0" w:firstLine="0"/>
        <w:rPr>
          <w:rFonts w:ascii="Times New Roman" w:eastAsiaTheme="minorEastAsia" w:hAnsi="Times New Roman"/>
          <w:noProof/>
          <w:kern w:val="2"/>
          <w:sz w:val="24"/>
          <w:szCs w:val="24"/>
          <w:lang w:eastAsia="en-US"/>
          <w14:ligatures w14:val="standardContextual"/>
        </w:rPr>
      </w:pPr>
      <w:r w:rsidRPr="00D86314">
        <w:rPr>
          <w:rFonts w:ascii="Times New Roman" w:eastAsiaTheme="minorEastAsia" w:hAnsi="Times New Roman"/>
          <w:noProof/>
          <w:kern w:val="2"/>
          <w:sz w:val="24"/>
          <w:szCs w:val="24"/>
          <w:lang w:eastAsia="en-US"/>
          <w14:ligatures w14:val="standardContextual"/>
        </w:rPr>
        <w:t xml:space="preserve">If twice as many resources are deployed in the private sector in relation to access regulation, with a per FTE cost of </w:t>
      </w:r>
      <w:r w:rsidR="008C2044" w:rsidRPr="00D86314">
        <w:rPr>
          <w:rFonts w:ascii="Times New Roman" w:eastAsiaTheme="minorEastAsia" w:hAnsi="Times New Roman"/>
          <w:noProof/>
          <w:kern w:val="2"/>
          <w:sz w:val="24"/>
          <w:szCs w:val="24"/>
          <w:lang w:eastAsia="en-US"/>
          <w14:ligatures w14:val="standardContextual"/>
        </w:rPr>
        <w:t>EUR </w:t>
      </w:r>
      <w:r w:rsidRPr="00D86314">
        <w:rPr>
          <w:rFonts w:ascii="Times New Roman" w:eastAsiaTheme="minorEastAsia" w:hAnsi="Times New Roman"/>
          <w:noProof/>
          <w:kern w:val="2"/>
          <w:sz w:val="24"/>
          <w:szCs w:val="24"/>
          <w:lang w:eastAsia="en-US"/>
          <w14:ligatures w14:val="standardContextual"/>
        </w:rPr>
        <w:t>95</w:t>
      </w:r>
      <w:r w:rsidR="00F268A2" w:rsidRPr="00D86314">
        <w:rPr>
          <w:rFonts w:ascii="Times New Roman" w:eastAsiaTheme="minorEastAsia" w:hAnsi="Times New Roman"/>
          <w:noProof/>
          <w:kern w:val="2"/>
          <w:sz w:val="24"/>
          <w:szCs w:val="24"/>
          <w:lang w:eastAsia="en-US"/>
          <w14:ligatures w14:val="standardContextual"/>
        </w:rPr>
        <w:t> </w:t>
      </w:r>
      <w:r w:rsidRPr="00D86314">
        <w:rPr>
          <w:rFonts w:ascii="Times New Roman" w:eastAsiaTheme="minorEastAsia" w:hAnsi="Times New Roman"/>
          <w:noProof/>
          <w:kern w:val="2"/>
          <w:sz w:val="24"/>
          <w:szCs w:val="24"/>
          <w:lang w:eastAsia="en-US"/>
          <w14:ligatures w14:val="standardContextual"/>
        </w:rPr>
        <w:t xml:space="preserve">400, total costs would be around </w:t>
      </w:r>
      <w:r w:rsidR="008C2044" w:rsidRPr="00D86314">
        <w:rPr>
          <w:rFonts w:ascii="Times New Roman" w:eastAsiaTheme="minorEastAsia" w:hAnsi="Times New Roman"/>
          <w:noProof/>
          <w:kern w:val="2"/>
          <w:sz w:val="24"/>
          <w:szCs w:val="24"/>
          <w:lang w:eastAsia="en-US"/>
          <w14:ligatures w14:val="standardContextual"/>
        </w:rPr>
        <w:t>EUR </w:t>
      </w:r>
      <w:r w:rsidRPr="00D86314">
        <w:rPr>
          <w:rFonts w:ascii="Times New Roman" w:eastAsiaTheme="minorEastAsia" w:hAnsi="Times New Roman"/>
          <w:noProof/>
          <w:kern w:val="2"/>
          <w:sz w:val="24"/>
          <w:szCs w:val="24"/>
          <w:lang w:eastAsia="en-US"/>
          <w14:ligatures w14:val="standardContextual"/>
        </w:rPr>
        <w:t>207.5</w:t>
      </w:r>
      <w:r w:rsidR="008C2044" w:rsidRPr="00D86314">
        <w:rPr>
          <w:rFonts w:ascii="Times New Roman" w:eastAsiaTheme="minorEastAsia" w:hAnsi="Times New Roman"/>
          <w:noProof/>
          <w:kern w:val="2"/>
          <w:sz w:val="24"/>
          <w:szCs w:val="24"/>
          <w:lang w:eastAsia="en-US"/>
          <w14:ligatures w14:val="standardContextual"/>
        </w:rPr>
        <w:t xml:space="preserve"> </w:t>
      </w:r>
      <w:r w:rsidRPr="00D86314">
        <w:rPr>
          <w:rFonts w:ascii="Times New Roman" w:eastAsiaTheme="minorEastAsia" w:hAnsi="Times New Roman"/>
          <w:noProof/>
          <w:kern w:val="2"/>
          <w:sz w:val="24"/>
          <w:szCs w:val="24"/>
          <w:lang w:eastAsia="en-US"/>
          <w14:ligatures w14:val="standardContextual"/>
        </w:rPr>
        <w:t>m</w:t>
      </w:r>
      <w:r w:rsidR="008C2044" w:rsidRPr="00D86314">
        <w:rPr>
          <w:rFonts w:ascii="Times New Roman" w:eastAsiaTheme="minorEastAsia" w:hAnsi="Times New Roman"/>
          <w:noProof/>
          <w:kern w:val="2"/>
          <w:sz w:val="24"/>
          <w:szCs w:val="24"/>
          <w:lang w:eastAsia="en-US"/>
          <w14:ligatures w14:val="standardContextual"/>
        </w:rPr>
        <w:t>illion</w:t>
      </w:r>
      <w:r w:rsidRPr="00D86314">
        <w:rPr>
          <w:rFonts w:ascii="Times New Roman" w:eastAsiaTheme="minorEastAsia" w:hAnsi="Times New Roman"/>
          <w:noProof/>
          <w:kern w:val="2"/>
          <w:sz w:val="24"/>
          <w:szCs w:val="24"/>
          <w:lang w:eastAsia="en-US"/>
          <w14:ligatures w14:val="standardContextual"/>
        </w:rPr>
        <w:t xml:space="preserve"> EU-wide.</w:t>
      </w:r>
    </w:p>
    <w:p w14:paraId="0EDBEB4E" w14:textId="060AE04A" w:rsidR="00E03252" w:rsidRPr="00D86314" w:rsidRDefault="006244D4" w:rsidP="00A73D29">
      <w:pPr>
        <w:pStyle w:val="ListParagraph"/>
        <w:keepNext/>
        <w:ind w:left="0"/>
        <w:rPr>
          <w:i/>
          <w:iCs/>
          <w:noProof/>
        </w:rPr>
      </w:pPr>
      <w:r w:rsidRPr="00D86314">
        <w:rPr>
          <w:i/>
          <w:iCs/>
          <w:noProof/>
        </w:rPr>
        <w:t xml:space="preserve">1.1.2.2. </w:t>
      </w:r>
      <w:r w:rsidR="002F3FF7" w:rsidRPr="00D86314">
        <w:rPr>
          <w:i/>
          <w:iCs/>
          <w:noProof/>
        </w:rPr>
        <w:t>Option 1</w:t>
      </w:r>
    </w:p>
    <w:p w14:paraId="58577189" w14:textId="76E6E157" w:rsidR="00463E61" w:rsidRPr="00D86314" w:rsidRDefault="00463E61" w:rsidP="00463E61">
      <w:pPr>
        <w:rPr>
          <w:noProof/>
        </w:rPr>
      </w:pPr>
      <w:r w:rsidRPr="00D86314">
        <w:rPr>
          <w:b/>
          <w:noProof/>
        </w:rPr>
        <w:t>Option 1</w:t>
      </w:r>
      <w:r w:rsidRPr="00D86314">
        <w:rPr>
          <w:noProof/>
        </w:rPr>
        <w:t xml:space="preserve"> involves relatively few </w:t>
      </w:r>
      <w:r w:rsidR="77493C27" w:rsidRPr="00D86314">
        <w:rPr>
          <w:noProof/>
        </w:rPr>
        <w:t>new</w:t>
      </w:r>
      <w:r w:rsidRPr="00D86314">
        <w:rPr>
          <w:noProof/>
        </w:rPr>
        <w:t xml:space="preserve"> </w:t>
      </w:r>
      <w:r w:rsidRPr="00D86314">
        <w:rPr>
          <w:i/>
          <w:noProof/>
        </w:rPr>
        <w:t>mandated</w:t>
      </w:r>
      <w:r w:rsidRPr="00D86314">
        <w:rPr>
          <w:noProof/>
        </w:rPr>
        <w:t xml:space="preserve"> actions on the part of Member States, ECN operators or NRAs. As such, while it provides guidance at EU level, it offers significant flexibility regarding the approach taken to copper switch-off, market analysis and the application of ex ante regulation and the choice of wholesale remedies. This means that the effect on costs resulting directly from the EU measure as opposed to national decisions, is likely to be relatively limited.</w:t>
      </w:r>
    </w:p>
    <w:p w14:paraId="2DAB7F8B" w14:textId="77777777" w:rsidR="00463E61" w:rsidRPr="00D86314" w:rsidRDefault="00463E61" w:rsidP="00463E61">
      <w:pPr>
        <w:rPr>
          <w:noProof/>
        </w:rPr>
      </w:pPr>
      <w:r w:rsidRPr="00D86314">
        <w:rPr>
          <w:noProof/>
        </w:rPr>
        <w:t xml:space="preserve">That said, aspects of this option which could result in additional </w:t>
      </w:r>
      <w:r w:rsidRPr="00D86314">
        <w:rPr>
          <w:b/>
          <w:noProof/>
        </w:rPr>
        <w:t>direct costs</w:t>
      </w:r>
      <w:r w:rsidRPr="00D86314">
        <w:rPr>
          <w:noProof/>
        </w:rPr>
        <w:t xml:space="preserve"> resulting from EU legislation are:</w:t>
      </w:r>
    </w:p>
    <w:p w14:paraId="2748CB1E" w14:textId="77777777" w:rsidR="00463E61" w:rsidRPr="00C20A01" w:rsidRDefault="00463E61" w:rsidP="00463E61">
      <w:pPr>
        <w:pStyle w:val="bullettext"/>
        <w:rPr>
          <w:rFonts w:ascii="Times New Roman" w:hAnsi="Times New Roman"/>
          <w:sz w:val="24"/>
        </w:rPr>
      </w:pPr>
      <w:r w:rsidRPr="00C20A01">
        <w:rPr>
          <w:rFonts w:ascii="Times New Roman" w:hAnsi="Times New Roman"/>
          <w:sz w:val="24"/>
        </w:rPr>
        <w:t>The requirement for Member States to produce FTTH and copper switch-off plans</w:t>
      </w:r>
    </w:p>
    <w:p w14:paraId="2EA50CA6" w14:textId="77777777" w:rsidR="00463E61" w:rsidRPr="00C20A01" w:rsidRDefault="00463E61" w:rsidP="00463E61">
      <w:pPr>
        <w:pStyle w:val="bullettext"/>
        <w:rPr>
          <w:rFonts w:ascii="Times New Roman" w:hAnsi="Times New Roman"/>
          <w:sz w:val="24"/>
        </w:rPr>
      </w:pPr>
      <w:r w:rsidRPr="00C20A01">
        <w:rPr>
          <w:rFonts w:ascii="Times New Roman" w:hAnsi="Times New Roman"/>
          <w:sz w:val="24"/>
        </w:rPr>
        <w:t>Requirement for national authorities to collect geographic data and assess progress regarding FTTH deployment and copper switch-off</w:t>
      </w:r>
    </w:p>
    <w:p w14:paraId="0CE3127A" w14:textId="77777777" w:rsidR="00463E61" w:rsidRPr="00C20A01" w:rsidRDefault="00463E61" w:rsidP="00463E61">
      <w:pPr>
        <w:pStyle w:val="bullettext"/>
        <w:rPr>
          <w:rFonts w:ascii="Times New Roman" w:hAnsi="Times New Roman"/>
          <w:sz w:val="24"/>
        </w:rPr>
      </w:pPr>
      <w:r w:rsidRPr="00C20A01">
        <w:rPr>
          <w:rFonts w:ascii="Times New Roman" w:hAnsi="Times New Roman"/>
          <w:sz w:val="24"/>
        </w:rPr>
        <w:t>The requirement for BEREC to develop and adopt Guidelines on best practice wholesale products</w:t>
      </w:r>
    </w:p>
    <w:p w14:paraId="7E488172" w14:textId="44C62D5B" w:rsidR="00463E61" w:rsidRPr="00C20A01" w:rsidRDefault="00463E61" w:rsidP="00463E61">
      <w:pPr>
        <w:pStyle w:val="bullettext"/>
        <w:numPr>
          <w:ilvl w:val="0"/>
          <w:numId w:val="0"/>
        </w:numPr>
        <w:rPr>
          <w:rFonts w:ascii="Times New Roman" w:hAnsi="Times New Roman"/>
          <w:sz w:val="24"/>
        </w:rPr>
      </w:pPr>
      <w:r w:rsidRPr="00C20A01">
        <w:rPr>
          <w:rFonts w:ascii="Times New Roman" w:hAnsi="Times New Roman"/>
          <w:sz w:val="24"/>
        </w:rPr>
        <w:t xml:space="preserve">Although Option 1 sets a target for copper switch-off of 2030, this is non-binding. This means that the ultimate decision on the CSO date will continue to lie with copper network owners. While national administrations themselves could decide to require copper switch-off under certain conditions, this would not result from obligations at EU level. </w:t>
      </w:r>
    </w:p>
    <w:p w14:paraId="5ACD3863" w14:textId="77777777" w:rsidR="00463E61" w:rsidRPr="00C20A01" w:rsidRDefault="00463E61" w:rsidP="00463E61">
      <w:pPr>
        <w:pStyle w:val="bullettext"/>
        <w:numPr>
          <w:ilvl w:val="0"/>
          <w:numId w:val="0"/>
        </w:numPr>
        <w:rPr>
          <w:rFonts w:ascii="Times New Roman" w:hAnsi="Times New Roman"/>
          <w:sz w:val="24"/>
        </w:rPr>
      </w:pPr>
      <w:r w:rsidRPr="00C20A01">
        <w:rPr>
          <w:rFonts w:ascii="Times New Roman" w:hAnsi="Times New Roman"/>
          <w:sz w:val="24"/>
        </w:rPr>
        <w:t xml:space="preserve">In large part, due to the non-binding nature of the provisions, this option is not associated with material </w:t>
      </w:r>
      <w:r w:rsidRPr="00C20A01">
        <w:rPr>
          <w:rFonts w:ascii="Times New Roman" w:hAnsi="Times New Roman"/>
          <w:b/>
          <w:sz w:val="24"/>
        </w:rPr>
        <w:t>indirect costs and unintended effects.</w:t>
      </w:r>
      <w:r w:rsidRPr="00C20A01">
        <w:rPr>
          <w:rFonts w:ascii="Times New Roman" w:hAnsi="Times New Roman"/>
          <w:sz w:val="24"/>
        </w:rPr>
        <w:t xml:space="preserve"> </w:t>
      </w:r>
    </w:p>
    <w:p w14:paraId="4788C201" w14:textId="0F8F8838" w:rsidR="002F3FF7" w:rsidRPr="00D86314" w:rsidRDefault="005D34DB" w:rsidP="00A73D29">
      <w:pPr>
        <w:pStyle w:val="ListParagraph"/>
        <w:numPr>
          <w:ilvl w:val="3"/>
          <w:numId w:val="142"/>
        </w:numPr>
        <w:ind w:left="720"/>
        <w:outlineLvl w:val="2"/>
        <w:rPr>
          <w:i/>
          <w:iCs/>
          <w:noProof/>
        </w:rPr>
      </w:pPr>
      <w:bookmarkStart w:id="265" w:name="_Toc219718450"/>
      <w:r w:rsidRPr="00D86314">
        <w:rPr>
          <w:i/>
          <w:iCs/>
          <w:noProof/>
        </w:rPr>
        <w:t>Option 2</w:t>
      </w:r>
      <w:bookmarkEnd w:id="265"/>
    </w:p>
    <w:p w14:paraId="630DCC7F" w14:textId="77777777" w:rsidR="00A672C1" w:rsidRPr="00C20A01" w:rsidRDefault="00A672C1" w:rsidP="00A672C1">
      <w:pPr>
        <w:pStyle w:val="bullettext"/>
        <w:numPr>
          <w:ilvl w:val="0"/>
          <w:numId w:val="0"/>
        </w:numPr>
        <w:rPr>
          <w:rFonts w:ascii="Times New Roman" w:hAnsi="Times New Roman"/>
          <w:b/>
          <w:bCs/>
          <w:sz w:val="24"/>
          <w:u w:val="single"/>
        </w:rPr>
      </w:pPr>
      <w:r w:rsidRPr="00C20A01">
        <w:rPr>
          <w:rFonts w:ascii="Times New Roman" w:hAnsi="Times New Roman"/>
          <w:b/>
          <w:bCs/>
          <w:sz w:val="24"/>
          <w:u w:val="single"/>
        </w:rPr>
        <w:t>Direct costs:</w:t>
      </w:r>
    </w:p>
    <w:p w14:paraId="236B22D8" w14:textId="77777777" w:rsidR="00A672C1" w:rsidRPr="00C20A01" w:rsidRDefault="00A672C1" w:rsidP="00A672C1">
      <w:pPr>
        <w:pStyle w:val="bullettext"/>
        <w:numPr>
          <w:ilvl w:val="0"/>
          <w:numId w:val="0"/>
        </w:numPr>
        <w:rPr>
          <w:rFonts w:ascii="Times New Roman" w:hAnsi="Times New Roman"/>
          <w:sz w:val="24"/>
        </w:rPr>
      </w:pPr>
      <w:r w:rsidRPr="00C20A01">
        <w:rPr>
          <w:rFonts w:ascii="Times New Roman" w:hAnsi="Times New Roman"/>
          <w:sz w:val="24"/>
        </w:rPr>
        <w:t>Option 2</w:t>
      </w:r>
      <w:r w:rsidRPr="00C20A01">
        <w:rPr>
          <w:rFonts w:ascii="Times New Roman" w:hAnsi="Times New Roman"/>
          <w:b/>
          <w:sz w:val="24"/>
        </w:rPr>
        <w:t xml:space="preserve"> </w:t>
      </w:r>
      <w:r w:rsidRPr="00C20A01">
        <w:rPr>
          <w:rFonts w:ascii="Times New Roman" w:hAnsi="Times New Roman"/>
          <w:sz w:val="24"/>
        </w:rPr>
        <w:t>includes additional mandatory elements, which could result in the following direct costs.</w:t>
      </w:r>
    </w:p>
    <w:p w14:paraId="602471DD" w14:textId="1E5416DE" w:rsidR="00A672C1" w:rsidRPr="00C20A01" w:rsidRDefault="00A672C1" w:rsidP="00A672C1">
      <w:pPr>
        <w:pStyle w:val="bullettext"/>
        <w:rPr>
          <w:rFonts w:ascii="Times New Roman" w:hAnsi="Times New Roman"/>
          <w:sz w:val="24"/>
        </w:rPr>
      </w:pPr>
      <w:r w:rsidRPr="00C20A01">
        <w:rPr>
          <w:rFonts w:ascii="Times New Roman" w:hAnsi="Times New Roman"/>
          <w:sz w:val="24"/>
        </w:rPr>
        <w:t xml:space="preserve">Requirement for Member States to establish </w:t>
      </w:r>
      <w:r w:rsidR="3C493342" w:rsidRPr="00C20A01">
        <w:rPr>
          <w:rFonts w:ascii="Times New Roman" w:hAnsi="Times New Roman"/>
          <w:sz w:val="24"/>
        </w:rPr>
        <w:t>Fibr</w:t>
      </w:r>
      <w:r w:rsidR="002C5E52" w:rsidRPr="00C20A01">
        <w:rPr>
          <w:rFonts w:ascii="Times New Roman" w:hAnsi="Times New Roman"/>
          <w:sz w:val="24"/>
        </w:rPr>
        <w:t>e</w:t>
      </w:r>
      <w:r w:rsidR="3C493342" w:rsidRPr="00C20A01">
        <w:rPr>
          <w:rFonts w:ascii="Times New Roman" w:hAnsi="Times New Roman"/>
          <w:sz w:val="24"/>
        </w:rPr>
        <w:t xml:space="preserve"> Deployment and </w:t>
      </w:r>
      <w:r w:rsidRPr="00C20A01">
        <w:rPr>
          <w:rFonts w:ascii="Times New Roman" w:hAnsi="Times New Roman"/>
          <w:sz w:val="24"/>
        </w:rPr>
        <w:t xml:space="preserve">and </w:t>
      </w:r>
      <w:r w:rsidR="5401AAB8" w:rsidRPr="00C20A01">
        <w:rPr>
          <w:rFonts w:ascii="Times New Roman" w:hAnsi="Times New Roman"/>
          <w:sz w:val="24"/>
        </w:rPr>
        <w:t>C</w:t>
      </w:r>
      <w:r w:rsidRPr="00C20A01">
        <w:rPr>
          <w:rFonts w:ascii="Times New Roman" w:hAnsi="Times New Roman"/>
          <w:sz w:val="24"/>
        </w:rPr>
        <w:t xml:space="preserve">opper switch-off plans </w:t>
      </w:r>
    </w:p>
    <w:p w14:paraId="71310A5E" w14:textId="16688CD2" w:rsidR="00A672C1" w:rsidRPr="00C20A01" w:rsidRDefault="00A672C1" w:rsidP="00A672C1">
      <w:pPr>
        <w:pStyle w:val="bullettext"/>
        <w:rPr>
          <w:rFonts w:ascii="Times New Roman" w:hAnsi="Times New Roman"/>
          <w:sz w:val="24"/>
        </w:rPr>
      </w:pPr>
      <w:r w:rsidRPr="00C20A01">
        <w:rPr>
          <w:rFonts w:ascii="Times New Roman" w:hAnsi="Times New Roman"/>
          <w:sz w:val="24"/>
        </w:rPr>
        <w:t xml:space="preserve">Requirement for Member States to ensure the switch-off of copper networks by 2030 in areas where cetrain conditions are met, and thereafter on a rolling basis </w:t>
      </w:r>
      <w:r w:rsidR="130B5E2B" w:rsidRPr="00C20A01">
        <w:rPr>
          <w:rFonts w:ascii="Times New Roman" w:hAnsi="Times New Roman"/>
          <w:sz w:val="24"/>
        </w:rPr>
        <w:t>with a review mechanism in 2035</w:t>
      </w:r>
      <w:r w:rsidRPr="00C20A01">
        <w:rPr>
          <w:rFonts w:ascii="Times New Roman" w:hAnsi="Times New Roman"/>
          <w:sz w:val="24"/>
        </w:rPr>
        <w:t xml:space="preserve">. </w:t>
      </w:r>
    </w:p>
    <w:p w14:paraId="0167A540" w14:textId="16818CB2" w:rsidR="00A672C1" w:rsidRPr="00C20A01" w:rsidRDefault="00A672C1" w:rsidP="00A672C1">
      <w:pPr>
        <w:pStyle w:val="bullettext"/>
        <w:rPr>
          <w:rFonts w:ascii="Times New Roman" w:hAnsi="Times New Roman"/>
          <w:sz w:val="24"/>
        </w:rPr>
      </w:pPr>
      <w:r w:rsidRPr="00C20A01">
        <w:rPr>
          <w:rFonts w:ascii="Times New Roman" w:hAnsi="Times New Roman"/>
          <w:sz w:val="24"/>
        </w:rPr>
        <w:t xml:space="preserve">Requirement for copper network operators to develop copper switch-off plans and to submit such plans to the NRA </w:t>
      </w:r>
    </w:p>
    <w:p w14:paraId="780CCAAB" w14:textId="321CAE5F" w:rsidR="00A672C1" w:rsidRPr="00C20A01" w:rsidRDefault="00A672C1" w:rsidP="00A672C1">
      <w:pPr>
        <w:pStyle w:val="bullettext"/>
        <w:rPr>
          <w:rFonts w:ascii="Times New Roman" w:hAnsi="Times New Roman"/>
          <w:sz w:val="24"/>
        </w:rPr>
      </w:pPr>
      <w:r w:rsidRPr="00C20A01">
        <w:rPr>
          <w:rFonts w:ascii="Times New Roman" w:hAnsi="Times New Roman"/>
          <w:sz w:val="24"/>
        </w:rPr>
        <w:t>Requirement for national regulatory authorities to collect geographic data and assess progress regarding FTTH deployment and copper switch-off. This would be unlikely to add significantly to costs as most NRAs already gather data on these aspects in the context of Art</w:t>
      </w:r>
      <w:r w:rsidR="00DE56EE">
        <w:rPr>
          <w:rFonts w:ascii="Times New Roman" w:hAnsi="Times New Roman"/>
          <w:sz w:val="24"/>
        </w:rPr>
        <w:t>icle</w:t>
      </w:r>
      <w:r w:rsidR="00F53F9A">
        <w:rPr>
          <w:rFonts w:ascii="Times New Roman" w:hAnsi="Times New Roman"/>
          <w:sz w:val="24"/>
        </w:rPr>
        <w:t> </w:t>
      </w:r>
      <w:r w:rsidRPr="00C20A01">
        <w:rPr>
          <w:rFonts w:ascii="Times New Roman" w:hAnsi="Times New Roman"/>
          <w:sz w:val="24"/>
        </w:rPr>
        <w:t xml:space="preserve">22 EECC and data gathering for BEREC monitoring exercises. However, there would be an increased focus on data gathering relating specifically to copper switch-off and the frequency of data gathering is likely to increase, noting that </w:t>
      </w:r>
      <w:r w:rsidR="00DE56EE">
        <w:rPr>
          <w:rFonts w:ascii="Times New Roman" w:hAnsi="Times New Roman"/>
          <w:sz w:val="24"/>
        </w:rPr>
        <w:t>A</w:t>
      </w:r>
      <w:r w:rsidRPr="00C20A01">
        <w:rPr>
          <w:rFonts w:ascii="Times New Roman" w:hAnsi="Times New Roman"/>
          <w:sz w:val="24"/>
        </w:rPr>
        <w:t>rticle</w:t>
      </w:r>
      <w:r w:rsidR="00F53F9A">
        <w:rPr>
          <w:rFonts w:ascii="Times New Roman" w:hAnsi="Times New Roman"/>
          <w:sz w:val="24"/>
        </w:rPr>
        <w:t> </w:t>
      </w:r>
      <w:r w:rsidRPr="00C20A01">
        <w:rPr>
          <w:rFonts w:ascii="Times New Roman" w:hAnsi="Times New Roman"/>
          <w:sz w:val="24"/>
        </w:rPr>
        <w:t>22 only requires data gathering every 3 years as a minimum.</w:t>
      </w:r>
    </w:p>
    <w:p w14:paraId="1DC80240" w14:textId="50A2E532" w:rsidR="00A672C1" w:rsidRPr="00C20A01" w:rsidRDefault="00A672C1" w:rsidP="00A672C1">
      <w:pPr>
        <w:pStyle w:val="bullettext"/>
        <w:rPr>
          <w:rFonts w:ascii="Times New Roman" w:hAnsi="Times New Roman"/>
          <w:sz w:val="24"/>
        </w:rPr>
      </w:pPr>
      <w:r w:rsidRPr="00C20A01">
        <w:rPr>
          <w:rFonts w:ascii="Times New Roman" w:hAnsi="Times New Roman"/>
          <w:sz w:val="24"/>
        </w:rPr>
        <w:t>Requirement for national regulatory authorities to conduct a market review in relation to copper switch-off plans and expected implications for market dynamics. In connection with such an analysis, NRAs may also be required to mandate a requirement related to drop-cables in areas affected by copper switch-off. This review process and associated obligations is likely to require additional one-off resources in particular where this results in the need for a review earlier than the standard 5 year</w:t>
      </w:r>
      <w:r w:rsidR="00916C9D">
        <w:rPr>
          <w:rFonts w:ascii="Times New Roman" w:hAnsi="Times New Roman"/>
          <w:sz w:val="24"/>
        </w:rPr>
        <w:t>s</w:t>
      </w:r>
      <w:r w:rsidRPr="00C20A01">
        <w:rPr>
          <w:rFonts w:ascii="Times New Roman" w:hAnsi="Times New Roman"/>
          <w:sz w:val="24"/>
        </w:rPr>
        <w:t xml:space="preserve"> cycle and/or for markets that were previously deregulated. It can be expected that most NRAs would conduct a subsequent review at least within 5 years of the review associated with CSO. If the RRM is made optional under this option, then additional analysis may be needed regarding the 3 criteria test to support the continuation of regulation. However, any such additional costs are likely to be counteracted by savings linked to potential deregulation that may arise and/or the increased use of Article</w:t>
      </w:r>
      <w:r w:rsidR="00F53F9A">
        <w:rPr>
          <w:rFonts w:ascii="Times New Roman" w:hAnsi="Times New Roman"/>
          <w:sz w:val="24"/>
        </w:rPr>
        <w:t> </w:t>
      </w:r>
      <w:r w:rsidRPr="00C20A01">
        <w:rPr>
          <w:rFonts w:ascii="Times New Roman" w:hAnsi="Times New Roman"/>
          <w:sz w:val="24"/>
        </w:rPr>
        <w:t>61(3) on existing networks as an alternative to SMP, which may be more cost-efficient</w:t>
      </w:r>
      <w:r w:rsidR="00C20A01">
        <w:rPr>
          <w:rFonts w:ascii="Times New Roman" w:hAnsi="Times New Roman"/>
          <w:sz w:val="24"/>
        </w:rPr>
        <w:t>.</w:t>
      </w:r>
      <w:r w:rsidRPr="00C20A01">
        <w:rPr>
          <w:rFonts w:ascii="Times New Roman" w:hAnsi="Times New Roman"/>
          <w:sz w:val="24"/>
        </w:rPr>
        <w:t xml:space="preserve"> The impact on recurring costs associated with market analysis under this option are thus assumed to be neutral.</w:t>
      </w:r>
    </w:p>
    <w:p w14:paraId="39C4795C" w14:textId="04D883E2" w:rsidR="65FFAC17" w:rsidRPr="00C20A01" w:rsidRDefault="65FFAC17" w:rsidP="0FC84B22">
      <w:pPr>
        <w:pStyle w:val="bullettext"/>
        <w:rPr>
          <w:rFonts w:ascii="Times New Roman" w:hAnsi="Times New Roman"/>
          <w:sz w:val="24"/>
        </w:rPr>
      </w:pPr>
      <w:r w:rsidRPr="00C20A01">
        <w:rPr>
          <w:rFonts w:ascii="Times New Roman" w:hAnsi="Times New Roman"/>
          <w:sz w:val="24"/>
        </w:rPr>
        <w:t xml:space="preserve">Requirement for Member States to review the situation in 2035 and inform the Commission </w:t>
      </w:r>
      <w:r w:rsidR="61E0B0E7" w:rsidRPr="00C20A01">
        <w:rPr>
          <w:rFonts w:ascii="Times New Roman" w:hAnsi="Times New Roman"/>
          <w:sz w:val="24"/>
        </w:rPr>
        <w:t>ac</w:t>
      </w:r>
      <w:r w:rsidRPr="00C20A01">
        <w:rPr>
          <w:rFonts w:ascii="Times New Roman" w:hAnsi="Times New Roman"/>
          <w:sz w:val="24"/>
        </w:rPr>
        <w:t>companied by a Commission scrutiny.</w:t>
      </w:r>
    </w:p>
    <w:p w14:paraId="72846D37" w14:textId="77777777" w:rsidR="00A672C1" w:rsidRPr="00C20A01" w:rsidRDefault="00A672C1" w:rsidP="00A672C1">
      <w:pPr>
        <w:pStyle w:val="bullettext"/>
        <w:rPr>
          <w:rFonts w:ascii="Times New Roman" w:hAnsi="Times New Roman"/>
          <w:sz w:val="24"/>
        </w:rPr>
      </w:pPr>
      <w:r w:rsidRPr="00C20A01">
        <w:rPr>
          <w:rFonts w:ascii="Times New Roman" w:hAnsi="Times New Roman"/>
          <w:sz w:val="24"/>
        </w:rPr>
        <w:t>Requirement for EC in consultation with BEREC to adopt an Implementing Act to establish best practice specifications for wholesale access products, a requirement for NRAs and other competent authorities to take these into account when imposing wholesale access, and for operators to reflect the amended specifications in their wholesale offers</w:t>
      </w:r>
    </w:p>
    <w:p w14:paraId="2EEFFBEF" w14:textId="77777777" w:rsidR="00A672C1" w:rsidRPr="00C20A01" w:rsidRDefault="00A672C1" w:rsidP="00A672C1">
      <w:pPr>
        <w:pStyle w:val="bullettext"/>
        <w:rPr>
          <w:rFonts w:ascii="Times New Roman" w:hAnsi="Times New Roman"/>
          <w:sz w:val="24"/>
        </w:rPr>
      </w:pPr>
      <w:r w:rsidRPr="00C20A01">
        <w:rPr>
          <w:rFonts w:ascii="Times New Roman" w:hAnsi="Times New Roman"/>
          <w:sz w:val="24"/>
        </w:rPr>
        <w:t>Extension of the EC powers to include a veto on remedies (rather than just on SMP). This would be unlikely to add significantly to direct costs as a process already exists to express serious doubts regarding remedies. The existence of a veto power may however result in more cases being pursued in practice.</w:t>
      </w:r>
    </w:p>
    <w:p w14:paraId="47A0C728" w14:textId="77777777" w:rsidR="00A672C1" w:rsidRPr="00C20A01" w:rsidRDefault="00A672C1" w:rsidP="00A672C1">
      <w:pPr>
        <w:pStyle w:val="bullettext"/>
        <w:numPr>
          <w:ilvl w:val="0"/>
          <w:numId w:val="0"/>
        </w:numPr>
        <w:rPr>
          <w:rFonts w:ascii="Times New Roman" w:hAnsi="Times New Roman"/>
          <w:sz w:val="24"/>
        </w:rPr>
      </w:pPr>
      <w:r w:rsidRPr="00C20A01">
        <w:rPr>
          <w:rFonts w:ascii="Times New Roman" w:hAnsi="Times New Roman"/>
          <w:sz w:val="24"/>
        </w:rPr>
        <w:t xml:space="preserve">Direct costs associated with the above measures are </w:t>
      </w:r>
      <w:r w:rsidRPr="00C20A01">
        <w:rPr>
          <w:rFonts w:ascii="Times New Roman" w:hAnsi="Times New Roman"/>
          <w:b/>
          <w:sz w:val="24"/>
        </w:rPr>
        <w:t>mostly administrative</w:t>
      </w:r>
      <w:r w:rsidR="6DF49B1B" w:rsidRPr="00C20A01">
        <w:rPr>
          <w:rFonts w:ascii="Times New Roman" w:hAnsi="Times New Roman"/>
          <w:b/>
          <w:bCs/>
          <w:sz w:val="24"/>
        </w:rPr>
        <w:t xml:space="preserve"> and included in the relevant table</w:t>
      </w:r>
      <w:r w:rsidRPr="00C20A01">
        <w:rPr>
          <w:rFonts w:ascii="Times New Roman" w:hAnsi="Times New Roman"/>
          <w:sz w:val="24"/>
        </w:rPr>
        <w:t xml:space="preserve">. However, the requirement that Member States should ensure that copper network owners start switching off their networks in 2030 in areas </w:t>
      </w:r>
      <w:r w:rsidR="542438F3" w:rsidRPr="00C20A01">
        <w:rPr>
          <w:rFonts w:ascii="Times New Roman" w:hAnsi="Times New Roman"/>
          <w:sz w:val="24"/>
        </w:rPr>
        <w:t xml:space="preserve">where the conditions ae met, </w:t>
      </w:r>
      <w:r w:rsidRPr="00C20A01">
        <w:rPr>
          <w:rFonts w:ascii="Times New Roman" w:hAnsi="Times New Roman"/>
          <w:sz w:val="24"/>
        </w:rPr>
        <w:t>will trigger operational costs for copper network owners, and other affected ECN operators, as well as end-users related to the copper to fibre transition. It is important to note that, as all copper networks will eventually be replaced with fibre, such operational costs would be incurred regardless of any EU obligation. Moreover, in a number of countries (Belgium, Denmark, France, Luxembourg, Malta, Portugal, Romania, Sweden, Spain, Cyprus), this obligation will not entail any additional operational costs compared with the status quo, as CSO has been planned or is likely to take place by 2030.</w:t>
      </w:r>
    </w:p>
    <w:p w14:paraId="5D5EC02E" w14:textId="77777777" w:rsidR="00A672C1" w:rsidRPr="00C20A01" w:rsidRDefault="00A672C1" w:rsidP="00A672C1">
      <w:pPr>
        <w:pStyle w:val="bullettext"/>
        <w:numPr>
          <w:ilvl w:val="0"/>
          <w:numId w:val="0"/>
        </w:numPr>
        <w:rPr>
          <w:rFonts w:ascii="Times New Roman" w:hAnsi="Times New Roman"/>
          <w:sz w:val="24"/>
        </w:rPr>
      </w:pPr>
      <w:r w:rsidRPr="00C20A01">
        <w:rPr>
          <w:rFonts w:ascii="Times New Roman" w:hAnsi="Times New Roman"/>
          <w:sz w:val="24"/>
        </w:rPr>
        <w:t>However, for those countries which would not otherwise achieve CSO by 2030, an EU-wide requirement for Member States to achieve CSO by 2030 will result in operational migration costs being incurred earlier, and may mean that a higher proportion of end-users will be subject to forced migration than would otherwise be the case.</w:t>
      </w:r>
    </w:p>
    <w:p w14:paraId="0F9FD82C" w14:textId="77777777" w:rsidR="00A672C1" w:rsidRPr="00D86314" w:rsidRDefault="00A672C1" w:rsidP="00A672C1">
      <w:pPr>
        <w:rPr>
          <w:noProof/>
        </w:rPr>
      </w:pPr>
      <w:r w:rsidRPr="00D86314">
        <w:rPr>
          <w:noProof/>
        </w:rPr>
        <w:t>As situations vary and limited concrete information is available from literature or via stakeholder consultation, it is not possible to quantify the implementation costs associated with earlier copper switch-off and migration in the affected countries. However, the following information can be given. In this context, it is important to note that while there might be operational costs associated with an acceleration of the process (it is not clear that earlier implementation would affect the level of cost). Meanwhile, accelerating the process is also likely to result in cost savings (both capex and opex) and the release of cashflows from the sale of copper earlier than might otherwise occur. This is further explained below.</w:t>
      </w:r>
    </w:p>
    <w:p w14:paraId="4675AFDB" w14:textId="77777777" w:rsidR="0036499D" w:rsidRPr="00D86314" w:rsidRDefault="0036499D" w:rsidP="0036499D">
      <w:pPr>
        <w:spacing w:after="120" w:line="312" w:lineRule="atLeast"/>
        <w:rPr>
          <w:b/>
          <w:bCs/>
          <w:noProof/>
          <w:u w:val="single"/>
        </w:rPr>
      </w:pPr>
      <w:r w:rsidRPr="00D86314">
        <w:rPr>
          <w:b/>
          <w:bCs/>
          <w:noProof/>
          <w:u w:val="single"/>
        </w:rPr>
        <w:t>Implementation costs associated with copper switch-off</w:t>
      </w:r>
    </w:p>
    <w:p w14:paraId="2BE83170" w14:textId="77777777" w:rsidR="0036499D" w:rsidRPr="00D86314" w:rsidRDefault="0036499D" w:rsidP="0036499D">
      <w:pPr>
        <w:spacing w:after="120" w:line="312" w:lineRule="atLeast"/>
        <w:rPr>
          <w:noProof/>
        </w:rPr>
      </w:pPr>
      <w:r w:rsidRPr="00D86314">
        <w:rPr>
          <w:noProof/>
        </w:rPr>
        <w:t>As an illustration, in the context of the WIK evaluation report on pilot projects for copper switch-off in Germany,</w:t>
      </w:r>
      <w:r w:rsidRPr="00D86314">
        <w:rPr>
          <w:i/>
          <w:iCs/>
          <w:noProof/>
        </w:rPr>
        <w:t xml:space="preserve"> </w:t>
      </w:r>
      <w:r w:rsidRPr="00D86314">
        <w:rPr>
          <w:rStyle w:val="FootnoteReference"/>
          <w:i/>
          <w:iCs/>
          <w:noProof/>
        </w:rPr>
        <w:footnoteReference w:id="231"/>
      </w:r>
      <w:r w:rsidRPr="00D86314">
        <w:rPr>
          <w:noProof/>
        </w:rPr>
        <w:t xml:space="preserve"> the following cost categories were identified as being expenses linked to migration:</w:t>
      </w:r>
    </w:p>
    <w:p w14:paraId="05BD571B" w14:textId="7777777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Clarification of the initial data</w:t>
      </w:r>
    </w:p>
    <w:p w14:paraId="4BC349E0" w14:textId="7777777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Interaction with end customers,</w:t>
      </w:r>
    </w:p>
    <w:p w14:paraId="1DF5F084" w14:textId="7777777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Internal organisational process costs, including manual or IT costs for setting up IT solutions as part of the pilot for customer support and for ordering processes at the wholesale level (DSL transition product)</w:t>
      </w:r>
    </w:p>
    <w:p w14:paraId="7F18BF22" w14:textId="7777777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Interim product in the migration process</w:t>
      </w:r>
    </w:p>
    <w:p w14:paraId="73696A9E" w14:textId="7777777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Cancellation of copper-based wholesale products,</w:t>
      </w:r>
    </w:p>
    <w:p w14:paraId="2E2C2590" w14:textId="7777777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Wholesale charges (incl. infrastructure charges) for FTTH wholesale products,</w:t>
      </w:r>
    </w:p>
    <w:p w14:paraId="6EA9CA05" w14:textId="7777777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End devices at the end customer,</w:t>
      </w:r>
    </w:p>
    <w:p w14:paraId="02B81150" w14:textId="067A6697" w:rsidR="0036499D" w:rsidRPr="00D86314" w:rsidRDefault="0036499D" w:rsidP="00A00C17">
      <w:pPr>
        <w:pStyle w:val="ListParagraph"/>
        <w:numPr>
          <w:ilvl w:val="1"/>
          <w:numId w:val="60"/>
        </w:numPr>
        <w:spacing w:after="120" w:line="312" w:lineRule="atLeast"/>
        <w:ind w:hanging="357"/>
        <w:contextualSpacing w:val="0"/>
        <w:rPr>
          <w:noProof/>
        </w:rPr>
      </w:pPr>
      <w:r w:rsidRPr="00D86314">
        <w:rPr>
          <w:noProof/>
        </w:rPr>
        <w:t>Expenses for measures aimed at end customers as part of the pilot projects.</w:t>
      </w:r>
    </w:p>
    <w:p w14:paraId="64BAAFBB" w14:textId="57A4ACBB" w:rsidR="0036499D" w:rsidRPr="00D86314" w:rsidRDefault="0036499D" w:rsidP="0036499D">
      <w:pPr>
        <w:pStyle w:val="ListParagraph"/>
        <w:rPr>
          <w:noProof/>
        </w:rPr>
      </w:pPr>
      <w:bookmarkStart w:id="266" w:name="_Hlk181266762"/>
      <w:r w:rsidRPr="00D86314">
        <w:rPr>
          <w:noProof/>
        </w:rPr>
        <w:t>Other possible cost categories that were not relevant or not identifiable in the pilot were not considered.</w:t>
      </w:r>
      <w:bookmarkEnd w:id="266"/>
    </w:p>
    <w:p w14:paraId="24FF077C" w14:textId="2D053A20" w:rsidR="0036499D" w:rsidRPr="00D86314" w:rsidRDefault="0036499D" w:rsidP="00623C8D">
      <w:pPr>
        <w:spacing w:before="120"/>
        <w:rPr>
          <w:noProof/>
        </w:rPr>
      </w:pPr>
      <w:r w:rsidRPr="00D86314">
        <w:rPr>
          <w:noProof/>
        </w:rPr>
        <w:t>Other one-off implementation costs identified in a previous (2021) WIK study include</w:t>
      </w:r>
      <w:r w:rsidRPr="00D86314">
        <w:rPr>
          <w:rStyle w:val="FootnoteReference"/>
          <w:noProof/>
        </w:rPr>
        <w:footnoteReference w:id="232"/>
      </w:r>
    </w:p>
    <w:p w14:paraId="66CEF4CA" w14:textId="77777777" w:rsidR="0036499D" w:rsidRPr="00D86314" w:rsidRDefault="0036499D" w:rsidP="00A00C17">
      <w:pPr>
        <w:pStyle w:val="ListParagraph"/>
        <w:numPr>
          <w:ilvl w:val="0"/>
          <w:numId w:val="59"/>
        </w:numPr>
        <w:spacing w:after="160" w:line="259" w:lineRule="auto"/>
        <w:rPr>
          <w:noProof/>
        </w:rPr>
      </w:pPr>
      <w:r w:rsidRPr="00D86314">
        <w:rPr>
          <w:noProof/>
        </w:rPr>
        <w:t>Dismantling of collocation</w:t>
      </w:r>
    </w:p>
    <w:p w14:paraId="2C91D3EF" w14:textId="77777777" w:rsidR="0036499D" w:rsidRPr="00D86314" w:rsidRDefault="0036499D" w:rsidP="00A00C17">
      <w:pPr>
        <w:pStyle w:val="ListParagraph"/>
        <w:numPr>
          <w:ilvl w:val="0"/>
          <w:numId w:val="59"/>
        </w:numPr>
        <w:spacing w:after="160" w:line="259" w:lineRule="auto"/>
        <w:rPr>
          <w:noProof/>
        </w:rPr>
      </w:pPr>
      <w:r w:rsidRPr="00D86314">
        <w:rPr>
          <w:noProof/>
        </w:rPr>
        <w:t>Establishment of new access points with collocation</w:t>
      </w:r>
    </w:p>
    <w:p w14:paraId="4545273F" w14:textId="6E906C67" w:rsidR="0036499D" w:rsidRPr="00D86314" w:rsidRDefault="0036499D">
      <w:pPr>
        <w:pStyle w:val="ListParagraph"/>
        <w:numPr>
          <w:ilvl w:val="0"/>
          <w:numId w:val="59"/>
        </w:numPr>
        <w:spacing w:after="160" w:line="259" w:lineRule="auto"/>
        <w:rPr>
          <w:noProof/>
        </w:rPr>
      </w:pPr>
      <w:r w:rsidRPr="00D86314">
        <w:rPr>
          <w:noProof/>
        </w:rPr>
        <w:t>Dismantling of MSAN and street cabinets</w:t>
      </w:r>
    </w:p>
    <w:p w14:paraId="08FF70EF" w14:textId="77777777" w:rsidR="0036499D" w:rsidRPr="00D86314" w:rsidRDefault="0036499D" w:rsidP="009F3A21">
      <w:pPr>
        <w:spacing w:before="120"/>
        <w:rPr>
          <w:noProof/>
        </w:rPr>
      </w:pPr>
      <w:r w:rsidRPr="00D86314">
        <w:rPr>
          <w:noProof/>
        </w:rPr>
        <w:t>From a regulatory perspective, attention will be needed to how these costs are allocated amongst different players in the context of access regulation.</w:t>
      </w:r>
    </w:p>
    <w:p w14:paraId="667DD4E9" w14:textId="550F1E32" w:rsidR="0036499D" w:rsidRPr="00D86314" w:rsidRDefault="0036499D" w:rsidP="0036499D">
      <w:pPr>
        <w:rPr>
          <w:noProof/>
        </w:rPr>
      </w:pPr>
      <w:r w:rsidRPr="00D86314">
        <w:rPr>
          <w:noProof/>
        </w:rPr>
        <w:t>Regarding values, it is not possible to provide an EU-wide or even a country-based estimate of the non-administrative costs associated with copper switch-off and migration, as there are many variables involved, and it would be necessary to understand the difference in cost relating only to the timing of migration.</w:t>
      </w:r>
    </w:p>
    <w:p w14:paraId="045DCB43" w14:textId="77777777" w:rsidR="0036499D" w:rsidRPr="00D86314" w:rsidRDefault="0036499D" w:rsidP="009F3A21">
      <w:pPr>
        <w:spacing w:before="240"/>
        <w:rPr>
          <w:b/>
          <w:bCs/>
          <w:noProof/>
          <w:u w:val="single"/>
        </w:rPr>
      </w:pPr>
      <w:r w:rsidRPr="00D86314">
        <w:rPr>
          <w:b/>
          <w:bCs/>
          <w:noProof/>
          <w:u w:val="single"/>
        </w:rPr>
        <w:t>Costs (and cost savings) associated with FTTH deployment</w:t>
      </w:r>
    </w:p>
    <w:p w14:paraId="5340D6F2" w14:textId="094BE89F" w:rsidR="0036499D" w:rsidRPr="00D86314" w:rsidRDefault="0036499D" w:rsidP="0036499D">
      <w:pPr>
        <w:rPr>
          <w:noProof/>
        </w:rPr>
      </w:pPr>
      <w:r w:rsidRPr="00D86314">
        <w:rPr>
          <w:noProof/>
        </w:rPr>
        <w:t>Option 2 does not mandate FTTH deployment or mandate CSO except in areas where FTTH coverage is high</w:t>
      </w:r>
      <w:r w:rsidR="2F903D89" w:rsidRPr="00D86314">
        <w:rPr>
          <w:noProof/>
        </w:rPr>
        <w:t xml:space="preserve">. Therefore, </w:t>
      </w:r>
      <w:r w:rsidRPr="00D86314">
        <w:rPr>
          <w:noProof/>
        </w:rPr>
        <w:t xml:space="preserve">costs associated with FTTH deployment cannot be attributed to this option. However, it is relevant to note that this option is likely to incentivise faster and more extensive FTTH deployment and the provision of services at equivalent prices to reach the threshold that would trigger copper switch-off. This would particularly apply to alternative fibre investors or copper network owners that have fibre in a given area falling short of the coverage threshold, and would thus benefit financially from copper switch-off. </w:t>
      </w:r>
    </w:p>
    <w:p w14:paraId="712BD02F" w14:textId="51E52ED7" w:rsidR="0036499D" w:rsidRPr="00D86314" w:rsidRDefault="0036499D" w:rsidP="0036499D">
      <w:pPr>
        <w:rPr>
          <w:noProof/>
        </w:rPr>
      </w:pPr>
      <w:r w:rsidRPr="00D86314">
        <w:rPr>
          <w:noProof/>
        </w:rPr>
        <w:t xml:space="preserve">In practical terms, this option should result in a more rapid release of capex under commercial conditions than under the status quo to achieve full fibre coverage. As regards the amounts that may be released, according to a WIK study for the EC published in 2023, based on data from 2021, there was a remaining capex requirement of approximately </w:t>
      </w:r>
      <w:r w:rsidR="004C1D1B" w:rsidRPr="00D86314">
        <w:rPr>
          <w:noProof/>
        </w:rPr>
        <w:t>EUR </w:t>
      </w:r>
      <w:r w:rsidRPr="00D86314">
        <w:rPr>
          <w:noProof/>
        </w:rPr>
        <w:t>114</w:t>
      </w:r>
      <w:r w:rsidR="0004132A" w:rsidRPr="00D86314">
        <w:rPr>
          <w:noProof/>
        </w:rPr>
        <w:t xml:space="preserve"> billion </w:t>
      </w:r>
      <w:r w:rsidRPr="00D86314">
        <w:rPr>
          <w:noProof/>
        </w:rPr>
        <w:t xml:space="preserve">to achieve 100% coverage of FTTH EU-wide, of which </w:t>
      </w:r>
      <w:r w:rsidR="004C1D1B" w:rsidRPr="00D86314">
        <w:rPr>
          <w:noProof/>
        </w:rPr>
        <w:t>EUR </w:t>
      </w:r>
      <w:r w:rsidRPr="00D86314">
        <w:rPr>
          <w:noProof/>
        </w:rPr>
        <w:t>74</w:t>
      </w:r>
      <w:r w:rsidR="004C1D1B" w:rsidRPr="00D86314">
        <w:rPr>
          <w:noProof/>
        </w:rPr>
        <w:t xml:space="preserve"> </w:t>
      </w:r>
      <w:r w:rsidRPr="00D86314">
        <w:rPr>
          <w:noProof/>
        </w:rPr>
        <w:t>b</w:t>
      </w:r>
      <w:r w:rsidR="004C1D1B" w:rsidRPr="00D86314">
        <w:rPr>
          <w:noProof/>
        </w:rPr>
        <w:t>il</w:t>
      </w:r>
      <w:r w:rsidRPr="00D86314">
        <w:rPr>
          <w:noProof/>
        </w:rPr>
        <w:t>l</w:t>
      </w:r>
      <w:r w:rsidR="004C1D1B" w:rsidRPr="00D86314">
        <w:rPr>
          <w:noProof/>
        </w:rPr>
        <w:t>ion</w:t>
      </w:r>
      <w:r w:rsidRPr="00D86314">
        <w:rPr>
          <w:noProof/>
        </w:rPr>
        <w:t xml:space="preserve"> was estimated to be economically viable without subsidies in a situation of no network duplication (i.e. in the absence of parallel copper or fibre networks). This figure would be reduced to around</w:t>
      </w:r>
      <w:r w:rsidR="0004132A" w:rsidRPr="00D86314">
        <w:rPr>
          <w:noProof/>
        </w:rPr>
        <w:t xml:space="preserve"> </w:t>
      </w:r>
      <w:r w:rsidR="004C1D1B" w:rsidRPr="00D86314">
        <w:rPr>
          <w:noProof/>
        </w:rPr>
        <w:t>EUR </w:t>
      </w:r>
      <w:r w:rsidRPr="00D86314">
        <w:rPr>
          <w:noProof/>
        </w:rPr>
        <w:t>108</w:t>
      </w:r>
      <w:r w:rsidR="004C1D1B" w:rsidRPr="00D86314">
        <w:rPr>
          <w:noProof/>
        </w:rPr>
        <w:t xml:space="preserve"> </w:t>
      </w:r>
      <w:r w:rsidR="00A43729" w:rsidRPr="00D86314">
        <w:rPr>
          <w:noProof/>
        </w:rPr>
        <w:t xml:space="preserve">billion </w:t>
      </w:r>
      <w:r w:rsidRPr="00D86314">
        <w:rPr>
          <w:noProof/>
        </w:rPr>
        <w:t xml:space="preserve">of which around </w:t>
      </w:r>
      <w:r w:rsidR="00A43729" w:rsidRPr="00D86314">
        <w:rPr>
          <w:noProof/>
        </w:rPr>
        <w:t>EUR </w:t>
      </w:r>
      <w:r w:rsidRPr="00D86314">
        <w:rPr>
          <w:noProof/>
        </w:rPr>
        <w:t>29</w:t>
      </w:r>
      <w:r w:rsidR="00A43729" w:rsidRPr="00D86314">
        <w:rPr>
          <w:noProof/>
        </w:rPr>
        <w:t xml:space="preserve"> billion</w:t>
      </w:r>
      <w:r w:rsidRPr="00D86314">
        <w:rPr>
          <w:noProof/>
        </w:rPr>
        <w:t xml:space="preserve"> would be needed in subsidies if 5G FWA is used for the most remote households. This latter figure is more relevant when considering the 95% FTTH threshold that is proposed in the context of option 2. Moreover, if remodelled today, this figure would be significantly lower now as since 2021, FTTP coverage has increased from 50% to 69% (in 2024), thereby reducing the size of the remaining investment need</w:t>
      </w:r>
      <w:r w:rsidRPr="00D86314">
        <w:rPr>
          <w:rStyle w:val="FootnoteReference"/>
          <w:noProof/>
        </w:rPr>
        <w:footnoteReference w:id="233"/>
      </w:r>
      <w:r w:rsidRPr="00D86314">
        <w:rPr>
          <w:noProof/>
        </w:rPr>
        <w:t>.</w:t>
      </w:r>
    </w:p>
    <w:p w14:paraId="38DE9D86" w14:textId="04481FB5" w:rsidR="0036499D" w:rsidRPr="00D86314" w:rsidRDefault="0036499D" w:rsidP="0036499D">
      <w:pPr>
        <w:rPr>
          <w:noProof/>
        </w:rPr>
      </w:pPr>
      <w:r w:rsidRPr="00D86314">
        <w:rPr>
          <w:noProof/>
        </w:rPr>
        <w:t xml:space="preserve">Importantly, noting that the costs and associated commercial viability estimated in the 2023 WIK study were based on a </w:t>
      </w:r>
      <w:r w:rsidRPr="00D86314">
        <w:rPr>
          <w:noProof/>
          <w:u w:val="single"/>
        </w:rPr>
        <w:t>single network, without duplication</w:t>
      </w:r>
      <w:r w:rsidRPr="00D86314">
        <w:rPr>
          <w:noProof/>
        </w:rPr>
        <w:t xml:space="preserve">, a CSO obligation would increase the </w:t>
      </w:r>
      <w:r w:rsidR="6B7FF5A9" w:rsidRPr="00D86314">
        <w:rPr>
          <w:noProof/>
        </w:rPr>
        <w:t xml:space="preserve">percentage of </w:t>
      </w:r>
      <w:r w:rsidRPr="00D86314">
        <w:rPr>
          <w:noProof/>
        </w:rPr>
        <w:t xml:space="preserve">households that would be viably served in the absence of State Aid compared with the status quo, where the continued presence of copper networks reduces take-up and therefore-profitability and economic viability of fibre networks. Option 2 should thus significantly limit the degree to which public funds are required to secure full FTTH coverage compared with the status quo. An update to the 2023 study and associated model would be required to estimate the precise level of savings in public funds associated with a CSO obligation. </w:t>
      </w:r>
    </w:p>
    <w:p w14:paraId="4F4E00A9" w14:textId="77777777" w:rsidR="0036499D" w:rsidRPr="00D86314" w:rsidRDefault="0036499D" w:rsidP="0036499D">
      <w:pPr>
        <w:rPr>
          <w:b/>
          <w:bCs/>
          <w:noProof/>
          <w:u w:val="single"/>
        </w:rPr>
      </w:pPr>
      <w:r w:rsidRPr="00D86314">
        <w:rPr>
          <w:b/>
          <w:bCs/>
          <w:noProof/>
          <w:u w:val="single"/>
        </w:rPr>
        <w:t>Direct benefits via cost reductions and/or accelerated potential to realise cashflows</w:t>
      </w:r>
    </w:p>
    <w:p w14:paraId="7E7C2B35" w14:textId="77777777" w:rsidR="0036499D" w:rsidRPr="00D86314" w:rsidRDefault="0036499D" w:rsidP="0036499D">
      <w:pPr>
        <w:rPr>
          <w:b/>
          <w:bCs/>
          <w:noProof/>
        </w:rPr>
      </w:pPr>
      <w:r w:rsidRPr="00D86314">
        <w:rPr>
          <w:b/>
          <w:bCs/>
          <w:noProof/>
        </w:rPr>
        <w:t>Reductions in total capex</w:t>
      </w:r>
    </w:p>
    <w:p w14:paraId="0CC47E37" w14:textId="2B4ACC45" w:rsidR="0036499D" w:rsidRPr="00D86314" w:rsidRDefault="0036499D" w:rsidP="0036499D">
      <w:pPr>
        <w:rPr>
          <w:noProof/>
        </w:rPr>
      </w:pPr>
      <w:r w:rsidRPr="00D86314">
        <w:rPr>
          <w:noProof/>
        </w:rPr>
        <w:t>It should be noted that a mandated switch-off</w:t>
      </w:r>
      <w:r w:rsidR="2726C8F4" w:rsidRPr="00D86314">
        <w:rPr>
          <w:noProof/>
        </w:rPr>
        <w:t xml:space="preserve">, subject to conditions, </w:t>
      </w:r>
      <w:r w:rsidRPr="00D86314">
        <w:rPr>
          <w:noProof/>
        </w:rPr>
        <w:t>which results in an earlier more time-compressed capex could reduce the total costs that would otherwise arise from sequential network upgrades and individual in-building fibre connections. In this context WIK has modelled the costs of sequential fibre roll-out with reference to the final drop and in-building infrastructure</w:t>
      </w:r>
      <w:r w:rsidRPr="00D86314">
        <w:rPr>
          <w:rStyle w:val="FootnoteReference"/>
          <w:noProof/>
        </w:rPr>
        <w:footnoteReference w:id="234"/>
      </w:r>
      <w:r w:rsidRPr="00D86314">
        <w:rPr>
          <w:noProof/>
        </w:rPr>
        <w:t xml:space="preserve"> and also with reference to fibre roll-out step-by-step for copper to fibre migration, comparing the cost of deploying FTTC</w:t>
      </w:r>
      <w:r w:rsidR="005C3DBE" w:rsidRPr="00D86314">
        <w:rPr>
          <w:rFonts w:ascii="Wingdings" w:eastAsia="Wingdings" w:hAnsi="Wingdings" w:cs="Wingdings"/>
          <w:noProof/>
        </w:rPr>
        <w:t></w:t>
      </w:r>
      <w:r w:rsidRPr="00D86314">
        <w:rPr>
          <w:noProof/>
        </w:rPr>
        <w:t>FTTB / FTTC</w:t>
      </w:r>
      <w:r w:rsidR="001F7BCB" w:rsidRPr="00D86314">
        <w:rPr>
          <w:rFonts w:ascii="Wingdings" w:eastAsia="Wingdings" w:hAnsi="Wingdings" w:cs="Wingdings"/>
          <w:noProof/>
        </w:rPr>
        <w:t></w:t>
      </w:r>
      <w:r w:rsidRPr="00D86314">
        <w:rPr>
          <w:noProof/>
        </w:rPr>
        <w:t>FTTH / FTTB</w:t>
      </w:r>
      <w:r w:rsidR="001F7BCB" w:rsidRPr="00D86314">
        <w:rPr>
          <w:rFonts w:ascii="Wingdings" w:eastAsia="Wingdings" w:hAnsi="Wingdings" w:cs="Wingdings"/>
          <w:noProof/>
        </w:rPr>
        <w:t></w:t>
      </w:r>
      <w:r w:rsidRPr="00D86314">
        <w:rPr>
          <w:noProof/>
        </w:rPr>
        <w:t xml:space="preserve">FTTH, vs. deploying FTTH without intermediate steps. </w:t>
      </w:r>
    </w:p>
    <w:p w14:paraId="7C928BF5" w14:textId="77777777" w:rsidR="0036499D" w:rsidRPr="00D86314" w:rsidRDefault="0036499D" w:rsidP="0036499D">
      <w:pPr>
        <w:rPr>
          <w:noProof/>
        </w:rPr>
      </w:pPr>
      <w:r w:rsidRPr="00D86314">
        <w:rPr>
          <w:noProof/>
        </w:rPr>
        <w:t>Some estimates follow for the German market:</w:t>
      </w:r>
    </w:p>
    <w:p w14:paraId="7982E1E5" w14:textId="0304E830" w:rsidR="0036499D" w:rsidRPr="00D86314" w:rsidRDefault="0036499D" w:rsidP="0036499D">
      <w:pPr>
        <w:rPr>
          <w:noProof/>
        </w:rPr>
      </w:pPr>
      <w:r w:rsidRPr="00D86314">
        <w:rPr>
          <w:noProof/>
        </w:rPr>
        <w:t xml:space="preserve">The results for a direct migration path from FTTN (fibre to the node) to FTTH PtP in Germany are total investments of 61 bn. </w:t>
      </w:r>
      <w:r w:rsidR="0004132A" w:rsidRPr="00D86314">
        <w:rPr>
          <w:noProof/>
        </w:rPr>
        <w:t xml:space="preserve">EUR, </w:t>
      </w:r>
      <w:r w:rsidRPr="00D86314">
        <w:rPr>
          <w:noProof/>
        </w:rPr>
        <w:t xml:space="preserve">or per home passed (HP) of </w:t>
      </w:r>
      <w:r w:rsidR="0004132A" w:rsidRPr="00D86314">
        <w:rPr>
          <w:noProof/>
        </w:rPr>
        <w:t>EUR </w:t>
      </w:r>
      <w:r w:rsidRPr="00D86314">
        <w:rPr>
          <w:noProof/>
        </w:rPr>
        <w:t xml:space="preserve">1,379. For the actual sequential deployment of FTTN through FTTC and FTTB to FTTH PtP the investments sum up to </w:t>
      </w:r>
      <w:r w:rsidR="003E4416" w:rsidRPr="00D86314">
        <w:rPr>
          <w:noProof/>
        </w:rPr>
        <w:t>EUR </w:t>
      </w:r>
      <w:r w:rsidRPr="00D86314">
        <w:rPr>
          <w:noProof/>
        </w:rPr>
        <w:t>114.8 b</w:t>
      </w:r>
      <w:r w:rsidR="0004132A" w:rsidRPr="00D86314">
        <w:rPr>
          <w:noProof/>
        </w:rPr>
        <w:t>illio</w:t>
      </w:r>
      <w:r w:rsidRPr="00D86314">
        <w:rPr>
          <w:noProof/>
        </w:rPr>
        <w:t xml:space="preserve">n and the stranded investment (i.e. investments that cannot be re-used in the context of eventual FTTH deployment) sums up to </w:t>
      </w:r>
      <w:r w:rsidR="0091316E" w:rsidRPr="00D86314">
        <w:rPr>
          <w:noProof/>
        </w:rPr>
        <w:t>EUR </w:t>
      </w:r>
      <w:r w:rsidRPr="00D86314">
        <w:rPr>
          <w:noProof/>
        </w:rPr>
        <w:t>6.4 b</w:t>
      </w:r>
      <w:r w:rsidR="00261817" w:rsidRPr="00D86314">
        <w:rPr>
          <w:noProof/>
        </w:rPr>
        <w:t>illio</w:t>
      </w:r>
      <w:r w:rsidRPr="00D86314">
        <w:rPr>
          <w:noProof/>
        </w:rPr>
        <w:t xml:space="preserve">n. This results in capex of </w:t>
      </w:r>
      <w:r w:rsidR="003E4416" w:rsidRPr="00D86314">
        <w:rPr>
          <w:noProof/>
        </w:rPr>
        <w:t>EUR </w:t>
      </w:r>
      <w:r w:rsidRPr="00D86314">
        <w:rPr>
          <w:noProof/>
        </w:rPr>
        <w:t>2,741 per home passed. If the 3 migration steps were made after 42 months (3.5 years) each, the total time taken would be longer than 10.5 years.</w:t>
      </w:r>
    </w:p>
    <w:p w14:paraId="115B683F" w14:textId="70929BB9" w:rsidR="0036499D" w:rsidRPr="00D86314" w:rsidRDefault="0036499D" w:rsidP="0036499D">
      <w:pPr>
        <w:rPr>
          <w:noProof/>
        </w:rPr>
      </w:pPr>
      <w:r w:rsidRPr="00D86314">
        <w:rPr>
          <w:noProof/>
        </w:rPr>
        <w:t xml:space="preserve">A longer path consisting of 5 steps with observable plausibility would involve starting again with FTTN, using next FTTC, then FTTS (fibre to the street) and proceeding towards FTTB PtMP, ending in FTTH PtP as before. Its investment sums up to </w:t>
      </w:r>
      <w:r w:rsidR="001A2F34" w:rsidRPr="00D86314">
        <w:rPr>
          <w:noProof/>
        </w:rPr>
        <w:t>EUR</w:t>
      </w:r>
      <w:r w:rsidR="0091316E" w:rsidRPr="00D86314">
        <w:rPr>
          <w:noProof/>
        </w:rPr>
        <w:t> </w:t>
      </w:r>
      <w:r w:rsidRPr="00D86314">
        <w:rPr>
          <w:noProof/>
        </w:rPr>
        <w:t>128.3 b</w:t>
      </w:r>
      <w:r w:rsidR="001A2F34" w:rsidRPr="00D86314">
        <w:rPr>
          <w:noProof/>
        </w:rPr>
        <w:t>illio</w:t>
      </w:r>
      <w:r w:rsidRPr="00D86314">
        <w:rPr>
          <w:noProof/>
        </w:rPr>
        <w:t xml:space="preserve">n, the accumulated stranded investment to </w:t>
      </w:r>
      <w:r w:rsidR="00A00F9A" w:rsidRPr="00D86314">
        <w:rPr>
          <w:noProof/>
        </w:rPr>
        <w:t>EUR </w:t>
      </w:r>
      <w:r w:rsidRPr="00D86314">
        <w:rPr>
          <w:noProof/>
        </w:rPr>
        <w:t>20.3 b</w:t>
      </w:r>
      <w:r w:rsidR="00A00F9A" w:rsidRPr="00D86314">
        <w:rPr>
          <w:noProof/>
        </w:rPr>
        <w:t>illion</w:t>
      </w:r>
      <w:r w:rsidRPr="00D86314">
        <w:rPr>
          <w:noProof/>
        </w:rPr>
        <w:t xml:space="preserve"> and the investment per home passed to </w:t>
      </w:r>
      <w:r w:rsidR="00A00F9A" w:rsidRPr="00D86314">
        <w:rPr>
          <w:noProof/>
        </w:rPr>
        <w:t>EUR </w:t>
      </w:r>
      <w:r w:rsidRPr="00D86314">
        <w:rPr>
          <w:noProof/>
        </w:rPr>
        <w:t>3</w:t>
      </w:r>
      <w:r w:rsidR="00030306" w:rsidRPr="00D86314">
        <w:rPr>
          <w:noProof/>
        </w:rPr>
        <w:t> </w:t>
      </w:r>
      <w:r w:rsidRPr="00D86314">
        <w:rPr>
          <w:noProof/>
        </w:rPr>
        <w:t xml:space="preserve">361. Not considered, but however relevant in some cases, are additional interim steps in the GPON architecture family for PtMP fibre topologies, causing additional investments into OLTs and ONUs, additional delay and potentially further stranded investment. </w:t>
      </w:r>
    </w:p>
    <w:p w14:paraId="7ABAF37A" w14:textId="77777777" w:rsidR="0036499D" w:rsidRPr="00D86314" w:rsidRDefault="0036499D" w:rsidP="0036499D">
      <w:pPr>
        <w:ind w:left="720"/>
        <w:rPr>
          <w:noProof/>
        </w:rPr>
      </w:pPr>
      <w:r w:rsidRPr="00CA2C0B">
        <w:rPr>
          <w:noProof/>
          <w:lang w:eastAsia="en-GB"/>
        </w:rPr>
        <w:drawing>
          <wp:inline distT="0" distB="0" distL="0" distR="0" wp14:anchorId="60FB751A" wp14:editId="29C845D5">
            <wp:extent cx="3892750" cy="901746"/>
            <wp:effectExtent l="0" t="0" r="0" b="0"/>
            <wp:docPr id="1150632610" name="Grafik 1"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32610" name="Grafik 1" descr="Ein Bild, das Text, Screenshot, Schrift, Zahl enthält.&#10;&#10;KI-generierte Inhalte können fehlerhaft sein."/>
                    <pic:cNvPicPr/>
                  </pic:nvPicPr>
                  <pic:blipFill>
                    <a:blip r:embed="rId153"/>
                    <a:stretch>
                      <a:fillRect/>
                    </a:stretch>
                  </pic:blipFill>
                  <pic:spPr>
                    <a:xfrm>
                      <a:off x="0" y="0"/>
                      <a:ext cx="3892750" cy="901746"/>
                    </a:xfrm>
                    <a:prstGeom prst="rect">
                      <a:avLst/>
                    </a:prstGeom>
                  </pic:spPr>
                </pic:pic>
              </a:graphicData>
            </a:graphic>
          </wp:inline>
        </w:drawing>
      </w:r>
    </w:p>
    <w:p w14:paraId="711B912B" w14:textId="4937407B" w:rsidR="0036499D" w:rsidRPr="00D86314" w:rsidRDefault="0036499D" w:rsidP="0036499D">
      <w:pPr>
        <w:rPr>
          <w:noProof/>
        </w:rPr>
      </w:pPr>
      <w:r w:rsidRPr="00D86314">
        <w:rPr>
          <w:noProof/>
        </w:rPr>
        <w:t xml:space="preserve">When FTTH involves the provision of fibre to MDUs, there is also a specific </w:t>
      </w:r>
      <w:r w:rsidR="001F7BCB" w:rsidRPr="00D86314">
        <w:rPr>
          <w:noProof/>
        </w:rPr>
        <w:t>cost</w:t>
      </w:r>
      <w:r w:rsidRPr="00D86314">
        <w:rPr>
          <w:noProof/>
        </w:rPr>
        <w:t xml:space="preserve"> associated with in-building fibre wiring. Based on interviews conducted in the context of a research project</w:t>
      </w:r>
      <w:r w:rsidR="74B123B7" w:rsidRPr="00D86314">
        <w:rPr>
          <w:noProof/>
        </w:rPr>
        <w:t>,</w:t>
      </w:r>
      <w:r w:rsidRPr="00D86314">
        <w:rPr>
          <w:noProof/>
        </w:rPr>
        <w:t xml:space="preserve"> WIK assumes average costs of in-building wiring per dwelling (from the basement to the dwelling excl. of the drop-connection) of </w:t>
      </w:r>
      <w:r w:rsidR="00260921" w:rsidRPr="00D86314">
        <w:rPr>
          <w:noProof/>
        </w:rPr>
        <w:t>EUR </w:t>
      </w:r>
      <w:r w:rsidRPr="00D86314">
        <w:rPr>
          <w:noProof/>
        </w:rPr>
        <w:t>250-450,</w:t>
      </w:r>
      <w:r w:rsidRPr="00D86314">
        <w:rPr>
          <w:rStyle w:val="FootnoteReference"/>
          <w:noProof/>
        </w:rPr>
        <w:footnoteReference w:id="235"/>
      </w:r>
      <w:r w:rsidRPr="00D86314">
        <w:rPr>
          <w:noProof/>
        </w:rPr>
        <w:t xml:space="preserve"> although some network operators indicate that the cost of in-building connections per dwelling amount to </w:t>
      </w:r>
      <w:r w:rsidR="00D87021" w:rsidRPr="00D86314">
        <w:rPr>
          <w:noProof/>
        </w:rPr>
        <w:t>EUR </w:t>
      </w:r>
      <w:r w:rsidRPr="00D86314">
        <w:rPr>
          <w:noProof/>
        </w:rPr>
        <w:t>800. However, it is important to note that a simultaneous deployment of in-building fibre wiring as would be likely to occur in the context of a CSO obligation is significantly less costly than a sequential deployment, as may occur in the absence of such an obligation. WIK has mode</w:t>
      </w:r>
      <w:r w:rsidR="28A18E3A" w:rsidRPr="00D86314">
        <w:rPr>
          <w:noProof/>
        </w:rPr>
        <w:t>l</w:t>
      </w:r>
      <w:r w:rsidRPr="00D86314">
        <w:rPr>
          <w:noProof/>
        </w:rPr>
        <w:t xml:space="preserve">led the cost of the sequential roll-out out of drop-connections compared with the immediate roll-out in one area and estimates that in Germany each percent of dwellings which have to be rolled-out when extending the network from homes passed to homes connected costs between </w:t>
      </w:r>
      <w:r w:rsidR="00696CF1" w:rsidRPr="00D86314">
        <w:rPr>
          <w:noProof/>
        </w:rPr>
        <w:t>EUR </w:t>
      </w:r>
      <w:r w:rsidRPr="00D86314">
        <w:rPr>
          <w:noProof/>
        </w:rPr>
        <w:t xml:space="preserve">69 and </w:t>
      </w:r>
      <w:r w:rsidR="00696CF1" w:rsidRPr="00D86314">
        <w:rPr>
          <w:noProof/>
        </w:rPr>
        <w:t>EUR </w:t>
      </w:r>
      <w:r w:rsidRPr="00D86314">
        <w:rPr>
          <w:noProof/>
        </w:rPr>
        <w:t xml:space="preserve">108 </w:t>
      </w:r>
      <w:r w:rsidR="000F51A4" w:rsidRPr="00D86314">
        <w:rPr>
          <w:noProof/>
        </w:rPr>
        <w:t>million</w:t>
      </w:r>
      <w:r w:rsidRPr="00D86314">
        <w:rPr>
          <w:noProof/>
        </w:rPr>
        <w:t xml:space="preserve"> .</w:t>
      </w:r>
      <w:r w:rsidRPr="00D86314">
        <w:rPr>
          <w:rStyle w:val="FootnoteReference"/>
          <w:noProof/>
        </w:rPr>
        <w:footnoteReference w:id="236"/>
      </w:r>
      <w:r w:rsidRPr="00D86314">
        <w:rPr>
          <w:noProof/>
        </w:rPr>
        <w:t xml:space="preserve"> Thus a copper switch-off requirement which incentivises simultaneous deployment to all dwellings within a building is likely to imply reduced costs on average compared with sequential deployment.</w:t>
      </w:r>
    </w:p>
    <w:p w14:paraId="499D1695" w14:textId="77777777" w:rsidR="0036499D" w:rsidRPr="00D86314" w:rsidRDefault="0036499D" w:rsidP="00623C8D">
      <w:pPr>
        <w:keepNext/>
        <w:keepLines/>
        <w:rPr>
          <w:b/>
          <w:noProof/>
        </w:rPr>
      </w:pPr>
      <w:r w:rsidRPr="00D86314">
        <w:rPr>
          <w:b/>
          <w:noProof/>
        </w:rPr>
        <w:t>Reductions in operational cost</w:t>
      </w:r>
    </w:p>
    <w:p w14:paraId="2A7824A0" w14:textId="7B160F62" w:rsidR="0036499D" w:rsidRPr="00D86314" w:rsidRDefault="0036499D" w:rsidP="0036499D">
      <w:pPr>
        <w:rPr>
          <w:b/>
          <w:i/>
          <w:noProof/>
        </w:rPr>
      </w:pPr>
      <w:r w:rsidRPr="00D86314">
        <w:rPr>
          <w:noProof/>
        </w:rPr>
        <w:t>According to WIK’s study on migration to fibre and CSO in the context of the Gigabitforum</w:t>
      </w:r>
      <w:r w:rsidRPr="00D86314">
        <w:rPr>
          <w:rStyle w:val="FootnoteReference"/>
          <w:noProof/>
        </w:rPr>
        <w:footnoteReference w:id="237"/>
      </w:r>
      <w:r w:rsidR="3CEBCE29" w:rsidRPr="00D86314">
        <w:rPr>
          <w:noProof/>
        </w:rPr>
        <w:t xml:space="preserve">, </w:t>
      </w:r>
      <w:r w:rsidRPr="00D86314">
        <w:rPr>
          <w:noProof/>
        </w:rPr>
        <w:t>if a telecommunications company operates both an FTTC and an FTTH network in the same area, its operating costs are duplicated in part.</w:t>
      </w:r>
      <w:r w:rsidRPr="00D86314">
        <w:rPr>
          <w:b/>
          <w:i/>
          <w:noProof/>
        </w:rPr>
        <w:t xml:space="preserve"> </w:t>
      </w:r>
      <w:r w:rsidRPr="00D86314">
        <w:rPr>
          <w:noProof/>
        </w:rPr>
        <w:t>FTTH has lower operating costs than the copper network. This is due to no electricity costs, more remote maintenance, fewer faults, and thus lower fault repair costs for FTTH. However, the relative repair costs (per case) are higher for FTTH than for FTTC.</w:t>
      </w:r>
    </w:p>
    <w:p w14:paraId="5E21E770" w14:textId="2A24B4AE" w:rsidR="0036499D" w:rsidRPr="00D86314" w:rsidRDefault="0036499D" w:rsidP="0036499D">
      <w:pPr>
        <w:rPr>
          <w:noProof/>
        </w:rPr>
      </w:pPr>
      <w:r w:rsidRPr="00D86314">
        <w:rPr>
          <w:noProof/>
        </w:rPr>
        <w:t xml:space="preserve">In the interviews conducted for the </w:t>
      </w:r>
      <w:r w:rsidR="00805C1A" w:rsidRPr="00D86314">
        <w:rPr>
          <w:noProof/>
        </w:rPr>
        <w:t>Study on Access Regulation,</w:t>
      </w:r>
      <w:r w:rsidRPr="00D86314">
        <w:rPr>
          <w:noProof/>
        </w:rPr>
        <w:t xml:space="preserve"> supporting the impact assessment, one operator</w:t>
      </w:r>
      <w:r w:rsidRPr="00D86314">
        <w:rPr>
          <w:b/>
          <w:bCs/>
          <w:noProof/>
        </w:rPr>
        <w:t xml:space="preserve"> </w:t>
      </w:r>
      <w:r w:rsidRPr="00D86314">
        <w:rPr>
          <w:noProof/>
        </w:rPr>
        <w:t xml:space="preserve">stated (comparatively and statically) a 30% lower level of operating costs for FTTH compared to the copper network. Estimates or figures from other operators of 50%-60% savings were considered significantly too high. According to calculations based on WIK’s cost models, the operating costs of a </w:t>
      </w:r>
      <w:r w:rsidR="000C7CC9" w:rsidRPr="00D86314">
        <w:rPr>
          <w:noProof/>
        </w:rPr>
        <w:t>fibre</w:t>
      </w:r>
      <w:r w:rsidRPr="00D86314">
        <w:rPr>
          <w:noProof/>
        </w:rPr>
        <w:t xml:space="preserve"> optic connection are in the range of </w:t>
      </w:r>
      <w:r w:rsidR="005B4664" w:rsidRPr="00D86314">
        <w:rPr>
          <w:noProof/>
        </w:rPr>
        <w:t>EUR </w:t>
      </w:r>
      <w:r w:rsidRPr="00D86314">
        <w:rPr>
          <w:noProof/>
        </w:rPr>
        <w:t xml:space="preserve">10 to </w:t>
      </w:r>
      <w:r w:rsidR="008F623F" w:rsidRPr="00D86314">
        <w:rPr>
          <w:noProof/>
        </w:rPr>
        <w:t>EUR </w:t>
      </w:r>
      <w:r w:rsidRPr="00D86314">
        <w:rPr>
          <w:noProof/>
        </w:rPr>
        <w:t>15 per line per year. In contrast, the BNetzA estimates operating costs for copper local loops to be more than</w:t>
      </w:r>
      <w:r w:rsidR="005B4664" w:rsidRPr="00D86314">
        <w:rPr>
          <w:noProof/>
        </w:rPr>
        <w:t xml:space="preserve"> </w:t>
      </w:r>
      <w:r w:rsidR="008940B2" w:rsidRPr="00D86314">
        <w:rPr>
          <w:noProof/>
        </w:rPr>
        <w:t>EUR </w:t>
      </w:r>
      <w:r w:rsidRPr="00D86314">
        <w:rPr>
          <w:noProof/>
        </w:rPr>
        <w:t>15 per line per year.</w:t>
      </w:r>
    </w:p>
    <w:p w14:paraId="55B8A14E" w14:textId="004519BC" w:rsidR="0036499D" w:rsidRPr="00D86314" w:rsidRDefault="0036499D" w:rsidP="0036499D">
      <w:pPr>
        <w:rPr>
          <w:noProof/>
        </w:rPr>
      </w:pPr>
      <w:r w:rsidRPr="00D86314">
        <w:rPr>
          <w:noProof/>
        </w:rPr>
        <w:t xml:space="preserve">Further insights on operational cost savings come from Verizon, which last year said it had upgraded 4.5 million circuits on its network from copper to </w:t>
      </w:r>
      <w:r w:rsidR="000C7CC9" w:rsidRPr="00D86314">
        <w:rPr>
          <w:noProof/>
        </w:rPr>
        <w:t>fibre</w:t>
      </w:r>
      <w:r w:rsidRPr="00D86314">
        <w:rPr>
          <w:noProof/>
        </w:rPr>
        <w:t xml:space="preserve"> and converted 36 of its central office locations to all </w:t>
      </w:r>
      <w:r w:rsidR="000C7CC9" w:rsidRPr="00D86314">
        <w:rPr>
          <w:noProof/>
        </w:rPr>
        <w:t>fibre</w:t>
      </w:r>
      <w:r w:rsidRPr="00D86314">
        <w:rPr>
          <w:noProof/>
        </w:rPr>
        <w:t xml:space="preserve">. The conversion of those 36 central office locations, the company said, had resulted in operational savings of around </w:t>
      </w:r>
      <w:r w:rsidR="005B4664" w:rsidRPr="00D86314">
        <w:rPr>
          <w:noProof/>
        </w:rPr>
        <w:t>USD </w:t>
      </w:r>
      <w:r w:rsidRPr="00D86314">
        <w:rPr>
          <w:noProof/>
        </w:rPr>
        <w:t>180 million.</w:t>
      </w:r>
      <w:r w:rsidRPr="00D86314">
        <w:rPr>
          <w:rStyle w:val="FootnoteReference"/>
          <w:noProof/>
        </w:rPr>
        <w:footnoteReference w:id="238"/>
      </w:r>
    </w:p>
    <w:p w14:paraId="27112393" w14:textId="01B155C7" w:rsidR="0036499D" w:rsidRPr="00D86314" w:rsidRDefault="0036499D" w:rsidP="0036499D">
      <w:pPr>
        <w:rPr>
          <w:noProof/>
        </w:rPr>
      </w:pPr>
      <w:r w:rsidRPr="00D86314">
        <w:rPr>
          <w:noProof/>
        </w:rPr>
        <w:t xml:space="preserve">CSO will also allow for the sale of copper, thereby unlocking significant funds, potentially earlier than might otherwise have been possible. In this context, a recent report suggests that telecom groups globally are forecast to make more than </w:t>
      </w:r>
      <w:r w:rsidR="006D5E2F" w:rsidRPr="00D86314">
        <w:rPr>
          <w:noProof/>
        </w:rPr>
        <w:t>USD </w:t>
      </w:r>
      <w:r w:rsidRPr="00D86314">
        <w:rPr>
          <w:noProof/>
        </w:rPr>
        <w:t>15</w:t>
      </w:r>
      <w:r w:rsidR="00AA7FED" w:rsidRPr="00D86314">
        <w:rPr>
          <w:noProof/>
        </w:rPr>
        <w:t xml:space="preserve"> </w:t>
      </w:r>
      <w:r w:rsidRPr="00D86314">
        <w:rPr>
          <w:noProof/>
        </w:rPr>
        <w:t>b</w:t>
      </w:r>
      <w:r w:rsidR="00AA7FED" w:rsidRPr="00D86314">
        <w:rPr>
          <w:noProof/>
        </w:rPr>
        <w:t>i</w:t>
      </w:r>
      <w:r w:rsidRPr="00D86314">
        <w:rPr>
          <w:noProof/>
        </w:rPr>
        <w:t>l</w:t>
      </w:r>
      <w:r w:rsidR="00AA7FED" w:rsidRPr="00D86314">
        <w:rPr>
          <w:noProof/>
        </w:rPr>
        <w:t>lio</w:t>
      </w:r>
      <w:r w:rsidRPr="00D86314">
        <w:rPr>
          <w:noProof/>
        </w:rPr>
        <w:t>n from the sale of copper over the next 15 years.</w:t>
      </w:r>
      <w:r w:rsidRPr="00D86314">
        <w:rPr>
          <w:rStyle w:val="FootnoteReference"/>
          <w:noProof/>
        </w:rPr>
        <w:footnoteReference w:id="239"/>
      </w:r>
      <w:r w:rsidRPr="00D86314">
        <w:rPr>
          <w:noProof/>
        </w:rPr>
        <w:t xml:space="preserve"> More specific examples come from reports by BT which noted in 2024 that it had netted </w:t>
      </w:r>
      <w:r w:rsidR="00717756" w:rsidRPr="00D86314">
        <w:rPr>
          <w:noProof/>
        </w:rPr>
        <w:t>GBP</w:t>
      </w:r>
      <w:r w:rsidR="006C369F" w:rsidRPr="00D86314">
        <w:rPr>
          <w:noProof/>
        </w:rPr>
        <w:t> </w:t>
      </w:r>
      <w:r w:rsidRPr="00D86314">
        <w:rPr>
          <w:noProof/>
        </w:rPr>
        <w:t>105 million from the sale of its surplus copper cables and expects to "recover up to 200,000 tonnes of copper – in line with customer migrations” by the 2030s.</w:t>
      </w:r>
      <w:r w:rsidRPr="00D86314">
        <w:rPr>
          <w:rStyle w:val="FootnoteReference"/>
          <w:noProof/>
        </w:rPr>
        <w:footnoteReference w:id="240"/>
      </w:r>
      <w:r w:rsidRPr="00D86314">
        <w:rPr>
          <w:noProof/>
        </w:rPr>
        <w:t xml:space="preserve"> Meanwhile, Brazil’s Telefónica|Vivo hopes to raise as much as BRL</w:t>
      </w:r>
      <w:r w:rsidR="005D1E01" w:rsidRPr="00D86314">
        <w:rPr>
          <w:noProof/>
        </w:rPr>
        <w:t> </w:t>
      </w:r>
      <w:r w:rsidRPr="00D86314">
        <w:rPr>
          <w:noProof/>
        </w:rPr>
        <w:t>4.5</w:t>
      </w:r>
      <w:r w:rsidR="001408F8" w:rsidRPr="00D86314">
        <w:rPr>
          <w:noProof/>
        </w:rPr>
        <w:t xml:space="preserve"> </w:t>
      </w:r>
      <w:r w:rsidRPr="00D86314">
        <w:rPr>
          <w:noProof/>
        </w:rPr>
        <w:t>b</w:t>
      </w:r>
      <w:r w:rsidR="005D1E01" w:rsidRPr="00D86314">
        <w:rPr>
          <w:noProof/>
        </w:rPr>
        <w:t>illio</w:t>
      </w:r>
      <w:r w:rsidRPr="00D86314">
        <w:rPr>
          <w:noProof/>
        </w:rPr>
        <w:t>n (</w:t>
      </w:r>
      <w:r w:rsidR="000F7F97" w:rsidRPr="00D86314">
        <w:rPr>
          <w:noProof/>
        </w:rPr>
        <w:t>EUR </w:t>
      </w:r>
      <w:r w:rsidRPr="00D86314">
        <w:rPr>
          <w:noProof/>
        </w:rPr>
        <w:t>711</w:t>
      </w:r>
      <w:r w:rsidR="005D1E01" w:rsidRPr="00D86314">
        <w:rPr>
          <w:noProof/>
        </w:rPr>
        <w:t xml:space="preserve"> </w:t>
      </w:r>
      <w:r w:rsidRPr="00D86314">
        <w:rPr>
          <w:noProof/>
        </w:rPr>
        <w:t>m</w:t>
      </w:r>
      <w:r w:rsidR="005D1E01" w:rsidRPr="00D86314">
        <w:rPr>
          <w:noProof/>
        </w:rPr>
        <w:t>illion</w:t>
      </w:r>
      <w:r w:rsidRPr="00D86314">
        <w:rPr>
          <w:noProof/>
        </w:rPr>
        <w:t>) by selling the physical assets underpinning its legacy fixed-line voice and broadband services.</w:t>
      </w:r>
      <w:r w:rsidRPr="00D86314">
        <w:rPr>
          <w:rStyle w:val="FootnoteReference"/>
          <w:noProof/>
        </w:rPr>
        <w:footnoteReference w:id="241"/>
      </w:r>
    </w:p>
    <w:p w14:paraId="7E05205F" w14:textId="77777777" w:rsidR="0036499D" w:rsidRPr="00C20A01" w:rsidRDefault="0036499D" w:rsidP="0036499D">
      <w:pPr>
        <w:pStyle w:val="bullettext"/>
        <w:numPr>
          <w:ilvl w:val="0"/>
          <w:numId w:val="0"/>
        </w:numPr>
        <w:rPr>
          <w:rFonts w:ascii="Times New Roman" w:hAnsi="Times New Roman"/>
          <w:sz w:val="24"/>
        </w:rPr>
      </w:pPr>
      <w:r w:rsidRPr="00C20A01">
        <w:rPr>
          <w:rFonts w:ascii="Times New Roman" w:hAnsi="Times New Roman"/>
          <w:sz w:val="24"/>
        </w:rPr>
        <w:t xml:space="preserve">Regarding direct costs to consumers and businesses, migration from copper to fibre involves a migration from copper to fibre-based broadband services, and the potential deployment of a new connection (drop-wire) where this has not previously been deployed. However, the safeguards provided in option 2 would mean that mandated CSO would not occur in areas where consumers would be charged more as a result of the migration. </w:t>
      </w:r>
    </w:p>
    <w:p w14:paraId="4F2F4454" w14:textId="5390E521" w:rsidR="0036499D" w:rsidRPr="00C20A01" w:rsidRDefault="0036499D" w:rsidP="006C6F91">
      <w:pPr>
        <w:pStyle w:val="bullettext"/>
        <w:numPr>
          <w:ilvl w:val="0"/>
          <w:numId w:val="0"/>
        </w:numPr>
        <w:spacing w:before="240"/>
        <w:rPr>
          <w:rFonts w:ascii="Times New Roman" w:hAnsi="Times New Roman"/>
          <w:b/>
          <w:sz w:val="24"/>
        </w:rPr>
      </w:pPr>
      <w:r w:rsidRPr="00C20A01">
        <w:rPr>
          <w:rFonts w:ascii="Times New Roman" w:hAnsi="Times New Roman"/>
          <w:b/>
          <w:sz w:val="24"/>
        </w:rPr>
        <w:t>Unintended costs</w:t>
      </w:r>
    </w:p>
    <w:p w14:paraId="5B10CDB9" w14:textId="1FE7F76F" w:rsidR="0036499D" w:rsidRPr="00C20A01" w:rsidRDefault="0036499D" w:rsidP="0FC84B22">
      <w:pPr>
        <w:pStyle w:val="bullettext"/>
        <w:numPr>
          <w:ilvl w:val="0"/>
          <w:numId w:val="0"/>
        </w:numPr>
        <w:rPr>
          <w:rFonts w:ascii="Times New Roman" w:hAnsi="Times New Roman"/>
          <w:sz w:val="24"/>
        </w:rPr>
      </w:pPr>
      <w:r w:rsidRPr="00C20A01">
        <w:rPr>
          <w:rFonts w:ascii="Times New Roman" w:hAnsi="Times New Roman"/>
          <w:sz w:val="24"/>
        </w:rPr>
        <w:t xml:space="preserve">Option 2 limits unintended costs on end-users by ensuring that copper switch-off would only occur in cases where there is 95% FTTH coverage and prices to end-users for similar services would not be higher. It further ensures that consumers passed by the network have a right to be connected to the network as long as they pass within a certain distance that would be determined by the NRA (subject to possible right of refusal by the fibre network operator in case of disproportionality / impossibility of securing the connection). There could be unintended costs for those consumers which fall outside the 95% FTTH coverage. However, </w:t>
      </w:r>
      <w:r w:rsidR="26734C63" w:rsidRPr="00C20A01">
        <w:rPr>
          <w:rFonts w:ascii="Times New Roman" w:hAnsi="Times New Roman"/>
          <w:sz w:val="24"/>
        </w:rPr>
        <w:t xml:space="preserve">the possibility for national authorities to continously review the situation and adopt approppriate remedies in terms of </w:t>
      </w:r>
      <w:r w:rsidR="002C5E52" w:rsidRPr="00C20A01">
        <w:rPr>
          <w:rFonts w:ascii="Times New Roman" w:hAnsi="Times New Roman"/>
          <w:sz w:val="24"/>
        </w:rPr>
        <w:t xml:space="preserve">fibre </w:t>
      </w:r>
      <w:r w:rsidR="26734C63" w:rsidRPr="00C20A01">
        <w:rPr>
          <w:rFonts w:ascii="Times New Roman" w:hAnsi="Times New Roman"/>
          <w:sz w:val="24"/>
        </w:rPr>
        <w:t>deployment or of adopting alternative solutions, even in 2035, where the con</w:t>
      </w:r>
      <w:r w:rsidR="74EA1F3B" w:rsidRPr="00C20A01">
        <w:rPr>
          <w:rFonts w:ascii="Times New Roman" w:hAnsi="Times New Roman"/>
          <w:sz w:val="24"/>
        </w:rPr>
        <w:t>ditions are not met, whould mitigate such risks.</w:t>
      </w:r>
    </w:p>
    <w:p w14:paraId="440FFDA5" w14:textId="2DBD0983" w:rsidR="0036499D" w:rsidRPr="00C20A01" w:rsidRDefault="74EA1F3B" w:rsidP="0FC84B22">
      <w:pPr>
        <w:pStyle w:val="bullettext"/>
        <w:numPr>
          <w:ilvl w:val="0"/>
          <w:numId w:val="0"/>
        </w:numPr>
        <w:rPr>
          <w:rFonts w:ascii="Times New Roman" w:hAnsi="Times New Roman"/>
          <w:sz w:val="24"/>
        </w:rPr>
      </w:pPr>
      <w:r w:rsidRPr="00C20A01">
        <w:rPr>
          <w:rFonts w:ascii="Times New Roman" w:hAnsi="Times New Roman"/>
          <w:sz w:val="24"/>
        </w:rPr>
        <w:t>In addition</w:t>
      </w:r>
      <w:r w:rsidR="0036499D" w:rsidRPr="00C20A01">
        <w:rPr>
          <w:rFonts w:ascii="Times New Roman" w:hAnsi="Times New Roman"/>
          <w:sz w:val="24"/>
        </w:rPr>
        <w:t xml:space="preserve">, provisions on universal service enable Member States to ensure universal availability meeting conditions for adequate broadband, in the event that the market would fail to deliver. </w:t>
      </w:r>
    </w:p>
    <w:p w14:paraId="78FDEEC2" w14:textId="61EAC0E2" w:rsidR="0036499D" w:rsidRPr="00C20A01" w:rsidRDefault="0036499D" w:rsidP="0FC84B22">
      <w:pPr>
        <w:pStyle w:val="bullettext"/>
        <w:numPr>
          <w:ilvl w:val="0"/>
          <w:numId w:val="0"/>
        </w:numPr>
        <w:rPr>
          <w:rFonts w:ascii="Times New Roman" w:hAnsi="Times New Roman"/>
          <w:sz w:val="24"/>
        </w:rPr>
      </w:pPr>
      <w:r w:rsidRPr="00C20A01">
        <w:rPr>
          <w:rFonts w:ascii="Times New Roman" w:hAnsi="Times New Roman"/>
          <w:sz w:val="24"/>
        </w:rPr>
        <w:t xml:space="preserve">Given expected performance levels of new generation wireless and mobile technology as discussed in the </w:t>
      </w:r>
      <w:r w:rsidR="00805C1A" w:rsidRPr="00C20A01">
        <w:rPr>
          <w:rFonts w:ascii="Times New Roman" w:hAnsi="Times New Roman"/>
          <w:sz w:val="24"/>
        </w:rPr>
        <w:t>Study on Finance and USO</w:t>
      </w:r>
      <w:r w:rsidRPr="00C20A01">
        <w:rPr>
          <w:rFonts w:ascii="Times New Roman" w:hAnsi="Times New Roman"/>
          <w:sz w:val="24"/>
        </w:rPr>
        <w:t>, it could be reasonably expected that mobile and wireless connections will allow similar performance to copper networks at the time of copper switch-off at similar prices. For example in Poland and Germany the least expensive double play offers with &gt;= 100 &lt; 200 Mbps are based on LTE/5G, the least expensive &gt;= 200 &lt; 999 Mbps double play offer in Poland is based on LTE/5G, the least expensive &gt;= 100 &lt; 200 Mbps standalone offer in Romania, Slovakia and Sweden is based on LTE or 5G</w:t>
      </w:r>
      <w:r w:rsidR="688D3F8D" w:rsidRPr="00C20A01">
        <w:rPr>
          <w:rFonts w:ascii="Times New Roman" w:hAnsi="Times New Roman"/>
          <w:sz w:val="24"/>
        </w:rPr>
        <w:t>.</w:t>
      </w:r>
    </w:p>
    <w:p w14:paraId="25B7CA5C" w14:textId="77777777" w:rsidR="0036499D" w:rsidRPr="00C20A01" w:rsidRDefault="0036499D" w:rsidP="0036499D">
      <w:pPr>
        <w:pStyle w:val="bullettext"/>
        <w:numPr>
          <w:ilvl w:val="0"/>
          <w:numId w:val="0"/>
        </w:numPr>
        <w:rPr>
          <w:rFonts w:ascii="Times New Roman" w:hAnsi="Times New Roman"/>
          <w:sz w:val="24"/>
        </w:rPr>
      </w:pPr>
      <w:r w:rsidRPr="00C20A01">
        <w:rPr>
          <w:rFonts w:ascii="Times New Roman" w:hAnsi="Times New Roman"/>
          <w:sz w:val="24"/>
        </w:rPr>
        <w:t>If this is not the case, and this results in digital exclusion, then Member States could step in to address the gap</w:t>
      </w:r>
      <w:r w:rsidR="6F3428B7" w:rsidRPr="00C20A01">
        <w:rPr>
          <w:rFonts w:ascii="Times New Roman" w:hAnsi="Times New Roman"/>
          <w:sz w:val="24"/>
        </w:rPr>
        <w:t xml:space="preserve"> as explained above</w:t>
      </w:r>
      <w:r w:rsidRPr="00C20A01">
        <w:rPr>
          <w:rFonts w:ascii="Times New Roman" w:hAnsi="Times New Roman"/>
          <w:sz w:val="24"/>
        </w:rPr>
        <w:t xml:space="preserve">. </w:t>
      </w:r>
      <w:r w:rsidR="4EA86368" w:rsidRPr="00C20A01">
        <w:rPr>
          <w:rFonts w:ascii="Times New Roman" w:hAnsi="Times New Roman"/>
          <w:sz w:val="24"/>
        </w:rPr>
        <w:t>Furthermore, a</w:t>
      </w:r>
      <w:r w:rsidRPr="00C20A01">
        <w:rPr>
          <w:rFonts w:ascii="Times New Roman" w:hAnsi="Times New Roman"/>
          <w:sz w:val="24"/>
        </w:rPr>
        <w:t>ny public expenditure needed to subsidise cost-effective wireless connections for the expected small proportion of households which may remain unserved with FTTH (anticipated at only 2% under option 2), is likely to be significantly lower than the public funds that will be saved as a result of extending the reach of commercially viable FTTH roll-out through copper switch-off. Direct costs in terms of subsidies needed to achieve high FTTH coverage while safeguarding broadband quality for users not passed by FTTH, are thus likely to be significantly lower under Option 2 than under the status quo.</w:t>
      </w:r>
    </w:p>
    <w:p w14:paraId="206AC62E" w14:textId="77777777" w:rsidR="0036499D" w:rsidRPr="00C20A01" w:rsidRDefault="0036499D" w:rsidP="007B41C0">
      <w:pPr>
        <w:pStyle w:val="bullettext"/>
        <w:numPr>
          <w:ilvl w:val="0"/>
          <w:numId w:val="0"/>
        </w:numPr>
        <w:spacing w:before="240"/>
        <w:rPr>
          <w:rFonts w:ascii="Times New Roman" w:hAnsi="Times New Roman"/>
          <w:b/>
          <w:sz w:val="24"/>
        </w:rPr>
      </w:pPr>
      <w:r w:rsidRPr="00C20A01">
        <w:rPr>
          <w:rFonts w:ascii="Times New Roman" w:hAnsi="Times New Roman"/>
          <w:b/>
          <w:sz w:val="24"/>
        </w:rPr>
        <w:t>Costs in relation to benefits</w:t>
      </w:r>
    </w:p>
    <w:p w14:paraId="0111063B" w14:textId="62B19178" w:rsidR="005D34DB" w:rsidRPr="00D86314" w:rsidRDefault="0036499D" w:rsidP="00A672C1">
      <w:pPr>
        <w:rPr>
          <w:noProof/>
        </w:rPr>
      </w:pPr>
      <w:r w:rsidRPr="00D86314">
        <w:rPr>
          <w:noProof/>
        </w:rPr>
        <w:t>As regards assessing the benefits in relation to the costs copper switch-off as envisaged in Option 2 is likely to have significant impacts, in particular in certain countries, on the completion of connections along with the take-up of FTTH and on broadband speeds, without affecting prices. Improvements to the access regime to gather more precise market data, facilitate the use of Article</w:t>
      </w:r>
      <w:r w:rsidR="00F53F9A">
        <w:rPr>
          <w:noProof/>
        </w:rPr>
        <w:t> </w:t>
      </w:r>
      <w:r w:rsidRPr="00D86314">
        <w:rPr>
          <w:noProof/>
        </w:rPr>
        <w:t>61(3), and to foster the implementation of best practice wholesale specifications should also have the effect of boosting competition on price and quality, resulting in take-up of higher speed broadband. Available academic literature suggests that this is likely to have significant and positive knock-on effects on GDP and reduce emissions associated with electronic communications.</w:t>
      </w:r>
    </w:p>
    <w:p w14:paraId="7DB4D759" w14:textId="5620E749" w:rsidR="002F3FF7" w:rsidRPr="00D86314" w:rsidRDefault="001A4358" w:rsidP="00A73D29">
      <w:pPr>
        <w:pStyle w:val="ListParagraph"/>
        <w:numPr>
          <w:ilvl w:val="3"/>
          <w:numId w:val="142"/>
        </w:numPr>
        <w:ind w:left="720"/>
        <w:rPr>
          <w:rFonts w:eastAsiaTheme="majorEastAsia"/>
          <w:noProof/>
        </w:rPr>
      </w:pPr>
      <w:r w:rsidRPr="00D86314">
        <w:rPr>
          <w:rFonts w:eastAsiaTheme="majorEastAsia"/>
          <w:noProof/>
        </w:rPr>
        <w:t>Option 3</w:t>
      </w:r>
    </w:p>
    <w:p w14:paraId="2BEEFF00" w14:textId="4D2D3095" w:rsidR="00B91380" w:rsidRPr="00D86314" w:rsidRDefault="00B91380" w:rsidP="00703057">
      <w:pPr>
        <w:rPr>
          <w:noProof/>
        </w:rPr>
      </w:pPr>
      <w:r w:rsidRPr="00D86314">
        <w:rPr>
          <w:noProof/>
        </w:rPr>
        <w:t>Option 3 would eliminate costs for operators and NRAs related to data gathering and market analysis under SMP regulation and Article</w:t>
      </w:r>
      <w:r w:rsidR="00F53F9A">
        <w:rPr>
          <w:noProof/>
        </w:rPr>
        <w:t> </w:t>
      </w:r>
      <w:r w:rsidRPr="00D86314">
        <w:rPr>
          <w:noProof/>
        </w:rPr>
        <w:t>61(3). However, NRAs would still handle case-by-case dispute resolution, and the EC would review dispute results related to the “bottleneck” test. Evidence from countries like France, which have used dispute-led approaches, suggests this shift could increase costs and create delays due to the case-by-case nature of investigations. This option would reduce NRA oversight on copper switch-off, leading to cost savings for incumbents but potentially causing significant unintended costs for consumers, alternative investors, and broadband providers. Consumers might not be adequately served during copper switch-off, alternative investors could face processes favo</w:t>
      </w:r>
      <w:r w:rsidR="00D90445" w:rsidRPr="00D86314">
        <w:rPr>
          <w:noProof/>
        </w:rPr>
        <w:t>u</w:t>
      </w:r>
      <w:r w:rsidRPr="00D86314">
        <w:rPr>
          <w:noProof/>
        </w:rPr>
        <w:t>ring incumbents, and broadband providers might see deteriorated wholesale access conditions, further weakening their profitability. Only former incumbent operators believe the benefits of this option outweigh the costs</w:t>
      </w:r>
      <w:r w:rsidR="241E280F" w:rsidRPr="00D86314">
        <w:rPr>
          <w:noProof/>
        </w:rPr>
        <w:t>.</w:t>
      </w:r>
    </w:p>
    <w:p w14:paraId="3727CF7E" w14:textId="681C324C" w:rsidR="001A4358" w:rsidRPr="00D86314" w:rsidRDefault="00B91380" w:rsidP="00A73D29">
      <w:pPr>
        <w:pStyle w:val="ListParagraph"/>
        <w:numPr>
          <w:ilvl w:val="3"/>
          <w:numId w:val="142"/>
        </w:numPr>
        <w:ind w:left="720"/>
        <w:rPr>
          <w:rFonts w:eastAsiaTheme="majorEastAsia"/>
          <w:noProof/>
        </w:rPr>
      </w:pPr>
      <w:r w:rsidRPr="00D86314">
        <w:rPr>
          <w:rFonts w:eastAsiaTheme="majorEastAsia"/>
          <w:noProof/>
        </w:rPr>
        <w:t>Option 4</w:t>
      </w:r>
    </w:p>
    <w:p w14:paraId="0AECD68F" w14:textId="112F3953" w:rsidR="00B1661F" w:rsidRPr="00D86314" w:rsidRDefault="00B1661F" w:rsidP="00B1661F">
      <w:pPr>
        <w:rPr>
          <w:noProof/>
        </w:rPr>
      </w:pPr>
      <w:r w:rsidRPr="00D86314">
        <w:rPr>
          <w:b/>
          <w:bCs/>
          <w:noProof/>
        </w:rPr>
        <w:t>Option 4</w:t>
      </w:r>
      <w:r w:rsidRPr="00D86314">
        <w:rPr>
          <w:noProof/>
        </w:rPr>
        <w:t xml:space="preserve"> would involve the following costs as a result of mandated measures.</w:t>
      </w:r>
    </w:p>
    <w:p w14:paraId="16DAE9FD" w14:textId="77777777" w:rsidR="00B1661F" w:rsidRPr="00C20A01" w:rsidRDefault="00B1661F" w:rsidP="00B1661F">
      <w:pPr>
        <w:pStyle w:val="bullettext"/>
        <w:rPr>
          <w:rFonts w:ascii="Times New Roman" w:hAnsi="Times New Roman"/>
          <w:sz w:val="24"/>
        </w:rPr>
      </w:pPr>
      <w:r w:rsidRPr="00C20A01">
        <w:rPr>
          <w:rFonts w:ascii="Times New Roman" w:hAnsi="Times New Roman"/>
          <w:sz w:val="24"/>
        </w:rPr>
        <w:t>Requirement on copper network owners to establish copper switch-off plans and to make arrangements for the switch-off of copper networks by 2030.</w:t>
      </w:r>
    </w:p>
    <w:p w14:paraId="208EBC6F" w14:textId="77777777" w:rsidR="00B1661F" w:rsidRPr="00C20A01" w:rsidRDefault="00B1661F" w:rsidP="00B1661F">
      <w:pPr>
        <w:pStyle w:val="bullettext"/>
        <w:rPr>
          <w:rFonts w:ascii="Times New Roman" w:hAnsi="Times New Roman"/>
          <w:sz w:val="24"/>
        </w:rPr>
      </w:pPr>
      <w:r w:rsidRPr="00C20A01">
        <w:rPr>
          <w:rFonts w:ascii="Times New Roman" w:hAnsi="Times New Roman"/>
          <w:sz w:val="24"/>
        </w:rPr>
        <w:t>Requirement for Member States to establish FTTH coverage plans (as options 1 &amp; 2)</w:t>
      </w:r>
    </w:p>
    <w:p w14:paraId="1EDFB4C2" w14:textId="77777777" w:rsidR="00B1661F" w:rsidRPr="00C20A01" w:rsidRDefault="00B1661F" w:rsidP="00B1661F">
      <w:pPr>
        <w:pStyle w:val="bullettext"/>
        <w:rPr>
          <w:rFonts w:ascii="Times New Roman" w:hAnsi="Times New Roman"/>
          <w:sz w:val="24"/>
        </w:rPr>
      </w:pPr>
      <w:r w:rsidRPr="00C20A01">
        <w:rPr>
          <w:rFonts w:ascii="Times New Roman" w:hAnsi="Times New Roman"/>
          <w:sz w:val="24"/>
        </w:rPr>
        <w:t>Requirement for NRAs to monitor fibre coverage by area</w:t>
      </w:r>
    </w:p>
    <w:p w14:paraId="0726466E" w14:textId="77777777" w:rsidR="00B1661F" w:rsidRPr="00C20A01" w:rsidRDefault="00B1661F" w:rsidP="00B1661F">
      <w:pPr>
        <w:pStyle w:val="bullettext"/>
        <w:rPr>
          <w:rFonts w:ascii="Times New Roman" w:hAnsi="Times New Roman"/>
          <w:sz w:val="24"/>
        </w:rPr>
      </w:pPr>
      <w:r w:rsidRPr="00C20A01">
        <w:rPr>
          <w:rFonts w:ascii="Times New Roman" w:hAnsi="Times New Roman"/>
          <w:sz w:val="24"/>
        </w:rPr>
        <w:t>Requirement for NRAs to collect forecasts and invite declarations in areas which are projected to be underserved</w:t>
      </w:r>
    </w:p>
    <w:p w14:paraId="6268962B" w14:textId="77777777" w:rsidR="00B1661F" w:rsidRPr="00C20A01" w:rsidRDefault="00B1661F" w:rsidP="00B1661F">
      <w:pPr>
        <w:pStyle w:val="bullettext"/>
        <w:rPr>
          <w:rFonts w:ascii="Times New Roman" w:hAnsi="Times New Roman"/>
          <w:sz w:val="24"/>
        </w:rPr>
      </w:pPr>
      <w:r w:rsidRPr="00C20A01">
        <w:rPr>
          <w:rFonts w:ascii="Times New Roman" w:hAnsi="Times New Roman"/>
          <w:sz w:val="24"/>
        </w:rPr>
        <w:t>Requirement for the EC or BEREC to provide guidelines on the terms and conditions for mandatory duct access</w:t>
      </w:r>
    </w:p>
    <w:p w14:paraId="6155CFE7" w14:textId="77777777" w:rsidR="00B1661F" w:rsidRPr="00C20A01" w:rsidRDefault="00B1661F" w:rsidP="00B1661F">
      <w:pPr>
        <w:pStyle w:val="bullettext"/>
        <w:rPr>
          <w:rFonts w:ascii="Times New Roman" w:hAnsi="Times New Roman"/>
          <w:sz w:val="24"/>
        </w:rPr>
      </w:pPr>
      <w:r w:rsidRPr="00C20A01">
        <w:rPr>
          <w:rFonts w:ascii="Times New Roman" w:hAnsi="Times New Roman"/>
          <w:sz w:val="24"/>
        </w:rPr>
        <w:t>Requirement for NRAs to settle disputes in relation to the obligation to make available wholesale access on fair and reasonable terms and conditions, including price</w:t>
      </w:r>
    </w:p>
    <w:p w14:paraId="3415BA6B" w14:textId="77777777" w:rsidR="00B1661F" w:rsidRPr="00C20A01" w:rsidRDefault="00B1661F" w:rsidP="00B1661F">
      <w:pPr>
        <w:pStyle w:val="bullettext"/>
        <w:rPr>
          <w:rFonts w:ascii="Times New Roman" w:hAnsi="Times New Roman"/>
          <w:sz w:val="24"/>
        </w:rPr>
      </w:pPr>
      <w:r w:rsidRPr="00C20A01">
        <w:rPr>
          <w:rFonts w:ascii="Times New Roman" w:hAnsi="Times New Roman"/>
          <w:sz w:val="24"/>
        </w:rPr>
        <w:t>Potential adoption by EC of Implementing Act establishing specifications for bitstream access, following consultation with BEREC</w:t>
      </w:r>
    </w:p>
    <w:p w14:paraId="0AB95A87" w14:textId="755B3BB6" w:rsidR="00B1661F" w:rsidRPr="00D86314" w:rsidRDefault="00B1661F" w:rsidP="00055281">
      <w:pPr>
        <w:spacing w:before="120"/>
        <w:rPr>
          <w:noProof/>
        </w:rPr>
      </w:pPr>
      <w:r w:rsidRPr="00D86314">
        <w:rPr>
          <w:bCs/>
          <w:noProof/>
        </w:rPr>
        <w:t>Option 4</w:t>
      </w:r>
      <w:r w:rsidRPr="00D86314">
        <w:rPr>
          <w:noProof/>
        </w:rPr>
        <w:t xml:space="preserve"> would, like option 3 remove costs associated with data gathering and market analysis linked to the application of SMP regulation and Article</w:t>
      </w:r>
      <w:r w:rsidR="00F53F9A">
        <w:rPr>
          <w:noProof/>
        </w:rPr>
        <w:t> </w:t>
      </w:r>
      <w:r w:rsidRPr="00D86314">
        <w:rPr>
          <w:noProof/>
        </w:rPr>
        <w:t xml:space="preserve">61(3), but would also (like option 3) involve a dispute resolution process. Moreover, unlike option 3, this would apply in a wide set of circumstances due to the symmetric access regulation associated with this option. Experience with the application of the BCRD dispute resolution process – which relates to only a limited set of wholesale products (i.e. access to ducts and poles). This would likely result in higher costs than the current market review process. Costs would also be spread across a broader base of operators, including potentially SMEs. All stakeholder groups with the exception of competent authorities responding to the survey consider that the costs of this option would outweigh the benefits </w:t>
      </w:r>
    </w:p>
    <w:p w14:paraId="4B33DB07" w14:textId="2339E9B6" w:rsidR="00B1661F" w:rsidRPr="00D86314" w:rsidRDefault="007D19DE" w:rsidP="00A73D29">
      <w:pPr>
        <w:pStyle w:val="ListParagraph"/>
        <w:numPr>
          <w:ilvl w:val="2"/>
          <w:numId w:val="142"/>
        </w:numPr>
        <w:rPr>
          <w:rFonts w:eastAsiaTheme="majorEastAsia"/>
          <w:noProof/>
          <w:color w:val="365F91" w:themeColor="accent1" w:themeShade="BF"/>
        </w:rPr>
      </w:pPr>
      <w:bookmarkStart w:id="267" w:name="_Toc214231518"/>
      <w:r w:rsidRPr="00D86314">
        <w:rPr>
          <w:noProof/>
        </w:rPr>
        <w:t>Comparison of direct (administrative) costs</w:t>
      </w:r>
      <w:bookmarkEnd w:id="267"/>
    </w:p>
    <w:p w14:paraId="3A63EEFF" w14:textId="564519BA" w:rsidR="00EA737B" w:rsidRPr="00C20A01" w:rsidRDefault="00EA737B" w:rsidP="00EA737B">
      <w:pPr>
        <w:pStyle w:val="bullettext"/>
        <w:numPr>
          <w:ilvl w:val="0"/>
          <w:numId w:val="0"/>
        </w:numPr>
        <w:rPr>
          <w:rFonts w:ascii="Times New Roman" w:hAnsi="Times New Roman"/>
          <w:sz w:val="24"/>
        </w:rPr>
      </w:pPr>
      <w:r w:rsidRPr="00C20A01">
        <w:rPr>
          <w:rFonts w:ascii="Times New Roman" w:hAnsi="Times New Roman"/>
          <w:sz w:val="24"/>
        </w:rPr>
        <w:t xml:space="preserve">An estimate of the direct FTEs associated with the application of the different options is provided in the following tables along with the status quo. The tables reflect, FTEs for competent authories, FTEs for stakeholders and total FTEs. In making these assumptions, the following factors </w:t>
      </w:r>
      <w:r w:rsidR="00582CF7" w:rsidRPr="00C20A01">
        <w:rPr>
          <w:rFonts w:ascii="Times New Roman" w:hAnsi="Times New Roman"/>
          <w:sz w:val="24"/>
        </w:rPr>
        <w:t xml:space="preserve">have been taken </w:t>
      </w:r>
      <w:r w:rsidRPr="00C20A01">
        <w:rPr>
          <w:rFonts w:ascii="Times New Roman" w:hAnsi="Times New Roman"/>
          <w:sz w:val="24"/>
        </w:rPr>
        <w:t xml:space="preserve">into account. All the calculations are provided by WIK-Consult in the context of the </w:t>
      </w:r>
      <w:r w:rsidR="00805C1A" w:rsidRPr="00C20A01">
        <w:rPr>
          <w:rFonts w:ascii="Times New Roman" w:hAnsi="Times New Roman"/>
          <w:sz w:val="24"/>
        </w:rPr>
        <w:t>Study on Access Regulation,</w:t>
      </w:r>
      <w:r w:rsidRPr="00C20A01">
        <w:rPr>
          <w:rFonts w:ascii="Times New Roman" w:hAnsi="Times New Roman"/>
          <w:sz w:val="24"/>
        </w:rPr>
        <w:t xml:space="preserve"> supporting the impact assessment.</w:t>
      </w:r>
    </w:p>
    <w:p w14:paraId="674F5C16" w14:textId="77777777" w:rsidR="00EA737B" w:rsidRPr="00C20A01" w:rsidRDefault="00EA737B" w:rsidP="00EA737B">
      <w:pPr>
        <w:pStyle w:val="bullettext"/>
        <w:rPr>
          <w:rFonts w:ascii="Times New Roman" w:hAnsi="Times New Roman"/>
          <w:sz w:val="24"/>
        </w:rPr>
      </w:pPr>
      <w:r w:rsidRPr="00C20A01">
        <w:rPr>
          <w:rFonts w:ascii="Times New Roman" w:hAnsi="Times New Roman"/>
          <w:sz w:val="24"/>
        </w:rPr>
        <w:t>Regarding copper switch-off, a high proportion of Member States may already have experts devoted to addressing this topic, even amongst those which have not issued formal plans. For example, there are several activities ongoing in Germany on this subject, including pilot projects (costing 3.5 FTE per year according to an evaluation report</w:t>
      </w:r>
      <w:r w:rsidRPr="00C20A01">
        <w:rPr>
          <w:rStyle w:val="FootnoteReference"/>
          <w:rFonts w:ascii="Times New Roman" w:hAnsi="Times New Roman"/>
          <w:sz w:val="24"/>
        </w:rPr>
        <w:footnoteReference w:id="242"/>
      </w:r>
      <w:r w:rsidRPr="00C20A01">
        <w:rPr>
          <w:rFonts w:ascii="Times New Roman" w:hAnsi="Times New Roman"/>
          <w:sz w:val="24"/>
        </w:rPr>
        <w:t>) and discussions in a stakeholder forum, despite there being no plans announced by the incumbent and no decision from the NRA regarding conditions associated with copper switch-off. Additional costs for options advocating (Option 1) or requiring (Options 2 and 4) a CSO deadline are therefore associated with the expansion of these preparatory activities to those MS not already engaged in such activities and the extension of requirements e.g. to publish and monitor FTTH coverage and switch-off plans. It is assumed that under Option 1 (non-binding CSO) 4 additional FTEs would be involved on average in public authorities per Member State across the EU27. This would be increased to 7 additional FTEs per MS for Option 2 (which would allow an extended period, thus encompassing a timeframe in which resources would have been likely to be engaged under the status quo) and 10.5 for Option 4 (which would require accelerated CSO in 2030 without the potential for extension). This would be a one-off cost, spread over a limited number of years surrounding the CSO process.</w:t>
      </w:r>
    </w:p>
    <w:p w14:paraId="23A9CE9A" w14:textId="7440FFB6" w:rsidR="00EA737B" w:rsidRPr="00C20A01" w:rsidRDefault="00EA737B" w:rsidP="00EA737B">
      <w:pPr>
        <w:pStyle w:val="bullettext"/>
        <w:rPr>
          <w:rFonts w:ascii="Times New Roman" w:hAnsi="Times New Roman"/>
          <w:sz w:val="24"/>
        </w:rPr>
      </w:pPr>
      <w:r w:rsidRPr="00C20A01">
        <w:rPr>
          <w:rFonts w:ascii="Times New Roman" w:hAnsi="Times New Roman"/>
          <w:sz w:val="24"/>
        </w:rPr>
        <w:t>Regarding data gathering / geographic surveys under art 22, NRA questionnaires reveal that a significant amount of data is already gathered through this mechanism including data on coverage of specific technologies. Costs linked to additional data gathering requirements (in relation to Options 1, 2 and 4) therefore relate to the extension of data gathering to MS not already conducting such activities, and any extension in scope e.g. to gather data regarding forecasts, expand data gathering to better support the market analysis process (where this is not already the case) and potential to invite declarations for unserved areas. Options involving data gathering requirements (Option 1, 2 and 4) are anticipated to require set-up costs of 2FTE (centrally e.g. in the EC or BEREC) and 0,5 per NRA. As regards recurring costs, for option 1, it is assumed that the additional data gathering requirements would result in an uplift of 20% in resources associated with Art 22 geographic surveys for public authorities as well as for stakeholders compared with the status quo. This would increase to a 50% uplift for options 2 and 4 due to the additional requirements on reporting, and encouragement to make use of declarations to facilitate fibre deployment. While the expansion of Article</w:t>
      </w:r>
      <w:r w:rsidR="00F53F9A">
        <w:rPr>
          <w:rFonts w:ascii="Times New Roman" w:hAnsi="Times New Roman"/>
          <w:sz w:val="24"/>
        </w:rPr>
        <w:t> </w:t>
      </w:r>
      <w:r w:rsidRPr="00C20A01">
        <w:rPr>
          <w:rFonts w:ascii="Times New Roman" w:hAnsi="Times New Roman"/>
          <w:sz w:val="24"/>
        </w:rPr>
        <w:t xml:space="preserve">22 would be greatest under Option 4, with a requirement to make use of declarations, reporting focused on CSO would be concentrated in a narrower time period under this option. </w:t>
      </w:r>
    </w:p>
    <w:p w14:paraId="18BE4224" w14:textId="73E60916" w:rsidR="00EA737B" w:rsidRPr="00C20A01" w:rsidRDefault="00EA737B" w:rsidP="00EA737B">
      <w:pPr>
        <w:pStyle w:val="bullettext"/>
        <w:rPr>
          <w:rFonts w:ascii="Times New Roman" w:hAnsi="Times New Roman"/>
          <w:sz w:val="24"/>
        </w:rPr>
      </w:pPr>
      <w:r w:rsidRPr="00C20A01">
        <w:rPr>
          <w:rFonts w:ascii="Times New Roman" w:hAnsi="Times New Roman"/>
          <w:sz w:val="24"/>
        </w:rPr>
        <w:t>The requirement to conduct a market review in relation to the copper switch-off process (</w:t>
      </w:r>
      <w:r w:rsidR="004135D9">
        <w:rPr>
          <w:rFonts w:ascii="Times New Roman" w:hAnsi="Times New Roman"/>
          <w:sz w:val="24"/>
        </w:rPr>
        <w:t>o</w:t>
      </w:r>
      <w:r w:rsidRPr="00C20A01">
        <w:rPr>
          <w:rFonts w:ascii="Times New Roman" w:hAnsi="Times New Roman"/>
          <w:sz w:val="24"/>
        </w:rPr>
        <w:t xml:space="preserve">ption 2) is likely to result in increased one-off costs in countries which would need to conduct a market review earlier than the standard 5 year cycle or which would need to analyse markets (such as dedicated access) which may previously have been deregulated. </w:t>
      </w:r>
      <w:r w:rsidR="00B210E5" w:rsidRPr="00C20A01">
        <w:rPr>
          <w:rFonts w:ascii="Times New Roman" w:hAnsi="Times New Roman"/>
          <w:sz w:val="24"/>
        </w:rPr>
        <w:t>O</w:t>
      </w:r>
      <w:r w:rsidRPr="00C20A01">
        <w:rPr>
          <w:rFonts w:ascii="Times New Roman" w:hAnsi="Times New Roman"/>
          <w:sz w:val="24"/>
        </w:rPr>
        <w:t>ne-off costs averaging 2 FTE per NRA</w:t>
      </w:r>
      <w:r w:rsidR="00B210E5" w:rsidRPr="00C20A01">
        <w:rPr>
          <w:rFonts w:ascii="Times New Roman" w:hAnsi="Times New Roman"/>
          <w:sz w:val="24"/>
        </w:rPr>
        <w:t xml:space="preserve"> have been assumed</w:t>
      </w:r>
      <w:r w:rsidRPr="00C20A01">
        <w:rPr>
          <w:rFonts w:ascii="Times New Roman" w:hAnsi="Times New Roman"/>
          <w:sz w:val="24"/>
        </w:rPr>
        <w:t xml:space="preserve">, although this is likely to be concentrated in affected countries. Options (potentially </w:t>
      </w:r>
      <w:r w:rsidR="004135D9">
        <w:rPr>
          <w:rFonts w:ascii="Times New Roman" w:hAnsi="Times New Roman"/>
          <w:sz w:val="24"/>
        </w:rPr>
        <w:t>o</w:t>
      </w:r>
      <w:r w:rsidRPr="00C20A01">
        <w:rPr>
          <w:rFonts w:ascii="Times New Roman" w:hAnsi="Times New Roman"/>
          <w:sz w:val="24"/>
        </w:rPr>
        <w:t>ption 2)</w:t>
      </w:r>
      <w:r w:rsidR="61DD6048" w:rsidRPr="00C20A01">
        <w:rPr>
          <w:rFonts w:ascii="Times New Roman" w:hAnsi="Times New Roman"/>
          <w:sz w:val="24"/>
        </w:rPr>
        <w:t>, to the extent that they</w:t>
      </w:r>
      <w:r w:rsidRPr="00C20A01">
        <w:rPr>
          <w:rFonts w:ascii="Times New Roman" w:hAnsi="Times New Roman"/>
          <w:sz w:val="24"/>
        </w:rPr>
        <w:t xml:space="preserve"> </w:t>
      </w:r>
      <w:r w:rsidR="20BAD86A" w:rsidRPr="00C20A01">
        <w:rPr>
          <w:rFonts w:ascii="Times New Roman" w:hAnsi="Times New Roman"/>
          <w:sz w:val="24"/>
        </w:rPr>
        <w:t>may</w:t>
      </w:r>
      <w:r w:rsidRPr="00C20A01">
        <w:rPr>
          <w:rFonts w:ascii="Times New Roman" w:hAnsi="Times New Roman"/>
          <w:sz w:val="24"/>
        </w:rPr>
        <w:t xml:space="preserve"> involve the removal of an obligation for the EC to adopt a RRM without any requirement in law for NRAs to conduct a market analysis will result in widespread but relatively minor recurring cost increases arising from the requirement to conduct the 3</w:t>
      </w:r>
      <w:r w:rsidR="00A669C0" w:rsidRPr="00C20A01">
        <w:rPr>
          <w:rFonts w:ascii="Times New Roman" w:hAnsi="Times New Roman"/>
          <w:sz w:val="24"/>
        </w:rPr>
        <w:t xml:space="preserve"> </w:t>
      </w:r>
      <w:r w:rsidR="002D29B0" w:rsidRPr="00C20A01">
        <w:rPr>
          <w:rFonts w:ascii="Times New Roman" w:hAnsi="Times New Roman"/>
          <w:sz w:val="24"/>
        </w:rPr>
        <w:t>criteria test</w:t>
      </w:r>
      <w:r w:rsidRPr="00C20A01">
        <w:rPr>
          <w:rFonts w:ascii="Times New Roman" w:hAnsi="Times New Roman"/>
          <w:sz w:val="24"/>
        </w:rPr>
        <w:t xml:space="preserve"> (which is not required today for market reviews of markets included in the RRM), in the event that no RRM is adopted. However, these cost increases are likely to be counterbalanced by cost reductions arising from the reduction in the number of market analyses conducted, leaving costs broadly similar. </w:t>
      </w:r>
    </w:p>
    <w:p w14:paraId="4467B6AC" w14:textId="66FFCCC9" w:rsidR="00EA737B" w:rsidRPr="00C20A01" w:rsidRDefault="00EA737B" w:rsidP="00EA737B">
      <w:pPr>
        <w:pStyle w:val="bullettext"/>
        <w:rPr>
          <w:rFonts w:ascii="Times New Roman" w:hAnsi="Times New Roman"/>
          <w:sz w:val="24"/>
        </w:rPr>
      </w:pPr>
      <w:r w:rsidRPr="00C20A01">
        <w:rPr>
          <w:rFonts w:ascii="Times New Roman" w:hAnsi="Times New Roman"/>
          <w:sz w:val="24"/>
        </w:rPr>
        <w:t>Options (</w:t>
      </w:r>
      <w:r w:rsidR="004135D9">
        <w:rPr>
          <w:rFonts w:ascii="Times New Roman" w:hAnsi="Times New Roman"/>
          <w:sz w:val="24"/>
        </w:rPr>
        <w:t>o</w:t>
      </w:r>
      <w:r w:rsidRPr="00C20A01">
        <w:rPr>
          <w:rFonts w:ascii="Times New Roman" w:hAnsi="Times New Roman"/>
          <w:sz w:val="24"/>
        </w:rPr>
        <w:t xml:space="preserve">ption 3) which involve the removal of SMP regulation and limitation on symmetric regulation under </w:t>
      </w:r>
      <w:r w:rsidR="00F53F9A" w:rsidRPr="00A36024">
        <w:rPr>
          <w:rFonts w:ascii="Times New Roman" w:hAnsi="Times New Roman"/>
          <w:sz w:val="24"/>
        </w:rPr>
        <w:t>A</w:t>
      </w:r>
      <w:r w:rsidRPr="00C20A01">
        <w:rPr>
          <w:rFonts w:ascii="Times New Roman" w:hAnsi="Times New Roman"/>
          <w:sz w:val="24"/>
        </w:rPr>
        <w:t>rticle</w:t>
      </w:r>
      <w:r w:rsidR="004A758B">
        <w:rPr>
          <w:rFonts w:ascii="Times New Roman" w:hAnsi="Times New Roman"/>
          <w:sz w:val="24"/>
        </w:rPr>
        <w:t> </w:t>
      </w:r>
      <w:r w:rsidRPr="00C20A01">
        <w:rPr>
          <w:rFonts w:ascii="Times New Roman" w:hAnsi="Times New Roman"/>
          <w:sz w:val="24"/>
        </w:rPr>
        <w:t xml:space="preserve">61(3) will continue to incur some recurring costs relating to </w:t>
      </w:r>
      <w:r w:rsidR="00F53F9A" w:rsidRPr="00A36024">
        <w:rPr>
          <w:rFonts w:ascii="Times New Roman" w:hAnsi="Times New Roman"/>
          <w:sz w:val="24"/>
        </w:rPr>
        <w:t>A</w:t>
      </w:r>
      <w:r w:rsidRPr="00C20A01">
        <w:rPr>
          <w:rFonts w:ascii="Times New Roman" w:hAnsi="Times New Roman"/>
          <w:sz w:val="24"/>
        </w:rPr>
        <w:t>rticl</w:t>
      </w:r>
      <w:r w:rsidR="00F53F9A">
        <w:rPr>
          <w:rFonts w:ascii="Times New Roman" w:hAnsi="Times New Roman"/>
          <w:sz w:val="24"/>
        </w:rPr>
        <w:t>e </w:t>
      </w:r>
      <w:r w:rsidRPr="00C20A01">
        <w:rPr>
          <w:rFonts w:ascii="Times New Roman" w:hAnsi="Times New Roman"/>
          <w:sz w:val="24"/>
        </w:rPr>
        <w:t>61(3) specifically regarding in-building wiring. In-building wiring obligations currently apply in 7 MS. It is assumed that this number will increase as FTTH deployment and connections expand. 50 FTE have been assumed EU-wide for this activity.</w:t>
      </w:r>
    </w:p>
    <w:p w14:paraId="6A8C9547" w14:textId="5A6A58A3" w:rsidR="00EA737B" w:rsidRPr="00C20A01" w:rsidRDefault="00EA737B" w:rsidP="00EA737B">
      <w:pPr>
        <w:pStyle w:val="bullettext"/>
        <w:rPr>
          <w:rFonts w:ascii="Times New Roman" w:hAnsi="Times New Roman"/>
          <w:sz w:val="24"/>
        </w:rPr>
      </w:pPr>
      <w:r w:rsidRPr="00C20A01">
        <w:rPr>
          <w:rFonts w:ascii="Times New Roman" w:hAnsi="Times New Roman"/>
          <w:sz w:val="24"/>
        </w:rPr>
        <w:t>Options</w:t>
      </w:r>
      <w:r w:rsidR="006D45F8">
        <w:rPr>
          <w:rFonts w:ascii="Times New Roman" w:hAnsi="Times New Roman"/>
          <w:sz w:val="24"/>
        </w:rPr>
        <w:t xml:space="preserve"> </w:t>
      </w:r>
      <w:r w:rsidRPr="00C20A01">
        <w:rPr>
          <w:rFonts w:ascii="Times New Roman" w:hAnsi="Times New Roman"/>
          <w:sz w:val="24"/>
        </w:rPr>
        <w:t>(</w:t>
      </w:r>
      <w:r w:rsidR="004135D9">
        <w:rPr>
          <w:rFonts w:ascii="Times New Roman" w:hAnsi="Times New Roman"/>
          <w:sz w:val="24"/>
        </w:rPr>
        <w:t>o</w:t>
      </w:r>
      <w:r w:rsidRPr="00C20A01">
        <w:rPr>
          <w:rFonts w:ascii="Times New Roman" w:hAnsi="Times New Roman"/>
          <w:sz w:val="24"/>
        </w:rPr>
        <w:t xml:space="preserve">ption 4) which remove SMP and symmetric regulation under </w:t>
      </w:r>
      <w:r w:rsidR="004A758B" w:rsidRPr="00A36024">
        <w:rPr>
          <w:rFonts w:ascii="Times New Roman" w:hAnsi="Times New Roman"/>
          <w:sz w:val="24"/>
        </w:rPr>
        <w:t>A</w:t>
      </w:r>
      <w:r w:rsidRPr="00C20A01">
        <w:rPr>
          <w:rFonts w:ascii="Times New Roman" w:hAnsi="Times New Roman"/>
          <w:sz w:val="24"/>
        </w:rPr>
        <w:t>rticle</w:t>
      </w:r>
      <w:r w:rsidR="004A758B">
        <w:rPr>
          <w:rFonts w:ascii="Times New Roman" w:hAnsi="Times New Roman"/>
          <w:sz w:val="24"/>
        </w:rPr>
        <w:t> </w:t>
      </w:r>
      <w:r w:rsidRPr="00C20A01">
        <w:rPr>
          <w:rFonts w:ascii="Times New Roman" w:hAnsi="Times New Roman"/>
          <w:sz w:val="24"/>
        </w:rPr>
        <w:t xml:space="preserve">61(3) exception in-building wiring, but replace it with a regime subject to dispute resolution will have limited costs linked to SMP / 61(3) (assumed 50 FTE EU-wide as for </w:t>
      </w:r>
      <w:r w:rsidR="004135D9">
        <w:rPr>
          <w:rFonts w:ascii="Times New Roman" w:hAnsi="Times New Roman"/>
          <w:sz w:val="24"/>
        </w:rPr>
        <w:t>o</w:t>
      </w:r>
      <w:r w:rsidRPr="00C20A01">
        <w:rPr>
          <w:rFonts w:ascii="Times New Roman" w:hAnsi="Times New Roman"/>
          <w:sz w:val="24"/>
        </w:rPr>
        <w:t>ption 2), but a significant increase in recurring costs associated with dispute resolution. Dispute resolution costs have been estimated by looking at costs associated with GIA dispute resolution (much of which relates to access conditions). This involved 133 FTE per annum based on data collected from DSBs and involves a single access product and associated information (Physical infrastructure / ducts and poles). It is assumed that there will be more disputes and therefore dispute-related costs in option 4 due to the obligations being applied on all operators than in option 3, where the scope of the access obligation is narrow.</w:t>
      </w:r>
    </w:p>
    <w:p w14:paraId="45D31B8E" w14:textId="05FB3F1F" w:rsidR="00EA737B" w:rsidRPr="00C20A01" w:rsidRDefault="00EA737B" w:rsidP="00EA737B">
      <w:pPr>
        <w:pStyle w:val="bullettext"/>
        <w:rPr>
          <w:rFonts w:ascii="Times New Roman" w:hAnsi="Times New Roman"/>
          <w:sz w:val="24"/>
        </w:rPr>
      </w:pPr>
      <w:r w:rsidRPr="00C20A01">
        <w:rPr>
          <w:rFonts w:ascii="Times New Roman" w:hAnsi="Times New Roman"/>
          <w:sz w:val="24"/>
        </w:rPr>
        <w:t>It is assumed that costs relating to the development of best practice wholesale access specifications will be proportionate to the complexity of the process, with higher costs linked to an EC Implementing Act (option 2) than BEREC guidelines (option 1 – where 2 FTE are assumed for 1 year + inputs from 0.5 FTE for each of the 27 MS), and higher costs linked to specifications for multiple wholesale products (included in options 1 &amp; 2 compared with a single product (bitstream – option 4). It should be noted however that these are one-off costs, and are not likely to persist after 18-24 months. Additional one-off costs may be applicable to regulated firms in the event that wholesale specifications the introduction of or changes in the provision of wholesale products e.g.</w:t>
      </w:r>
      <w:r w:rsidR="002D29B0" w:rsidRPr="00C20A01">
        <w:rPr>
          <w:rFonts w:ascii="Times New Roman" w:hAnsi="Times New Roman"/>
          <w:sz w:val="24"/>
        </w:rPr>
        <w:t>,</w:t>
      </w:r>
      <w:r w:rsidRPr="00C20A01">
        <w:rPr>
          <w:rFonts w:ascii="Times New Roman" w:hAnsi="Times New Roman"/>
          <w:sz w:val="24"/>
        </w:rPr>
        <w:t xml:space="preserve"> to provide additional flexibility in relation to a VULA product.</w:t>
      </w:r>
    </w:p>
    <w:p w14:paraId="1B10B2FE" w14:textId="77777777" w:rsidR="00EA737B" w:rsidRPr="00C20A01" w:rsidRDefault="00EA737B" w:rsidP="00EA737B">
      <w:pPr>
        <w:pStyle w:val="bullettext"/>
        <w:rPr>
          <w:rFonts w:ascii="Times New Roman" w:hAnsi="Times New Roman"/>
          <w:sz w:val="24"/>
        </w:rPr>
      </w:pPr>
      <w:r w:rsidRPr="00C20A01">
        <w:rPr>
          <w:rFonts w:ascii="Times New Roman" w:hAnsi="Times New Roman"/>
          <w:sz w:val="24"/>
        </w:rPr>
        <w:t>From interviews conducted in the context of the IA associated with the EECC,</w:t>
      </w:r>
      <w:r w:rsidRPr="00C20A01">
        <w:rPr>
          <w:rStyle w:val="FootnoteReference"/>
          <w:rFonts w:ascii="Times New Roman" w:hAnsi="Times New Roman"/>
          <w:sz w:val="24"/>
        </w:rPr>
        <w:footnoteReference w:id="243"/>
      </w:r>
      <w:r w:rsidRPr="00C20A01">
        <w:rPr>
          <w:rFonts w:ascii="Times New Roman" w:hAnsi="Times New Roman"/>
          <w:sz w:val="24"/>
        </w:rPr>
        <w:t xml:space="preserve"> it is assumed that stakeholders as a group (mainly ECN and ECS providers) will incur administrative costs of approximately double that applicable to the NRA, with more costs accruing to regulated firms e.g. in the context of SMP regulation then access seekers. These costs are linked to providing data and engaging with the NRA in the market analysis process and subsequent monitoring and enforcement proceedings. </w:t>
      </w:r>
    </w:p>
    <w:p w14:paraId="6AAF88F2" w14:textId="2897EDE4" w:rsidR="00EA737B" w:rsidRPr="00C20A01" w:rsidRDefault="00EA737B" w:rsidP="00EA737B">
      <w:pPr>
        <w:pStyle w:val="bullettext"/>
        <w:rPr>
          <w:rFonts w:ascii="Times New Roman" w:hAnsi="Times New Roman"/>
          <w:sz w:val="24"/>
        </w:rPr>
      </w:pPr>
      <w:r w:rsidRPr="00C20A01">
        <w:rPr>
          <w:rFonts w:ascii="Times New Roman" w:hAnsi="Times New Roman"/>
          <w:sz w:val="24"/>
        </w:rPr>
        <w:t xml:space="preserve">Costs have been derived from estimations regarding changes in FTE requirements on a one-off and recurring basis. The annual cost of an FTE has been calculated based on ISCO values of hourly earnings in 2022 + non-wage labour costs + 25% overhead, assuming that 50% of resources are ISCO 1 (legislators, senior officials and managers) and 50% are ISCO 2 (professionals), and that there are 250 working days per year each involving 8 hours of labour. The resulting annual cost for an FTE is </w:t>
      </w:r>
      <w:r w:rsidR="000C4CF4" w:rsidRPr="00C20A01">
        <w:rPr>
          <w:rFonts w:ascii="Times New Roman" w:hAnsi="Times New Roman"/>
          <w:sz w:val="24"/>
        </w:rPr>
        <w:t>EUR </w:t>
      </w:r>
      <w:r w:rsidRPr="00C20A01">
        <w:rPr>
          <w:rFonts w:ascii="Times New Roman" w:hAnsi="Times New Roman"/>
          <w:sz w:val="24"/>
        </w:rPr>
        <w:t>95</w:t>
      </w:r>
      <w:r w:rsidR="004A758B">
        <w:rPr>
          <w:rFonts w:ascii="Times New Roman" w:hAnsi="Times New Roman"/>
          <w:sz w:val="24"/>
        </w:rPr>
        <w:t> </w:t>
      </w:r>
      <w:r w:rsidRPr="00C20A01">
        <w:rPr>
          <w:rFonts w:ascii="Times New Roman" w:hAnsi="Times New Roman"/>
          <w:sz w:val="24"/>
        </w:rPr>
        <w:t>400.</w:t>
      </w:r>
    </w:p>
    <w:p w14:paraId="6B25A179" w14:textId="188C93C3" w:rsidR="00EA737B" w:rsidRPr="00C20A01" w:rsidRDefault="00EA737B" w:rsidP="00EA737B">
      <w:pPr>
        <w:pStyle w:val="bullettext"/>
        <w:rPr>
          <w:rFonts w:ascii="Times New Roman" w:hAnsi="Times New Roman"/>
          <w:sz w:val="24"/>
        </w:rPr>
      </w:pPr>
      <w:r w:rsidRPr="00C20A01">
        <w:rPr>
          <w:rFonts w:ascii="Times New Roman" w:hAnsi="Times New Roman"/>
          <w:sz w:val="24"/>
        </w:rPr>
        <w:t xml:space="preserve">These tables do not include costs incurred by end-users. These are likely to be substantial if they are required to bear the costs of fibre connections and/or the cost of upgrading legacy equipment. This is possible under </w:t>
      </w:r>
      <w:r w:rsidR="004135D9">
        <w:rPr>
          <w:rFonts w:ascii="Times New Roman" w:hAnsi="Times New Roman"/>
          <w:sz w:val="24"/>
        </w:rPr>
        <w:t>o</w:t>
      </w:r>
      <w:r w:rsidRPr="00C20A01">
        <w:rPr>
          <w:rFonts w:ascii="Times New Roman" w:hAnsi="Times New Roman"/>
          <w:sz w:val="24"/>
        </w:rPr>
        <w:t xml:space="preserve">ption 4 (CSO without </w:t>
      </w:r>
      <w:r w:rsidR="004A758B" w:rsidRPr="00A36024">
        <w:rPr>
          <w:rFonts w:ascii="Times New Roman" w:hAnsi="Times New Roman"/>
          <w:sz w:val="24"/>
        </w:rPr>
        <w:t>sustainability</w:t>
      </w:r>
      <w:r w:rsidRPr="00C20A01">
        <w:rPr>
          <w:rFonts w:ascii="Times New Roman" w:hAnsi="Times New Roman"/>
          <w:sz w:val="24"/>
        </w:rPr>
        <w:t xml:space="preserve"> clause), but is precluded up to 2035 by the conditions linked to CSO under </w:t>
      </w:r>
      <w:r w:rsidR="004135D9">
        <w:rPr>
          <w:rFonts w:ascii="Times New Roman" w:hAnsi="Times New Roman"/>
          <w:sz w:val="24"/>
        </w:rPr>
        <w:t>o</w:t>
      </w:r>
      <w:r w:rsidRPr="00C20A01">
        <w:rPr>
          <w:rFonts w:ascii="Times New Roman" w:hAnsi="Times New Roman"/>
          <w:sz w:val="24"/>
        </w:rPr>
        <w:t>ption 2.</w:t>
      </w:r>
    </w:p>
    <w:p w14:paraId="1DB09EF0" w14:textId="6F44D075" w:rsidR="00EA737B" w:rsidRPr="00D86314" w:rsidRDefault="00EA737B" w:rsidP="006941E0">
      <w:pPr>
        <w:pStyle w:val="Tabberschrift"/>
        <w:spacing w:before="240"/>
        <w:rPr>
          <w:rFonts w:ascii="Times New Roman" w:hAnsi="Times New Roman"/>
          <w:noProof/>
          <w:szCs w:val="22"/>
        </w:rPr>
      </w:pPr>
      <w:r w:rsidRPr="00D86314">
        <w:rPr>
          <w:rFonts w:ascii="Times New Roman" w:hAnsi="Times New Roman"/>
          <w:noProof/>
          <w:szCs w:val="22"/>
        </w:rPr>
        <w:t>Table</w:t>
      </w:r>
      <w:r w:rsidR="008C55A4" w:rsidRPr="00D86314">
        <w:rPr>
          <w:rFonts w:ascii="Times New Roman" w:hAnsi="Times New Roman"/>
          <w:noProof/>
          <w:szCs w:val="22"/>
        </w:rPr>
        <w:t xml:space="preserve"> A9 1-5</w:t>
      </w:r>
      <w:r w:rsidR="001A3EFE">
        <w:rPr>
          <w:rFonts w:ascii="Times New Roman" w:hAnsi="Times New Roman"/>
          <w:noProof/>
          <w:szCs w:val="22"/>
        </w:rPr>
        <w:t>:</w:t>
      </w:r>
      <w:r w:rsidRPr="00D86314">
        <w:rPr>
          <w:rFonts w:ascii="Times New Roman" w:hAnsi="Times New Roman"/>
          <w:noProof/>
          <w:szCs w:val="22"/>
        </w:rPr>
        <w:t>Estimated administrative costs (in FTE per year) to competent authorities</w:t>
      </w:r>
    </w:p>
    <w:tbl>
      <w:tblPr>
        <w:tblStyle w:val="PlainTable1"/>
        <w:tblW w:w="9120" w:type="dxa"/>
        <w:tblLayout w:type="fixed"/>
        <w:tblLook w:val="04A0" w:firstRow="1" w:lastRow="0" w:firstColumn="1" w:lastColumn="0" w:noHBand="0" w:noVBand="1"/>
      </w:tblPr>
      <w:tblGrid>
        <w:gridCol w:w="1140"/>
        <w:gridCol w:w="1140"/>
        <w:gridCol w:w="1140"/>
        <w:gridCol w:w="1140"/>
        <w:gridCol w:w="1140"/>
        <w:gridCol w:w="1140"/>
        <w:gridCol w:w="1140"/>
        <w:gridCol w:w="1140"/>
      </w:tblGrid>
      <w:tr w:rsidR="00EA737B" w:rsidRPr="00D86314" w14:paraId="76CEDE23" w14:textId="77777777" w:rsidTr="00EA737B">
        <w:trPr>
          <w:cnfStyle w:val="100000000000" w:firstRow="1" w:lastRow="0" w:firstColumn="0" w:lastColumn="0" w:oddVBand="0" w:evenVBand="0" w:oddHBand="0" w:evenHBand="0" w:firstRowFirstColumn="0" w:firstRowLastColumn="0" w:lastRowFirstColumn="0" w:lastRowLastColumn="0"/>
          <w:trHeight w:val="1390"/>
        </w:trPr>
        <w:tc>
          <w:tcPr>
            <w:cnfStyle w:val="001000000000" w:firstRow="0" w:lastRow="0" w:firstColumn="1" w:lastColumn="0" w:oddVBand="0" w:evenVBand="0" w:oddHBand="0" w:evenHBand="0" w:firstRowFirstColumn="0" w:firstRowLastColumn="0" w:lastRowFirstColumn="0" w:lastRowLastColumn="0"/>
            <w:tcW w:w="1140" w:type="dxa"/>
            <w:hideMark/>
          </w:tcPr>
          <w:p w14:paraId="1BCE19F5" w14:textId="77777777" w:rsidR="00EA737B" w:rsidRPr="00D86314" w:rsidRDefault="00EA737B" w:rsidP="00EA737B">
            <w:pPr>
              <w:spacing w:after="0"/>
              <w:jc w:val="left"/>
              <w:rPr>
                <w:noProof/>
                <w:sz w:val="16"/>
                <w:szCs w:val="16"/>
                <w:lang w:eastAsia="fr-BE"/>
              </w:rPr>
            </w:pPr>
            <w:r w:rsidRPr="00D86314">
              <w:rPr>
                <w:noProof/>
                <w:sz w:val="16"/>
                <w:szCs w:val="16"/>
              </w:rPr>
              <w:t xml:space="preserve">Option </w:t>
            </w:r>
          </w:p>
        </w:tc>
        <w:tc>
          <w:tcPr>
            <w:tcW w:w="1140" w:type="dxa"/>
            <w:hideMark/>
          </w:tcPr>
          <w:p w14:paraId="4CC68B65"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FTTH and copper switch-off plans and implementation (one-off)</w:t>
            </w:r>
          </w:p>
        </w:tc>
        <w:tc>
          <w:tcPr>
            <w:tcW w:w="1140" w:type="dxa"/>
            <w:hideMark/>
          </w:tcPr>
          <w:p w14:paraId="77DE6ECA"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Data gathering under art 22, forecasts and declarations (one-off)</w:t>
            </w:r>
          </w:p>
        </w:tc>
        <w:tc>
          <w:tcPr>
            <w:tcW w:w="1140" w:type="dxa"/>
            <w:hideMark/>
          </w:tcPr>
          <w:p w14:paraId="2B4D3811"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Data gathering under art 22, forecasts and declarations (recurring)</w:t>
            </w:r>
          </w:p>
        </w:tc>
        <w:tc>
          <w:tcPr>
            <w:tcW w:w="1140" w:type="dxa"/>
            <w:hideMark/>
          </w:tcPr>
          <w:p w14:paraId="4C6CA13E"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Market analysis, SMP and symmetric (art 61(3)) regulation one-off</w:t>
            </w:r>
          </w:p>
        </w:tc>
        <w:tc>
          <w:tcPr>
            <w:tcW w:w="1140" w:type="dxa"/>
            <w:hideMark/>
          </w:tcPr>
          <w:p w14:paraId="7E72A2C8"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Market analysis, SMP and symmetric (art 61(3)) regulation recurring</w:t>
            </w:r>
          </w:p>
        </w:tc>
        <w:tc>
          <w:tcPr>
            <w:tcW w:w="1140" w:type="dxa"/>
            <w:hideMark/>
          </w:tcPr>
          <w:p w14:paraId="0EDBDC01"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Best practice wholesale access specifications (one-off)</w:t>
            </w:r>
          </w:p>
        </w:tc>
        <w:tc>
          <w:tcPr>
            <w:tcW w:w="1140" w:type="dxa"/>
            <w:hideMark/>
          </w:tcPr>
          <w:p w14:paraId="2393C3E5"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Dispute resolution in relation to EECC (recurring)</w:t>
            </w:r>
          </w:p>
        </w:tc>
      </w:tr>
      <w:tr w:rsidR="00AF6EF2" w:rsidRPr="00D86314" w14:paraId="2FEC3824" w14:textId="77777777" w:rsidTr="00921E5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140" w:type="dxa"/>
            <w:hideMark/>
          </w:tcPr>
          <w:p w14:paraId="792CDC86" w14:textId="77777777" w:rsidR="00EA737B" w:rsidRPr="00D86314" w:rsidRDefault="00EA737B" w:rsidP="00EA737B">
            <w:pPr>
              <w:spacing w:after="0"/>
              <w:jc w:val="left"/>
              <w:rPr>
                <w:noProof/>
                <w:sz w:val="16"/>
                <w:szCs w:val="16"/>
                <w:lang w:eastAsia="fr-BE"/>
              </w:rPr>
            </w:pPr>
            <w:r w:rsidRPr="00D86314">
              <w:rPr>
                <w:noProof/>
                <w:sz w:val="16"/>
                <w:szCs w:val="16"/>
              </w:rPr>
              <w:t>Option 0: Status quo</w:t>
            </w:r>
          </w:p>
        </w:tc>
        <w:tc>
          <w:tcPr>
            <w:tcW w:w="1140" w:type="dxa"/>
            <w:vAlign w:val="center"/>
            <w:hideMark/>
          </w:tcPr>
          <w:p w14:paraId="4914EB9A"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50</w:t>
            </w:r>
          </w:p>
        </w:tc>
        <w:tc>
          <w:tcPr>
            <w:tcW w:w="1140" w:type="dxa"/>
            <w:vAlign w:val="center"/>
            <w:hideMark/>
          </w:tcPr>
          <w:p w14:paraId="429F5494" w14:textId="6E55842C"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p>
        </w:tc>
        <w:tc>
          <w:tcPr>
            <w:tcW w:w="1140" w:type="dxa"/>
            <w:vAlign w:val="center"/>
            <w:hideMark/>
          </w:tcPr>
          <w:p w14:paraId="757C7F3D"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265</w:t>
            </w:r>
          </w:p>
        </w:tc>
        <w:tc>
          <w:tcPr>
            <w:tcW w:w="1140" w:type="dxa"/>
            <w:vAlign w:val="center"/>
            <w:hideMark/>
          </w:tcPr>
          <w:p w14:paraId="442A4052" w14:textId="61BC73C2"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p>
        </w:tc>
        <w:tc>
          <w:tcPr>
            <w:tcW w:w="1140" w:type="dxa"/>
            <w:vAlign w:val="center"/>
            <w:hideMark/>
          </w:tcPr>
          <w:p w14:paraId="23F258B1"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374</w:t>
            </w:r>
          </w:p>
        </w:tc>
        <w:tc>
          <w:tcPr>
            <w:tcW w:w="1140" w:type="dxa"/>
            <w:noWrap/>
            <w:vAlign w:val="center"/>
          </w:tcPr>
          <w:p w14:paraId="23413C0B"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0</w:t>
            </w:r>
          </w:p>
        </w:tc>
        <w:tc>
          <w:tcPr>
            <w:tcW w:w="1140" w:type="dxa"/>
            <w:vAlign w:val="center"/>
          </w:tcPr>
          <w:p w14:paraId="18A93F40"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85</w:t>
            </w:r>
          </w:p>
        </w:tc>
      </w:tr>
      <w:tr w:rsidR="00EA737B" w:rsidRPr="00D86314" w14:paraId="437718B9" w14:textId="77777777" w:rsidTr="00871B00">
        <w:trPr>
          <w:trHeight w:val="980"/>
        </w:trPr>
        <w:tc>
          <w:tcPr>
            <w:cnfStyle w:val="001000000000" w:firstRow="0" w:lastRow="0" w:firstColumn="1" w:lastColumn="0" w:oddVBand="0" w:evenVBand="0" w:oddHBand="0" w:evenHBand="0" w:firstRowFirstColumn="0" w:firstRowLastColumn="0" w:lastRowFirstColumn="0" w:lastRowLastColumn="0"/>
            <w:tcW w:w="1140" w:type="dxa"/>
            <w:hideMark/>
          </w:tcPr>
          <w:p w14:paraId="14329845" w14:textId="6E4C2365" w:rsidR="00EA737B" w:rsidRPr="00D86314" w:rsidRDefault="00DD25AC" w:rsidP="00EA737B">
            <w:pPr>
              <w:spacing w:after="0"/>
              <w:jc w:val="left"/>
              <w:rPr>
                <w:noProof/>
                <w:sz w:val="16"/>
                <w:szCs w:val="16"/>
                <w:lang w:eastAsia="fr-BE"/>
              </w:rPr>
            </w:pPr>
            <w:r w:rsidRPr="00D86314">
              <w:rPr>
                <w:noProof/>
                <w:sz w:val="16"/>
                <w:szCs w:val="16"/>
              </w:rPr>
              <w:t xml:space="preserve">Option 1: Non-binding copper switch-off and limited updates to access regulation </w:t>
            </w:r>
          </w:p>
        </w:tc>
        <w:tc>
          <w:tcPr>
            <w:tcW w:w="1140" w:type="dxa"/>
            <w:vAlign w:val="center"/>
            <w:hideMark/>
          </w:tcPr>
          <w:p w14:paraId="740844B6"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108</w:t>
            </w:r>
          </w:p>
        </w:tc>
        <w:tc>
          <w:tcPr>
            <w:tcW w:w="1140" w:type="dxa"/>
            <w:vAlign w:val="center"/>
            <w:hideMark/>
          </w:tcPr>
          <w:p w14:paraId="7C40FC6A"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15,5</w:t>
            </w:r>
          </w:p>
        </w:tc>
        <w:tc>
          <w:tcPr>
            <w:tcW w:w="1140" w:type="dxa"/>
            <w:vAlign w:val="center"/>
            <w:hideMark/>
          </w:tcPr>
          <w:p w14:paraId="642069EA"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318</w:t>
            </w:r>
          </w:p>
        </w:tc>
        <w:tc>
          <w:tcPr>
            <w:tcW w:w="1140" w:type="dxa"/>
            <w:vAlign w:val="center"/>
            <w:hideMark/>
          </w:tcPr>
          <w:p w14:paraId="4A8C1624" w14:textId="15B1C959"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p>
        </w:tc>
        <w:tc>
          <w:tcPr>
            <w:tcW w:w="1140" w:type="dxa"/>
            <w:vAlign w:val="center"/>
            <w:hideMark/>
          </w:tcPr>
          <w:p w14:paraId="7B3A3EA3"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374</w:t>
            </w:r>
          </w:p>
        </w:tc>
        <w:tc>
          <w:tcPr>
            <w:tcW w:w="1140" w:type="dxa"/>
            <w:noWrap/>
            <w:vAlign w:val="center"/>
          </w:tcPr>
          <w:p w14:paraId="0481F213"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15,5</w:t>
            </w:r>
          </w:p>
        </w:tc>
        <w:tc>
          <w:tcPr>
            <w:tcW w:w="1140" w:type="dxa"/>
            <w:noWrap/>
            <w:vAlign w:val="center"/>
          </w:tcPr>
          <w:p w14:paraId="083063F3"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85</w:t>
            </w:r>
          </w:p>
        </w:tc>
      </w:tr>
      <w:tr w:rsidR="00AF6EF2" w:rsidRPr="00D86314" w14:paraId="2E22641D" w14:textId="77777777" w:rsidTr="00921E54">
        <w:trPr>
          <w:cnfStyle w:val="000000100000" w:firstRow="0" w:lastRow="0" w:firstColumn="0" w:lastColumn="0" w:oddVBand="0" w:evenVBand="0" w:oddHBand="1" w:evenHBand="0" w:firstRowFirstColumn="0" w:firstRowLastColumn="0" w:lastRowFirstColumn="0" w:lastRowLastColumn="0"/>
          <w:trHeight w:val="1121"/>
        </w:trPr>
        <w:tc>
          <w:tcPr>
            <w:cnfStyle w:val="001000000000" w:firstRow="0" w:lastRow="0" w:firstColumn="1" w:lastColumn="0" w:oddVBand="0" w:evenVBand="0" w:oddHBand="0" w:evenHBand="0" w:firstRowFirstColumn="0" w:firstRowLastColumn="0" w:lastRowFirstColumn="0" w:lastRowLastColumn="0"/>
            <w:tcW w:w="1140" w:type="dxa"/>
          </w:tcPr>
          <w:p w14:paraId="4AFC5AEE" w14:textId="79F6CF1A" w:rsidR="00EA737B" w:rsidRPr="00D86314" w:rsidRDefault="00DD25AC" w:rsidP="00EA737B">
            <w:pPr>
              <w:spacing w:after="0"/>
              <w:jc w:val="left"/>
              <w:rPr>
                <w:noProof/>
                <w:sz w:val="16"/>
                <w:szCs w:val="16"/>
                <w:lang w:eastAsia="fr-BE"/>
              </w:rPr>
            </w:pPr>
            <w:r w:rsidRPr="00D86314">
              <w:rPr>
                <w:noProof/>
                <w:sz w:val="16"/>
                <w:szCs w:val="16"/>
              </w:rPr>
              <w:t xml:space="preserve">Option 2: Conditional copper switch-off and updated access regulation </w:t>
            </w:r>
          </w:p>
        </w:tc>
        <w:tc>
          <w:tcPr>
            <w:tcW w:w="1140" w:type="dxa"/>
            <w:vAlign w:val="center"/>
          </w:tcPr>
          <w:p w14:paraId="4E39419D"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189</w:t>
            </w:r>
          </w:p>
        </w:tc>
        <w:tc>
          <w:tcPr>
            <w:tcW w:w="1140" w:type="dxa"/>
            <w:vAlign w:val="center"/>
          </w:tcPr>
          <w:p w14:paraId="0597061F"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15,5</w:t>
            </w:r>
          </w:p>
        </w:tc>
        <w:tc>
          <w:tcPr>
            <w:tcW w:w="1140" w:type="dxa"/>
            <w:vAlign w:val="center"/>
          </w:tcPr>
          <w:p w14:paraId="0DD27DD3"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397,5</w:t>
            </w:r>
          </w:p>
        </w:tc>
        <w:tc>
          <w:tcPr>
            <w:tcW w:w="1140" w:type="dxa"/>
            <w:vAlign w:val="center"/>
          </w:tcPr>
          <w:p w14:paraId="5F31C1B8"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54</w:t>
            </w:r>
          </w:p>
        </w:tc>
        <w:tc>
          <w:tcPr>
            <w:tcW w:w="1140" w:type="dxa"/>
            <w:vAlign w:val="center"/>
          </w:tcPr>
          <w:p w14:paraId="12E1A748"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374</w:t>
            </w:r>
          </w:p>
        </w:tc>
        <w:tc>
          <w:tcPr>
            <w:tcW w:w="1140" w:type="dxa"/>
            <w:noWrap/>
            <w:vAlign w:val="center"/>
          </w:tcPr>
          <w:p w14:paraId="75DB3D29"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46,5</w:t>
            </w:r>
          </w:p>
        </w:tc>
        <w:tc>
          <w:tcPr>
            <w:tcW w:w="1140" w:type="dxa"/>
            <w:noWrap/>
            <w:vAlign w:val="center"/>
          </w:tcPr>
          <w:p w14:paraId="76C63D16"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85</w:t>
            </w:r>
          </w:p>
        </w:tc>
      </w:tr>
      <w:tr w:rsidR="00EA737B" w:rsidRPr="00D86314" w14:paraId="59F187CD" w14:textId="77777777" w:rsidTr="00871B00">
        <w:trPr>
          <w:trHeight w:val="698"/>
        </w:trPr>
        <w:tc>
          <w:tcPr>
            <w:cnfStyle w:val="001000000000" w:firstRow="0" w:lastRow="0" w:firstColumn="1" w:lastColumn="0" w:oddVBand="0" w:evenVBand="0" w:oddHBand="0" w:evenHBand="0" w:firstRowFirstColumn="0" w:firstRowLastColumn="0" w:lastRowFirstColumn="0" w:lastRowLastColumn="0"/>
            <w:tcW w:w="1140" w:type="dxa"/>
            <w:hideMark/>
          </w:tcPr>
          <w:p w14:paraId="78676E65" w14:textId="0C74217E" w:rsidR="00EA737B" w:rsidRPr="00D86314" w:rsidRDefault="00DD25AC" w:rsidP="00EA737B">
            <w:pPr>
              <w:spacing w:after="0"/>
              <w:jc w:val="left"/>
              <w:rPr>
                <w:noProof/>
                <w:sz w:val="16"/>
                <w:szCs w:val="16"/>
                <w:lang w:eastAsia="fr-BE"/>
              </w:rPr>
            </w:pPr>
            <w:r w:rsidRPr="00D86314">
              <w:rPr>
                <w:noProof/>
                <w:sz w:val="16"/>
                <w:szCs w:val="16"/>
              </w:rPr>
              <w:t xml:space="preserve">Option 3: Market driven copper switch-off and bottleneck-based access regulation </w:t>
            </w:r>
          </w:p>
        </w:tc>
        <w:tc>
          <w:tcPr>
            <w:tcW w:w="1140" w:type="dxa"/>
            <w:vAlign w:val="center"/>
            <w:hideMark/>
          </w:tcPr>
          <w:p w14:paraId="33030BEF" w14:textId="77777777" w:rsidR="00EA737B" w:rsidRPr="00D86314" w:rsidRDefault="00EA737B" w:rsidP="00BE301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1140" w:type="dxa"/>
            <w:vAlign w:val="center"/>
            <w:hideMark/>
          </w:tcPr>
          <w:p w14:paraId="16ED9164" w14:textId="77777777" w:rsidR="00EA737B" w:rsidRPr="00D86314" w:rsidRDefault="00EA737B" w:rsidP="00BE301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1140" w:type="dxa"/>
            <w:vAlign w:val="center"/>
            <w:hideMark/>
          </w:tcPr>
          <w:p w14:paraId="32EF5A55" w14:textId="77777777" w:rsidR="00EA737B" w:rsidRPr="00D86314" w:rsidRDefault="00EA737B" w:rsidP="00BE301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1140" w:type="dxa"/>
            <w:vAlign w:val="center"/>
            <w:hideMark/>
          </w:tcPr>
          <w:p w14:paraId="236940C7" w14:textId="60861613" w:rsidR="00EA737B" w:rsidRPr="00D86314" w:rsidRDefault="00EA737B" w:rsidP="00BE301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p>
        </w:tc>
        <w:tc>
          <w:tcPr>
            <w:tcW w:w="1140" w:type="dxa"/>
            <w:vAlign w:val="center"/>
            <w:hideMark/>
          </w:tcPr>
          <w:p w14:paraId="17E6DA3A" w14:textId="77777777" w:rsidR="00EA737B" w:rsidRPr="00D86314" w:rsidRDefault="00EA737B" w:rsidP="00BE301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50</w:t>
            </w:r>
          </w:p>
        </w:tc>
        <w:tc>
          <w:tcPr>
            <w:tcW w:w="1140" w:type="dxa"/>
            <w:noWrap/>
            <w:vAlign w:val="center"/>
          </w:tcPr>
          <w:p w14:paraId="0E4EA4F0" w14:textId="77777777" w:rsidR="00EA737B" w:rsidRPr="00D86314" w:rsidRDefault="00EA737B" w:rsidP="00BE301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1140" w:type="dxa"/>
            <w:noWrap/>
            <w:vAlign w:val="center"/>
          </w:tcPr>
          <w:p w14:paraId="7A1A31B3" w14:textId="77777777" w:rsidR="00EA737B" w:rsidRPr="00D86314" w:rsidRDefault="00EA737B" w:rsidP="00BE301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266</w:t>
            </w:r>
          </w:p>
        </w:tc>
      </w:tr>
      <w:tr w:rsidR="00871B00" w:rsidRPr="00D86314" w14:paraId="3DBDCB09" w14:textId="77777777" w:rsidTr="00921E54">
        <w:trPr>
          <w:cnfStyle w:val="000000100000" w:firstRow="0" w:lastRow="0" w:firstColumn="0" w:lastColumn="0" w:oddVBand="0" w:evenVBand="0" w:oddHBand="1" w:evenHBand="0" w:firstRowFirstColumn="0" w:firstRowLastColumn="0" w:lastRowFirstColumn="0" w:lastRowLastColumn="0"/>
          <w:trHeight w:val="1840"/>
        </w:trPr>
        <w:tc>
          <w:tcPr>
            <w:cnfStyle w:val="001000000000" w:firstRow="0" w:lastRow="0" w:firstColumn="1" w:lastColumn="0" w:oddVBand="0" w:evenVBand="0" w:oddHBand="0" w:evenHBand="0" w:firstRowFirstColumn="0" w:firstRowLastColumn="0" w:lastRowFirstColumn="0" w:lastRowLastColumn="0"/>
            <w:tcW w:w="1140" w:type="dxa"/>
            <w:hideMark/>
          </w:tcPr>
          <w:p w14:paraId="21F3B358" w14:textId="4980242E" w:rsidR="00871B00" w:rsidRPr="00D86314" w:rsidRDefault="00871B00" w:rsidP="00871B00">
            <w:pPr>
              <w:spacing w:after="0"/>
              <w:jc w:val="left"/>
              <w:rPr>
                <w:noProof/>
                <w:sz w:val="16"/>
                <w:szCs w:val="16"/>
                <w:lang w:eastAsia="fr-BE"/>
              </w:rPr>
            </w:pPr>
            <w:r w:rsidRPr="00D86314">
              <w:rPr>
                <w:noProof/>
                <w:sz w:val="16"/>
                <w:szCs w:val="16"/>
              </w:rPr>
              <w:t>Option 4: Mandatory copper switch-off and symmetric regulation</w:t>
            </w:r>
          </w:p>
        </w:tc>
        <w:tc>
          <w:tcPr>
            <w:tcW w:w="1140" w:type="dxa"/>
            <w:vAlign w:val="center"/>
            <w:hideMark/>
          </w:tcPr>
          <w:p w14:paraId="1D33F1B7" w14:textId="3DFDFEA2" w:rsidR="00871B00" w:rsidRPr="00D86314" w:rsidRDefault="00871B00" w:rsidP="00871B00">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283</w:t>
            </w:r>
            <w:r>
              <w:rPr>
                <w:noProof/>
                <w:sz w:val="16"/>
                <w:szCs w:val="16"/>
              </w:rPr>
              <w:t>.</w:t>
            </w:r>
            <w:r w:rsidRPr="00F87B9B">
              <w:rPr>
                <w:noProof/>
                <w:sz w:val="16"/>
                <w:szCs w:val="16"/>
              </w:rPr>
              <w:t>5</w:t>
            </w:r>
          </w:p>
        </w:tc>
        <w:tc>
          <w:tcPr>
            <w:tcW w:w="1140" w:type="dxa"/>
            <w:vAlign w:val="center"/>
            <w:hideMark/>
          </w:tcPr>
          <w:p w14:paraId="6CCCBC8A" w14:textId="541E5681" w:rsidR="00871B00" w:rsidRPr="00D86314" w:rsidRDefault="00871B00" w:rsidP="00871B00">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15</w:t>
            </w:r>
            <w:r>
              <w:rPr>
                <w:noProof/>
                <w:sz w:val="16"/>
                <w:szCs w:val="16"/>
              </w:rPr>
              <w:t>.</w:t>
            </w:r>
            <w:r w:rsidRPr="00F87B9B">
              <w:rPr>
                <w:noProof/>
                <w:sz w:val="16"/>
                <w:szCs w:val="16"/>
              </w:rPr>
              <w:t>5</w:t>
            </w:r>
          </w:p>
        </w:tc>
        <w:tc>
          <w:tcPr>
            <w:tcW w:w="1140" w:type="dxa"/>
            <w:vAlign w:val="center"/>
            <w:hideMark/>
          </w:tcPr>
          <w:p w14:paraId="0569E9C8" w14:textId="2AE981E9" w:rsidR="00871B00" w:rsidRPr="00D86314" w:rsidRDefault="00871B00" w:rsidP="00871B00">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397</w:t>
            </w:r>
            <w:r>
              <w:rPr>
                <w:noProof/>
                <w:sz w:val="16"/>
                <w:szCs w:val="16"/>
              </w:rPr>
              <w:t>.</w:t>
            </w:r>
            <w:r w:rsidRPr="00F87B9B">
              <w:rPr>
                <w:noProof/>
                <w:sz w:val="16"/>
                <w:szCs w:val="16"/>
              </w:rPr>
              <w:t>5</w:t>
            </w:r>
          </w:p>
        </w:tc>
        <w:tc>
          <w:tcPr>
            <w:tcW w:w="1140" w:type="dxa"/>
            <w:vAlign w:val="center"/>
            <w:hideMark/>
          </w:tcPr>
          <w:p w14:paraId="4B3A43A5" w14:textId="1309C054" w:rsidR="00871B00" w:rsidRPr="00D86314" w:rsidRDefault="00871B00" w:rsidP="00871B00">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p>
        </w:tc>
        <w:tc>
          <w:tcPr>
            <w:tcW w:w="1140" w:type="dxa"/>
            <w:vAlign w:val="center"/>
            <w:hideMark/>
          </w:tcPr>
          <w:p w14:paraId="1541EE4E" w14:textId="5B298276" w:rsidR="00871B00" w:rsidRPr="00D86314" w:rsidRDefault="00871B00" w:rsidP="00871B00">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50</w:t>
            </w:r>
          </w:p>
        </w:tc>
        <w:tc>
          <w:tcPr>
            <w:tcW w:w="1140" w:type="dxa"/>
            <w:noWrap/>
            <w:vAlign w:val="center"/>
          </w:tcPr>
          <w:p w14:paraId="1D5FE641" w14:textId="627ED942" w:rsidR="00871B00" w:rsidRPr="00D86314" w:rsidRDefault="00871B00" w:rsidP="00871B00">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15,5</w:t>
            </w:r>
          </w:p>
        </w:tc>
        <w:tc>
          <w:tcPr>
            <w:tcW w:w="1140" w:type="dxa"/>
            <w:noWrap/>
            <w:vAlign w:val="center"/>
          </w:tcPr>
          <w:p w14:paraId="0310FCC5" w14:textId="3761A480" w:rsidR="00871B00" w:rsidRPr="00D86314" w:rsidRDefault="00871B00" w:rsidP="00871B00">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532</w:t>
            </w:r>
          </w:p>
        </w:tc>
      </w:tr>
    </w:tbl>
    <w:p w14:paraId="3522FE53" w14:textId="28D2151F" w:rsidR="00EA737B" w:rsidRPr="00D86314" w:rsidRDefault="00EA737B" w:rsidP="00EA737B">
      <w:pPr>
        <w:pStyle w:val="Tabberschrift"/>
        <w:ind w:left="0" w:firstLine="0"/>
        <w:rPr>
          <w:rFonts w:ascii="Times New Roman" w:hAnsi="Times New Roman"/>
          <w:i/>
          <w:iCs/>
          <w:noProof/>
          <w:sz w:val="20"/>
        </w:rPr>
      </w:pPr>
      <w:r w:rsidRPr="00D86314">
        <w:rPr>
          <w:rFonts w:ascii="Times New Roman" w:hAnsi="Times New Roman"/>
          <w:i/>
          <w:iCs/>
          <w:noProof/>
          <w:sz w:val="20"/>
        </w:rPr>
        <w:t xml:space="preserve">Source: </w:t>
      </w:r>
      <w:r w:rsidR="00805C1A" w:rsidRPr="00D86314">
        <w:rPr>
          <w:rFonts w:ascii="Times New Roman" w:hAnsi="Times New Roman"/>
          <w:i/>
          <w:iCs/>
          <w:noProof/>
          <w:sz w:val="20"/>
        </w:rPr>
        <w:t>Study on Access Regulation</w:t>
      </w:r>
    </w:p>
    <w:p w14:paraId="1A838FC5" w14:textId="37F08F14" w:rsidR="00EA737B" w:rsidRPr="00D86314" w:rsidRDefault="00EA737B" w:rsidP="00271373">
      <w:pPr>
        <w:pStyle w:val="Tabberschrift"/>
        <w:spacing w:before="240"/>
        <w:rPr>
          <w:rFonts w:ascii="Times New Roman" w:hAnsi="Times New Roman"/>
          <w:noProof/>
          <w:szCs w:val="22"/>
        </w:rPr>
      </w:pPr>
      <w:r w:rsidRPr="00D86314">
        <w:rPr>
          <w:rFonts w:ascii="Times New Roman" w:hAnsi="Times New Roman"/>
          <w:noProof/>
          <w:szCs w:val="22"/>
        </w:rPr>
        <w:t>Table</w:t>
      </w:r>
      <w:r w:rsidR="008C55A4" w:rsidRPr="00D86314">
        <w:rPr>
          <w:rFonts w:ascii="Times New Roman" w:hAnsi="Times New Roman"/>
          <w:noProof/>
          <w:szCs w:val="22"/>
        </w:rPr>
        <w:t xml:space="preserve"> A9 1-6</w:t>
      </w:r>
      <w:r w:rsidR="001A3EFE">
        <w:rPr>
          <w:rFonts w:ascii="Times New Roman" w:hAnsi="Times New Roman"/>
          <w:noProof/>
          <w:szCs w:val="22"/>
        </w:rPr>
        <w:t>:</w:t>
      </w:r>
      <w:r w:rsidRPr="00D86314">
        <w:rPr>
          <w:rFonts w:ascii="Times New Roman" w:hAnsi="Times New Roman"/>
          <w:noProof/>
          <w:szCs w:val="22"/>
        </w:rPr>
        <w:t>Estimated administrative costs (in FTE per year) to stakeholders</w:t>
      </w:r>
    </w:p>
    <w:tbl>
      <w:tblPr>
        <w:tblStyle w:val="PlainTable1"/>
        <w:tblW w:w="9120" w:type="dxa"/>
        <w:tblLayout w:type="fixed"/>
        <w:tblLook w:val="04A0" w:firstRow="1" w:lastRow="0" w:firstColumn="1" w:lastColumn="0" w:noHBand="0" w:noVBand="1"/>
      </w:tblPr>
      <w:tblGrid>
        <w:gridCol w:w="1980"/>
        <w:gridCol w:w="1299"/>
        <w:gridCol w:w="1001"/>
        <w:gridCol w:w="943"/>
        <w:gridCol w:w="1111"/>
        <w:gridCol w:w="936"/>
        <w:gridCol w:w="910"/>
        <w:gridCol w:w="940"/>
      </w:tblGrid>
      <w:tr w:rsidR="00EA737B" w:rsidRPr="00D86314" w14:paraId="12031E4C" w14:textId="77777777" w:rsidTr="00EA737B">
        <w:trPr>
          <w:cnfStyle w:val="100000000000" w:firstRow="1" w:lastRow="0" w:firstColumn="0" w:lastColumn="0" w:oddVBand="0" w:evenVBand="0" w:oddHBand="0" w:evenHBand="0"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1980" w:type="dxa"/>
            <w:hideMark/>
          </w:tcPr>
          <w:p w14:paraId="442F3555" w14:textId="77777777" w:rsidR="00EA737B" w:rsidRPr="00D86314" w:rsidRDefault="00EA737B" w:rsidP="00EA737B">
            <w:pPr>
              <w:spacing w:after="0"/>
              <w:jc w:val="left"/>
              <w:rPr>
                <w:noProof/>
                <w:sz w:val="16"/>
                <w:szCs w:val="16"/>
                <w:lang w:eastAsia="fr-BE"/>
              </w:rPr>
            </w:pPr>
            <w:r w:rsidRPr="00D86314">
              <w:rPr>
                <w:noProof/>
                <w:sz w:val="16"/>
                <w:szCs w:val="16"/>
              </w:rPr>
              <w:t xml:space="preserve">Option </w:t>
            </w:r>
          </w:p>
        </w:tc>
        <w:tc>
          <w:tcPr>
            <w:tcW w:w="1299" w:type="dxa"/>
            <w:hideMark/>
          </w:tcPr>
          <w:p w14:paraId="621DE3A1"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FTTH and copper switch-off plans and implementation (one-off)</w:t>
            </w:r>
          </w:p>
        </w:tc>
        <w:tc>
          <w:tcPr>
            <w:tcW w:w="1001" w:type="dxa"/>
            <w:hideMark/>
          </w:tcPr>
          <w:p w14:paraId="2FB28AF4"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Data gathering under art 22, forecasts and declarations (one-off)</w:t>
            </w:r>
          </w:p>
        </w:tc>
        <w:tc>
          <w:tcPr>
            <w:tcW w:w="943" w:type="dxa"/>
            <w:hideMark/>
          </w:tcPr>
          <w:p w14:paraId="6F8988F5"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Data gathering under art 22, forecasts and declarations (recurring)</w:t>
            </w:r>
          </w:p>
        </w:tc>
        <w:tc>
          <w:tcPr>
            <w:tcW w:w="1111" w:type="dxa"/>
            <w:hideMark/>
          </w:tcPr>
          <w:p w14:paraId="0A580270"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Market analysis, SMP and symmetric (art 61(3)) regulation one-off</w:t>
            </w:r>
          </w:p>
        </w:tc>
        <w:tc>
          <w:tcPr>
            <w:tcW w:w="936" w:type="dxa"/>
            <w:hideMark/>
          </w:tcPr>
          <w:p w14:paraId="6D6237A9"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Market analysis, SMP and symmetric (art 61(3)) regulation recurring</w:t>
            </w:r>
          </w:p>
        </w:tc>
        <w:tc>
          <w:tcPr>
            <w:tcW w:w="910" w:type="dxa"/>
            <w:hideMark/>
          </w:tcPr>
          <w:p w14:paraId="6BFE3857"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Best practice wholesale access specifications (one-off)</w:t>
            </w:r>
          </w:p>
        </w:tc>
        <w:tc>
          <w:tcPr>
            <w:tcW w:w="940" w:type="dxa"/>
            <w:hideMark/>
          </w:tcPr>
          <w:p w14:paraId="12C45BD1" w14:textId="77777777" w:rsidR="00EA737B" w:rsidRPr="00D86314" w:rsidRDefault="00EA737B" w:rsidP="00EA737B">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Dispute resolution in relation to EECC (recurring)</w:t>
            </w:r>
          </w:p>
        </w:tc>
      </w:tr>
      <w:tr w:rsidR="00EA737B" w:rsidRPr="00D86314" w14:paraId="6E5FB917" w14:textId="77777777" w:rsidTr="00EA737B">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980" w:type="dxa"/>
            <w:hideMark/>
          </w:tcPr>
          <w:p w14:paraId="1CADF405" w14:textId="77777777" w:rsidR="00EA737B" w:rsidRPr="00D86314" w:rsidRDefault="00EA737B" w:rsidP="00EA737B">
            <w:pPr>
              <w:spacing w:after="0"/>
              <w:jc w:val="left"/>
              <w:rPr>
                <w:noProof/>
                <w:sz w:val="16"/>
                <w:szCs w:val="16"/>
                <w:lang w:eastAsia="fr-BE"/>
              </w:rPr>
            </w:pPr>
            <w:r w:rsidRPr="00D86314">
              <w:rPr>
                <w:noProof/>
                <w:sz w:val="16"/>
                <w:szCs w:val="16"/>
              </w:rPr>
              <w:t>Option 0: Status quo</w:t>
            </w:r>
          </w:p>
        </w:tc>
        <w:tc>
          <w:tcPr>
            <w:tcW w:w="1299" w:type="dxa"/>
          </w:tcPr>
          <w:p w14:paraId="58773650"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100</w:t>
            </w:r>
          </w:p>
        </w:tc>
        <w:tc>
          <w:tcPr>
            <w:tcW w:w="1001" w:type="dxa"/>
          </w:tcPr>
          <w:p w14:paraId="706B7460"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0</w:t>
            </w:r>
          </w:p>
        </w:tc>
        <w:tc>
          <w:tcPr>
            <w:tcW w:w="943" w:type="dxa"/>
          </w:tcPr>
          <w:p w14:paraId="655C747E"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530</w:t>
            </w:r>
          </w:p>
        </w:tc>
        <w:tc>
          <w:tcPr>
            <w:tcW w:w="1111" w:type="dxa"/>
          </w:tcPr>
          <w:p w14:paraId="26EDFC16"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0</w:t>
            </w:r>
          </w:p>
        </w:tc>
        <w:tc>
          <w:tcPr>
            <w:tcW w:w="936" w:type="dxa"/>
          </w:tcPr>
          <w:p w14:paraId="12ECAA91"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748</w:t>
            </w:r>
          </w:p>
        </w:tc>
        <w:tc>
          <w:tcPr>
            <w:tcW w:w="910" w:type="dxa"/>
            <w:noWrap/>
          </w:tcPr>
          <w:p w14:paraId="1C583699"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0</w:t>
            </w:r>
          </w:p>
        </w:tc>
        <w:tc>
          <w:tcPr>
            <w:tcW w:w="940" w:type="dxa"/>
          </w:tcPr>
          <w:p w14:paraId="7F334EB7"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170</w:t>
            </w:r>
          </w:p>
        </w:tc>
      </w:tr>
      <w:tr w:rsidR="00EA737B" w:rsidRPr="00D86314" w14:paraId="2A0A0BE3" w14:textId="77777777" w:rsidTr="00EA737B">
        <w:trPr>
          <w:trHeight w:val="245"/>
        </w:trPr>
        <w:tc>
          <w:tcPr>
            <w:cnfStyle w:val="001000000000" w:firstRow="0" w:lastRow="0" w:firstColumn="1" w:lastColumn="0" w:oddVBand="0" w:evenVBand="0" w:oddHBand="0" w:evenHBand="0" w:firstRowFirstColumn="0" w:firstRowLastColumn="0" w:lastRowFirstColumn="0" w:lastRowLastColumn="0"/>
            <w:tcW w:w="1980" w:type="dxa"/>
            <w:hideMark/>
          </w:tcPr>
          <w:p w14:paraId="694C95DF" w14:textId="53F8C8A9" w:rsidR="00EA737B" w:rsidRPr="00D86314" w:rsidRDefault="00DD25AC" w:rsidP="00EA737B">
            <w:pPr>
              <w:spacing w:after="0"/>
              <w:jc w:val="left"/>
              <w:rPr>
                <w:noProof/>
                <w:sz w:val="16"/>
                <w:szCs w:val="16"/>
                <w:lang w:eastAsia="fr-BE"/>
              </w:rPr>
            </w:pPr>
            <w:r w:rsidRPr="00D86314">
              <w:rPr>
                <w:noProof/>
                <w:sz w:val="16"/>
                <w:szCs w:val="16"/>
              </w:rPr>
              <w:t xml:space="preserve">Option 1: Non-binding copper switch-off and limited updates to access regulation </w:t>
            </w:r>
          </w:p>
        </w:tc>
        <w:tc>
          <w:tcPr>
            <w:tcW w:w="1299" w:type="dxa"/>
          </w:tcPr>
          <w:p w14:paraId="3A1E8938"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216</w:t>
            </w:r>
          </w:p>
        </w:tc>
        <w:tc>
          <w:tcPr>
            <w:tcW w:w="1001" w:type="dxa"/>
          </w:tcPr>
          <w:p w14:paraId="4082F0D3"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31</w:t>
            </w:r>
          </w:p>
        </w:tc>
        <w:tc>
          <w:tcPr>
            <w:tcW w:w="943" w:type="dxa"/>
          </w:tcPr>
          <w:p w14:paraId="7A5DB36D"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636</w:t>
            </w:r>
          </w:p>
        </w:tc>
        <w:tc>
          <w:tcPr>
            <w:tcW w:w="1111" w:type="dxa"/>
          </w:tcPr>
          <w:p w14:paraId="77B96890"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936" w:type="dxa"/>
          </w:tcPr>
          <w:p w14:paraId="1EED41D8"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748</w:t>
            </w:r>
          </w:p>
        </w:tc>
        <w:tc>
          <w:tcPr>
            <w:tcW w:w="910" w:type="dxa"/>
            <w:noWrap/>
          </w:tcPr>
          <w:p w14:paraId="0F03B3BE"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31</w:t>
            </w:r>
          </w:p>
        </w:tc>
        <w:tc>
          <w:tcPr>
            <w:tcW w:w="940" w:type="dxa"/>
            <w:noWrap/>
          </w:tcPr>
          <w:p w14:paraId="1C134350" w14:textId="77777777" w:rsidR="00EA737B" w:rsidRPr="00D86314" w:rsidRDefault="00EA737B" w:rsidP="00EA737B">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170</w:t>
            </w:r>
          </w:p>
        </w:tc>
      </w:tr>
      <w:tr w:rsidR="00EA737B" w:rsidRPr="00D86314" w14:paraId="04591E01" w14:textId="77777777" w:rsidTr="00EA737B">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1980" w:type="dxa"/>
          </w:tcPr>
          <w:p w14:paraId="5E76C34D" w14:textId="0A36CDF8" w:rsidR="00EA737B" w:rsidRPr="00D86314" w:rsidRDefault="00DD25AC" w:rsidP="00EA737B">
            <w:pPr>
              <w:spacing w:after="0"/>
              <w:jc w:val="left"/>
              <w:rPr>
                <w:noProof/>
                <w:sz w:val="16"/>
                <w:szCs w:val="16"/>
                <w:lang w:eastAsia="fr-BE"/>
              </w:rPr>
            </w:pPr>
            <w:r w:rsidRPr="00D86314">
              <w:rPr>
                <w:noProof/>
                <w:sz w:val="16"/>
                <w:szCs w:val="16"/>
              </w:rPr>
              <w:t xml:space="preserve">Option 2: Conditional copper switch-off and updated access regulation </w:t>
            </w:r>
          </w:p>
        </w:tc>
        <w:tc>
          <w:tcPr>
            <w:tcW w:w="1299" w:type="dxa"/>
          </w:tcPr>
          <w:p w14:paraId="0D2F57E3"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378</w:t>
            </w:r>
          </w:p>
        </w:tc>
        <w:tc>
          <w:tcPr>
            <w:tcW w:w="1001" w:type="dxa"/>
          </w:tcPr>
          <w:p w14:paraId="6C4B5D0E"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31</w:t>
            </w:r>
          </w:p>
        </w:tc>
        <w:tc>
          <w:tcPr>
            <w:tcW w:w="943" w:type="dxa"/>
          </w:tcPr>
          <w:p w14:paraId="223DC7C4"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795</w:t>
            </w:r>
          </w:p>
        </w:tc>
        <w:tc>
          <w:tcPr>
            <w:tcW w:w="1111" w:type="dxa"/>
          </w:tcPr>
          <w:p w14:paraId="37257069"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108</w:t>
            </w:r>
          </w:p>
        </w:tc>
        <w:tc>
          <w:tcPr>
            <w:tcW w:w="936" w:type="dxa"/>
          </w:tcPr>
          <w:p w14:paraId="32564D8D"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748</w:t>
            </w:r>
          </w:p>
        </w:tc>
        <w:tc>
          <w:tcPr>
            <w:tcW w:w="910" w:type="dxa"/>
            <w:noWrap/>
          </w:tcPr>
          <w:p w14:paraId="33E9F928"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93</w:t>
            </w:r>
          </w:p>
        </w:tc>
        <w:tc>
          <w:tcPr>
            <w:tcW w:w="940" w:type="dxa"/>
            <w:noWrap/>
          </w:tcPr>
          <w:p w14:paraId="320852B1"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170</w:t>
            </w:r>
          </w:p>
        </w:tc>
      </w:tr>
      <w:tr w:rsidR="00EA737B" w:rsidRPr="00D86314" w14:paraId="0CEE690E" w14:textId="77777777" w:rsidTr="00EA737B">
        <w:trPr>
          <w:trHeight w:val="912"/>
        </w:trPr>
        <w:tc>
          <w:tcPr>
            <w:cnfStyle w:val="001000000000" w:firstRow="0" w:lastRow="0" w:firstColumn="1" w:lastColumn="0" w:oddVBand="0" w:evenVBand="0" w:oddHBand="0" w:evenHBand="0" w:firstRowFirstColumn="0" w:firstRowLastColumn="0" w:lastRowFirstColumn="0" w:lastRowLastColumn="0"/>
            <w:tcW w:w="1980" w:type="dxa"/>
            <w:hideMark/>
          </w:tcPr>
          <w:p w14:paraId="69E0CDB3" w14:textId="73885D03" w:rsidR="00EA737B" w:rsidRPr="00D86314" w:rsidRDefault="00DD25AC" w:rsidP="00EA737B">
            <w:pPr>
              <w:spacing w:after="0"/>
              <w:jc w:val="left"/>
              <w:rPr>
                <w:noProof/>
                <w:sz w:val="16"/>
                <w:szCs w:val="16"/>
                <w:lang w:eastAsia="fr-BE"/>
              </w:rPr>
            </w:pPr>
            <w:r w:rsidRPr="00D86314">
              <w:rPr>
                <w:noProof/>
                <w:sz w:val="16"/>
                <w:szCs w:val="16"/>
              </w:rPr>
              <w:t xml:space="preserve">Option 3: Market driven copper switch-off and bottleneck-based access regulation </w:t>
            </w:r>
          </w:p>
        </w:tc>
        <w:tc>
          <w:tcPr>
            <w:tcW w:w="1299" w:type="dxa"/>
          </w:tcPr>
          <w:p w14:paraId="704034D9" w14:textId="77777777" w:rsidR="00EA737B" w:rsidRPr="00D86314" w:rsidRDefault="00EA737B" w:rsidP="00EA737B">
            <w:pPr>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1001" w:type="dxa"/>
          </w:tcPr>
          <w:p w14:paraId="6A386D74" w14:textId="77777777" w:rsidR="00EA737B" w:rsidRPr="00D86314" w:rsidRDefault="00EA737B" w:rsidP="00EA737B">
            <w:pPr>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943" w:type="dxa"/>
          </w:tcPr>
          <w:p w14:paraId="11CBE877" w14:textId="77777777" w:rsidR="00EA737B" w:rsidRPr="00D86314" w:rsidRDefault="00EA737B" w:rsidP="00EA737B">
            <w:pPr>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1111" w:type="dxa"/>
          </w:tcPr>
          <w:p w14:paraId="56A1D13B" w14:textId="77777777" w:rsidR="00EA737B" w:rsidRPr="00D86314" w:rsidRDefault="00EA737B" w:rsidP="00EA737B">
            <w:pPr>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936" w:type="dxa"/>
          </w:tcPr>
          <w:p w14:paraId="18E4A086" w14:textId="77777777" w:rsidR="00EA737B" w:rsidRPr="00D86314" w:rsidRDefault="00EA737B" w:rsidP="00EA737B">
            <w:pPr>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100</w:t>
            </w:r>
          </w:p>
        </w:tc>
        <w:tc>
          <w:tcPr>
            <w:tcW w:w="910" w:type="dxa"/>
            <w:noWrap/>
          </w:tcPr>
          <w:p w14:paraId="15EEF13A" w14:textId="77777777" w:rsidR="00EA737B" w:rsidRPr="00D86314" w:rsidRDefault="00EA737B" w:rsidP="00EA737B">
            <w:pPr>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0</w:t>
            </w:r>
          </w:p>
        </w:tc>
        <w:tc>
          <w:tcPr>
            <w:tcW w:w="940" w:type="dxa"/>
            <w:noWrap/>
          </w:tcPr>
          <w:p w14:paraId="0AA8E88F" w14:textId="77777777" w:rsidR="00EA737B" w:rsidRPr="00D86314" w:rsidRDefault="00EA737B" w:rsidP="00EA737B">
            <w:pPr>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532</w:t>
            </w:r>
          </w:p>
        </w:tc>
      </w:tr>
      <w:tr w:rsidR="00EA737B" w:rsidRPr="00D86314" w14:paraId="38448886" w14:textId="77777777" w:rsidTr="00EA737B">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1980" w:type="dxa"/>
            <w:hideMark/>
          </w:tcPr>
          <w:p w14:paraId="3140ECEB" w14:textId="51652597" w:rsidR="00EA737B" w:rsidRPr="00D86314" w:rsidRDefault="00DD25AC" w:rsidP="00EA737B">
            <w:pPr>
              <w:spacing w:after="0"/>
              <w:jc w:val="left"/>
              <w:rPr>
                <w:noProof/>
                <w:sz w:val="16"/>
                <w:szCs w:val="16"/>
                <w:lang w:eastAsia="fr-BE"/>
              </w:rPr>
            </w:pPr>
            <w:r w:rsidRPr="00D86314">
              <w:rPr>
                <w:noProof/>
                <w:sz w:val="16"/>
                <w:szCs w:val="16"/>
              </w:rPr>
              <w:t>Option 4: Mandatory copper switch-off and symmetric regulation</w:t>
            </w:r>
          </w:p>
        </w:tc>
        <w:tc>
          <w:tcPr>
            <w:tcW w:w="1299" w:type="dxa"/>
          </w:tcPr>
          <w:p w14:paraId="22CDBB01"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567</w:t>
            </w:r>
          </w:p>
        </w:tc>
        <w:tc>
          <w:tcPr>
            <w:tcW w:w="1001" w:type="dxa"/>
          </w:tcPr>
          <w:p w14:paraId="498BE1B7"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31</w:t>
            </w:r>
          </w:p>
        </w:tc>
        <w:tc>
          <w:tcPr>
            <w:tcW w:w="943" w:type="dxa"/>
          </w:tcPr>
          <w:p w14:paraId="165F06D8"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795</w:t>
            </w:r>
          </w:p>
        </w:tc>
        <w:tc>
          <w:tcPr>
            <w:tcW w:w="1111" w:type="dxa"/>
          </w:tcPr>
          <w:p w14:paraId="56964C62"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0</w:t>
            </w:r>
          </w:p>
        </w:tc>
        <w:tc>
          <w:tcPr>
            <w:tcW w:w="936" w:type="dxa"/>
          </w:tcPr>
          <w:p w14:paraId="5EFD231E"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100</w:t>
            </w:r>
          </w:p>
        </w:tc>
        <w:tc>
          <w:tcPr>
            <w:tcW w:w="910" w:type="dxa"/>
            <w:noWrap/>
          </w:tcPr>
          <w:p w14:paraId="303915BC" w14:textId="77777777"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31</w:t>
            </w:r>
          </w:p>
        </w:tc>
        <w:tc>
          <w:tcPr>
            <w:tcW w:w="940" w:type="dxa"/>
            <w:noWrap/>
          </w:tcPr>
          <w:p w14:paraId="19038CFD" w14:textId="22ADBE2C" w:rsidR="00EA737B" w:rsidRPr="00D86314" w:rsidRDefault="00EA737B" w:rsidP="00EA737B">
            <w:pPr>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D86314">
              <w:rPr>
                <w:noProof/>
                <w:sz w:val="16"/>
                <w:szCs w:val="16"/>
              </w:rPr>
              <w:t>1</w:t>
            </w:r>
            <w:r w:rsidR="004A758B">
              <w:rPr>
                <w:noProof/>
                <w:sz w:val="16"/>
                <w:szCs w:val="16"/>
              </w:rPr>
              <w:t> </w:t>
            </w:r>
            <w:r w:rsidRPr="00D86314">
              <w:rPr>
                <w:noProof/>
                <w:sz w:val="16"/>
                <w:szCs w:val="16"/>
              </w:rPr>
              <w:t>064</w:t>
            </w:r>
          </w:p>
        </w:tc>
      </w:tr>
    </w:tbl>
    <w:p w14:paraId="38364283" w14:textId="607BE1E0" w:rsidR="00EA737B" w:rsidRPr="00D86314" w:rsidRDefault="00EA737B" w:rsidP="00EA737B">
      <w:pPr>
        <w:pStyle w:val="Tabberschrift"/>
        <w:ind w:left="0" w:firstLine="0"/>
        <w:rPr>
          <w:rFonts w:ascii="Times New Roman" w:hAnsi="Times New Roman"/>
          <w:i/>
          <w:iCs/>
          <w:noProof/>
          <w:sz w:val="24"/>
          <w:szCs w:val="24"/>
        </w:rPr>
      </w:pPr>
      <w:r w:rsidRPr="00D86314">
        <w:rPr>
          <w:rFonts w:ascii="Times New Roman" w:hAnsi="Times New Roman"/>
          <w:i/>
          <w:iCs/>
          <w:noProof/>
          <w:sz w:val="24"/>
          <w:szCs w:val="24"/>
        </w:rPr>
        <w:t xml:space="preserve">Source: </w:t>
      </w:r>
      <w:r w:rsidR="00805C1A" w:rsidRPr="00D86314">
        <w:rPr>
          <w:rFonts w:ascii="Times New Roman" w:hAnsi="Times New Roman"/>
          <w:i/>
          <w:iCs/>
          <w:noProof/>
          <w:sz w:val="24"/>
          <w:szCs w:val="24"/>
        </w:rPr>
        <w:t>Study on Access Regulation</w:t>
      </w:r>
    </w:p>
    <w:p w14:paraId="39293B7E" w14:textId="7E655188" w:rsidR="00EA737B" w:rsidRPr="00D86314" w:rsidRDefault="00EA737B" w:rsidP="00271373">
      <w:pPr>
        <w:pStyle w:val="Tabberschrift"/>
        <w:spacing w:before="240"/>
        <w:rPr>
          <w:rFonts w:ascii="Times New Roman" w:hAnsi="Times New Roman"/>
          <w:noProof/>
          <w:szCs w:val="22"/>
        </w:rPr>
      </w:pPr>
      <w:r w:rsidRPr="00D86314">
        <w:rPr>
          <w:rFonts w:ascii="Times New Roman" w:hAnsi="Times New Roman"/>
          <w:noProof/>
          <w:szCs w:val="22"/>
        </w:rPr>
        <w:t>Table</w:t>
      </w:r>
      <w:r w:rsidR="00046CEC" w:rsidRPr="00D86314">
        <w:rPr>
          <w:rFonts w:ascii="Times New Roman" w:hAnsi="Times New Roman"/>
          <w:noProof/>
          <w:szCs w:val="22"/>
        </w:rPr>
        <w:t xml:space="preserve"> A9 1-7</w:t>
      </w:r>
      <w:r w:rsidR="001A3EFE">
        <w:rPr>
          <w:rFonts w:ascii="Times New Roman" w:hAnsi="Times New Roman"/>
          <w:noProof/>
          <w:szCs w:val="22"/>
        </w:rPr>
        <w:t>:</w:t>
      </w:r>
      <w:r w:rsidRPr="00D86314">
        <w:rPr>
          <w:rFonts w:ascii="Times New Roman" w:hAnsi="Times New Roman"/>
          <w:noProof/>
          <w:szCs w:val="22"/>
        </w:rPr>
        <w:t xml:space="preserve">Total Estimated administrative costs (in FTE per year) </w:t>
      </w:r>
    </w:p>
    <w:tbl>
      <w:tblPr>
        <w:tblStyle w:val="PlainTable1"/>
        <w:tblW w:w="9120" w:type="dxa"/>
        <w:tblLayout w:type="fixed"/>
        <w:tblLook w:val="04A0" w:firstRow="1" w:lastRow="0" w:firstColumn="1" w:lastColumn="0" w:noHBand="0" w:noVBand="1"/>
      </w:tblPr>
      <w:tblGrid>
        <w:gridCol w:w="1980"/>
        <w:gridCol w:w="1299"/>
        <w:gridCol w:w="1001"/>
        <w:gridCol w:w="943"/>
        <w:gridCol w:w="1111"/>
        <w:gridCol w:w="936"/>
        <w:gridCol w:w="910"/>
        <w:gridCol w:w="940"/>
      </w:tblGrid>
      <w:tr w:rsidR="00EA737B" w:rsidRPr="00D86314" w14:paraId="0259464F" w14:textId="77777777" w:rsidTr="00EA737B">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980" w:type="dxa"/>
            <w:hideMark/>
          </w:tcPr>
          <w:p w14:paraId="7DDC2E0E" w14:textId="77777777" w:rsidR="00EA737B" w:rsidRPr="00D86314" w:rsidRDefault="00EA737B" w:rsidP="00EA737B">
            <w:pPr>
              <w:rPr>
                <w:noProof/>
                <w:sz w:val="16"/>
                <w:szCs w:val="16"/>
                <w:lang w:eastAsia="fr-BE"/>
              </w:rPr>
            </w:pPr>
            <w:r w:rsidRPr="00D86314">
              <w:rPr>
                <w:noProof/>
                <w:sz w:val="16"/>
                <w:szCs w:val="16"/>
              </w:rPr>
              <w:t xml:space="preserve">Option </w:t>
            </w:r>
          </w:p>
        </w:tc>
        <w:tc>
          <w:tcPr>
            <w:tcW w:w="1299" w:type="dxa"/>
            <w:hideMark/>
          </w:tcPr>
          <w:p w14:paraId="02DFD4C3" w14:textId="77777777" w:rsidR="00EA737B" w:rsidRPr="00D86314" w:rsidRDefault="00EA737B" w:rsidP="00EA737B">
            <w:pP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FTTH and copper switch-off plans and implementation (one-off)</w:t>
            </w:r>
          </w:p>
        </w:tc>
        <w:tc>
          <w:tcPr>
            <w:tcW w:w="1001" w:type="dxa"/>
            <w:hideMark/>
          </w:tcPr>
          <w:p w14:paraId="5FF1F21D" w14:textId="77777777" w:rsidR="00EA737B" w:rsidRPr="00D86314" w:rsidRDefault="00EA737B" w:rsidP="00EA737B">
            <w:pP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Data gathering under art 22, forecasts and declarations (one-off)</w:t>
            </w:r>
          </w:p>
        </w:tc>
        <w:tc>
          <w:tcPr>
            <w:tcW w:w="943" w:type="dxa"/>
            <w:hideMark/>
          </w:tcPr>
          <w:p w14:paraId="5FE221FF" w14:textId="77777777" w:rsidR="00EA737B" w:rsidRPr="00D86314" w:rsidRDefault="00EA737B" w:rsidP="00EA737B">
            <w:pP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Data gathering under art 22, forecasts and declarations (recurring)</w:t>
            </w:r>
          </w:p>
        </w:tc>
        <w:tc>
          <w:tcPr>
            <w:tcW w:w="1111" w:type="dxa"/>
            <w:hideMark/>
          </w:tcPr>
          <w:p w14:paraId="013F0DDB" w14:textId="77777777" w:rsidR="00EA737B" w:rsidRPr="00D86314" w:rsidRDefault="00EA737B" w:rsidP="00EA737B">
            <w:pP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Market analysis, SMP and symmetric (art 61(3)) regulation one-off</w:t>
            </w:r>
          </w:p>
        </w:tc>
        <w:tc>
          <w:tcPr>
            <w:tcW w:w="936" w:type="dxa"/>
            <w:hideMark/>
          </w:tcPr>
          <w:p w14:paraId="6B033258" w14:textId="77777777" w:rsidR="00EA737B" w:rsidRPr="00D86314" w:rsidRDefault="00EA737B" w:rsidP="00EA737B">
            <w:pP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Market analysis, SMP and symmetric (art 61(3)) regulation recurring</w:t>
            </w:r>
          </w:p>
        </w:tc>
        <w:tc>
          <w:tcPr>
            <w:tcW w:w="910" w:type="dxa"/>
            <w:hideMark/>
          </w:tcPr>
          <w:p w14:paraId="74AF451D" w14:textId="77777777" w:rsidR="00EA737B" w:rsidRPr="00D86314" w:rsidRDefault="00EA737B" w:rsidP="00EA737B">
            <w:pP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Best practice wholesale access specifications (one-off)</w:t>
            </w:r>
          </w:p>
        </w:tc>
        <w:tc>
          <w:tcPr>
            <w:tcW w:w="940" w:type="dxa"/>
            <w:hideMark/>
          </w:tcPr>
          <w:p w14:paraId="02FB6B8A" w14:textId="77777777" w:rsidR="00EA737B" w:rsidRPr="00D86314" w:rsidRDefault="00EA737B" w:rsidP="00EA737B">
            <w:pP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Dispute resolution in relation to EECC (recurring)</w:t>
            </w:r>
          </w:p>
        </w:tc>
      </w:tr>
      <w:tr w:rsidR="00C60B6D" w:rsidRPr="00D86314" w14:paraId="3F0BB589" w14:textId="77777777" w:rsidTr="00EA737B">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980" w:type="dxa"/>
            <w:hideMark/>
          </w:tcPr>
          <w:p w14:paraId="35EAE885" w14:textId="77777777" w:rsidR="00C60B6D" w:rsidRPr="00D86314" w:rsidRDefault="00C60B6D" w:rsidP="00C60B6D">
            <w:pPr>
              <w:rPr>
                <w:noProof/>
                <w:sz w:val="16"/>
                <w:szCs w:val="16"/>
                <w:lang w:eastAsia="fr-BE"/>
              </w:rPr>
            </w:pPr>
            <w:r w:rsidRPr="00D86314">
              <w:rPr>
                <w:noProof/>
                <w:sz w:val="16"/>
                <w:szCs w:val="16"/>
              </w:rPr>
              <w:t>Option 0: Status quo</w:t>
            </w:r>
          </w:p>
        </w:tc>
        <w:tc>
          <w:tcPr>
            <w:tcW w:w="1299" w:type="dxa"/>
          </w:tcPr>
          <w:p w14:paraId="0FE6FA0D" w14:textId="0FF5CD6A"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150</w:t>
            </w:r>
          </w:p>
        </w:tc>
        <w:tc>
          <w:tcPr>
            <w:tcW w:w="1001" w:type="dxa"/>
          </w:tcPr>
          <w:p w14:paraId="2B13785A" w14:textId="63D60A7C"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0</w:t>
            </w:r>
          </w:p>
        </w:tc>
        <w:tc>
          <w:tcPr>
            <w:tcW w:w="943" w:type="dxa"/>
          </w:tcPr>
          <w:p w14:paraId="24FCCDF1" w14:textId="255D32FB"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795</w:t>
            </w:r>
          </w:p>
        </w:tc>
        <w:tc>
          <w:tcPr>
            <w:tcW w:w="1111" w:type="dxa"/>
          </w:tcPr>
          <w:p w14:paraId="117567B4" w14:textId="03798B4C"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0</w:t>
            </w:r>
          </w:p>
        </w:tc>
        <w:tc>
          <w:tcPr>
            <w:tcW w:w="936" w:type="dxa"/>
          </w:tcPr>
          <w:p w14:paraId="60180D00" w14:textId="68E19A5B"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w:t>
            </w:r>
            <w:r>
              <w:rPr>
                <w:noProof/>
                <w:sz w:val="16"/>
                <w:szCs w:val="16"/>
              </w:rPr>
              <w:t> </w:t>
            </w:r>
            <w:r w:rsidRPr="00F87B9B">
              <w:rPr>
                <w:noProof/>
                <w:sz w:val="16"/>
                <w:szCs w:val="16"/>
              </w:rPr>
              <w:t>122</w:t>
            </w:r>
          </w:p>
        </w:tc>
        <w:tc>
          <w:tcPr>
            <w:tcW w:w="910" w:type="dxa"/>
            <w:noWrap/>
          </w:tcPr>
          <w:p w14:paraId="15B7A413" w14:textId="31EB744B"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0</w:t>
            </w:r>
          </w:p>
        </w:tc>
        <w:tc>
          <w:tcPr>
            <w:tcW w:w="940" w:type="dxa"/>
          </w:tcPr>
          <w:p w14:paraId="411E3608" w14:textId="30D935EB"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255</w:t>
            </w:r>
          </w:p>
        </w:tc>
      </w:tr>
      <w:tr w:rsidR="00C60B6D" w:rsidRPr="00D86314" w14:paraId="7C4A2065" w14:textId="77777777" w:rsidTr="00EA737B">
        <w:trPr>
          <w:trHeight w:val="245"/>
        </w:trPr>
        <w:tc>
          <w:tcPr>
            <w:cnfStyle w:val="001000000000" w:firstRow="0" w:lastRow="0" w:firstColumn="1" w:lastColumn="0" w:oddVBand="0" w:evenVBand="0" w:oddHBand="0" w:evenHBand="0" w:firstRowFirstColumn="0" w:firstRowLastColumn="0" w:lastRowFirstColumn="0" w:lastRowLastColumn="0"/>
            <w:tcW w:w="1980" w:type="dxa"/>
            <w:hideMark/>
          </w:tcPr>
          <w:p w14:paraId="3F402070" w14:textId="305FE21B" w:rsidR="00C60B6D" w:rsidRPr="00D86314" w:rsidRDefault="00C60B6D" w:rsidP="00C60B6D">
            <w:pPr>
              <w:rPr>
                <w:noProof/>
                <w:sz w:val="16"/>
                <w:szCs w:val="16"/>
                <w:lang w:eastAsia="fr-BE"/>
              </w:rPr>
            </w:pPr>
            <w:r w:rsidRPr="00D86314">
              <w:rPr>
                <w:noProof/>
                <w:sz w:val="16"/>
                <w:szCs w:val="16"/>
              </w:rPr>
              <w:t xml:space="preserve">Option 1: Non-binding copper switch-off and limited updates to access regulation </w:t>
            </w:r>
          </w:p>
        </w:tc>
        <w:tc>
          <w:tcPr>
            <w:tcW w:w="1299" w:type="dxa"/>
          </w:tcPr>
          <w:p w14:paraId="1A293019" w14:textId="17F63597"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324</w:t>
            </w:r>
          </w:p>
        </w:tc>
        <w:tc>
          <w:tcPr>
            <w:tcW w:w="1001" w:type="dxa"/>
          </w:tcPr>
          <w:p w14:paraId="3926E688" w14:textId="5B72A4B1"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46,5</w:t>
            </w:r>
          </w:p>
        </w:tc>
        <w:tc>
          <w:tcPr>
            <w:tcW w:w="943" w:type="dxa"/>
          </w:tcPr>
          <w:p w14:paraId="2466B2C5" w14:textId="5824F50A"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954</w:t>
            </w:r>
          </w:p>
        </w:tc>
        <w:tc>
          <w:tcPr>
            <w:tcW w:w="1111" w:type="dxa"/>
          </w:tcPr>
          <w:p w14:paraId="12E4EE5C" w14:textId="1CD95933"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0</w:t>
            </w:r>
          </w:p>
        </w:tc>
        <w:tc>
          <w:tcPr>
            <w:tcW w:w="936" w:type="dxa"/>
          </w:tcPr>
          <w:p w14:paraId="7398FB23" w14:textId="593FC7D4"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1</w:t>
            </w:r>
            <w:r>
              <w:rPr>
                <w:noProof/>
                <w:sz w:val="16"/>
                <w:szCs w:val="16"/>
              </w:rPr>
              <w:t> </w:t>
            </w:r>
            <w:r w:rsidRPr="00F87B9B">
              <w:rPr>
                <w:noProof/>
                <w:sz w:val="16"/>
                <w:szCs w:val="16"/>
              </w:rPr>
              <w:t>122</w:t>
            </w:r>
          </w:p>
        </w:tc>
        <w:tc>
          <w:tcPr>
            <w:tcW w:w="910" w:type="dxa"/>
            <w:noWrap/>
          </w:tcPr>
          <w:p w14:paraId="4EE76500" w14:textId="7EE1E2BC"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46</w:t>
            </w:r>
            <w:r>
              <w:rPr>
                <w:noProof/>
                <w:sz w:val="16"/>
                <w:szCs w:val="16"/>
              </w:rPr>
              <w:t>.</w:t>
            </w:r>
            <w:r w:rsidRPr="00F87B9B">
              <w:rPr>
                <w:noProof/>
                <w:sz w:val="16"/>
                <w:szCs w:val="16"/>
              </w:rPr>
              <w:t>5</w:t>
            </w:r>
          </w:p>
        </w:tc>
        <w:tc>
          <w:tcPr>
            <w:tcW w:w="940" w:type="dxa"/>
            <w:noWrap/>
          </w:tcPr>
          <w:p w14:paraId="1E1A916F" w14:textId="3AC43484"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255</w:t>
            </w:r>
          </w:p>
        </w:tc>
      </w:tr>
      <w:tr w:rsidR="00C60B6D" w:rsidRPr="00D86314" w14:paraId="1150B48A" w14:textId="77777777" w:rsidTr="00EA737B">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1980" w:type="dxa"/>
          </w:tcPr>
          <w:p w14:paraId="42C9B110" w14:textId="6971EDE3" w:rsidR="00C60B6D" w:rsidRPr="00D86314" w:rsidRDefault="00C60B6D" w:rsidP="00C60B6D">
            <w:pPr>
              <w:rPr>
                <w:noProof/>
                <w:sz w:val="16"/>
                <w:szCs w:val="16"/>
                <w:lang w:eastAsia="fr-BE"/>
              </w:rPr>
            </w:pPr>
            <w:r w:rsidRPr="00D86314">
              <w:rPr>
                <w:noProof/>
                <w:sz w:val="16"/>
                <w:szCs w:val="16"/>
              </w:rPr>
              <w:t xml:space="preserve">Option 2: Conditional copper switch-off and updated access regulation </w:t>
            </w:r>
          </w:p>
        </w:tc>
        <w:tc>
          <w:tcPr>
            <w:tcW w:w="1299" w:type="dxa"/>
          </w:tcPr>
          <w:p w14:paraId="4E9A7BB8" w14:textId="141F8D4A"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567</w:t>
            </w:r>
          </w:p>
        </w:tc>
        <w:tc>
          <w:tcPr>
            <w:tcW w:w="1001" w:type="dxa"/>
          </w:tcPr>
          <w:p w14:paraId="17891192" w14:textId="197C017D"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46,5</w:t>
            </w:r>
          </w:p>
        </w:tc>
        <w:tc>
          <w:tcPr>
            <w:tcW w:w="943" w:type="dxa"/>
          </w:tcPr>
          <w:p w14:paraId="0073CBB6" w14:textId="6F71C4D7"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w:t>
            </w:r>
            <w:r w:rsidR="004A758B">
              <w:rPr>
                <w:noProof/>
                <w:sz w:val="16"/>
                <w:szCs w:val="16"/>
              </w:rPr>
              <w:t> </w:t>
            </w:r>
            <w:r w:rsidRPr="00F87B9B">
              <w:rPr>
                <w:noProof/>
                <w:sz w:val="16"/>
                <w:szCs w:val="16"/>
              </w:rPr>
              <w:t>192</w:t>
            </w:r>
            <w:r>
              <w:rPr>
                <w:noProof/>
                <w:sz w:val="16"/>
                <w:szCs w:val="16"/>
              </w:rPr>
              <w:t>.</w:t>
            </w:r>
            <w:r w:rsidRPr="00F87B9B">
              <w:rPr>
                <w:noProof/>
                <w:sz w:val="16"/>
                <w:szCs w:val="16"/>
              </w:rPr>
              <w:t>5</w:t>
            </w:r>
          </w:p>
        </w:tc>
        <w:tc>
          <w:tcPr>
            <w:tcW w:w="1111" w:type="dxa"/>
          </w:tcPr>
          <w:p w14:paraId="755AA509" w14:textId="7A995753"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162</w:t>
            </w:r>
          </w:p>
        </w:tc>
        <w:tc>
          <w:tcPr>
            <w:tcW w:w="936" w:type="dxa"/>
          </w:tcPr>
          <w:p w14:paraId="317A32A6" w14:textId="67B808A8"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w:t>
            </w:r>
            <w:r>
              <w:rPr>
                <w:noProof/>
                <w:sz w:val="16"/>
                <w:szCs w:val="16"/>
              </w:rPr>
              <w:t> </w:t>
            </w:r>
            <w:r w:rsidRPr="00F87B9B">
              <w:rPr>
                <w:noProof/>
                <w:sz w:val="16"/>
                <w:szCs w:val="16"/>
              </w:rPr>
              <w:t>122</w:t>
            </w:r>
          </w:p>
        </w:tc>
        <w:tc>
          <w:tcPr>
            <w:tcW w:w="910" w:type="dxa"/>
            <w:noWrap/>
          </w:tcPr>
          <w:p w14:paraId="37F5CA5F" w14:textId="1A30F877"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139</w:t>
            </w:r>
            <w:r>
              <w:rPr>
                <w:noProof/>
                <w:sz w:val="16"/>
                <w:szCs w:val="16"/>
              </w:rPr>
              <w:t>.</w:t>
            </w:r>
            <w:r w:rsidRPr="00F87B9B">
              <w:rPr>
                <w:noProof/>
                <w:sz w:val="16"/>
                <w:szCs w:val="16"/>
              </w:rPr>
              <w:t>5</w:t>
            </w:r>
          </w:p>
        </w:tc>
        <w:tc>
          <w:tcPr>
            <w:tcW w:w="940" w:type="dxa"/>
            <w:noWrap/>
          </w:tcPr>
          <w:p w14:paraId="6B615D99" w14:textId="63B8A221"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255</w:t>
            </w:r>
          </w:p>
        </w:tc>
      </w:tr>
      <w:tr w:rsidR="00C60B6D" w:rsidRPr="00D86314" w14:paraId="260FBC4E" w14:textId="77777777" w:rsidTr="00EA737B">
        <w:trPr>
          <w:trHeight w:val="912"/>
        </w:trPr>
        <w:tc>
          <w:tcPr>
            <w:cnfStyle w:val="001000000000" w:firstRow="0" w:lastRow="0" w:firstColumn="1" w:lastColumn="0" w:oddVBand="0" w:evenVBand="0" w:oddHBand="0" w:evenHBand="0" w:firstRowFirstColumn="0" w:firstRowLastColumn="0" w:lastRowFirstColumn="0" w:lastRowLastColumn="0"/>
            <w:tcW w:w="1980" w:type="dxa"/>
            <w:hideMark/>
          </w:tcPr>
          <w:p w14:paraId="602AD2A5" w14:textId="52C013A0" w:rsidR="00C60B6D" w:rsidRPr="00D86314" w:rsidRDefault="00C60B6D" w:rsidP="00C60B6D">
            <w:pPr>
              <w:rPr>
                <w:noProof/>
                <w:sz w:val="16"/>
                <w:szCs w:val="16"/>
                <w:lang w:eastAsia="fr-BE"/>
              </w:rPr>
            </w:pPr>
            <w:r w:rsidRPr="00D86314">
              <w:rPr>
                <w:noProof/>
                <w:sz w:val="16"/>
                <w:szCs w:val="16"/>
              </w:rPr>
              <w:t xml:space="preserve">Option 3: Market driven copper switch-off and bottleneck-based access regulation </w:t>
            </w:r>
          </w:p>
        </w:tc>
        <w:tc>
          <w:tcPr>
            <w:tcW w:w="1299" w:type="dxa"/>
          </w:tcPr>
          <w:p w14:paraId="65DFECD7" w14:textId="3D30AEF8"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0</w:t>
            </w:r>
          </w:p>
        </w:tc>
        <w:tc>
          <w:tcPr>
            <w:tcW w:w="1001" w:type="dxa"/>
          </w:tcPr>
          <w:p w14:paraId="5A8DD955" w14:textId="0FB537EA"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0</w:t>
            </w:r>
          </w:p>
        </w:tc>
        <w:tc>
          <w:tcPr>
            <w:tcW w:w="943" w:type="dxa"/>
          </w:tcPr>
          <w:p w14:paraId="0ED77AEF" w14:textId="362EBAFD"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0</w:t>
            </w:r>
          </w:p>
        </w:tc>
        <w:tc>
          <w:tcPr>
            <w:tcW w:w="1111" w:type="dxa"/>
          </w:tcPr>
          <w:p w14:paraId="7B93C942" w14:textId="39C8517B"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0</w:t>
            </w:r>
          </w:p>
        </w:tc>
        <w:tc>
          <w:tcPr>
            <w:tcW w:w="936" w:type="dxa"/>
          </w:tcPr>
          <w:p w14:paraId="6F9CF025" w14:textId="54EA9FCB"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150</w:t>
            </w:r>
          </w:p>
        </w:tc>
        <w:tc>
          <w:tcPr>
            <w:tcW w:w="910" w:type="dxa"/>
            <w:noWrap/>
          </w:tcPr>
          <w:p w14:paraId="72B5AF5A" w14:textId="48010CDB"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0</w:t>
            </w:r>
          </w:p>
        </w:tc>
        <w:tc>
          <w:tcPr>
            <w:tcW w:w="940" w:type="dxa"/>
            <w:noWrap/>
          </w:tcPr>
          <w:p w14:paraId="3F150FE6" w14:textId="6B570CCA" w:rsidR="00C60B6D" w:rsidRPr="00D86314" w:rsidRDefault="00C60B6D" w:rsidP="00C60B6D">
            <w:pP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798</w:t>
            </w:r>
          </w:p>
        </w:tc>
      </w:tr>
      <w:tr w:rsidR="00C60B6D" w:rsidRPr="00D86314" w14:paraId="3F628F0E" w14:textId="77777777" w:rsidTr="00EA737B">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1980" w:type="dxa"/>
            <w:hideMark/>
          </w:tcPr>
          <w:p w14:paraId="44B7B655" w14:textId="2DBDCC20" w:rsidR="00C60B6D" w:rsidRPr="00D86314" w:rsidRDefault="00C60B6D" w:rsidP="00C60B6D">
            <w:pPr>
              <w:rPr>
                <w:noProof/>
                <w:sz w:val="16"/>
                <w:szCs w:val="16"/>
                <w:lang w:eastAsia="fr-BE"/>
              </w:rPr>
            </w:pPr>
            <w:r w:rsidRPr="00D86314">
              <w:rPr>
                <w:noProof/>
                <w:sz w:val="16"/>
                <w:szCs w:val="16"/>
              </w:rPr>
              <w:t>Option 4: Mandatory copper switch-off and symmetric regulation</w:t>
            </w:r>
          </w:p>
        </w:tc>
        <w:tc>
          <w:tcPr>
            <w:tcW w:w="1299" w:type="dxa"/>
          </w:tcPr>
          <w:p w14:paraId="56DAA4FB" w14:textId="05929C6B"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850</w:t>
            </w:r>
            <w:r>
              <w:rPr>
                <w:noProof/>
                <w:sz w:val="16"/>
                <w:szCs w:val="16"/>
              </w:rPr>
              <w:t>.</w:t>
            </w:r>
            <w:r w:rsidRPr="00F87B9B">
              <w:rPr>
                <w:noProof/>
                <w:sz w:val="16"/>
                <w:szCs w:val="16"/>
              </w:rPr>
              <w:t>5</w:t>
            </w:r>
          </w:p>
        </w:tc>
        <w:tc>
          <w:tcPr>
            <w:tcW w:w="1001" w:type="dxa"/>
          </w:tcPr>
          <w:p w14:paraId="1CF823AD" w14:textId="6487723C"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46</w:t>
            </w:r>
            <w:r>
              <w:rPr>
                <w:noProof/>
                <w:sz w:val="16"/>
                <w:szCs w:val="16"/>
              </w:rPr>
              <w:t>.</w:t>
            </w:r>
            <w:r w:rsidRPr="00F87B9B">
              <w:rPr>
                <w:noProof/>
                <w:sz w:val="16"/>
                <w:szCs w:val="16"/>
              </w:rPr>
              <w:t>5</w:t>
            </w:r>
          </w:p>
        </w:tc>
        <w:tc>
          <w:tcPr>
            <w:tcW w:w="943" w:type="dxa"/>
          </w:tcPr>
          <w:p w14:paraId="767D6C4D" w14:textId="2FE4C952"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w:t>
            </w:r>
            <w:r w:rsidR="004A758B">
              <w:rPr>
                <w:noProof/>
                <w:sz w:val="16"/>
                <w:szCs w:val="16"/>
              </w:rPr>
              <w:t> </w:t>
            </w:r>
            <w:r w:rsidRPr="00F87B9B">
              <w:rPr>
                <w:noProof/>
                <w:sz w:val="16"/>
                <w:szCs w:val="16"/>
              </w:rPr>
              <w:t>192</w:t>
            </w:r>
            <w:r>
              <w:rPr>
                <w:noProof/>
                <w:sz w:val="16"/>
                <w:szCs w:val="16"/>
              </w:rPr>
              <w:t>.</w:t>
            </w:r>
            <w:r w:rsidRPr="00F87B9B">
              <w:rPr>
                <w:noProof/>
                <w:sz w:val="16"/>
                <w:szCs w:val="16"/>
              </w:rPr>
              <w:t>5</w:t>
            </w:r>
          </w:p>
        </w:tc>
        <w:tc>
          <w:tcPr>
            <w:tcW w:w="1111" w:type="dxa"/>
          </w:tcPr>
          <w:p w14:paraId="44B0B89D" w14:textId="770C281A"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0</w:t>
            </w:r>
          </w:p>
        </w:tc>
        <w:tc>
          <w:tcPr>
            <w:tcW w:w="936" w:type="dxa"/>
          </w:tcPr>
          <w:p w14:paraId="4AA73594" w14:textId="286B5B11"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150</w:t>
            </w:r>
          </w:p>
        </w:tc>
        <w:tc>
          <w:tcPr>
            <w:tcW w:w="910" w:type="dxa"/>
            <w:noWrap/>
          </w:tcPr>
          <w:p w14:paraId="0BBF40BE" w14:textId="39916B20"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46</w:t>
            </w:r>
            <w:r>
              <w:rPr>
                <w:noProof/>
                <w:sz w:val="16"/>
                <w:szCs w:val="16"/>
              </w:rPr>
              <w:t>.</w:t>
            </w:r>
            <w:r w:rsidRPr="00F87B9B">
              <w:rPr>
                <w:noProof/>
                <w:sz w:val="16"/>
                <w:szCs w:val="16"/>
              </w:rPr>
              <w:t>5</w:t>
            </w:r>
          </w:p>
        </w:tc>
        <w:tc>
          <w:tcPr>
            <w:tcW w:w="940" w:type="dxa"/>
            <w:noWrap/>
          </w:tcPr>
          <w:p w14:paraId="4323618F" w14:textId="1AC77D33" w:rsidR="00C60B6D" w:rsidRPr="00D86314" w:rsidRDefault="00C60B6D" w:rsidP="00C60B6D">
            <w:pP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1</w:t>
            </w:r>
            <w:r>
              <w:rPr>
                <w:noProof/>
                <w:sz w:val="16"/>
                <w:szCs w:val="16"/>
              </w:rPr>
              <w:t> </w:t>
            </w:r>
            <w:r w:rsidRPr="00F87B9B">
              <w:rPr>
                <w:noProof/>
                <w:sz w:val="16"/>
                <w:szCs w:val="16"/>
              </w:rPr>
              <w:t>596</w:t>
            </w:r>
          </w:p>
        </w:tc>
      </w:tr>
    </w:tbl>
    <w:p w14:paraId="5E9C9C7F" w14:textId="2E842E12" w:rsidR="00EA737B" w:rsidRPr="00D86314" w:rsidRDefault="00EA737B" w:rsidP="00EE2EF1">
      <w:pPr>
        <w:pStyle w:val="Tabberschrift"/>
        <w:ind w:left="0" w:firstLine="0"/>
        <w:rPr>
          <w:rFonts w:ascii="Times New Roman" w:hAnsi="Times New Roman"/>
          <w:noProof/>
          <w:sz w:val="24"/>
          <w:szCs w:val="24"/>
        </w:rPr>
      </w:pPr>
      <w:r w:rsidRPr="00D86314">
        <w:rPr>
          <w:rFonts w:ascii="Times New Roman" w:hAnsi="Times New Roman"/>
          <w:i/>
          <w:iCs/>
          <w:noProof/>
          <w:sz w:val="24"/>
          <w:szCs w:val="24"/>
        </w:rPr>
        <w:t xml:space="preserve">Source: </w:t>
      </w:r>
      <w:r w:rsidR="00805C1A" w:rsidRPr="00D86314">
        <w:rPr>
          <w:rFonts w:ascii="Times New Roman" w:hAnsi="Times New Roman"/>
          <w:i/>
          <w:iCs/>
          <w:noProof/>
          <w:sz w:val="24"/>
          <w:szCs w:val="24"/>
        </w:rPr>
        <w:t>Study on Access Regulation</w:t>
      </w:r>
    </w:p>
    <w:p w14:paraId="7D833F29" w14:textId="67E5D8E2" w:rsidR="00EA737B" w:rsidRPr="00D86314" w:rsidRDefault="00EA737B" w:rsidP="00EE2EF1">
      <w:pPr>
        <w:spacing w:before="240" w:after="360"/>
        <w:rPr>
          <w:noProof/>
        </w:rPr>
      </w:pPr>
      <w:r w:rsidRPr="00D86314">
        <w:rPr>
          <w:noProof/>
        </w:rPr>
        <w:t xml:space="preserve">The following table shows the estimated change in one-off and recurring administrative costs taking costs for both public authorities and stakeholders into account. Option 1 is expected to be associated with a one-off cost of </w:t>
      </w:r>
      <w:r w:rsidR="008C06F3" w:rsidRPr="00D86314">
        <w:rPr>
          <w:noProof/>
        </w:rPr>
        <w:t>EUR </w:t>
      </w:r>
      <w:r w:rsidRPr="00D86314">
        <w:rPr>
          <w:noProof/>
        </w:rPr>
        <w:t>25</w:t>
      </w:r>
      <w:r w:rsidR="001408F8" w:rsidRPr="00D86314">
        <w:rPr>
          <w:noProof/>
        </w:rPr>
        <w:t xml:space="preserve"> </w:t>
      </w:r>
      <w:r w:rsidRPr="00D86314">
        <w:rPr>
          <w:noProof/>
        </w:rPr>
        <w:t>m</w:t>
      </w:r>
      <w:r w:rsidR="001408F8" w:rsidRPr="00D86314">
        <w:rPr>
          <w:noProof/>
        </w:rPr>
        <w:t>illion</w:t>
      </w:r>
      <w:r w:rsidRPr="00D86314">
        <w:rPr>
          <w:noProof/>
        </w:rPr>
        <w:t xml:space="preserve">, mainly associated with CSO and FTTH plans, as well as guidelines for the reporting of data and best practice wholesale products. One-off costs of around </w:t>
      </w:r>
      <w:r w:rsidR="000C4CF4" w:rsidRPr="00D86314">
        <w:rPr>
          <w:noProof/>
        </w:rPr>
        <w:t>EUR </w:t>
      </w:r>
      <w:r w:rsidRPr="00D86314">
        <w:rPr>
          <w:noProof/>
        </w:rPr>
        <w:t>73</w:t>
      </w:r>
      <w:r w:rsidR="00A953EE" w:rsidRPr="00D86314">
        <w:rPr>
          <w:noProof/>
        </w:rPr>
        <w:t xml:space="preserve"> </w:t>
      </w:r>
      <w:r w:rsidRPr="00D86314">
        <w:rPr>
          <w:noProof/>
        </w:rPr>
        <w:t>m</w:t>
      </w:r>
      <w:r w:rsidR="00A953EE" w:rsidRPr="00D86314">
        <w:rPr>
          <w:noProof/>
        </w:rPr>
        <w:t>illion</w:t>
      </w:r>
      <w:r w:rsidRPr="00D86314">
        <w:rPr>
          <w:noProof/>
        </w:rPr>
        <w:t xml:space="preserve"> are anticipated for </w:t>
      </w:r>
      <w:r w:rsidR="004135D9">
        <w:rPr>
          <w:noProof/>
        </w:rPr>
        <w:t>o</w:t>
      </w:r>
      <w:r w:rsidRPr="00D86314">
        <w:rPr>
          <w:noProof/>
        </w:rPr>
        <w:t xml:space="preserve">ption 2 linked to preparations for the mandatory switch-off of copper networks (as well as introduction of harmonised wholesale products) with slightly higher one-off costs for </w:t>
      </w:r>
      <w:r w:rsidR="004135D9">
        <w:rPr>
          <w:noProof/>
        </w:rPr>
        <w:t>o</w:t>
      </w:r>
      <w:r w:rsidRPr="00D86314">
        <w:rPr>
          <w:noProof/>
        </w:rPr>
        <w:t xml:space="preserve">ption 4 linked to intensified preparations for copper switch-off without the potential for extension beyond 2030. One-off cost savings of around </w:t>
      </w:r>
      <w:r w:rsidR="00FA3BE7" w:rsidRPr="00D86314">
        <w:rPr>
          <w:noProof/>
        </w:rPr>
        <w:t>EUR </w:t>
      </w:r>
      <w:r w:rsidRPr="00D86314">
        <w:rPr>
          <w:noProof/>
        </w:rPr>
        <w:t>14</w:t>
      </w:r>
      <w:r w:rsidR="001408F8" w:rsidRPr="00D86314">
        <w:rPr>
          <w:noProof/>
        </w:rPr>
        <w:t xml:space="preserve"> </w:t>
      </w:r>
      <w:r w:rsidRPr="00D86314">
        <w:rPr>
          <w:noProof/>
        </w:rPr>
        <w:t>m</w:t>
      </w:r>
      <w:r w:rsidR="001408F8" w:rsidRPr="00D86314">
        <w:rPr>
          <w:noProof/>
        </w:rPr>
        <w:t>illion</w:t>
      </w:r>
      <w:r w:rsidRPr="00D86314">
        <w:rPr>
          <w:noProof/>
        </w:rPr>
        <w:t xml:space="preserve"> might be expected if it results in the removal of existing oversight mechanisms for copper switch-off, although this cannot be presumed. Regarding recurring costs, increases of 7% are expected for </w:t>
      </w:r>
      <w:r w:rsidR="004135D9">
        <w:rPr>
          <w:noProof/>
        </w:rPr>
        <w:t>o</w:t>
      </w:r>
      <w:r w:rsidRPr="00D86314">
        <w:rPr>
          <w:noProof/>
        </w:rPr>
        <w:t xml:space="preserve">ption 1 and 18% for </w:t>
      </w:r>
      <w:r w:rsidR="004135D9">
        <w:rPr>
          <w:noProof/>
        </w:rPr>
        <w:t>o</w:t>
      </w:r>
      <w:r w:rsidRPr="00D86314">
        <w:rPr>
          <w:noProof/>
        </w:rPr>
        <w:t xml:space="preserve">ption 2 (linked mainly to increased focus on data gathering), while an increase of 35% is expected for </w:t>
      </w:r>
      <w:r w:rsidR="004135D9">
        <w:rPr>
          <w:noProof/>
        </w:rPr>
        <w:t>o</w:t>
      </w:r>
      <w:r w:rsidRPr="00D86314">
        <w:rPr>
          <w:noProof/>
        </w:rPr>
        <w:t xml:space="preserve">ption 4 linked to the switch from ex ante regulation to the more resource-intensive process associated with dispute resolution. Cost savings of around 56% are expected from the removal of the market review framework under </w:t>
      </w:r>
      <w:r w:rsidR="004135D9">
        <w:rPr>
          <w:noProof/>
        </w:rPr>
        <w:t>o</w:t>
      </w:r>
      <w:r w:rsidRPr="00D86314">
        <w:rPr>
          <w:noProof/>
        </w:rPr>
        <w:t>ption 3 and its replacement with dispute resolution with a much narrower scope.</w:t>
      </w:r>
    </w:p>
    <w:p w14:paraId="2F1B0A32" w14:textId="77BE3EA0" w:rsidR="00EA737B" w:rsidRPr="00D86314" w:rsidRDefault="00EA737B" w:rsidP="00271373">
      <w:pPr>
        <w:pStyle w:val="Tabberschrift"/>
        <w:spacing w:before="240"/>
        <w:rPr>
          <w:rFonts w:ascii="Times New Roman" w:hAnsi="Times New Roman"/>
          <w:noProof/>
          <w:szCs w:val="22"/>
        </w:rPr>
      </w:pPr>
      <w:r w:rsidRPr="00D86314">
        <w:rPr>
          <w:rFonts w:ascii="Times New Roman" w:hAnsi="Times New Roman"/>
          <w:noProof/>
          <w:szCs w:val="22"/>
        </w:rPr>
        <w:t>Table</w:t>
      </w:r>
      <w:r w:rsidR="007B4FE7" w:rsidRPr="00D86314">
        <w:rPr>
          <w:rFonts w:ascii="Times New Roman" w:hAnsi="Times New Roman"/>
          <w:noProof/>
          <w:szCs w:val="22"/>
        </w:rPr>
        <w:t xml:space="preserve"> A9</w:t>
      </w:r>
      <w:r w:rsidRPr="00D86314">
        <w:rPr>
          <w:rFonts w:ascii="Times New Roman" w:hAnsi="Times New Roman"/>
          <w:noProof/>
          <w:szCs w:val="22"/>
        </w:rPr>
        <w:t xml:space="preserve"> </w:t>
      </w:r>
      <w:r w:rsidR="00EC4DF5" w:rsidRPr="00D86314">
        <w:rPr>
          <w:rFonts w:ascii="Times New Roman" w:hAnsi="Times New Roman"/>
          <w:noProof/>
          <w:szCs w:val="22"/>
        </w:rPr>
        <w:t>1-8</w:t>
      </w:r>
      <w:r w:rsidRPr="00D86314">
        <w:rPr>
          <w:rFonts w:ascii="Times New Roman" w:hAnsi="Times New Roman"/>
          <w:noProof/>
          <w:szCs w:val="22"/>
        </w:rPr>
        <w:t>:Estimated change in one-off and recurring administrative costs</w:t>
      </w:r>
    </w:p>
    <w:tbl>
      <w:tblPr>
        <w:tblStyle w:val="PlainTable1"/>
        <w:tblW w:w="9104" w:type="dxa"/>
        <w:tblLayout w:type="fixed"/>
        <w:tblLook w:val="04A0" w:firstRow="1" w:lastRow="0" w:firstColumn="1" w:lastColumn="0" w:noHBand="0" w:noVBand="1"/>
      </w:tblPr>
      <w:tblGrid>
        <w:gridCol w:w="2111"/>
        <w:gridCol w:w="1114"/>
        <w:gridCol w:w="1001"/>
        <w:gridCol w:w="951"/>
        <w:gridCol w:w="1111"/>
        <w:gridCol w:w="948"/>
        <w:gridCol w:w="934"/>
        <w:gridCol w:w="934"/>
      </w:tblGrid>
      <w:tr w:rsidR="00EA737B" w:rsidRPr="00D86314" w14:paraId="30DE923E" w14:textId="77777777" w:rsidTr="00EA737B">
        <w:trPr>
          <w:cnfStyle w:val="100000000000" w:firstRow="1" w:lastRow="0" w:firstColumn="0" w:lastColumn="0" w:oddVBand="0" w:evenVBand="0" w:oddHBand="0" w:evenHBand="0"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2111" w:type="dxa"/>
            <w:hideMark/>
          </w:tcPr>
          <w:p w14:paraId="3B62F535" w14:textId="77777777" w:rsidR="00EA737B" w:rsidRPr="00D86314" w:rsidRDefault="00EA737B" w:rsidP="00623C8D">
            <w:pPr>
              <w:keepNext/>
              <w:keepLines/>
              <w:spacing w:after="0"/>
              <w:jc w:val="left"/>
              <w:rPr>
                <w:noProof/>
                <w:sz w:val="16"/>
                <w:szCs w:val="16"/>
                <w:lang w:eastAsia="fr-BE"/>
              </w:rPr>
            </w:pPr>
            <w:r w:rsidRPr="00D86314">
              <w:rPr>
                <w:noProof/>
                <w:sz w:val="16"/>
                <w:szCs w:val="16"/>
                <w:lang w:eastAsia="fr-BE"/>
              </w:rPr>
              <w:t xml:space="preserve">Option </w:t>
            </w:r>
          </w:p>
        </w:tc>
        <w:tc>
          <w:tcPr>
            <w:tcW w:w="1114" w:type="dxa"/>
            <w:hideMark/>
          </w:tcPr>
          <w:p w14:paraId="5E65D24F" w14:textId="77777777" w:rsidR="00EA737B" w:rsidRPr="00D86314" w:rsidRDefault="00EA737B" w:rsidP="00623C8D">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One-off FTE (CSO + data + market review + wholesale products)</w:t>
            </w:r>
          </w:p>
        </w:tc>
        <w:tc>
          <w:tcPr>
            <w:tcW w:w="1001" w:type="dxa"/>
            <w:hideMark/>
          </w:tcPr>
          <w:p w14:paraId="03421BA9" w14:textId="77777777" w:rsidR="00EA737B" w:rsidRPr="00D86314" w:rsidRDefault="00EA737B" w:rsidP="00623C8D">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Change in one-off FTE</w:t>
            </w:r>
          </w:p>
        </w:tc>
        <w:tc>
          <w:tcPr>
            <w:tcW w:w="951" w:type="dxa"/>
            <w:hideMark/>
          </w:tcPr>
          <w:p w14:paraId="1A2BD8A5" w14:textId="2F3D5FB5" w:rsidR="00EA737B" w:rsidRPr="00D86314" w:rsidRDefault="00EA737B" w:rsidP="00623C8D">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 xml:space="preserve">Change in one-off costs </w:t>
            </w:r>
          </w:p>
        </w:tc>
        <w:tc>
          <w:tcPr>
            <w:tcW w:w="1111" w:type="dxa"/>
            <w:hideMark/>
          </w:tcPr>
          <w:p w14:paraId="1F22F8E7" w14:textId="77777777" w:rsidR="00EA737B" w:rsidRPr="00D86314" w:rsidRDefault="00EA737B" w:rsidP="00623C8D">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Recurring FTE (Data gathering, market analysis, dispute resolution)</w:t>
            </w:r>
          </w:p>
        </w:tc>
        <w:tc>
          <w:tcPr>
            <w:tcW w:w="948" w:type="dxa"/>
            <w:hideMark/>
          </w:tcPr>
          <w:p w14:paraId="1BB380EC" w14:textId="77777777" w:rsidR="00EA737B" w:rsidRPr="00D86314" w:rsidRDefault="00EA737B" w:rsidP="00623C8D">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Change in recurring FTE</w:t>
            </w:r>
          </w:p>
        </w:tc>
        <w:tc>
          <w:tcPr>
            <w:tcW w:w="934" w:type="dxa"/>
            <w:hideMark/>
          </w:tcPr>
          <w:p w14:paraId="5065B0C1" w14:textId="7675DB13" w:rsidR="00EA737B" w:rsidRPr="00D86314" w:rsidRDefault="00EA737B" w:rsidP="00623C8D">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86314">
              <w:rPr>
                <w:noProof/>
                <w:sz w:val="16"/>
                <w:szCs w:val="16"/>
              </w:rPr>
              <w:t>Change in recurring cost (</w:t>
            </w:r>
            <w:r w:rsidR="00DD3D02" w:rsidRPr="00D86314">
              <w:rPr>
                <w:noProof/>
                <w:sz w:val="16"/>
                <w:szCs w:val="16"/>
              </w:rPr>
              <w:t>EUR </w:t>
            </w:r>
            <w:r w:rsidRPr="00D86314">
              <w:rPr>
                <w:noProof/>
                <w:sz w:val="16"/>
                <w:szCs w:val="16"/>
              </w:rPr>
              <w:t>000)</w:t>
            </w:r>
          </w:p>
        </w:tc>
        <w:tc>
          <w:tcPr>
            <w:tcW w:w="934" w:type="dxa"/>
          </w:tcPr>
          <w:p w14:paraId="683ABFD7" w14:textId="77777777" w:rsidR="00EA737B" w:rsidRPr="00D86314" w:rsidRDefault="00EA737B" w:rsidP="00623C8D">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D86314">
              <w:rPr>
                <w:noProof/>
                <w:sz w:val="16"/>
                <w:szCs w:val="16"/>
              </w:rPr>
              <w:t>% Change in recurring cost</w:t>
            </w:r>
          </w:p>
        </w:tc>
      </w:tr>
      <w:tr w:rsidR="00107CA6" w:rsidRPr="00D86314" w14:paraId="745B26D1" w14:textId="77777777" w:rsidTr="001A1574">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2111" w:type="dxa"/>
            <w:hideMark/>
          </w:tcPr>
          <w:p w14:paraId="659D2704" w14:textId="77777777" w:rsidR="00107CA6" w:rsidRPr="00D86314" w:rsidRDefault="00107CA6" w:rsidP="00107CA6">
            <w:pPr>
              <w:keepNext/>
              <w:keepLines/>
              <w:spacing w:after="0"/>
              <w:jc w:val="left"/>
              <w:rPr>
                <w:noProof/>
                <w:sz w:val="16"/>
                <w:szCs w:val="16"/>
                <w:lang w:eastAsia="fr-BE"/>
              </w:rPr>
            </w:pPr>
            <w:r w:rsidRPr="00D86314">
              <w:rPr>
                <w:noProof/>
                <w:sz w:val="16"/>
                <w:szCs w:val="16"/>
              </w:rPr>
              <w:t>Option 0: Status quo</w:t>
            </w:r>
          </w:p>
        </w:tc>
        <w:tc>
          <w:tcPr>
            <w:tcW w:w="1114" w:type="dxa"/>
            <w:vAlign w:val="center"/>
            <w:hideMark/>
          </w:tcPr>
          <w:p w14:paraId="58EEC421" w14:textId="587568E0"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150 </w:t>
            </w:r>
          </w:p>
        </w:tc>
        <w:tc>
          <w:tcPr>
            <w:tcW w:w="1001" w:type="dxa"/>
            <w:vAlign w:val="center"/>
            <w:hideMark/>
          </w:tcPr>
          <w:p w14:paraId="5AE7139B" w14:textId="2B4530D1"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  </w:t>
            </w:r>
          </w:p>
        </w:tc>
        <w:tc>
          <w:tcPr>
            <w:tcW w:w="951" w:type="dxa"/>
            <w:vAlign w:val="center"/>
            <w:hideMark/>
          </w:tcPr>
          <w:p w14:paraId="6DE8178B" w14:textId="186E9ACB"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  </w:t>
            </w:r>
          </w:p>
        </w:tc>
        <w:tc>
          <w:tcPr>
            <w:tcW w:w="1111" w:type="dxa"/>
            <w:vAlign w:val="center"/>
            <w:hideMark/>
          </w:tcPr>
          <w:p w14:paraId="7BDC2175" w14:textId="6635218E"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2.172 </w:t>
            </w:r>
          </w:p>
        </w:tc>
        <w:tc>
          <w:tcPr>
            <w:tcW w:w="948" w:type="dxa"/>
            <w:vAlign w:val="center"/>
            <w:hideMark/>
          </w:tcPr>
          <w:p w14:paraId="46FC9059" w14:textId="1F552D30"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  </w:t>
            </w:r>
          </w:p>
        </w:tc>
        <w:tc>
          <w:tcPr>
            <w:tcW w:w="934" w:type="dxa"/>
            <w:noWrap/>
            <w:vAlign w:val="center"/>
          </w:tcPr>
          <w:p w14:paraId="623A7022" w14:textId="21B353CB"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  </w:t>
            </w:r>
          </w:p>
        </w:tc>
        <w:tc>
          <w:tcPr>
            <w:tcW w:w="934" w:type="dxa"/>
            <w:vAlign w:val="center"/>
          </w:tcPr>
          <w:p w14:paraId="76ECC554" w14:textId="77A265EA"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 </w:t>
            </w:r>
          </w:p>
        </w:tc>
      </w:tr>
      <w:tr w:rsidR="00107CA6" w:rsidRPr="00D86314" w14:paraId="38F3172D" w14:textId="77777777" w:rsidTr="00107CA6">
        <w:trPr>
          <w:trHeight w:val="111"/>
        </w:trPr>
        <w:tc>
          <w:tcPr>
            <w:cnfStyle w:val="001000000000" w:firstRow="0" w:lastRow="0" w:firstColumn="1" w:lastColumn="0" w:oddVBand="0" w:evenVBand="0" w:oddHBand="0" w:evenHBand="0" w:firstRowFirstColumn="0" w:firstRowLastColumn="0" w:lastRowFirstColumn="0" w:lastRowLastColumn="0"/>
            <w:tcW w:w="2111" w:type="dxa"/>
            <w:hideMark/>
          </w:tcPr>
          <w:p w14:paraId="67ED1124" w14:textId="654CA9C9" w:rsidR="00107CA6" w:rsidRPr="00D86314" w:rsidRDefault="00107CA6" w:rsidP="00107CA6">
            <w:pPr>
              <w:keepNext/>
              <w:keepLines/>
              <w:spacing w:after="0"/>
              <w:jc w:val="left"/>
              <w:rPr>
                <w:noProof/>
                <w:sz w:val="16"/>
                <w:szCs w:val="16"/>
                <w:lang w:eastAsia="fr-BE"/>
              </w:rPr>
            </w:pPr>
            <w:r w:rsidRPr="00D86314">
              <w:rPr>
                <w:noProof/>
                <w:sz w:val="16"/>
                <w:szCs w:val="16"/>
              </w:rPr>
              <w:t xml:space="preserve">Option 1: Non-binding copper switch-off and limited updates to access regulation </w:t>
            </w:r>
          </w:p>
        </w:tc>
        <w:tc>
          <w:tcPr>
            <w:tcW w:w="1114" w:type="dxa"/>
            <w:vAlign w:val="center"/>
            <w:hideMark/>
          </w:tcPr>
          <w:p w14:paraId="0CB77D9B" w14:textId="2C2CB3AD" w:rsidR="00107CA6" w:rsidRPr="00D86314" w:rsidRDefault="00107CA6" w:rsidP="00107CA6">
            <w:pPr>
              <w:keepNext/>
              <w:keepLines/>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417 </w:t>
            </w:r>
          </w:p>
        </w:tc>
        <w:tc>
          <w:tcPr>
            <w:tcW w:w="1001" w:type="dxa"/>
            <w:vAlign w:val="center"/>
            <w:hideMark/>
          </w:tcPr>
          <w:p w14:paraId="765A4985" w14:textId="49F5BC74" w:rsidR="00107CA6" w:rsidRPr="00D86314" w:rsidRDefault="00107CA6" w:rsidP="00107CA6">
            <w:pPr>
              <w:keepNext/>
              <w:keepLines/>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267 </w:t>
            </w:r>
          </w:p>
        </w:tc>
        <w:tc>
          <w:tcPr>
            <w:tcW w:w="951" w:type="dxa"/>
            <w:vAlign w:val="center"/>
            <w:hideMark/>
          </w:tcPr>
          <w:p w14:paraId="00C36596" w14:textId="734B885A" w:rsidR="00107CA6" w:rsidRPr="00D86314" w:rsidRDefault="00107CA6" w:rsidP="00107CA6">
            <w:pPr>
              <w:keepNext/>
              <w:keepLines/>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25</w:t>
            </w:r>
            <w:r>
              <w:rPr>
                <w:noProof/>
                <w:sz w:val="16"/>
                <w:szCs w:val="16"/>
              </w:rPr>
              <w:t> </w:t>
            </w:r>
            <w:r w:rsidRPr="00F87B9B">
              <w:rPr>
                <w:noProof/>
                <w:sz w:val="16"/>
                <w:szCs w:val="16"/>
              </w:rPr>
              <w:t>471</w:t>
            </w:r>
            <w:r>
              <w:rPr>
                <w:noProof/>
                <w:sz w:val="16"/>
                <w:szCs w:val="16"/>
              </w:rPr>
              <w:t> </w:t>
            </w:r>
            <w:r w:rsidRPr="00F87B9B">
              <w:rPr>
                <w:noProof/>
                <w:sz w:val="16"/>
                <w:szCs w:val="16"/>
              </w:rPr>
              <w:t xml:space="preserve">800 </w:t>
            </w:r>
          </w:p>
        </w:tc>
        <w:tc>
          <w:tcPr>
            <w:tcW w:w="1111" w:type="dxa"/>
            <w:vAlign w:val="center"/>
            <w:hideMark/>
          </w:tcPr>
          <w:p w14:paraId="631CDF1E" w14:textId="33BAD936" w:rsidR="00107CA6" w:rsidRPr="00D86314" w:rsidRDefault="00107CA6" w:rsidP="00107CA6">
            <w:pPr>
              <w:keepNext/>
              <w:keepLines/>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2.331 </w:t>
            </w:r>
          </w:p>
        </w:tc>
        <w:tc>
          <w:tcPr>
            <w:tcW w:w="948" w:type="dxa"/>
            <w:vAlign w:val="center"/>
            <w:hideMark/>
          </w:tcPr>
          <w:p w14:paraId="65A86182" w14:textId="222BB17A" w:rsidR="00107CA6" w:rsidRPr="00D86314" w:rsidRDefault="00107CA6" w:rsidP="00107CA6">
            <w:pPr>
              <w:keepNext/>
              <w:keepLines/>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159 </w:t>
            </w:r>
          </w:p>
        </w:tc>
        <w:tc>
          <w:tcPr>
            <w:tcW w:w="934" w:type="dxa"/>
            <w:noWrap/>
            <w:vAlign w:val="center"/>
          </w:tcPr>
          <w:p w14:paraId="07B194D7" w14:textId="01446C64" w:rsidR="00107CA6" w:rsidRPr="00D86314" w:rsidRDefault="00107CA6" w:rsidP="00107CA6">
            <w:pPr>
              <w:keepNext/>
              <w:keepLines/>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15.169 </w:t>
            </w:r>
          </w:p>
        </w:tc>
        <w:tc>
          <w:tcPr>
            <w:tcW w:w="934" w:type="dxa"/>
            <w:vAlign w:val="center"/>
          </w:tcPr>
          <w:p w14:paraId="42A7C310" w14:textId="38FEEE5A" w:rsidR="00107CA6" w:rsidRPr="00D86314" w:rsidRDefault="00107CA6" w:rsidP="00107CA6">
            <w:pPr>
              <w:keepNext/>
              <w:keepLines/>
              <w:spacing w:after="0"/>
              <w:jc w:val="center"/>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7%</w:t>
            </w:r>
          </w:p>
        </w:tc>
      </w:tr>
      <w:tr w:rsidR="00107CA6" w:rsidRPr="00D86314" w14:paraId="0346E23C" w14:textId="77777777" w:rsidTr="001A1574">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2111" w:type="dxa"/>
          </w:tcPr>
          <w:p w14:paraId="60CCF56F" w14:textId="491A6CC5" w:rsidR="00107CA6" w:rsidRPr="00D86314" w:rsidRDefault="00107CA6" w:rsidP="00107CA6">
            <w:pPr>
              <w:keepNext/>
              <w:keepLines/>
              <w:spacing w:after="0"/>
              <w:jc w:val="left"/>
              <w:rPr>
                <w:noProof/>
                <w:sz w:val="16"/>
                <w:szCs w:val="16"/>
                <w:lang w:eastAsia="fr-BE"/>
              </w:rPr>
            </w:pPr>
            <w:r w:rsidRPr="00D86314">
              <w:rPr>
                <w:noProof/>
                <w:sz w:val="16"/>
                <w:szCs w:val="16"/>
              </w:rPr>
              <w:t xml:space="preserve">Option 2: Conditional copper switch-off and updated access regulation </w:t>
            </w:r>
          </w:p>
        </w:tc>
        <w:tc>
          <w:tcPr>
            <w:tcW w:w="1114" w:type="dxa"/>
            <w:vAlign w:val="center"/>
          </w:tcPr>
          <w:p w14:paraId="31F0863B" w14:textId="270ACB1D"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915 </w:t>
            </w:r>
          </w:p>
        </w:tc>
        <w:tc>
          <w:tcPr>
            <w:tcW w:w="1001" w:type="dxa"/>
            <w:vAlign w:val="center"/>
          </w:tcPr>
          <w:p w14:paraId="735A5647" w14:textId="641EE35C"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765 </w:t>
            </w:r>
          </w:p>
        </w:tc>
        <w:tc>
          <w:tcPr>
            <w:tcW w:w="951" w:type="dxa"/>
            <w:vAlign w:val="center"/>
          </w:tcPr>
          <w:p w14:paraId="6BACE19E" w14:textId="100539BC"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72</w:t>
            </w:r>
            <w:r>
              <w:rPr>
                <w:noProof/>
                <w:sz w:val="16"/>
                <w:szCs w:val="16"/>
              </w:rPr>
              <w:t> </w:t>
            </w:r>
            <w:r w:rsidRPr="00F87B9B">
              <w:rPr>
                <w:noProof/>
                <w:sz w:val="16"/>
                <w:szCs w:val="16"/>
              </w:rPr>
              <w:t>981</w:t>
            </w:r>
            <w:r>
              <w:rPr>
                <w:noProof/>
                <w:sz w:val="16"/>
                <w:szCs w:val="16"/>
              </w:rPr>
              <w:t> </w:t>
            </w:r>
            <w:r w:rsidRPr="00F87B9B">
              <w:rPr>
                <w:noProof/>
                <w:sz w:val="16"/>
                <w:szCs w:val="16"/>
              </w:rPr>
              <w:t xml:space="preserve">000 </w:t>
            </w:r>
          </w:p>
        </w:tc>
        <w:tc>
          <w:tcPr>
            <w:tcW w:w="1111" w:type="dxa"/>
            <w:vAlign w:val="center"/>
          </w:tcPr>
          <w:p w14:paraId="6258661A" w14:textId="338497B2"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2.570 </w:t>
            </w:r>
          </w:p>
        </w:tc>
        <w:tc>
          <w:tcPr>
            <w:tcW w:w="948" w:type="dxa"/>
            <w:vAlign w:val="center"/>
          </w:tcPr>
          <w:p w14:paraId="7451EF73" w14:textId="00BC5C90"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398 </w:t>
            </w:r>
          </w:p>
        </w:tc>
        <w:tc>
          <w:tcPr>
            <w:tcW w:w="934" w:type="dxa"/>
            <w:noWrap/>
            <w:vAlign w:val="center"/>
          </w:tcPr>
          <w:p w14:paraId="065C0039" w14:textId="5537AC12"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37.922 </w:t>
            </w:r>
          </w:p>
        </w:tc>
        <w:tc>
          <w:tcPr>
            <w:tcW w:w="934" w:type="dxa"/>
            <w:vAlign w:val="center"/>
          </w:tcPr>
          <w:p w14:paraId="12813E7C" w14:textId="53D10B60"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18%</w:t>
            </w:r>
          </w:p>
        </w:tc>
      </w:tr>
      <w:tr w:rsidR="00107CA6" w:rsidRPr="00D86314" w14:paraId="5D49FC4C" w14:textId="77777777" w:rsidTr="00107CA6">
        <w:trPr>
          <w:trHeight w:val="912"/>
        </w:trPr>
        <w:tc>
          <w:tcPr>
            <w:cnfStyle w:val="001000000000" w:firstRow="0" w:lastRow="0" w:firstColumn="1" w:lastColumn="0" w:oddVBand="0" w:evenVBand="0" w:oddHBand="0" w:evenHBand="0" w:firstRowFirstColumn="0" w:firstRowLastColumn="0" w:lastRowFirstColumn="0" w:lastRowLastColumn="0"/>
            <w:tcW w:w="2111" w:type="dxa"/>
            <w:hideMark/>
          </w:tcPr>
          <w:p w14:paraId="5161BA57" w14:textId="15CB98DC" w:rsidR="00107CA6" w:rsidRPr="00D86314" w:rsidRDefault="00107CA6" w:rsidP="00107CA6">
            <w:pPr>
              <w:keepNext/>
              <w:keepLines/>
              <w:spacing w:after="0"/>
              <w:jc w:val="left"/>
              <w:rPr>
                <w:noProof/>
                <w:sz w:val="16"/>
                <w:szCs w:val="16"/>
                <w:lang w:eastAsia="fr-BE"/>
              </w:rPr>
            </w:pPr>
            <w:r w:rsidRPr="00D86314">
              <w:rPr>
                <w:noProof/>
                <w:sz w:val="16"/>
                <w:szCs w:val="16"/>
              </w:rPr>
              <w:t xml:space="preserve">Option 3: Market driven copper switch-off and bottleneck-based access regulation </w:t>
            </w:r>
          </w:p>
        </w:tc>
        <w:tc>
          <w:tcPr>
            <w:tcW w:w="1114" w:type="dxa"/>
            <w:vAlign w:val="center"/>
            <w:hideMark/>
          </w:tcPr>
          <w:p w14:paraId="2D366B55" w14:textId="15AE4934" w:rsidR="00107CA6" w:rsidRPr="00D86314" w:rsidRDefault="00107CA6" w:rsidP="00107CA6">
            <w:pPr>
              <w:keepNex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  </w:t>
            </w:r>
          </w:p>
        </w:tc>
        <w:tc>
          <w:tcPr>
            <w:tcW w:w="1001" w:type="dxa"/>
            <w:vAlign w:val="center"/>
            <w:hideMark/>
          </w:tcPr>
          <w:p w14:paraId="1BC0708D" w14:textId="5A3B15DF" w:rsidR="00107CA6" w:rsidRPr="00D86314" w:rsidRDefault="00107CA6" w:rsidP="00107CA6">
            <w:pPr>
              <w:keepNex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150 </w:t>
            </w:r>
          </w:p>
        </w:tc>
        <w:tc>
          <w:tcPr>
            <w:tcW w:w="951" w:type="dxa"/>
            <w:vAlign w:val="center"/>
            <w:hideMark/>
          </w:tcPr>
          <w:p w14:paraId="40AA8E70" w14:textId="27C2FEE1" w:rsidR="00107CA6" w:rsidRPr="00D86314" w:rsidRDefault="00107CA6" w:rsidP="00107CA6">
            <w:pPr>
              <w:keepNex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14</w:t>
            </w:r>
            <w:r>
              <w:rPr>
                <w:noProof/>
                <w:sz w:val="16"/>
                <w:szCs w:val="16"/>
              </w:rPr>
              <w:t> </w:t>
            </w:r>
            <w:r w:rsidRPr="00F87B9B">
              <w:rPr>
                <w:noProof/>
                <w:sz w:val="16"/>
                <w:szCs w:val="16"/>
              </w:rPr>
              <w:t>310</w:t>
            </w:r>
            <w:r>
              <w:rPr>
                <w:noProof/>
                <w:sz w:val="16"/>
                <w:szCs w:val="16"/>
              </w:rPr>
              <w:t> </w:t>
            </w:r>
            <w:r w:rsidRPr="00F87B9B">
              <w:rPr>
                <w:noProof/>
                <w:sz w:val="16"/>
                <w:szCs w:val="16"/>
              </w:rPr>
              <w:t xml:space="preserve">000 </w:t>
            </w:r>
          </w:p>
        </w:tc>
        <w:tc>
          <w:tcPr>
            <w:tcW w:w="1111" w:type="dxa"/>
            <w:vAlign w:val="center"/>
            <w:hideMark/>
          </w:tcPr>
          <w:p w14:paraId="6A2747E2" w14:textId="7EB8C2AB" w:rsidR="00107CA6" w:rsidRPr="00D86314" w:rsidRDefault="00107CA6" w:rsidP="00107CA6">
            <w:pPr>
              <w:keepNex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948 </w:t>
            </w:r>
          </w:p>
        </w:tc>
        <w:tc>
          <w:tcPr>
            <w:tcW w:w="948" w:type="dxa"/>
            <w:vAlign w:val="center"/>
            <w:hideMark/>
          </w:tcPr>
          <w:p w14:paraId="7FFDAA33" w14:textId="11111E86" w:rsidR="00107CA6" w:rsidRPr="00D86314" w:rsidRDefault="00107CA6" w:rsidP="00107CA6">
            <w:pPr>
              <w:keepNex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1</w:t>
            </w:r>
            <w:r>
              <w:rPr>
                <w:noProof/>
                <w:sz w:val="16"/>
                <w:szCs w:val="16"/>
              </w:rPr>
              <w:t> </w:t>
            </w:r>
            <w:r w:rsidRPr="00F87B9B">
              <w:rPr>
                <w:noProof/>
                <w:sz w:val="16"/>
                <w:szCs w:val="16"/>
              </w:rPr>
              <w:t xml:space="preserve">224 </w:t>
            </w:r>
          </w:p>
        </w:tc>
        <w:tc>
          <w:tcPr>
            <w:tcW w:w="934" w:type="dxa"/>
            <w:vAlign w:val="center"/>
          </w:tcPr>
          <w:p w14:paraId="41776575" w14:textId="58CCACA8" w:rsidR="00107CA6" w:rsidRPr="00D86314" w:rsidRDefault="00107CA6" w:rsidP="00107CA6">
            <w:pPr>
              <w:keepNex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F87B9B">
              <w:rPr>
                <w:noProof/>
                <w:sz w:val="16"/>
                <w:szCs w:val="16"/>
              </w:rPr>
              <w:t xml:space="preserve">-     116.770 </w:t>
            </w:r>
          </w:p>
        </w:tc>
        <w:tc>
          <w:tcPr>
            <w:tcW w:w="934" w:type="dxa"/>
            <w:vAlign w:val="center"/>
          </w:tcPr>
          <w:p w14:paraId="1C7C07F5" w14:textId="3F0888CA" w:rsidR="00107CA6" w:rsidRPr="00D86314" w:rsidRDefault="00107CA6" w:rsidP="00107CA6">
            <w:pPr>
              <w:keepNex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F87B9B">
              <w:rPr>
                <w:noProof/>
                <w:sz w:val="16"/>
                <w:szCs w:val="16"/>
              </w:rPr>
              <w:t>-56%</w:t>
            </w:r>
          </w:p>
        </w:tc>
      </w:tr>
      <w:tr w:rsidR="00107CA6" w:rsidRPr="00D86314" w14:paraId="380D2BFB" w14:textId="77777777" w:rsidTr="001A1574">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2111" w:type="dxa"/>
            <w:hideMark/>
          </w:tcPr>
          <w:p w14:paraId="7A60D595" w14:textId="3EB3FADA" w:rsidR="00107CA6" w:rsidRPr="00D86314" w:rsidRDefault="00107CA6" w:rsidP="00107CA6">
            <w:pPr>
              <w:keepNext/>
              <w:keepLines/>
              <w:spacing w:after="0"/>
              <w:jc w:val="left"/>
              <w:rPr>
                <w:noProof/>
                <w:sz w:val="16"/>
                <w:szCs w:val="16"/>
                <w:lang w:eastAsia="fr-BE"/>
              </w:rPr>
            </w:pPr>
            <w:r w:rsidRPr="00D86314">
              <w:rPr>
                <w:noProof/>
                <w:sz w:val="16"/>
                <w:szCs w:val="16"/>
              </w:rPr>
              <w:t>Option 4: Mandatory copper switch-off and symmetric regulation</w:t>
            </w:r>
          </w:p>
        </w:tc>
        <w:tc>
          <w:tcPr>
            <w:tcW w:w="1114" w:type="dxa"/>
            <w:vAlign w:val="center"/>
            <w:hideMark/>
          </w:tcPr>
          <w:p w14:paraId="6FEEBD7F" w14:textId="45748C78"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944 </w:t>
            </w:r>
          </w:p>
        </w:tc>
        <w:tc>
          <w:tcPr>
            <w:tcW w:w="1001" w:type="dxa"/>
            <w:vAlign w:val="center"/>
            <w:hideMark/>
          </w:tcPr>
          <w:p w14:paraId="34E8A175" w14:textId="233D9E54"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794 </w:t>
            </w:r>
          </w:p>
        </w:tc>
        <w:tc>
          <w:tcPr>
            <w:tcW w:w="951" w:type="dxa"/>
            <w:vAlign w:val="center"/>
            <w:hideMark/>
          </w:tcPr>
          <w:p w14:paraId="5B86C3C5" w14:textId="0DEFC1FA"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75</w:t>
            </w:r>
            <w:r>
              <w:rPr>
                <w:noProof/>
                <w:sz w:val="16"/>
                <w:szCs w:val="16"/>
              </w:rPr>
              <w:t> </w:t>
            </w:r>
            <w:r w:rsidRPr="00F87B9B">
              <w:rPr>
                <w:noProof/>
                <w:sz w:val="16"/>
                <w:szCs w:val="16"/>
              </w:rPr>
              <w:t>699</w:t>
            </w:r>
            <w:r>
              <w:rPr>
                <w:noProof/>
                <w:sz w:val="16"/>
                <w:szCs w:val="16"/>
              </w:rPr>
              <w:t> </w:t>
            </w:r>
            <w:r w:rsidRPr="00F87B9B">
              <w:rPr>
                <w:noProof/>
                <w:sz w:val="16"/>
                <w:szCs w:val="16"/>
              </w:rPr>
              <w:t xml:space="preserve">900 </w:t>
            </w:r>
          </w:p>
        </w:tc>
        <w:tc>
          <w:tcPr>
            <w:tcW w:w="1111" w:type="dxa"/>
            <w:vAlign w:val="center"/>
            <w:hideMark/>
          </w:tcPr>
          <w:p w14:paraId="5C11343B" w14:textId="41F155E8"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2.939 </w:t>
            </w:r>
          </w:p>
        </w:tc>
        <w:tc>
          <w:tcPr>
            <w:tcW w:w="948" w:type="dxa"/>
            <w:vAlign w:val="center"/>
            <w:hideMark/>
          </w:tcPr>
          <w:p w14:paraId="1B0DA935" w14:textId="62798710"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767 </w:t>
            </w:r>
          </w:p>
        </w:tc>
        <w:tc>
          <w:tcPr>
            <w:tcW w:w="934" w:type="dxa"/>
            <w:noWrap/>
            <w:vAlign w:val="center"/>
          </w:tcPr>
          <w:p w14:paraId="76210DB3" w14:textId="6B3F4C39"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lang w:eastAsia="fr-BE"/>
              </w:rPr>
            </w:pPr>
            <w:r w:rsidRPr="00F87B9B">
              <w:rPr>
                <w:noProof/>
                <w:sz w:val="16"/>
                <w:szCs w:val="16"/>
              </w:rPr>
              <w:t xml:space="preserve">       73.124 </w:t>
            </w:r>
          </w:p>
        </w:tc>
        <w:tc>
          <w:tcPr>
            <w:tcW w:w="934" w:type="dxa"/>
            <w:vAlign w:val="center"/>
          </w:tcPr>
          <w:p w14:paraId="6D1775C0" w14:textId="765C179F" w:rsidR="00107CA6" w:rsidRPr="00D86314" w:rsidRDefault="00107CA6" w:rsidP="00107CA6">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6"/>
                <w:szCs w:val="16"/>
              </w:rPr>
            </w:pPr>
            <w:r w:rsidRPr="00F87B9B">
              <w:rPr>
                <w:noProof/>
                <w:sz w:val="16"/>
                <w:szCs w:val="16"/>
              </w:rPr>
              <w:t>35%</w:t>
            </w:r>
          </w:p>
        </w:tc>
      </w:tr>
    </w:tbl>
    <w:p w14:paraId="6C5CFEF1" w14:textId="7F559E81" w:rsidR="00EA737B" w:rsidRPr="00D86314" w:rsidRDefault="00EA737B" w:rsidP="00EA737B">
      <w:pPr>
        <w:pStyle w:val="Tabberschrift"/>
        <w:ind w:left="0" w:firstLine="0"/>
        <w:rPr>
          <w:rFonts w:ascii="Times New Roman" w:hAnsi="Times New Roman"/>
          <w:i/>
          <w:noProof/>
          <w:szCs w:val="22"/>
        </w:rPr>
      </w:pPr>
      <w:r w:rsidRPr="00D86314">
        <w:rPr>
          <w:rFonts w:ascii="Times New Roman" w:hAnsi="Times New Roman"/>
          <w:i/>
          <w:noProof/>
          <w:szCs w:val="22"/>
        </w:rPr>
        <w:t xml:space="preserve">Source: </w:t>
      </w:r>
      <w:r w:rsidR="00805C1A" w:rsidRPr="00D86314">
        <w:rPr>
          <w:rFonts w:ascii="Times New Roman" w:hAnsi="Times New Roman"/>
          <w:i/>
          <w:noProof/>
          <w:szCs w:val="22"/>
        </w:rPr>
        <w:t>Study on Access Regulation</w:t>
      </w:r>
    </w:p>
    <w:p w14:paraId="056A8600" w14:textId="302DFE86" w:rsidR="00F86420" w:rsidRPr="00D86314" w:rsidRDefault="004B6FC1" w:rsidP="00EE2EF1">
      <w:pPr>
        <w:pStyle w:val="Heading3"/>
        <w:numPr>
          <w:ilvl w:val="0"/>
          <w:numId w:val="0"/>
        </w:numPr>
        <w:spacing w:before="240"/>
        <w:rPr>
          <w:noProof/>
        </w:rPr>
      </w:pPr>
      <w:bookmarkStart w:id="268" w:name="_Toc219718451"/>
      <w:r w:rsidRPr="00D86314">
        <w:rPr>
          <w:noProof/>
        </w:rPr>
        <w:t xml:space="preserve">1.1.3 </w:t>
      </w:r>
      <w:r w:rsidR="00E00D77" w:rsidRPr="00D86314">
        <w:rPr>
          <w:noProof/>
        </w:rPr>
        <w:t>Im</w:t>
      </w:r>
      <w:r w:rsidR="00771965" w:rsidRPr="00D86314">
        <w:rPr>
          <w:noProof/>
        </w:rPr>
        <w:t>pact on stakeholders</w:t>
      </w:r>
      <w:bookmarkEnd w:id="268"/>
      <w:r w:rsidR="00771965" w:rsidRPr="00D86314">
        <w:rPr>
          <w:noProof/>
        </w:rPr>
        <w:t xml:space="preserve"> </w:t>
      </w:r>
    </w:p>
    <w:p w14:paraId="71F9BBC4" w14:textId="722D8051" w:rsidR="0009241A" w:rsidRPr="00D86314" w:rsidRDefault="00CD3606" w:rsidP="0009241A">
      <w:pPr>
        <w:rPr>
          <w:rFonts w:eastAsiaTheme="majorEastAsia"/>
          <w:b/>
          <w:bCs/>
          <w:noProof/>
        </w:rPr>
      </w:pPr>
      <w:r w:rsidRPr="00D86314">
        <w:rPr>
          <w:rFonts w:eastAsiaTheme="majorEastAsia"/>
          <w:b/>
          <w:bCs/>
          <w:noProof/>
        </w:rPr>
        <w:t>Impact on ECN operators</w:t>
      </w:r>
    </w:p>
    <w:p w14:paraId="44112DDB" w14:textId="77777777" w:rsidR="00BE3CC0" w:rsidRPr="00D86314" w:rsidRDefault="00BE3CC0" w:rsidP="004B6FC1">
      <w:pPr>
        <w:rPr>
          <w:noProof/>
        </w:rPr>
      </w:pPr>
      <w:bookmarkStart w:id="269" w:name="_Toc208239975"/>
      <w:r w:rsidRPr="00D86314">
        <w:rPr>
          <w:noProof/>
        </w:rPr>
        <w:t>Relevant policies</w:t>
      </w:r>
      <w:bookmarkEnd w:id="269"/>
    </w:p>
    <w:p w14:paraId="6218FB1B" w14:textId="77777777" w:rsidR="00BE3CC0" w:rsidRPr="00D86314" w:rsidRDefault="00BE3CC0" w:rsidP="00BE3CC0">
      <w:pPr>
        <w:rPr>
          <w:noProof/>
        </w:rPr>
      </w:pPr>
      <w:r w:rsidRPr="00D86314">
        <w:rPr>
          <w:noProof/>
        </w:rPr>
        <w:t>Under option 2, the following provisions would impact ECN operators:</w:t>
      </w:r>
    </w:p>
    <w:p w14:paraId="73661EC3" w14:textId="77777777" w:rsidR="00BE3CC0" w:rsidRPr="00D86314" w:rsidRDefault="00BE3CC0" w:rsidP="00A00C17">
      <w:pPr>
        <w:pStyle w:val="ListParagraph"/>
        <w:numPr>
          <w:ilvl w:val="0"/>
          <w:numId w:val="62"/>
        </w:numPr>
        <w:spacing w:before="120" w:after="120"/>
        <w:contextualSpacing w:val="0"/>
        <w:rPr>
          <w:noProof/>
        </w:rPr>
      </w:pPr>
      <w:r w:rsidRPr="00D86314">
        <w:rPr>
          <w:noProof/>
        </w:rPr>
        <w:t>From 2030, copper network owners (mainly former incumbents) that have not already done so would be expected to start switching off their networks in areas with at least 95% FTTH coverage. Where needed, operators must submit switch-off plans to the NRA.</w:t>
      </w:r>
    </w:p>
    <w:p w14:paraId="2FB70485" w14:textId="77777777" w:rsidR="00BE3CC0" w:rsidRPr="00D86314" w:rsidRDefault="00BE3CC0" w:rsidP="00A00C17">
      <w:pPr>
        <w:pStyle w:val="ListParagraph"/>
        <w:numPr>
          <w:ilvl w:val="0"/>
          <w:numId w:val="62"/>
        </w:numPr>
        <w:spacing w:before="120" w:after="120"/>
        <w:contextualSpacing w:val="0"/>
        <w:rPr>
          <w:noProof/>
        </w:rPr>
      </w:pPr>
      <w:r w:rsidRPr="00D86314">
        <w:rPr>
          <w:noProof/>
        </w:rPr>
        <w:t>Geographic data: ECN operators must provide more granular geographic and technology-specific network data to the NRA or other competent authority.</w:t>
      </w:r>
    </w:p>
    <w:p w14:paraId="1B352887" w14:textId="77777777" w:rsidR="00BE3CC0" w:rsidRPr="00D86314" w:rsidRDefault="00BE3CC0" w:rsidP="00A00C17">
      <w:pPr>
        <w:pStyle w:val="ListParagraph"/>
        <w:numPr>
          <w:ilvl w:val="0"/>
          <w:numId w:val="62"/>
        </w:numPr>
        <w:spacing w:before="120" w:after="120"/>
        <w:contextualSpacing w:val="0"/>
        <w:rPr>
          <w:noProof/>
        </w:rPr>
      </w:pPr>
      <w:r w:rsidRPr="00D86314">
        <w:rPr>
          <w:noProof/>
        </w:rPr>
        <w:t>ECN operators must support the NRA in conducting any market analysis related to copper switch-off. This may involve additional work beyond the status quo if a new market review is triggered before the normal 5-year cycle.</w:t>
      </w:r>
    </w:p>
    <w:p w14:paraId="61607E16" w14:textId="77777777" w:rsidR="00BE3CC0" w:rsidRPr="00D86314" w:rsidRDefault="00BE3CC0" w:rsidP="00A00C17">
      <w:pPr>
        <w:pStyle w:val="ListParagraph"/>
        <w:numPr>
          <w:ilvl w:val="0"/>
          <w:numId w:val="62"/>
        </w:numPr>
        <w:spacing w:before="120" w:after="120"/>
        <w:contextualSpacing w:val="0"/>
        <w:rPr>
          <w:noProof/>
        </w:rPr>
      </w:pPr>
      <w:r w:rsidRPr="00D86314">
        <w:rPr>
          <w:noProof/>
        </w:rPr>
        <w:t>Wholesale product obligations: Where wholesale access obligations apply, operators would be expected to offer the standardised wholesale products listed in the DNA Annex.</w:t>
      </w:r>
    </w:p>
    <w:p w14:paraId="4DD1F0ED" w14:textId="01A69D12" w:rsidR="00BE3CC0" w:rsidRPr="00D86314" w:rsidRDefault="00BE3CC0" w:rsidP="00A00C17">
      <w:pPr>
        <w:pStyle w:val="ListParagraph"/>
        <w:numPr>
          <w:ilvl w:val="0"/>
          <w:numId w:val="62"/>
        </w:numPr>
        <w:spacing w:before="120" w:after="120"/>
        <w:contextualSpacing w:val="0"/>
        <w:rPr>
          <w:noProof/>
        </w:rPr>
      </w:pPr>
      <w:r w:rsidRPr="00D86314">
        <w:rPr>
          <w:noProof/>
        </w:rPr>
        <w:t>NRAs to make greater use of Article</w:t>
      </w:r>
      <w:r w:rsidR="004A758B">
        <w:rPr>
          <w:noProof/>
        </w:rPr>
        <w:t> </w:t>
      </w:r>
      <w:r w:rsidRPr="00D86314">
        <w:rPr>
          <w:noProof/>
        </w:rPr>
        <w:t>61(3), including for access to in-building wiring and, in some cases, as an alternative to SMP WLA beyond the first distribution point.</w:t>
      </w:r>
      <w:bookmarkStart w:id="270" w:name="_Ref207568000"/>
      <w:bookmarkStart w:id="271" w:name="_Toc208239976"/>
    </w:p>
    <w:p w14:paraId="0A149343" w14:textId="7BCE507B" w:rsidR="00BE3CC0" w:rsidRPr="00D86314" w:rsidRDefault="00BE3CC0" w:rsidP="004B6FC1">
      <w:pPr>
        <w:rPr>
          <w:noProof/>
        </w:rPr>
      </w:pPr>
      <w:r w:rsidRPr="00D86314">
        <w:rPr>
          <w:noProof/>
        </w:rPr>
        <w:t>Impacts of copper switch-off</w:t>
      </w:r>
      <w:bookmarkEnd w:id="270"/>
      <w:bookmarkEnd w:id="271"/>
    </w:p>
    <w:p w14:paraId="2E47A41A" w14:textId="77777777" w:rsidR="00BE3CC0" w:rsidRPr="00C20A01" w:rsidRDefault="00BE3CC0" w:rsidP="00BE3CC0">
      <w:pPr>
        <w:pStyle w:val="bullettext"/>
        <w:numPr>
          <w:ilvl w:val="0"/>
          <w:numId w:val="0"/>
        </w:numPr>
        <w:rPr>
          <w:rFonts w:ascii="Times New Roman" w:hAnsi="Times New Roman"/>
          <w:sz w:val="24"/>
        </w:rPr>
      </w:pPr>
      <w:r w:rsidRPr="00C20A01">
        <w:rPr>
          <w:rFonts w:ascii="Times New Roman" w:hAnsi="Times New Roman"/>
          <w:sz w:val="24"/>
        </w:rPr>
        <w:t xml:space="preserve">Starting the copper switch-off process will entail some administrative and operational costs for copper network owners, as well as other ECN operators including broadband providers making use of wholesale offers and alternative fibre investors. However, as all copper networks will eventually be replaced with fibre, such operational costs would be incurred regardless of any EU obligation. The measure is changing only the timing of the migration. </w:t>
      </w:r>
    </w:p>
    <w:p w14:paraId="69F22280" w14:textId="77777777" w:rsidR="00BE3CC0" w:rsidRPr="00D86314" w:rsidRDefault="00BE3CC0" w:rsidP="00BE3CC0">
      <w:pPr>
        <w:rPr>
          <w:noProof/>
        </w:rPr>
      </w:pPr>
      <w:r w:rsidRPr="00D86314">
        <w:rPr>
          <w:noProof/>
        </w:rPr>
        <w:t xml:space="preserve">As situations vary and limited concrete information is available from literature or via stakeholder consultation, it is not possible to quantify the implementation costs associated with earlier copper switch-off and migration in countries where the obligation may lead to earlier switch-off than would otherwise occur. </w:t>
      </w:r>
    </w:p>
    <w:p w14:paraId="09226557" w14:textId="283EECBE" w:rsidR="00BE3CC0" w:rsidRPr="00D86314" w:rsidRDefault="00BE3CC0" w:rsidP="00BE3CC0">
      <w:pPr>
        <w:rPr>
          <w:noProof/>
        </w:rPr>
      </w:pPr>
      <w:r w:rsidRPr="00D86314">
        <w:rPr>
          <w:noProof/>
        </w:rPr>
        <w:t>In this context, while there might be operational costs associated with an acceleration of the process, it is not clear to what extent (if at all) earlier implementation would affect the level of cost. Meanwhile, accelerating the process of FTTH deployment and reducing the timeframe for the parallel operation of copper and fibre</w:t>
      </w:r>
      <w:r w:rsidR="6593F25A" w:rsidRPr="00D86314">
        <w:rPr>
          <w:noProof/>
        </w:rPr>
        <w:t xml:space="preserve"> </w:t>
      </w:r>
      <w:r w:rsidRPr="00D86314">
        <w:rPr>
          <w:noProof/>
        </w:rPr>
        <w:t xml:space="preserve">is also likely to result in cost savings (both </w:t>
      </w:r>
      <w:r w:rsidR="00B64A5E">
        <w:rPr>
          <w:noProof/>
        </w:rPr>
        <w:t>C</w:t>
      </w:r>
      <w:r w:rsidRPr="00D86314">
        <w:rPr>
          <w:noProof/>
        </w:rPr>
        <w:t xml:space="preserve">apex and </w:t>
      </w:r>
      <w:r w:rsidR="00B64A5E">
        <w:rPr>
          <w:noProof/>
        </w:rPr>
        <w:t>O</w:t>
      </w:r>
      <w:r w:rsidRPr="00D86314">
        <w:rPr>
          <w:noProof/>
        </w:rPr>
        <w:t xml:space="preserve">pex) for ECN operators involved in the migration to fibre and (for copper network owners) the release of funds from the sale of copper earlier than might otherwise occur. </w:t>
      </w:r>
    </w:p>
    <w:p w14:paraId="2CD37AD6" w14:textId="77777777" w:rsidR="00BE3CC0" w:rsidRPr="00D86314" w:rsidRDefault="00BE3CC0" w:rsidP="00BE3CC0">
      <w:pPr>
        <w:rPr>
          <w:noProof/>
        </w:rPr>
      </w:pPr>
      <w:r w:rsidRPr="00D86314">
        <w:rPr>
          <w:noProof/>
        </w:rPr>
        <w:t>All the costs related to that option are discussed in detail in the previous chapter (Annex 9, p.1.1)</w:t>
      </w:r>
    </w:p>
    <w:p w14:paraId="481C2A8D" w14:textId="77777777" w:rsidR="00BE3CC0" w:rsidRPr="00D86314" w:rsidRDefault="00BE3CC0" w:rsidP="00BE3CC0">
      <w:pPr>
        <w:rPr>
          <w:b/>
          <w:bCs/>
          <w:noProof/>
        </w:rPr>
      </w:pPr>
      <w:r w:rsidRPr="00D86314">
        <w:rPr>
          <w:b/>
          <w:bCs/>
          <w:noProof/>
        </w:rPr>
        <w:t>Distribution of costs and benefits amongst different operator types</w:t>
      </w:r>
    </w:p>
    <w:p w14:paraId="7B992FA5" w14:textId="77777777" w:rsidR="00BE3CC0" w:rsidRPr="00D86314" w:rsidRDefault="00BE3CC0" w:rsidP="00BE3CC0">
      <w:pPr>
        <w:rPr>
          <w:noProof/>
        </w:rPr>
      </w:pPr>
      <w:r w:rsidRPr="00D86314">
        <w:rPr>
          <w:noProof/>
        </w:rPr>
        <w:t>The costs and benefits described above are likely to be attributed to different ECN operator types in the following ways:</w:t>
      </w:r>
    </w:p>
    <w:p w14:paraId="3EC5D7A2" w14:textId="1C33BFEE" w:rsidR="00BE3CC0" w:rsidRPr="00D86314" w:rsidRDefault="00BE3CC0" w:rsidP="00BE3CC0">
      <w:pPr>
        <w:rPr>
          <w:noProof/>
        </w:rPr>
      </w:pPr>
      <w:r w:rsidRPr="00D86314">
        <w:rPr>
          <w:b/>
          <w:bCs/>
          <w:noProof/>
        </w:rPr>
        <w:t>Incumbent operators that have not widely deployed FTTH</w:t>
      </w:r>
      <w:r w:rsidRPr="00D86314">
        <w:rPr>
          <w:b/>
          <w:noProof/>
        </w:rPr>
        <w:t xml:space="preserve"> </w:t>
      </w:r>
      <w:r w:rsidRPr="00D86314">
        <w:rPr>
          <w:noProof/>
        </w:rPr>
        <w:t xml:space="preserve">and are required to switch off copper earlier than planned may face additional administrative costs, including preparing CSO plans, supplying data, and engaging with NRAs. While precise incremental costs are unclear, copper owners in 18 Member States may need new or updated CSO plans. Assuming around 8 extra FTEs per affected Member State, this implies roughly 139 additional FTEs EU-wide (about </w:t>
      </w:r>
      <w:r w:rsidR="00DD3D02" w:rsidRPr="00D86314">
        <w:rPr>
          <w:noProof/>
        </w:rPr>
        <w:t>EUR </w:t>
      </w:r>
      <w:r w:rsidRPr="00D86314">
        <w:rPr>
          <w:noProof/>
        </w:rPr>
        <w:t>13</w:t>
      </w:r>
      <w:r w:rsidR="00DD3D02" w:rsidRPr="00D86314">
        <w:rPr>
          <w:noProof/>
        </w:rPr>
        <w:t xml:space="preserve"> </w:t>
      </w:r>
      <w:r w:rsidRPr="00D86314">
        <w:rPr>
          <w:noProof/>
        </w:rPr>
        <w:t>m</w:t>
      </w:r>
      <w:r w:rsidR="00DD3D02" w:rsidRPr="00D86314">
        <w:rPr>
          <w:noProof/>
        </w:rPr>
        <w:t>illion</w:t>
      </w:r>
      <w:r w:rsidRPr="00D86314">
        <w:rPr>
          <w:noProof/>
        </w:rPr>
        <w:t xml:space="preserve">). If early market reviews are triggered, an estimated 54 extra FTEs (about </w:t>
      </w:r>
      <w:r w:rsidR="00FA3BE7" w:rsidRPr="00D86314">
        <w:rPr>
          <w:noProof/>
        </w:rPr>
        <w:t>EUR</w:t>
      </w:r>
      <w:r w:rsidR="00055281" w:rsidRPr="00D86314">
        <w:rPr>
          <w:noProof/>
        </w:rPr>
        <w:t> </w:t>
      </w:r>
      <w:r w:rsidRPr="00D86314">
        <w:rPr>
          <w:noProof/>
        </w:rPr>
        <w:t>5.2</w:t>
      </w:r>
      <w:r w:rsidR="00FA3BE7" w:rsidRPr="00D86314">
        <w:rPr>
          <w:noProof/>
        </w:rPr>
        <w:t xml:space="preserve"> </w:t>
      </w:r>
      <w:r w:rsidRPr="00D86314">
        <w:rPr>
          <w:noProof/>
        </w:rPr>
        <w:t>m</w:t>
      </w:r>
      <w:r w:rsidR="00FA3BE7" w:rsidRPr="00D86314">
        <w:rPr>
          <w:noProof/>
        </w:rPr>
        <w:t>illion</w:t>
      </w:r>
      <w:r w:rsidRPr="00D86314">
        <w:rPr>
          <w:noProof/>
        </w:rPr>
        <w:t>) may also be needed.</w:t>
      </w:r>
    </w:p>
    <w:p w14:paraId="46EE4415" w14:textId="110CF8FD" w:rsidR="00BE3CC0" w:rsidRPr="00D86314" w:rsidRDefault="00BE3CC0" w:rsidP="00BE3CC0">
      <w:pPr>
        <w:rPr>
          <w:noProof/>
        </w:rPr>
      </w:pPr>
      <w:r w:rsidRPr="00D86314">
        <w:rPr>
          <w:noProof/>
        </w:rPr>
        <w:t xml:space="preserve">CSO implementation costs—system changes, operational adjustments, and consumer information campaigns—may be incurred earlier under </w:t>
      </w:r>
      <w:r w:rsidR="00F86864">
        <w:rPr>
          <w:noProof/>
        </w:rPr>
        <w:t>o</w:t>
      </w:r>
      <w:r w:rsidRPr="00D86314">
        <w:rPr>
          <w:noProof/>
        </w:rPr>
        <w:t>ption 2. Higher forced-migration rates could raise communication and customer-engagement costs. Some costs may ultimately be passed on to wholesale access seekers if fibre wholesale services continue.</w:t>
      </w:r>
    </w:p>
    <w:p w14:paraId="0796701C" w14:textId="39B8ABB9" w:rsidR="00BE3CC0" w:rsidRPr="00D86314" w:rsidRDefault="00BE3CC0" w:rsidP="00BE3CC0">
      <w:pPr>
        <w:rPr>
          <w:noProof/>
        </w:rPr>
      </w:pPr>
      <w:r w:rsidRPr="00D86314">
        <w:rPr>
          <w:noProof/>
        </w:rPr>
        <w:t>As regards indirect costs, earlier switch-off of copper networks which have been fully depreciated might affect profitability and ROCE of copper network owners. However, as noted in a WIK study for the German authorities,</w:t>
      </w:r>
      <w:r w:rsidRPr="00D86314">
        <w:rPr>
          <w:b/>
          <w:bCs/>
          <w:noProof/>
        </w:rPr>
        <w:t xml:space="preserve"> </w:t>
      </w:r>
      <w:r w:rsidRPr="00D86314">
        <w:rPr>
          <w:noProof/>
          <w:vertAlign w:val="superscript"/>
        </w:rPr>
        <w:footnoteReference w:id="244"/>
      </w:r>
      <w:r w:rsidRPr="00D86314">
        <w:rPr>
          <w:noProof/>
          <w:vertAlign w:val="superscript"/>
        </w:rPr>
        <w:t xml:space="preserve"> </w:t>
      </w:r>
      <w:r w:rsidRPr="00D86314">
        <w:rPr>
          <w:noProof/>
        </w:rPr>
        <w:t xml:space="preserve">the impacts of CSO on profitability cannot be considered in isolation, and should also take into account profits incurred on a forward-looking basis over own-build or alternative fibre networks in the post-CSO environment. For example, even if a copper network </w:t>
      </w:r>
      <w:r w:rsidR="00A96DD6" w:rsidRPr="00D86314">
        <w:rPr>
          <w:noProof/>
        </w:rPr>
        <w:t>owner</w:t>
      </w:r>
      <w:r w:rsidRPr="00D86314">
        <w:rPr>
          <w:noProof/>
        </w:rPr>
        <w:t xml:space="preserve"> has not deployed its own fibre network in a given area, if unbundled fibre is available on cost-oriented rates from an alternative provider, this should not in principle lead to reductions in profitability. It is also important to note that </w:t>
      </w:r>
      <w:r w:rsidR="00F86864">
        <w:rPr>
          <w:noProof/>
        </w:rPr>
        <w:t>o</w:t>
      </w:r>
      <w:r w:rsidRPr="00D86314">
        <w:rPr>
          <w:noProof/>
        </w:rPr>
        <w:t xml:space="preserve">ption 2 requires Member States to ensure that copper network owners switch off copper networks, while leaving the precise mechanism to the MS concerned. This might, if and where appropriate involve compensation, if considered appropriate. </w:t>
      </w:r>
    </w:p>
    <w:p w14:paraId="25D06B9A" w14:textId="3826B2B6" w:rsidR="00BE3CC0" w:rsidRPr="00D86314" w:rsidRDefault="00BE3CC0" w:rsidP="00BE3CC0">
      <w:pPr>
        <w:rPr>
          <w:noProof/>
        </w:rPr>
      </w:pPr>
      <w:r w:rsidRPr="00D86314">
        <w:rPr>
          <w:noProof/>
        </w:rPr>
        <w:t xml:space="preserve">Earlier copper switch-off could also accelerate financial gains from copper sales. Globally, operators are projected to generate over </w:t>
      </w:r>
      <w:r w:rsidR="0093720B" w:rsidRPr="00D86314">
        <w:rPr>
          <w:noProof/>
        </w:rPr>
        <w:t>USD </w:t>
      </w:r>
      <w:r w:rsidRPr="00D86314">
        <w:rPr>
          <w:noProof/>
        </w:rPr>
        <w:t>15</w:t>
      </w:r>
      <w:r w:rsidR="0093720B" w:rsidRPr="00D86314">
        <w:rPr>
          <w:noProof/>
        </w:rPr>
        <w:t xml:space="preserve"> </w:t>
      </w:r>
      <w:r w:rsidRPr="00D86314">
        <w:rPr>
          <w:noProof/>
        </w:rPr>
        <w:t>b</w:t>
      </w:r>
      <w:r w:rsidR="0093720B" w:rsidRPr="00D86314">
        <w:rPr>
          <w:noProof/>
        </w:rPr>
        <w:t>illio</w:t>
      </w:r>
      <w:r w:rsidRPr="00D86314">
        <w:rPr>
          <w:noProof/>
        </w:rPr>
        <w:t xml:space="preserve">n from copper recovery over the next 15 years. For example, BT reported </w:t>
      </w:r>
      <w:r w:rsidR="00CB4B0B" w:rsidRPr="00D86314">
        <w:rPr>
          <w:noProof/>
        </w:rPr>
        <w:t>GBP </w:t>
      </w:r>
      <w:r w:rsidRPr="00D86314">
        <w:rPr>
          <w:noProof/>
        </w:rPr>
        <w:t>105</w:t>
      </w:r>
      <w:r w:rsidR="00E51244" w:rsidRPr="00D86314">
        <w:rPr>
          <w:noProof/>
        </w:rPr>
        <w:t xml:space="preserve"> </w:t>
      </w:r>
      <w:r w:rsidRPr="00D86314">
        <w:rPr>
          <w:noProof/>
        </w:rPr>
        <w:t>m</w:t>
      </w:r>
      <w:r w:rsidR="00E51244" w:rsidRPr="00D86314">
        <w:rPr>
          <w:noProof/>
        </w:rPr>
        <w:t>illion</w:t>
      </w:r>
      <w:r w:rsidRPr="00D86314">
        <w:rPr>
          <w:noProof/>
        </w:rPr>
        <w:t xml:space="preserve"> from copper sales in 2024 and expects to recover up to 200</w:t>
      </w:r>
      <w:r w:rsidR="004A758B">
        <w:rPr>
          <w:noProof/>
        </w:rPr>
        <w:t> </w:t>
      </w:r>
      <w:r w:rsidRPr="00D86314">
        <w:rPr>
          <w:noProof/>
        </w:rPr>
        <w:t>000 tonnes by the 2030s; Telefónica|Vivo aims to raise up to BRL</w:t>
      </w:r>
      <w:r w:rsidR="00E51244" w:rsidRPr="00D86314">
        <w:rPr>
          <w:noProof/>
        </w:rPr>
        <w:t> </w:t>
      </w:r>
      <w:r w:rsidRPr="00D86314">
        <w:rPr>
          <w:noProof/>
        </w:rPr>
        <w:t>4.5</w:t>
      </w:r>
      <w:r w:rsidR="00CB4B0B" w:rsidRPr="00D86314">
        <w:rPr>
          <w:noProof/>
        </w:rPr>
        <w:t xml:space="preserve"> </w:t>
      </w:r>
      <w:r w:rsidRPr="00D86314">
        <w:rPr>
          <w:noProof/>
        </w:rPr>
        <w:t>b</w:t>
      </w:r>
      <w:r w:rsidR="00CB4B0B" w:rsidRPr="00D86314">
        <w:rPr>
          <w:noProof/>
        </w:rPr>
        <w:t>illio</w:t>
      </w:r>
      <w:r w:rsidRPr="00D86314">
        <w:rPr>
          <w:noProof/>
        </w:rPr>
        <w:t>n (</w:t>
      </w:r>
      <w:r w:rsidR="00CB4B0B" w:rsidRPr="00D86314">
        <w:rPr>
          <w:noProof/>
        </w:rPr>
        <w:t>EUR </w:t>
      </w:r>
      <w:r w:rsidRPr="00D86314">
        <w:rPr>
          <w:noProof/>
        </w:rPr>
        <w:t>711</w:t>
      </w:r>
      <w:r w:rsidR="00E51244" w:rsidRPr="00D86314">
        <w:rPr>
          <w:noProof/>
        </w:rPr>
        <w:t xml:space="preserve"> </w:t>
      </w:r>
      <w:r w:rsidRPr="00D86314">
        <w:rPr>
          <w:noProof/>
        </w:rPr>
        <w:t>m</w:t>
      </w:r>
      <w:r w:rsidR="00E51244" w:rsidRPr="00D86314">
        <w:rPr>
          <w:noProof/>
        </w:rPr>
        <w:t>illion</w:t>
      </w:r>
      <w:r w:rsidRPr="00D86314">
        <w:rPr>
          <w:noProof/>
        </w:rPr>
        <w:t xml:space="preserve">). </w:t>
      </w:r>
    </w:p>
    <w:p w14:paraId="47BCC4C4" w14:textId="77777777" w:rsidR="00BE3CC0" w:rsidRPr="00D86314" w:rsidRDefault="00BE3CC0" w:rsidP="00BE3CC0">
      <w:pPr>
        <w:rPr>
          <w:noProof/>
        </w:rPr>
      </w:pPr>
      <w:r w:rsidRPr="00D86314">
        <w:rPr>
          <w:noProof/>
        </w:rPr>
        <w:t xml:space="preserve">Finally, operational costs for FTTH are lower than for legacy networks due to reduced energy use and fewer faults. FTTH’s superior energy efficiency relative to FTTC/FTTB is is clear from the following diagram, which shows the average kWh of energy used per subscriber and year per technology in Austria. </w:t>
      </w:r>
    </w:p>
    <w:p w14:paraId="2FD57A88" w14:textId="779E9DF3" w:rsidR="00BE3CC0" w:rsidRPr="00D86314" w:rsidRDefault="00BE3CC0" w:rsidP="006941E0">
      <w:pPr>
        <w:keepNext/>
        <w:rPr>
          <w:i/>
          <w:noProof/>
          <w:sz w:val="22"/>
          <w:szCs w:val="22"/>
        </w:rPr>
      </w:pPr>
      <w:bookmarkStart w:id="272" w:name="_Toc207304316"/>
      <w:bookmarkStart w:id="273" w:name="_Toc208239994"/>
      <w:r w:rsidRPr="00D86314">
        <w:rPr>
          <w:i/>
          <w:noProof/>
          <w:sz w:val="22"/>
          <w:szCs w:val="22"/>
        </w:rPr>
        <w:t>Figure</w:t>
      </w:r>
      <w:r w:rsidR="009A525C" w:rsidRPr="00D86314">
        <w:rPr>
          <w:i/>
          <w:noProof/>
          <w:sz w:val="22"/>
          <w:szCs w:val="22"/>
        </w:rPr>
        <w:t xml:space="preserve"> A9</w:t>
      </w:r>
      <w:r w:rsidR="00A775C5" w:rsidRPr="00D86314">
        <w:rPr>
          <w:i/>
          <w:noProof/>
          <w:sz w:val="22"/>
          <w:szCs w:val="22"/>
        </w:rPr>
        <w:t xml:space="preserve"> 1-3</w:t>
      </w:r>
      <w:r w:rsidRPr="00D86314">
        <w:rPr>
          <w:i/>
          <w:noProof/>
          <w:sz w:val="22"/>
          <w:szCs w:val="22"/>
        </w:rPr>
        <w:t>:</w:t>
      </w:r>
      <w:r w:rsidRPr="00D86314">
        <w:rPr>
          <w:i/>
          <w:noProof/>
          <w:sz w:val="22"/>
          <w:szCs w:val="22"/>
        </w:rPr>
        <w:tab/>
        <w:t>Average kWh per subscriber and year by technology in Austria</w:t>
      </w:r>
      <w:bookmarkEnd w:id="272"/>
      <w:bookmarkEnd w:id="273"/>
    </w:p>
    <w:p w14:paraId="2BCA7964" w14:textId="77777777" w:rsidR="00BE3CC0" w:rsidRPr="00D86314" w:rsidRDefault="00BE3CC0" w:rsidP="00BE3CC0">
      <w:pPr>
        <w:rPr>
          <w:noProof/>
        </w:rPr>
      </w:pPr>
      <w:r w:rsidRPr="00CA2C0B">
        <w:rPr>
          <w:noProof/>
          <w:lang w:eastAsia="en-GB"/>
        </w:rPr>
        <w:drawing>
          <wp:inline distT="0" distB="0" distL="0" distR="0" wp14:anchorId="27B9F566" wp14:editId="24080939">
            <wp:extent cx="4096744" cy="2275197"/>
            <wp:effectExtent l="0" t="0" r="0" b="0"/>
            <wp:docPr id="241272111" name="Grafik 1" descr="Ein Bild, das Text, Screenshot, Zah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72111" name="Grafik 1" descr="Ein Bild, das Text, Screenshot, Zahl, Schrift enthält.&#10;&#10;KI-generierte Inhalte können fehlerhaft sein."/>
                    <pic:cNvPicPr/>
                  </pic:nvPicPr>
                  <pic:blipFill rotWithShape="1">
                    <a:blip r:embed="rId154"/>
                    <a:srcRect l="3737" t="6968" b="5306"/>
                    <a:stretch>
                      <a:fillRect/>
                    </a:stretch>
                  </pic:blipFill>
                  <pic:spPr bwMode="auto">
                    <a:xfrm>
                      <a:off x="0" y="0"/>
                      <a:ext cx="4106065" cy="2280374"/>
                    </a:xfrm>
                    <a:prstGeom prst="rect">
                      <a:avLst/>
                    </a:prstGeom>
                    <a:ln>
                      <a:noFill/>
                    </a:ln>
                    <a:extLst>
                      <a:ext uri="{53640926-AAD7-44D8-BBD7-CCE9431645EC}">
                        <a14:shadowObscured xmlns:a14="http://schemas.microsoft.com/office/drawing/2010/main"/>
                      </a:ext>
                    </a:extLst>
                  </pic:spPr>
                </pic:pic>
              </a:graphicData>
            </a:graphic>
          </wp:inline>
        </w:drawing>
      </w:r>
    </w:p>
    <w:p w14:paraId="119FBDD5" w14:textId="7655BA58" w:rsidR="00BE3CC0" w:rsidRPr="00CF6DC0" w:rsidRDefault="00BE3CC0" w:rsidP="00BE3CC0">
      <w:pPr>
        <w:rPr>
          <w:noProof/>
          <w:sz w:val="22"/>
          <w:szCs w:val="22"/>
          <w:lang w:val="de-DE"/>
        </w:rPr>
      </w:pPr>
      <w:r w:rsidRPr="00CF6DC0">
        <w:rPr>
          <w:noProof/>
          <w:sz w:val="22"/>
          <w:szCs w:val="22"/>
          <w:lang w:val="de-DE"/>
        </w:rPr>
        <w:t>Source:</w:t>
      </w:r>
      <w:r w:rsidR="000F5687" w:rsidRPr="00CF6DC0">
        <w:rPr>
          <w:noProof/>
          <w:sz w:val="22"/>
          <w:szCs w:val="22"/>
          <w:lang w:val="de-DE"/>
        </w:rPr>
        <w:t xml:space="preserve"> </w:t>
      </w:r>
      <w:hyperlink r:id="rId155" w:history="1">
        <w:r w:rsidR="00F905E8" w:rsidRPr="00CF6DC0">
          <w:rPr>
            <w:rStyle w:val="Hyperlink"/>
            <w:noProof/>
            <w:sz w:val="22"/>
            <w:szCs w:val="22"/>
            <w:lang w:val="de-DE"/>
          </w:rPr>
          <w:t>https://www.rtr.at/TKP/aktuelles/veranstaltungen/veranstaltungen/veranstaltungen_2024/ 11122024/oekologische-effekte-des-glasfaserausbaus.de.html</w:t>
        </w:r>
      </w:hyperlink>
    </w:p>
    <w:p w14:paraId="38425950" w14:textId="45B0CC15" w:rsidR="00BE3CC0" w:rsidRPr="00D86314" w:rsidRDefault="00BE3CC0" w:rsidP="00BE3CC0">
      <w:pPr>
        <w:rPr>
          <w:noProof/>
        </w:rPr>
      </w:pPr>
      <w:r w:rsidRPr="00D86314">
        <w:rPr>
          <w:b/>
          <w:bCs/>
          <w:noProof/>
        </w:rPr>
        <w:t>Incumbent operators that have already invested widely in FTTH</w:t>
      </w:r>
      <w:r w:rsidRPr="00D86314">
        <w:rPr>
          <w:noProof/>
        </w:rPr>
        <w:t xml:space="preserve"> and plan to switch off copper by 2030 are likely to be largely unaffected; BEREC indicates this applies in 9 Member States. Others with substantial FTTH deployment but no concrete CSO plans may benefit from the obligation if it accelerates the removal of barriers to fibre rollout. The scale of these benefits depends on each operator’s FTTH footprint relative to alternative fibre investors.</w:t>
      </w:r>
    </w:p>
    <w:p w14:paraId="64693018" w14:textId="13A3984F" w:rsidR="00BE3CC0" w:rsidRPr="00D86314" w:rsidRDefault="00BE3CC0" w:rsidP="00BE3CC0">
      <w:pPr>
        <w:rPr>
          <w:noProof/>
        </w:rPr>
      </w:pPr>
      <w:bookmarkStart w:id="274" w:name="_Toc206754873"/>
      <w:bookmarkStart w:id="275" w:name="_Toc208240001"/>
      <w:r w:rsidRPr="00D86314">
        <w:rPr>
          <w:b/>
          <w:bCs/>
          <w:noProof/>
        </w:rPr>
        <w:t>Alternative fibre investors</w:t>
      </w:r>
      <w:r w:rsidRPr="00D86314">
        <w:rPr>
          <w:noProof/>
        </w:rPr>
        <w:t xml:space="preserve"> without copper networks may face some administrative costs linked to CSO planning and contributing to Member States’ FTTH deployment plans, though these would be far lower than those of copper network owners. If their resource needs amount to roughly half those of incumbents, this would imply about 70 extra FTEs (</w:t>
      </w:r>
      <w:r w:rsidR="0012566A" w:rsidRPr="00D86314">
        <w:rPr>
          <w:noProof/>
        </w:rPr>
        <w:t>EUR </w:t>
      </w:r>
      <w:r w:rsidRPr="00D86314">
        <w:rPr>
          <w:noProof/>
        </w:rPr>
        <w:t>6.5</w:t>
      </w:r>
      <w:r w:rsidR="0012566A" w:rsidRPr="00D86314">
        <w:rPr>
          <w:noProof/>
        </w:rPr>
        <w:t xml:space="preserve"> </w:t>
      </w:r>
      <w:r w:rsidRPr="00D86314">
        <w:rPr>
          <w:noProof/>
        </w:rPr>
        <w:t>m</w:t>
      </w:r>
      <w:r w:rsidR="0012566A" w:rsidRPr="00D86314">
        <w:rPr>
          <w:noProof/>
        </w:rPr>
        <w:t>illion</w:t>
      </w:r>
      <w:r w:rsidRPr="00D86314">
        <w:rPr>
          <w:noProof/>
        </w:rPr>
        <w:t>) across the 18 Member States lacking CSO plans, plus around 27 FTEs (</w:t>
      </w:r>
      <w:r w:rsidR="00DD7971" w:rsidRPr="00D86314">
        <w:rPr>
          <w:noProof/>
        </w:rPr>
        <w:t>EUR </w:t>
      </w:r>
      <w:r w:rsidRPr="00D86314">
        <w:rPr>
          <w:noProof/>
        </w:rPr>
        <w:t>2.6</w:t>
      </w:r>
      <w:r w:rsidR="00DD7971" w:rsidRPr="00D86314">
        <w:rPr>
          <w:noProof/>
        </w:rPr>
        <w:t xml:space="preserve"> </w:t>
      </w:r>
      <w:r w:rsidRPr="00D86314">
        <w:rPr>
          <w:noProof/>
        </w:rPr>
        <w:t>m</w:t>
      </w:r>
      <w:r w:rsidR="00DD7971" w:rsidRPr="00D86314">
        <w:rPr>
          <w:noProof/>
        </w:rPr>
        <w:t>illion</w:t>
      </w:r>
      <w:r w:rsidRPr="00D86314">
        <w:rPr>
          <w:noProof/>
        </w:rPr>
        <w:t>) for participation in CSO-related market analyses.</w:t>
      </w:r>
    </w:p>
    <w:p w14:paraId="32670759" w14:textId="77777777" w:rsidR="00BE3CC0" w:rsidRPr="00D86314" w:rsidRDefault="00BE3CC0" w:rsidP="00BE3CC0">
      <w:pPr>
        <w:rPr>
          <w:noProof/>
        </w:rPr>
      </w:pPr>
      <w:r w:rsidRPr="00D86314">
        <w:rPr>
          <w:noProof/>
        </w:rPr>
        <w:t>They will also need to ensure customers can be connected to their networks—e.g., deploying drop cables or in-building wiring—but these costs are generally passed on to end users through connection fees or monthly charges, and only arise where operators control in-building infrastructure. Unlike copper owners, they face no major additional operational costs from migration beyond switching and number portability.</w:t>
      </w:r>
    </w:p>
    <w:p w14:paraId="315789CF" w14:textId="3C0194EB" w:rsidR="00BE3CC0" w:rsidRPr="00D86314" w:rsidRDefault="00BE3CC0" w:rsidP="00BE3CC0">
      <w:pPr>
        <w:rPr>
          <w:noProof/>
        </w:rPr>
      </w:pPr>
      <w:r w:rsidRPr="00D86314">
        <w:rPr>
          <w:noProof/>
        </w:rPr>
        <w:t>Indirect effects are strongly positive. Alternative fibre investors stand to benefit most from CSO, as non-discriminatory switch-off would increase penetration on their networks, reduce risk, and improve profitability and ROCE. Many of these operators are currently highly leveraged and loss-making</w:t>
      </w:r>
      <w:r w:rsidR="54696E23" w:rsidRPr="00D86314">
        <w:rPr>
          <w:noProof/>
        </w:rPr>
        <w:t>. Therefore,</w:t>
      </w:r>
      <w:r w:rsidRPr="00D86314">
        <w:rPr>
          <w:noProof/>
        </w:rPr>
        <w:t xml:space="preserve"> a binding CSO timetable would significantly improve investment certainty. Financial investors highlight that eliminating parallel copper networks enhances pricing dynamics, boosts take-up, strengthens long-term returns—especially in less dense areas—and improves valuations by providing more predictable cash flows.</w:t>
      </w:r>
    </w:p>
    <w:p w14:paraId="0B97D502" w14:textId="6AD173DA" w:rsidR="00BE3CC0" w:rsidRPr="00D86314" w:rsidRDefault="00BE3CC0" w:rsidP="00BE3CC0">
      <w:pPr>
        <w:rPr>
          <w:noProof/>
        </w:rPr>
      </w:pPr>
      <w:bookmarkStart w:id="276" w:name="_Toc193478192"/>
      <w:bookmarkStart w:id="277" w:name="_Toc202773258"/>
      <w:bookmarkStart w:id="278" w:name="_Toc208239995"/>
      <w:bookmarkEnd w:id="274"/>
      <w:bookmarkEnd w:id="275"/>
      <w:r w:rsidRPr="00D86314">
        <w:rPr>
          <w:b/>
          <w:noProof/>
        </w:rPr>
        <w:t>Broadband service providers that depend on copper-based wholesale access</w:t>
      </w:r>
      <w:r w:rsidRPr="00D86314">
        <w:rPr>
          <w:noProof/>
        </w:rPr>
        <w:t xml:space="preserve"> may be negatively affected by the CSO obligation, as many still rely heavily on copper products in several Member States. They will face administrative costs linked to reviewing CSO plans and contributing to CSO-related market analyses to secure reasonable fibre wholesale terms. If their resource needs are roughly half those of copper network owners, this implies about 70 FTEs (</w:t>
      </w:r>
      <w:r w:rsidR="00DD7971" w:rsidRPr="00D86314">
        <w:rPr>
          <w:noProof/>
        </w:rPr>
        <w:t>EUR </w:t>
      </w:r>
      <w:r w:rsidRPr="00D86314">
        <w:rPr>
          <w:noProof/>
        </w:rPr>
        <w:t>6.5</w:t>
      </w:r>
      <w:r w:rsidR="00DD7971" w:rsidRPr="00D86314">
        <w:rPr>
          <w:noProof/>
        </w:rPr>
        <w:t xml:space="preserve"> </w:t>
      </w:r>
      <w:r w:rsidRPr="00D86314">
        <w:rPr>
          <w:noProof/>
        </w:rPr>
        <w:t>m</w:t>
      </w:r>
      <w:r w:rsidR="00DD7971" w:rsidRPr="00D86314">
        <w:rPr>
          <w:noProof/>
        </w:rPr>
        <w:t>illion</w:t>
      </w:r>
      <w:r w:rsidRPr="00D86314">
        <w:rPr>
          <w:noProof/>
        </w:rPr>
        <w:t>) for CSO planning and 27 FTEs (</w:t>
      </w:r>
      <w:r w:rsidR="00DD7971" w:rsidRPr="00D86314">
        <w:rPr>
          <w:noProof/>
        </w:rPr>
        <w:t>EUR </w:t>
      </w:r>
      <w:r w:rsidRPr="00D86314">
        <w:rPr>
          <w:noProof/>
        </w:rPr>
        <w:t>2.6</w:t>
      </w:r>
      <w:r w:rsidR="00DD7971" w:rsidRPr="00D86314">
        <w:rPr>
          <w:noProof/>
        </w:rPr>
        <w:t xml:space="preserve"> </w:t>
      </w:r>
      <w:r w:rsidRPr="00D86314">
        <w:rPr>
          <w:noProof/>
        </w:rPr>
        <w:t>m</w:t>
      </w:r>
      <w:r w:rsidR="00DD7971" w:rsidRPr="00D86314">
        <w:rPr>
          <w:noProof/>
        </w:rPr>
        <w:t>illion</w:t>
      </w:r>
      <w:r w:rsidRPr="00D86314">
        <w:rPr>
          <w:noProof/>
        </w:rPr>
        <w:t>) for market-analysis engagement across the EU.</w:t>
      </w:r>
      <w:r w:rsidR="36B58850" w:rsidRPr="00D86314">
        <w:rPr>
          <w:noProof/>
        </w:rPr>
        <w:t xml:space="preserve"> </w:t>
      </w:r>
      <w:r w:rsidRPr="00D86314">
        <w:rPr>
          <w:noProof/>
        </w:rPr>
        <w:t>These providers will also incur implementation costs from system changes and customer communications. CSO mainly affects the timing of these costs, though they may rise if accelerated switch-off compresses resource needs or increases the volume of automatically migrated customers.</w:t>
      </w:r>
      <w:r w:rsidR="5436870C" w:rsidRPr="00D86314">
        <w:rPr>
          <w:noProof/>
        </w:rPr>
        <w:t xml:space="preserve"> </w:t>
      </w:r>
      <w:r w:rsidRPr="00D86314">
        <w:rPr>
          <w:noProof/>
        </w:rPr>
        <w:t>Their dependence on copper is significant: copper and FTTC/VDSL still represent over half of all wholesale access supplied by incumbents to alternative operators.</w:t>
      </w:r>
      <w:bookmarkEnd w:id="276"/>
      <w:bookmarkEnd w:id="277"/>
      <w:bookmarkEnd w:id="278"/>
      <w:r w:rsidR="5EBC5356" w:rsidRPr="00D86314">
        <w:rPr>
          <w:noProof/>
        </w:rPr>
        <w:t xml:space="preserve"> </w:t>
      </w:r>
      <w:r w:rsidRPr="00D86314">
        <w:rPr>
          <w:noProof/>
        </w:rPr>
        <w:t>The greater degree of reliance on ADSL copper by access seekers compared with incumbents is also evident from data provided by NRAs which shows that for mass-market broadband services, as of 2023, 24% of total incumbent (wholesale and retail) copper (ADSL) lines were based on wholesale access. This compared with 14% of total incumbent (wholesale and retail) VDSL lines and 16% FTTH lines.</w:t>
      </w:r>
    </w:p>
    <w:p w14:paraId="064EA76A" w14:textId="77777777" w:rsidR="00BE3CC0" w:rsidRPr="00D86314" w:rsidRDefault="00BE3CC0" w:rsidP="00BE3CC0">
      <w:pPr>
        <w:rPr>
          <w:noProof/>
        </w:rPr>
      </w:pPr>
      <w:r w:rsidRPr="00D86314">
        <w:rPr>
          <w:noProof/>
        </w:rPr>
        <w:t>When considering the reliance of broadband service providers (altnets) on copper wholesale products, it is important to note that this applies not only to mass-market connections provided to consumers, but even more significantly to mass-market broadband connections provided with a business-grade SLA. This is illustrated in the following chart.</w:t>
      </w:r>
      <w:bookmarkStart w:id="279" w:name="_Toc193478198"/>
      <w:bookmarkStart w:id="280" w:name="_Toc202773267"/>
      <w:bookmarkStart w:id="281" w:name="_Toc208239997"/>
    </w:p>
    <w:p w14:paraId="6357E09E" w14:textId="5BF3986F" w:rsidR="00BE3CC0" w:rsidRPr="00D86314" w:rsidRDefault="00BE3CC0" w:rsidP="003853CE">
      <w:pPr>
        <w:keepNext/>
        <w:keepLines/>
        <w:ind w:left="1418" w:hanging="1418"/>
        <w:rPr>
          <w:i/>
          <w:noProof/>
          <w:sz w:val="22"/>
          <w:szCs w:val="22"/>
        </w:rPr>
      </w:pPr>
      <w:r w:rsidRPr="00D86314">
        <w:rPr>
          <w:i/>
          <w:noProof/>
          <w:sz w:val="22"/>
          <w:szCs w:val="22"/>
        </w:rPr>
        <w:t>Figure</w:t>
      </w:r>
      <w:r w:rsidR="00A775C5" w:rsidRPr="00D86314">
        <w:rPr>
          <w:i/>
          <w:noProof/>
          <w:sz w:val="22"/>
          <w:szCs w:val="22"/>
        </w:rPr>
        <w:t xml:space="preserve"> A9 1-4</w:t>
      </w:r>
      <w:r w:rsidRPr="00D86314">
        <w:rPr>
          <w:i/>
          <w:noProof/>
          <w:sz w:val="22"/>
          <w:szCs w:val="22"/>
        </w:rPr>
        <w:t>:</w:t>
      </w:r>
      <w:r w:rsidR="00A775C5" w:rsidRPr="00D86314">
        <w:rPr>
          <w:i/>
          <w:noProof/>
          <w:sz w:val="22"/>
          <w:szCs w:val="22"/>
        </w:rPr>
        <w:t xml:space="preserve"> </w:t>
      </w:r>
      <w:r w:rsidRPr="00D86314">
        <w:rPr>
          <w:i/>
          <w:noProof/>
          <w:sz w:val="22"/>
          <w:szCs w:val="22"/>
        </w:rPr>
        <w:t>Wholesale access to incumbent business grade mass-market broadband by type in % of total business-grade services of incumbent (wholesale and retail) 2020-2023</w:t>
      </w:r>
      <w:bookmarkEnd w:id="279"/>
      <w:bookmarkEnd w:id="280"/>
      <w:bookmarkEnd w:id="281"/>
    </w:p>
    <w:p w14:paraId="3D510A9B" w14:textId="77777777" w:rsidR="00BE3CC0" w:rsidRPr="00D86314" w:rsidRDefault="00BE3CC0" w:rsidP="00BE3CC0">
      <w:pPr>
        <w:pStyle w:val="StandardAbbildung"/>
        <w:rPr>
          <w:rFonts w:ascii="Times New Roman" w:hAnsi="Times New Roman"/>
          <w:noProof/>
          <w:sz w:val="24"/>
          <w:szCs w:val="24"/>
          <w:lang w:val="en-GB"/>
        </w:rPr>
      </w:pPr>
      <w:r w:rsidRPr="00CA2C0B">
        <w:rPr>
          <w:rFonts w:ascii="Times New Roman" w:hAnsi="Times New Roman"/>
          <w:noProof/>
          <w:sz w:val="24"/>
          <w:szCs w:val="24"/>
          <w:lang w:val="en-GB" w:eastAsia="en-GB"/>
        </w:rPr>
        <w:drawing>
          <wp:inline distT="0" distB="0" distL="0" distR="0" wp14:anchorId="635687E7" wp14:editId="0B938DF1">
            <wp:extent cx="4828540" cy="3074660"/>
            <wp:effectExtent l="0" t="0" r="0" b="0"/>
            <wp:docPr id="1038052155" name="Grafik 14" descr="A graph of a sales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52155" name="Grafik 14" descr="A graph of a sales report&#10;&#10;AI-generated content may be incorrect."/>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t="3708" b="-1"/>
                    <a:stretch/>
                  </pic:blipFill>
                  <pic:spPr bwMode="auto">
                    <a:xfrm>
                      <a:off x="0" y="0"/>
                      <a:ext cx="4837898" cy="3080619"/>
                    </a:xfrm>
                    <a:prstGeom prst="rect">
                      <a:avLst/>
                    </a:prstGeom>
                    <a:noFill/>
                    <a:ln>
                      <a:noFill/>
                    </a:ln>
                    <a:extLst>
                      <a:ext uri="{53640926-AAD7-44D8-BBD7-CCE9431645EC}">
                        <a14:shadowObscured xmlns:a14="http://schemas.microsoft.com/office/drawing/2010/main"/>
                      </a:ext>
                    </a:extLst>
                  </pic:spPr>
                </pic:pic>
              </a:graphicData>
            </a:graphic>
          </wp:inline>
        </w:drawing>
      </w:r>
    </w:p>
    <w:p w14:paraId="6910A3CA" w14:textId="77777777" w:rsidR="00BE3CC0" w:rsidRPr="00D86314" w:rsidRDefault="00BE3CC0" w:rsidP="00BE3CC0">
      <w:pPr>
        <w:pStyle w:val="Quelle"/>
        <w:rPr>
          <w:rFonts w:ascii="Times New Roman" w:hAnsi="Times New Roman"/>
          <w:noProof/>
          <w:sz w:val="24"/>
          <w:szCs w:val="24"/>
        </w:rPr>
      </w:pPr>
      <w:r w:rsidRPr="00D86314">
        <w:rPr>
          <w:rFonts w:ascii="Times New Roman" w:hAnsi="Times New Roman"/>
          <w:noProof/>
          <w:sz w:val="24"/>
          <w:szCs w:val="24"/>
        </w:rPr>
        <w:t>Note: countries included here are Austria, Belgium, Bulgaria, Croatia, Ireland</w:t>
      </w:r>
    </w:p>
    <w:p w14:paraId="3E686129" w14:textId="77777777" w:rsidR="00BE3CC0" w:rsidRPr="00D86314" w:rsidRDefault="00BE3CC0" w:rsidP="00BE3CC0">
      <w:pPr>
        <w:rPr>
          <w:noProof/>
        </w:rPr>
      </w:pPr>
      <w:r w:rsidRPr="00D86314">
        <w:rPr>
          <w:noProof/>
        </w:rPr>
        <w:t>Reliance by altnets on copper to serve business customers, is significantly greater than that of incumbents, although it is notable that as of 2023 38% of all non-dedicated business products from countries which reported such data, was provided on the basis of FTTC.</w:t>
      </w:r>
    </w:p>
    <w:p w14:paraId="12793F7D" w14:textId="77777777" w:rsidR="00BE3CC0" w:rsidRPr="00D86314" w:rsidRDefault="00BE3CC0" w:rsidP="00BE3CC0">
      <w:pPr>
        <w:rPr>
          <w:noProof/>
        </w:rPr>
      </w:pPr>
      <w:r w:rsidRPr="00D86314">
        <w:rPr>
          <w:noProof/>
        </w:rPr>
        <w:t>Indirect costs arise because broadband service providers will need to migrate copper customers to fibre networks, where wholesale conditions may be less favourable—particularly regarding pricing and service differentiation—unless regulatory safeguards are applied. Today, almost all wholesaled copper lines are physically unbundled, while only about 20% of fibre lines are, and copper and FTTC/VDSL products are often cost-oriented. By contrast, FTTH wholesale access is priced flexibly in many Member States.</w:t>
      </w:r>
    </w:p>
    <w:p w14:paraId="508557CE" w14:textId="77777777" w:rsidR="00BE3CC0" w:rsidRPr="00D86314" w:rsidRDefault="00BE3CC0" w:rsidP="00BE3CC0">
      <w:pPr>
        <w:rPr>
          <w:noProof/>
        </w:rPr>
      </w:pPr>
      <w:r w:rsidRPr="00D86314">
        <w:rPr>
          <w:noProof/>
        </w:rPr>
        <w:t>As CSO removes copper-based competitive constraints, FTTH wholesale terms may worsen over time—especially where fibre becomes a monopoly or duopoly—unless NRAs intervene. Because wholesale-reliant broadband providers are generally less profitable than incumbents, any deterioration in wholesale conditions could disproportionately harm them. Providers that have co-invested in FTTH through regulated IRUs (available mainly in FR and IT) face lower risk.</w:t>
      </w:r>
    </w:p>
    <w:p w14:paraId="30143052" w14:textId="77777777" w:rsidR="00BE3CC0" w:rsidRPr="00D86314" w:rsidRDefault="00BE3CC0" w:rsidP="004B6FC1">
      <w:pPr>
        <w:rPr>
          <w:b/>
          <w:noProof/>
        </w:rPr>
      </w:pPr>
      <w:bookmarkStart w:id="282" w:name="_Toc208239977"/>
      <w:r w:rsidRPr="00D86314">
        <w:rPr>
          <w:b/>
          <w:noProof/>
        </w:rPr>
        <w:t>Impacts of changes to access regulation</w:t>
      </w:r>
      <w:bookmarkEnd w:id="282"/>
    </w:p>
    <w:p w14:paraId="07DE7ED7" w14:textId="456557CC" w:rsidR="00BE3CC0" w:rsidRPr="00D86314" w:rsidRDefault="00BE3CC0" w:rsidP="00BE3CC0">
      <w:pPr>
        <w:rPr>
          <w:noProof/>
        </w:rPr>
      </w:pPr>
      <w:r w:rsidRPr="00D86314">
        <w:rPr>
          <w:noProof/>
        </w:rPr>
        <w:t xml:space="preserve">The additional cost associated with requirements to provide data to the NRA or other competent authority on a more granular level is likely to be relatively limited because (i) geographical surveys have already been implemented in the vast majority of member states, and some may already contain the necessary degree of detail, (ii) ECN operators should already have granular data available regarding the location and type of infrastructure for network planning purposes; (iii) the addition of data on the location of cables should be complementary to the mapping of existing physical infrastructure which is required for all ECN operators under the GIA; and (iv) most NRAs already require the provision of granular data in the context of periodic market analysis for the WLA market (regulated in 23 out of 27 MSs). Additional cost could be incurred by </w:t>
      </w:r>
      <w:r w:rsidRPr="00D86314">
        <w:rPr>
          <w:b/>
          <w:bCs/>
          <w:noProof/>
        </w:rPr>
        <w:t xml:space="preserve">ECN operators </w:t>
      </w:r>
      <w:r w:rsidRPr="00D86314">
        <w:rPr>
          <w:noProof/>
        </w:rPr>
        <w:t xml:space="preserve">to provide granular data regarding dedicated connections, as data gathered in the context of this study suggests that it was not collected by many NRAs (15 out of 27 did not provide detailed data regarding dedicated connectivity). </w:t>
      </w:r>
    </w:p>
    <w:p w14:paraId="118E761C" w14:textId="57843A92" w:rsidR="00BE3CC0" w:rsidRPr="00D86314" w:rsidRDefault="00BE3CC0" w:rsidP="00BE3CC0">
      <w:pPr>
        <w:rPr>
          <w:noProof/>
        </w:rPr>
      </w:pPr>
      <w:r w:rsidRPr="00D86314">
        <w:rPr>
          <w:noProof/>
        </w:rPr>
        <w:t xml:space="preserve">The additional resourcing needs relating to data gathering amongst ECN operators compared with the status quo could involve set-up costs of 4 FTE at EU level (to input into the development of guidelines) and 1 FTE per Member State amounting to total one-off costs around </w:t>
      </w:r>
      <w:r w:rsidR="0012566A" w:rsidRPr="00D86314">
        <w:rPr>
          <w:noProof/>
        </w:rPr>
        <w:t>EUR </w:t>
      </w:r>
      <w:r w:rsidRPr="00D86314">
        <w:rPr>
          <w:noProof/>
        </w:rPr>
        <w:t>3</w:t>
      </w:r>
      <w:r w:rsidR="0012566A" w:rsidRPr="00D86314">
        <w:rPr>
          <w:noProof/>
        </w:rPr>
        <w:t xml:space="preserve"> </w:t>
      </w:r>
      <w:r w:rsidRPr="00D86314">
        <w:rPr>
          <w:noProof/>
        </w:rPr>
        <w:t>m</w:t>
      </w:r>
      <w:r w:rsidR="0012566A" w:rsidRPr="00D86314">
        <w:rPr>
          <w:noProof/>
        </w:rPr>
        <w:t>illion</w:t>
      </w:r>
      <w:r w:rsidRPr="00D86314">
        <w:rPr>
          <w:noProof/>
        </w:rPr>
        <w:t xml:space="preserve">. If recurring costs associated with data provision increase by 50% compared with the status quo this might require around 265 additional FTE EU-wide (approximately </w:t>
      </w:r>
      <w:r w:rsidR="0012566A" w:rsidRPr="00D86314">
        <w:rPr>
          <w:noProof/>
        </w:rPr>
        <w:t>EUR </w:t>
      </w:r>
      <w:r w:rsidRPr="00D86314">
        <w:rPr>
          <w:noProof/>
        </w:rPr>
        <w:t>25</w:t>
      </w:r>
      <w:r w:rsidR="0012566A" w:rsidRPr="00D86314">
        <w:rPr>
          <w:noProof/>
        </w:rPr>
        <w:t xml:space="preserve"> </w:t>
      </w:r>
      <w:r w:rsidRPr="00D86314">
        <w:rPr>
          <w:noProof/>
        </w:rPr>
        <w:t>m</w:t>
      </w:r>
      <w:r w:rsidR="0012566A" w:rsidRPr="00D86314">
        <w:rPr>
          <w:noProof/>
        </w:rPr>
        <w:t>illion</w:t>
      </w:r>
      <w:r w:rsidRPr="00D86314">
        <w:rPr>
          <w:noProof/>
        </w:rPr>
        <w:t xml:space="preserve">), of which half may be attributable to incumbent operators and the remainder evenly split between alternative fibre investors and broadband service providers. </w:t>
      </w:r>
    </w:p>
    <w:p w14:paraId="2155CC1E" w14:textId="77777777" w:rsidR="00BE3CC0" w:rsidRPr="00D86314" w:rsidRDefault="00BE3CC0" w:rsidP="00BE3CC0">
      <w:pPr>
        <w:rPr>
          <w:noProof/>
        </w:rPr>
      </w:pPr>
      <w:r w:rsidRPr="00D86314">
        <w:rPr>
          <w:noProof/>
        </w:rPr>
        <w:t>As regards benefits, if the resulting data is published, more stringent obligations regarding geographic data gathering could benefit ECN operators by providing evidence which could be used to support claims for intervention or deregulation in the context of market analyses.</w:t>
      </w:r>
    </w:p>
    <w:p w14:paraId="268658EC" w14:textId="02C1398B" w:rsidR="00BE3CC0" w:rsidRPr="00D86314" w:rsidRDefault="00BE3CC0" w:rsidP="00BE3CC0">
      <w:pPr>
        <w:rPr>
          <w:noProof/>
        </w:rPr>
      </w:pPr>
      <w:r w:rsidRPr="00D86314">
        <w:rPr>
          <w:noProof/>
        </w:rPr>
        <w:t xml:space="preserve">Option 2 </w:t>
      </w:r>
      <w:r w:rsidR="29AAD47F" w:rsidRPr="00D86314">
        <w:rPr>
          <w:noProof/>
        </w:rPr>
        <w:t xml:space="preserve">does not </w:t>
      </w:r>
      <w:r w:rsidR="19926F71" w:rsidRPr="00D86314">
        <w:rPr>
          <w:noProof/>
        </w:rPr>
        <w:t>involve</w:t>
      </w:r>
      <w:r w:rsidR="3674D80F" w:rsidRPr="00D86314">
        <w:rPr>
          <w:noProof/>
        </w:rPr>
        <w:t xml:space="preserve"> major </w:t>
      </w:r>
      <w:r w:rsidR="19926F71" w:rsidRPr="00D86314">
        <w:rPr>
          <w:noProof/>
        </w:rPr>
        <w:t>s</w:t>
      </w:r>
      <w:r w:rsidRPr="00D86314">
        <w:rPr>
          <w:noProof/>
        </w:rPr>
        <w:t xml:space="preserve"> changes to the existing regime of access regulation. Specific one-off costs linked to the CSO-related market review have been covered under the discussion of CSO. More generally, option 2 might lead to a more widespread imposition of access to in-building wiring under </w:t>
      </w:r>
      <w:r w:rsidR="004A758B" w:rsidRPr="00D86314">
        <w:rPr>
          <w:noProof/>
        </w:rPr>
        <w:t>A</w:t>
      </w:r>
      <w:r w:rsidRPr="00D86314">
        <w:rPr>
          <w:noProof/>
        </w:rPr>
        <w:t>rticle</w:t>
      </w:r>
      <w:r w:rsidR="004A758B">
        <w:rPr>
          <w:noProof/>
        </w:rPr>
        <w:t> </w:t>
      </w:r>
      <w:r w:rsidRPr="00D86314">
        <w:rPr>
          <w:noProof/>
        </w:rPr>
        <w:t xml:space="preserve">61(3) which may entail some administrative inputs and implementation costs where not already applied (depending on decisions taken by the NRA), but contribute to substantial cost-savings for all operators deploying FTTH through sharing rather than duplication of in-building wiring in MDUs and office buildings. </w:t>
      </w:r>
      <w:r w:rsidR="009722B1">
        <w:rPr>
          <w:noProof/>
        </w:rPr>
        <w:t>o</w:t>
      </w:r>
      <w:r w:rsidRPr="00D86314">
        <w:rPr>
          <w:noProof/>
        </w:rPr>
        <w:t>ption 2 might also lead to Article</w:t>
      </w:r>
      <w:r w:rsidR="004A758B">
        <w:rPr>
          <w:noProof/>
        </w:rPr>
        <w:t> </w:t>
      </w:r>
      <w:r w:rsidRPr="00D86314">
        <w:rPr>
          <w:noProof/>
        </w:rPr>
        <w:t>61(3) being used beyond the first distribution point for existing networks in some cases as an alternative to SMP WLA obligations. This should in principle give rise to administrative cost savings, as the Article</w:t>
      </w:r>
      <w:r w:rsidR="004A758B">
        <w:rPr>
          <w:noProof/>
        </w:rPr>
        <w:t> </w:t>
      </w:r>
      <w:r w:rsidRPr="00D86314">
        <w:rPr>
          <w:noProof/>
        </w:rPr>
        <w:t xml:space="preserve">61(3) procedure should be more straightforward to apply than SMP in cases where there are multiple local monopolies. However, as the decision will remain with the NRA and the outcomes are uncertain, it is not possible to quantify such savings. The costs for the market analysis process will remain neutral for all parties involved under </w:t>
      </w:r>
      <w:r w:rsidR="009722B1">
        <w:rPr>
          <w:noProof/>
        </w:rPr>
        <w:t>o</w:t>
      </w:r>
      <w:r w:rsidRPr="00D86314">
        <w:rPr>
          <w:noProof/>
        </w:rPr>
        <w:t>ption 2.</w:t>
      </w:r>
    </w:p>
    <w:p w14:paraId="378B75DB" w14:textId="0CE66A5F" w:rsidR="00BE3CC0" w:rsidRPr="00D86314" w:rsidRDefault="00BE3CC0" w:rsidP="00BE3CC0">
      <w:pPr>
        <w:rPr>
          <w:noProof/>
        </w:rPr>
      </w:pPr>
      <w:r w:rsidRPr="00D86314">
        <w:rPr>
          <w:noProof/>
        </w:rPr>
        <w:t xml:space="preserve">While the effects would be delayed by the obligations to conduct market reviews associated with copper switch-off, it should be noted that there could be indirect effects in the event that the publication by the European Commission of the RRM, which lists relevant markets considered susceptible to ex ante regulation, becomes optional. This will result in indirect costs and benefits for </w:t>
      </w:r>
      <w:r w:rsidRPr="00D86314">
        <w:rPr>
          <w:b/>
          <w:bCs/>
          <w:noProof/>
        </w:rPr>
        <w:t>ECN operators</w:t>
      </w:r>
      <w:r w:rsidRPr="00D86314">
        <w:rPr>
          <w:noProof/>
        </w:rPr>
        <w:t xml:space="preserve"> which will differ depending on the implications this has for specific operator groups that may have been (or might otherwise be) considered likely to be subject to ex ante regulation or may have relied on ex ante regulation to provide broadband services to end-users. </w:t>
      </w:r>
    </w:p>
    <w:p w14:paraId="0B0E1C78" w14:textId="6ABAC5EB" w:rsidR="00BE3CC0" w:rsidRPr="00D86314" w:rsidRDefault="00BE3CC0" w:rsidP="00BE3CC0">
      <w:pPr>
        <w:rPr>
          <w:noProof/>
        </w:rPr>
      </w:pPr>
      <w:bookmarkStart w:id="283" w:name="_Hlk214372389"/>
      <w:r w:rsidRPr="00D86314">
        <w:rPr>
          <w:noProof/>
        </w:rPr>
        <w:t>However, making the RRM optional does not guarantee that it will be removed (not adopted). The potential impacts discussed are hypothetic</w:t>
      </w:r>
      <w:r w:rsidR="1335640F" w:rsidRPr="00D86314">
        <w:rPr>
          <w:noProof/>
        </w:rPr>
        <w:t xml:space="preserve"> and depend on several factors, including NRAs actions. </w:t>
      </w:r>
      <w:r w:rsidRPr="00D86314">
        <w:rPr>
          <w:noProof/>
        </w:rPr>
        <w:t xml:space="preserve">Therefore, the actual effects of </w:t>
      </w:r>
      <w:r w:rsidR="2A1129F3" w:rsidRPr="00D86314">
        <w:rPr>
          <w:noProof/>
        </w:rPr>
        <w:t xml:space="preserve">a potential decision to </w:t>
      </w:r>
      <w:r w:rsidRPr="00D86314">
        <w:rPr>
          <w:noProof/>
        </w:rPr>
        <w:t>mak</w:t>
      </w:r>
      <w:r w:rsidR="6C155BCB" w:rsidRPr="00D86314">
        <w:rPr>
          <w:noProof/>
        </w:rPr>
        <w:t xml:space="preserve">e </w:t>
      </w:r>
      <w:r w:rsidRPr="00D86314">
        <w:rPr>
          <w:noProof/>
        </w:rPr>
        <w:t>the RRM optional remain uncertain and contingent on future decisions and actions.</w:t>
      </w:r>
    </w:p>
    <w:bookmarkEnd w:id="283"/>
    <w:p w14:paraId="3766ED0E" w14:textId="4DFDAB8D" w:rsidR="00BE3CC0" w:rsidRPr="00D86314" w:rsidRDefault="00BE3CC0" w:rsidP="00BE3CC0">
      <w:pPr>
        <w:rPr>
          <w:noProof/>
        </w:rPr>
      </w:pPr>
      <w:r w:rsidRPr="00D86314">
        <w:rPr>
          <w:noProof/>
        </w:rPr>
        <w:t>If the RRM is made optional this could be seen by financial markets as positive for</w:t>
      </w:r>
      <w:r w:rsidRPr="00D86314">
        <w:rPr>
          <w:b/>
          <w:bCs/>
          <w:noProof/>
        </w:rPr>
        <w:t xml:space="preserve"> incumbent operators</w:t>
      </w:r>
      <w:r w:rsidRPr="00D86314">
        <w:rPr>
          <w:noProof/>
        </w:rPr>
        <w:t xml:space="preserve">, as these operators are currently subject to SMP designations and making the RRM optional will signal there may not be a perceived need for ongoing regulation in a fibre environment at EU level. This may raise expectations about the potential for deregulation of existing markets that are presumed to be susceptible to ex ante regulation. This effect is likely to be EU-wide due to the effect of the DNA in providing signals to the market and to NRAs, but is likely to be tempered by expectations about what NRAs may do at national level, which is likely to differ between the different countries. </w:t>
      </w:r>
    </w:p>
    <w:p w14:paraId="02A0F42D" w14:textId="31E03595" w:rsidR="00BE3CC0" w:rsidRPr="00D86314" w:rsidRDefault="00BE3CC0" w:rsidP="00BE3CC0">
      <w:pPr>
        <w:rPr>
          <w:noProof/>
        </w:rPr>
      </w:pPr>
      <w:r w:rsidRPr="00D86314">
        <w:rPr>
          <w:noProof/>
        </w:rPr>
        <w:t xml:space="preserve">Making the RRM optional could have mixed impacts on </w:t>
      </w:r>
      <w:r w:rsidRPr="00D86314">
        <w:rPr>
          <w:b/>
          <w:bCs/>
          <w:noProof/>
        </w:rPr>
        <w:t xml:space="preserve">alternative </w:t>
      </w:r>
      <w:r w:rsidR="00BF6170" w:rsidRPr="00D86314">
        <w:rPr>
          <w:b/>
          <w:bCs/>
          <w:noProof/>
        </w:rPr>
        <w:t>fibre</w:t>
      </w:r>
      <w:r w:rsidRPr="00D86314">
        <w:rPr>
          <w:b/>
          <w:bCs/>
          <w:noProof/>
        </w:rPr>
        <w:t xml:space="preserve"> investors</w:t>
      </w:r>
      <w:r w:rsidRPr="00D86314">
        <w:rPr>
          <w:noProof/>
        </w:rPr>
        <w:t xml:space="preserve">. On one hand, it could signal reduced NRA scrutiny of market power transferred to these operators post-copper switch-off in areas where incumbents did not deploy their own </w:t>
      </w:r>
      <w:r w:rsidR="00BF6170" w:rsidRPr="00D86314">
        <w:rPr>
          <w:noProof/>
        </w:rPr>
        <w:t>fibre</w:t>
      </w:r>
      <w:r w:rsidRPr="00D86314">
        <w:rPr>
          <w:noProof/>
        </w:rPr>
        <w:t xml:space="preserve"> networks. However, it could also decrease long-term certainty regarding wholesale access terms and limit focus on SMP regulation, including SMP PIA, which some investors rely on to deploy and sustain infrastructure. Deregulatory signals could undermine the market shares and positioning of alternative broadband service providers, detrimental to </w:t>
      </w:r>
      <w:r w:rsidR="00BF6170" w:rsidRPr="00D86314">
        <w:rPr>
          <w:noProof/>
        </w:rPr>
        <w:t>fibre</w:t>
      </w:r>
      <w:r w:rsidRPr="00D86314">
        <w:rPr>
          <w:noProof/>
        </w:rPr>
        <w:t xml:space="preserve"> investors reliant on them. The current proposal does not discuss the removal of the RRM. Even if it becomes optional, the impact on operators will be delayed until after 2035, as retail market analysis will act as a substitute for the RRM in the interim.</w:t>
      </w:r>
      <w:r w:rsidR="00E5FC59" w:rsidRPr="00D86314">
        <w:rPr>
          <w:noProof/>
        </w:rPr>
        <w:t xml:space="preserve"> In addition, the actions of NRAs need to be taken into account also in the long term.</w:t>
      </w:r>
    </w:p>
    <w:p w14:paraId="73C41DC3" w14:textId="029B390F" w:rsidR="00BE3CC0" w:rsidRPr="00D86314" w:rsidRDefault="00BE3CC0" w:rsidP="00BE3CC0">
      <w:pPr>
        <w:rPr>
          <w:noProof/>
        </w:rPr>
      </w:pPr>
      <w:r w:rsidRPr="00D86314">
        <w:rPr>
          <w:b/>
          <w:bCs/>
          <w:noProof/>
        </w:rPr>
        <w:t xml:space="preserve">Broadband service providers </w:t>
      </w:r>
      <w:r w:rsidRPr="00D86314">
        <w:rPr>
          <w:noProof/>
        </w:rPr>
        <w:t>may face significant drawbacks if changes to the EECC make the RRM optional</w:t>
      </w:r>
      <w:r w:rsidR="4D4FA4D3" w:rsidRPr="00D86314">
        <w:rPr>
          <w:noProof/>
        </w:rPr>
        <w:t xml:space="preserve"> and there is a decision not to issue </w:t>
      </w:r>
      <w:r w:rsidR="00BB3B3F" w:rsidRPr="00D86314">
        <w:rPr>
          <w:noProof/>
        </w:rPr>
        <w:t>an</w:t>
      </w:r>
      <w:r w:rsidR="4D4FA4D3" w:rsidRPr="00D86314">
        <w:rPr>
          <w:noProof/>
        </w:rPr>
        <w:t xml:space="preserve"> RRM</w:t>
      </w:r>
      <w:r w:rsidR="63FFE6FE" w:rsidRPr="00D86314">
        <w:rPr>
          <w:noProof/>
        </w:rPr>
        <w:t>.</w:t>
      </w:r>
      <w:r w:rsidRPr="00D86314">
        <w:rPr>
          <w:noProof/>
        </w:rPr>
        <w:t xml:space="preserve"> This could reduce regulatory certainty in a </w:t>
      </w:r>
      <w:r w:rsidR="00F20E61" w:rsidRPr="00D86314">
        <w:rPr>
          <w:noProof/>
        </w:rPr>
        <w:t>fibre</w:t>
      </w:r>
      <w:r w:rsidRPr="00D86314">
        <w:rPr>
          <w:noProof/>
        </w:rPr>
        <w:t xml:space="preserve"> environment, </w:t>
      </w:r>
      <w:r w:rsidR="008A5609" w:rsidRPr="00D86314">
        <w:rPr>
          <w:noProof/>
        </w:rPr>
        <w:t>signalling</w:t>
      </w:r>
      <w:r w:rsidRPr="00D86314">
        <w:rPr>
          <w:noProof/>
        </w:rPr>
        <w:t xml:space="preserve"> potential deregulation and increasing perceived risks. Higher risk perceptions could elevate their cost of capital, already higher due to project-based financing. The impact will vary by country based on existing access agreements and NRA proactivity. Overall, the risk for broadband service providers </w:t>
      </w:r>
      <w:r w:rsidR="1AA52406" w:rsidRPr="00D86314">
        <w:rPr>
          <w:noProof/>
        </w:rPr>
        <w:t>may</w:t>
      </w:r>
      <w:r w:rsidRPr="00D86314">
        <w:rPr>
          <w:noProof/>
        </w:rPr>
        <w:t xml:space="preserve"> increase, as they currently benefit from ex ante regulation in most Member States. </w:t>
      </w:r>
      <w:r w:rsidR="78623FBA" w:rsidRPr="00D86314">
        <w:rPr>
          <w:noProof/>
        </w:rPr>
        <w:t>However, for the reasons explained above many factors play a role in this context.</w:t>
      </w:r>
    </w:p>
    <w:p w14:paraId="789A5EAD" w14:textId="7C290A6B" w:rsidR="00D17E74" w:rsidRPr="00D86314" w:rsidRDefault="1CD22603" w:rsidP="00BE3CC0">
      <w:pPr>
        <w:rPr>
          <w:b/>
          <w:bCs/>
          <w:noProof/>
        </w:rPr>
      </w:pPr>
      <w:r w:rsidRPr="00D86314">
        <w:rPr>
          <w:b/>
          <w:bCs/>
          <w:noProof/>
        </w:rPr>
        <w:t>Standardised wholesale product</w:t>
      </w:r>
    </w:p>
    <w:p w14:paraId="02134ADB" w14:textId="0B6879C5" w:rsidR="00BE3CC0" w:rsidRPr="00D86314" w:rsidRDefault="00BE3CC0" w:rsidP="00BE3CC0">
      <w:pPr>
        <w:rPr>
          <w:noProof/>
        </w:rPr>
      </w:pPr>
      <w:r w:rsidRPr="00D86314">
        <w:rPr>
          <w:noProof/>
        </w:rPr>
        <w:t xml:space="preserve">Under the preferred option, </w:t>
      </w:r>
      <w:r w:rsidRPr="00D86314">
        <w:rPr>
          <w:b/>
          <w:bCs/>
          <w:noProof/>
        </w:rPr>
        <w:t>all ECN operators</w:t>
      </w:r>
      <w:r w:rsidRPr="00D86314">
        <w:rPr>
          <w:noProof/>
        </w:rPr>
        <w:t xml:space="preserve"> will face one-off administrative costs for developing standardized wholesale access product specifications for FTTH, QoS, and fixed wireless networks at the EU level and nationally (estimated at 93 FTE, ~</w:t>
      </w:r>
      <w:r w:rsidR="00680FA6" w:rsidRPr="00D86314">
        <w:rPr>
          <w:noProof/>
        </w:rPr>
        <w:t xml:space="preserve"> EUR </w:t>
      </w:r>
      <w:r w:rsidRPr="00D86314">
        <w:rPr>
          <w:noProof/>
        </w:rPr>
        <w:t>9</w:t>
      </w:r>
      <w:r w:rsidR="0088253A" w:rsidRPr="00D86314">
        <w:rPr>
          <w:noProof/>
        </w:rPr>
        <w:t xml:space="preserve"> </w:t>
      </w:r>
      <w:r w:rsidRPr="00D86314">
        <w:rPr>
          <w:noProof/>
        </w:rPr>
        <w:t>m</w:t>
      </w:r>
      <w:r w:rsidR="0088253A" w:rsidRPr="00D86314">
        <w:rPr>
          <w:noProof/>
        </w:rPr>
        <w:t>illion</w:t>
      </w:r>
      <w:r w:rsidRPr="00D86314">
        <w:rPr>
          <w:noProof/>
        </w:rPr>
        <w:t>). Incumbent operators will incur adaptation costs for wholesale specifications and interconnection points, but these may be recouped over time through charges for new wholesale products, including co-location and ordering system changes. Benefits could include faster infrastructure take-up due to competitive pricing and innovation.</w:t>
      </w:r>
    </w:p>
    <w:p w14:paraId="392B7532" w14:textId="036FD189" w:rsidR="00BE3CC0" w:rsidRPr="00D86314" w:rsidRDefault="00BE3CC0" w:rsidP="00BE3CC0">
      <w:pPr>
        <w:rPr>
          <w:noProof/>
        </w:rPr>
      </w:pPr>
      <w:r w:rsidRPr="00D86314">
        <w:rPr>
          <w:noProof/>
        </w:rPr>
        <w:t xml:space="preserve">For </w:t>
      </w:r>
      <w:r w:rsidRPr="00D86314">
        <w:rPr>
          <w:b/>
          <w:bCs/>
          <w:noProof/>
        </w:rPr>
        <w:t>incumbents</w:t>
      </w:r>
      <w:r w:rsidRPr="00D86314">
        <w:rPr>
          <w:noProof/>
        </w:rPr>
        <w:t xml:space="preserve"> found to have SMP, mandating these specifications could increase market share, but may also lead to revenue loss if basic wholesale products replace more advanced ones. Alternative </w:t>
      </w:r>
      <w:r w:rsidR="00BF6170" w:rsidRPr="00D86314">
        <w:rPr>
          <w:noProof/>
        </w:rPr>
        <w:t>fibre</w:t>
      </w:r>
      <w:r w:rsidRPr="00D86314">
        <w:rPr>
          <w:noProof/>
        </w:rPr>
        <w:t xml:space="preserve"> investors would face similar costs and benefits, with additional potential gains from cross-border standardization.</w:t>
      </w:r>
    </w:p>
    <w:p w14:paraId="533BDD80" w14:textId="77777777" w:rsidR="00BE3CC0" w:rsidRPr="00D86314" w:rsidRDefault="00BE3CC0" w:rsidP="00BE3CC0">
      <w:pPr>
        <w:rPr>
          <w:noProof/>
        </w:rPr>
      </w:pPr>
      <w:r w:rsidRPr="00D86314">
        <w:rPr>
          <w:b/>
          <w:bCs/>
          <w:noProof/>
        </w:rPr>
        <w:t>Broadband service providers</w:t>
      </w:r>
      <w:r w:rsidRPr="00D86314">
        <w:rPr>
          <w:noProof/>
        </w:rPr>
        <w:t xml:space="preserve"> stand to benefit from product differentiation and innovation, though they will also incur adaptation costs. However, these benefits may be reduced if the focus on wholesale access regulation is limited. Overall, the impacts vary by market structure and the presence of SMP.</w:t>
      </w:r>
    </w:p>
    <w:p w14:paraId="3AAD5C47" w14:textId="49C949EF" w:rsidR="00BE3CC0" w:rsidRPr="00D86314" w:rsidRDefault="00BE3CC0" w:rsidP="006941E0">
      <w:pPr>
        <w:keepNext/>
        <w:spacing w:before="240"/>
        <w:rPr>
          <w:noProof/>
          <w:sz w:val="22"/>
          <w:szCs w:val="22"/>
        </w:rPr>
      </w:pPr>
      <w:r w:rsidRPr="00D86314">
        <w:rPr>
          <w:noProof/>
          <w:sz w:val="22"/>
          <w:szCs w:val="22"/>
        </w:rPr>
        <w:t>Table</w:t>
      </w:r>
      <w:r w:rsidR="00066398" w:rsidRPr="00D86314">
        <w:rPr>
          <w:noProof/>
          <w:sz w:val="22"/>
          <w:szCs w:val="22"/>
        </w:rPr>
        <w:t xml:space="preserve"> A9 1-</w:t>
      </w:r>
      <w:r w:rsidR="00F06D39" w:rsidRPr="00D86314">
        <w:rPr>
          <w:noProof/>
          <w:sz w:val="22"/>
          <w:szCs w:val="22"/>
        </w:rPr>
        <w:t>9</w:t>
      </w:r>
      <w:r w:rsidRPr="00D86314">
        <w:rPr>
          <w:noProof/>
          <w:sz w:val="22"/>
          <w:szCs w:val="22"/>
        </w:rPr>
        <w:t>:Estimated costs and benefits to ECN operators linked to the preferred DNA option</w:t>
      </w:r>
    </w:p>
    <w:tbl>
      <w:tblPr>
        <w:tblStyle w:val="TableGrid1"/>
        <w:tblW w:w="9395" w:type="dxa"/>
        <w:tblInd w:w="-125" w:type="dxa"/>
        <w:tblLook w:val="04A0" w:firstRow="1" w:lastRow="0" w:firstColumn="1" w:lastColumn="0" w:noHBand="0" w:noVBand="1"/>
      </w:tblPr>
      <w:tblGrid>
        <w:gridCol w:w="1440"/>
        <w:gridCol w:w="932"/>
        <w:gridCol w:w="1420"/>
        <w:gridCol w:w="1137"/>
        <w:gridCol w:w="1154"/>
        <w:gridCol w:w="1033"/>
        <w:gridCol w:w="21"/>
        <w:gridCol w:w="1117"/>
        <w:gridCol w:w="1141"/>
      </w:tblGrid>
      <w:tr w:rsidR="00397DEB" w:rsidRPr="00D86314" w14:paraId="6F4D7103" w14:textId="77777777" w:rsidTr="00182A0D">
        <w:trPr>
          <w:trHeight w:val="420"/>
        </w:trPr>
        <w:tc>
          <w:tcPr>
            <w:tcW w:w="2372" w:type="dxa"/>
            <w:gridSpan w:val="2"/>
            <w:vMerge w:val="restart"/>
            <w:hideMark/>
          </w:tcPr>
          <w:p w14:paraId="7541FB45" w14:textId="77777777" w:rsidR="00397DEB" w:rsidRPr="00D86314" w:rsidRDefault="00397DEB" w:rsidP="00397DEB">
            <w:pPr>
              <w:keepNext/>
              <w:spacing w:before="40" w:after="40"/>
              <w:rPr>
                <w:noProof/>
                <w:sz w:val="16"/>
                <w:szCs w:val="16"/>
                <w:lang w:val="en-GB"/>
              </w:rPr>
            </w:pPr>
            <w:r w:rsidRPr="00D86314">
              <w:rPr>
                <w:noProof/>
                <w:sz w:val="16"/>
                <w:szCs w:val="16"/>
                <w:lang w:val="en-GB"/>
              </w:rPr>
              <w:t> </w:t>
            </w:r>
          </w:p>
        </w:tc>
        <w:tc>
          <w:tcPr>
            <w:tcW w:w="2557" w:type="dxa"/>
            <w:gridSpan w:val="2"/>
            <w:hideMark/>
          </w:tcPr>
          <w:p w14:paraId="7F518A16"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Incumbents</w:t>
            </w:r>
          </w:p>
        </w:tc>
        <w:tc>
          <w:tcPr>
            <w:tcW w:w="2187" w:type="dxa"/>
            <w:gridSpan w:val="2"/>
          </w:tcPr>
          <w:p w14:paraId="762B704A"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Alternative fibre investors</w:t>
            </w:r>
          </w:p>
        </w:tc>
        <w:tc>
          <w:tcPr>
            <w:tcW w:w="2279" w:type="dxa"/>
            <w:gridSpan w:val="3"/>
          </w:tcPr>
          <w:p w14:paraId="7B7FC249"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Broadband service providers</w:t>
            </w:r>
          </w:p>
        </w:tc>
      </w:tr>
      <w:tr w:rsidR="004A55C6" w:rsidRPr="00D86314" w14:paraId="05B7CEDF" w14:textId="77777777" w:rsidTr="00182A0D">
        <w:trPr>
          <w:trHeight w:val="134"/>
        </w:trPr>
        <w:tc>
          <w:tcPr>
            <w:tcW w:w="2372" w:type="dxa"/>
            <w:gridSpan w:val="2"/>
            <w:vMerge/>
            <w:hideMark/>
          </w:tcPr>
          <w:p w14:paraId="08F58218" w14:textId="77777777" w:rsidR="00397DEB" w:rsidRPr="00D86314" w:rsidRDefault="00397DEB" w:rsidP="00397DEB">
            <w:pPr>
              <w:keepNext/>
              <w:spacing w:before="40" w:after="40"/>
              <w:rPr>
                <w:noProof/>
                <w:sz w:val="16"/>
                <w:szCs w:val="16"/>
                <w:lang w:val="en-GB"/>
              </w:rPr>
            </w:pPr>
          </w:p>
        </w:tc>
        <w:tc>
          <w:tcPr>
            <w:tcW w:w="1420" w:type="dxa"/>
            <w:hideMark/>
          </w:tcPr>
          <w:p w14:paraId="4D8C8BE3"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One-off</w:t>
            </w:r>
          </w:p>
        </w:tc>
        <w:tc>
          <w:tcPr>
            <w:tcW w:w="1137" w:type="dxa"/>
          </w:tcPr>
          <w:p w14:paraId="23DF7402"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Recurrent</w:t>
            </w:r>
          </w:p>
        </w:tc>
        <w:tc>
          <w:tcPr>
            <w:tcW w:w="1154" w:type="dxa"/>
            <w:hideMark/>
          </w:tcPr>
          <w:p w14:paraId="4E7243D2"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One-off</w:t>
            </w:r>
          </w:p>
        </w:tc>
        <w:tc>
          <w:tcPr>
            <w:tcW w:w="1054" w:type="dxa"/>
            <w:gridSpan w:val="2"/>
          </w:tcPr>
          <w:p w14:paraId="10A0B9FD"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Recurrent</w:t>
            </w:r>
          </w:p>
        </w:tc>
        <w:tc>
          <w:tcPr>
            <w:tcW w:w="1117" w:type="dxa"/>
          </w:tcPr>
          <w:p w14:paraId="010BEB91"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One-off</w:t>
            </w:r>
          </w:p>
        </w:tc>
        <w:tc>
          <w:tcPr>
            <w:tcW w:w="1141" w:type="dxa"/>
          </w:tcPr>
          <w:p w14:paraId="4158C62F" w14:textId="77777777" w:rsidR="00397DEB" w:rsidRPr="00D86314" w:rsidRDefault="00397DEB" w:rsidP="00397DEB">
            <w:pPr>
              <w:keepNext/>
              <w:spacing w:before="40" w:after="40"/>
              <w:rPr>
                <w:b/>
                <w:noProof/>
                <w:sz w:val="16"/>
                <w:szCs w:val="16"/>
                <w:lang w:val="en-GB"/>
              </w:rPr>
            </w:pPr>
            <w:r w:rsidRPr="00D86314">
              <w:rPr>
                <w:b/>
                <w:noProof/>
                <w:sz w:val="16"/>
                <w:szCs w:val="16"/>
                <w:lang w:val="en-GB"/>
              </w:rPr>
              <w:t>Recurrent</w:t>
            </w:r>
          </w:p>
        </w:tc>
      </w:tr>
      <w:tr w:rsidR="004A55C6" w:rsidRPr="00D86314" w14:paraId="3778FF2F" w14:textId="77777777" w:rsidTr="00182A0D">
        <w:trPr>
          <w:trHeight w:val="420"/>
        </w:trPr>
        <w:tc>
          <w:tcPr>
            <w:tcW w:w="1440" w:type="dxa"/>
            <w:vMerge w:val="restart"/>
          </w:tcPr>
          <w:p w14:paraId="7787FF20" w14:textId="77777777" w:rsidR="00397DEB" w:rsidRPr="00D86314" w:rsidRDefault="00397DEB" w:rsidP="00397DEB">
            <w:pPr>
              <w:keepNext/>
              <w:spacing w:before="40" w:after="40"/>
              <w:rPr>
                <w:b/>
                <w:noProof/>
                <w:sz w:val="16"/>
                <w:szCs w:val="16"/>
                <w:lang w:val="en-GB"/>
              </w:rPr>
            </w:pPr>
            <w:r w:rsidRPr="00A36024">
              <w:rPr>
                <w:b/>
                <w:bCs/>
                <w:noProof/>
                <w:sz w:val="16"/>
                <w:szCs w:val="16"/>
              </w:rPr>
              <w:t>Copper switch-off</w:t>
            </w:r>
          </w:p>
        </w:tc>
        <w:tc>
          <w:tcPr>
            <w:tcW w:w="932" w:type="dxa"/>
          </w:tcPr>
          <w:p w14:paraId="37535EB8" w14:textId="77777777" w:rsidR="00397DEB" w:rsidRPr="00D86314" w:rsidRDefault="00397DEB" w:rsidP="00397DEB">
            <w:pPr>
              <w:keepNext/>
              <w:spacing w:before="40" w:after="40"/>
              <w:rPr>
                <w:noProof/>
                <w:sz w:val="16"/>
                <w:szCs w:val="16"/>
                <w:lang w:val="en-GB"/>
              </w:rPr>
            </w:pPr>
            <w:r w:rsidRPr="00D86314">
              <w:rPr>
                <w:noProof/>
                <w:sz w:val="16"/>
                <w:szCs w:val="16"/>
                <w:lang w:val="en-GB"/>
              </w:rPr>
              <w:t>Direct costs</w:t>
            </w:r>
          </w:p>
        </w:tc>
        <w:tc>
          <w:tcPr>
            <w:tcW w:w="1420" w:type="dxa"/>
          </w:tcPr>
          <w:p w14:paraId="1465887F" w14:textId="27DA1C8D" w:rsidR="00397DEB" w:rsidRPr="00D86314" w:rsidRDefault="00397DEB" w:rsidP="00397DEB">
            <w:pPr>
              <w:keepNext/>
              <w:spacing w:before="40" w:after="40"/>
              <w:rPr>
                <w:noProof/>
                <w:sz w:val="16"/>
                <w:szCs w:val="16"/>
                <w:lang w:val="en-GB"/>
              </w:rPr>
            </w:pPr>
            <w:r w:rsidRPr="00C20A01">
              <w:rPr>
                <w:noProof/>
                <w:sz w:val="16"/>
                <w:szCs w:val="16"/>
                <w:lang w:val="en-GB"/>
              </w:rPr>
              <w:t>CSO plan + contribution to FTTH plan where relevant Est 139 FTE (</w:t>
            </w:r>
            <w:r w:rsidR="00982399" w:rsidRPr="00C20A01">
              <w:rPr>
                <w:noProof/>
                <w:sz w:val="16"/>
                <w:szCs w:val="16"/>
                <w:lang w:val="en-GB"/>
              </w:rPr>
              <w:t>EUR </w:t>
            </w:r>
            <w:r w:rsidRPr="00C20A01">
              <w:rPr>
                <w:noProof/>
                <w:sz w:val="16"/>
                <w:szCs w:val="16"/>
                <w:lang w:val="en-GB"/>
              </w:rPr>
              <w:t>13</w:t>
            </w:r>
            <w:r w:rsidR="00982399" w:rsidRPr="00C20A01">
              <w:rPr>
                <w:noProof/>
                <w:sz w:val="16"/>
                <w:szCs w:val="16"/>
                <w:lang w:val="en-GB"/>
              </w:rPr>
              <w:t xml:space="preserve"> </w:t>
            </w:r>
            <w:r w:rsidRPr="00C20A01">
              <w:rPr>
                <w:noProof/>
                <w:sz w:val="16"/>
                <w:szCs w:val="16"/>
                <w:lang w:val="en-GB"/>
              </w:rPr>
              <w:t xml:space="preserve">m) extra. CSO related market review 54 FTE </w:t>
            </w:r>
            <w:r w:rsidR="0088253A" w:rsidRPr="00C20A01">
              <w:rPr>
                <w:noProof/>
                <w:sz w:val="16"/>
                <w:szCs w:val="16"/>
                <w:lang w:val="en-GB"/>
              </w:rPr>
              <w:t>~EUR </w:t>
            </w:r>
            <w:r w:rsidRPr="00C20A01">
              <w:rPr>
                <w:noProof/>
                <w:sz w:val="16"/>
                <w:szCs w:val="16"/>
                <w:lang w:val="en-GB"/>
              </w:rPr>
              <w:t>5</w:t>
            </w:r>
            <w:r w:rsidR="0088253A" w:rsidRPr="00C20A01">
              <w:rPr>
                <w:noProof/>
                <w:sz w:val="16"/>
                <w:szCs w:val="16"/>
                <w:lang w:val="en-GB"/>
              </w:rPr>
              <w:t xml:space="preserve"> </w:t>
            </w:r>
            <w:r w:rsidRPr="00C20A01">
              <w:rPr>
                <w:noProof/>
                <w:sz w:val="16"/>
                <w:szCs w:val="16"/>
                <w:lang w:val="en-GB"/>
              </w:rPr>
              <w:t>m</w:t>
            </w:r>
          </w:p>
          <w:p w14:paraId="163226D6" w14:textId="77777777" w:rsidR="00397DEB" w:rsidRPr="00D86314" w:rsidRDefault="00397DEB" w:rsidP="00397DEB">
            <w:pPr>
              <w:keepNext/>
              <w:spacing w:before="40" w:after="40"/>
              <w:rPr>
                <w:noProof/>
                <w:sz w:val="16"/>
                <w:szCs w:val="16"/>
                <w:lang w:val="en-GB"/>
              </w:rPr>
            </w:pPr>
            <w:r w:rsidRPr="00C20A01">
              <w:rPr>
                <w:noProof/>
                <w:sz w:val="16"/>
                <w:szCs w:val="16"/>
                <w:lang w:val="en-GB"/>
              </w:rPr>
              <w:t xml:space="preserve">Migration costs (but would also be incurred in status quo). </w:t>
            </w:r>
          </w:p>
        </w:tc>
        <w:tc>
          <w:tcPr>
            <w:tcW w:w="1137" w:type="dxa"/>
          </w:tcPr>
          <w:p w14:paraId="1D08AA26" w14:textId="77777777" w:rsidR="00397DEB" w:rsidRPr="00D86314" w:rsidRDefault="00397DEB" w:rsidP="00397DEB">
            <w:pPr>
              <w:keepNext/>
              <w:spacing w:before="40" w:after="40"/>
              <w:rPr>
                <w:noProof/>
                <w:sz w:val="16"/>
                <w:szCs w:val="16"/>
                <w:lang w:val="en-GB"/>
              </w:rPr>
            </w:pPr>
          </w:p>
        </w:tc>
        <w:tc>
          <w:tcPr>
            <w:tcW w:w="1154" w:type="dxa"/>
          </w:tcPr>
          <w:p w14:paraId="70743570" w14:textId="7601C742" w:rsidR="00397DEB" w:rsidRPr="00D86314" w:rsidRDefault="00397DEB" w:rsidP="00397DEB">
            <w:pPr>
              <w:keepNext/>
              <w:spacing w:before="40" w:after="40"/>
              <w:rPr>
                <w:noProof/>
                <w:sz w:val="16"/>
                <w:szCs w:val="16"/>
                <w:lang w:val="en-GB"/>
              </w:rPr>
            </w:pPr>
            <w:r w:rsidRPr="00C20A01">
              <w:rPr>
                <w:noProof/>
                <w:sz w:val="16"/>
                <w:szCs w:val="16"/>
                <w:lang w:val="en-GB"/>
              </w:rPr>
              <w:t>CSO plan + contribution to FTTH plan where relevant Est 70 FTE (~</w:t>
            </w:r>
            <w:r w:rsidR="00982399" w:rsidRPr="00C20A01">
              <w:rPr>
                <w:noProof/>
                <w:sz w:val="16"/>
                <w:szCs w:val="16"/>
                <w:lang w:val="en-GB"/>
              </w:rPr>
              <w:t>EUR</w:t>
            </w:r>
            <w:r w:rsidR="00475310" w:rsidRPr="00C20A01">
              <w:rPr>
                <w:noProof/>
                <w:sz w:val="16"/>
                <w:szCs w:val="16"/>
                <w:lang w:val="en-GB"/>
              </w:rPr>
              <w:t> </w:t>
            </w:r>
            <w:r w:rsidRPr="00C20A01">
              <w:rPr>
                <w:noProof/>
                <w:sz w:val="16"/>
                <w:szCs w:val="16"/>
                <w:lang w:val="en-GB"/>
              </w:rPr>
              <w:t>6.5</w:t>
            </w:r>
            <w:r w:rsidR="00AB186C" w:rsidRPr="00C20A01">
              <w:rPr>
                <w:noProof/>
                <w:sz w:val="16"/>
                <w:szCs w:val="16"/>
                <w:lang w:val="en-GB"/>
              </w:rPr>
              <w:t xml:space="preserve"> </w:t>
            </w:r>
            <w:r w:rsidRPr="00C20A01">
              <w:rPr>
                <w:noProof/>
                <w:sz w:val="16"/>
                <w:szCs w:val="16"/>
                <w:lang w:val="en-GB"/>
              </w:rPr>
              <w:t>m).. CSO related market review 27 FTE ~</w:t>
            </w:r>
            <w:r w:rsidR="00FF5F69" w:rsidRPr="00C20A01">
              <w:rPr>
                <w:noProof/>
                <w:sz w:val="16"/>
                <w:szCs w:val="16"/>
                <w:lang w:val="en-GB"/>
              </w:rPr>
              <w:t>EUR</w:t>
            </w:r>
            <w:r w:rsidR="00B427FF" w:rsidRPr="00C20A01">
              <w:rPr>
                <w:noProof/>
                <w:sz w:val="16"/>
                <w:szCs w:val="16"/>
                <w:lang w:val="en-GB"/>
              </w:rPr>
              <w:t> </w:t>
            </w:r>
            <w:r w:rsidRPr="00C20A01">
              <w:rPr>
                <w:noProof/>
                <w:sz w:val="16"/>
                <w:szCs w:val="16"/>
                <w:lang w:val="en-GB"/>
              </w:rPr>
              <w:t>2.6</w:t>
            </w:r>
            <w:r w:rsidR="00B427FF" w:rsidRPr="00C20A01">
              <w:rPr>
                <w:noProof/>
                <w:sz w:val="16"/>
                <w:szCs w:val="16"/>
                <w:lang w:val="en-GB"/>
              </w:rPr>
              <w:t xml:space="preserve"> </w:t>
            </w:r>
            <w:r w:rsidRPr="00C20A01">
              <w:rPr>
                <w:noProof/>
                <w:sz w:val="16"/>
                <w:szCs w:val="16"/>
                <w:lang w:val="en-GB"/>
              </w:rPr>
              <w:t>m</w:t>
            </w:r>
          </w:p>
        </w:tc>
        <w:tc>
          <w:tcPr>
            <w:tcW w:w="1054" w:type="dxa"/>
            <w:gridSpan w:val="2"/>
          </w:tcPr>
          <w:p w14:paraId="35330E63" w14:textId="77777777" w:rsidR="00397DEB" w:rsidRPr="00D86314" w:rsidRDefault="00397DEB" w:rsidP="00397DEB">
            <w:pPr>
              <w:keepNext/>
              <w:spacing w:before="40" w:after="40"/>
              <w:rPr>
                <w:noProof/>
                <w:sz w:val="16"/>
                <w:szCs w:val="16"/>
                <w:lang w:val="en-GB"/>
              </w:rPr>
            </w:pPr>
          </w:p>
        </w:tc>
        <w:tc>
          <w:tcPr>
            <w:tcW w:w="1117" w:type="dxa"/>
          </w:tcPr>
          <w:p w14:paraId="02BBB9D2" w14:textId="2CA53E57" w:rsidR="00397DEB" w:rsidRPr="00D86314" w:rsidRDefault="00397DEB" w:rsidP="00397DEB">
            <w:pPr>
              <w:keepNext/>
              <w:spacing w:before="40" w:after="40"/>
              <w:rPr>
                <w:noProof/>
                <w:sz w:val="16"/>
                <w:szCs w:val="16"/>
                <w:lang w:val="en-GB"/>
              </w:rPr>
            </w:pPr>
            <w:r w:rsidRPr="00C20A01">
              <w:rPr>
                <w:noProof/>
                <w:sz w:val="16"/>
                <w:szCs w:val="16"/>
                <w:lang w:val="en-GB"/>
              </w:rPr>
              <w:t>CSO plan + contribution to FTTH plan where relevant Est 70 FTE (~</w:t>
            </w:r>
            <w:r w:rsidR="00982399" w:rsidRPr="00C20A01">
              <w:rPr>
                <w:noProof/>
                <w:sz w:val="16"/>
                <w:szCs w:val="16"/>
                <w:lang w:val="en-GB"/>
              </w:rPr>
              <w:t>EUR</w:t>
            </w:r>
            <w:r w:rsidR="00AA1454" w:rsidRPr="00C20A01">
              <w:rPr>
                <w:noProof/>
                <w:sz w:val="16"/>
                <w:szCs w:val="16"/>
                <w:lang w:val="en-GB"/>
              </w:rPr>
              <w:t> </w:t>
            </w:r>
            <w:r w:rsidRPr="00C20A01">
              <w:rPr>
                <w:noProof/>
                <w:sz w:val="16"/>
                <w:szCs w:val="16"/>
                <w:lang w:val="en-GB"/>
              </w:rPr>
              <w:t>6,5</w:t>
            </w:r>
            <w:r w:rsidR="00982399" w:rsidRPr="00C20A01">
              <w:rPr>
                <w:noProof/>
                <w:sz w:val="16"/>
                <w:szCs w:val="16"/>
                <w:lang w:val="en-GB"/>
              </w:rPr>
              <w:t xml:space="preserve"> </w:t>
            </w:r>
            <w:r w:rsidRPr="00C20A01">
              <w:rPr>
                <w:noProof/>
                <w:sz w:val="16"/>
                <w:szCs w:val="16"/>
                <w:lang w:val="en-GB"/>
              </w:rPr>
              <w:t>m). CSO related market review 27 FTE ~</w:t>
            </w:r>
            <w:r w:rsidR="00AB186C" w:rsidRPr="00C20A01">
              <w:rPr>
                <w:noProof/>
                <w:sz w:val="16"/>
                <w:szCs w:val="16"/>
                <w:lang w:val="en-GB"/>
              </w:rPr>
              <w:t>EUR </w:t>
            </w:r>
            <w:r w:rsidRPr="00C20A01">
              <w:rPr>
                <w:noProof/>
                <w:sz w:val="16"/>
                <w:szCs w:val="16"/>
                <w:lang w:val="en-GB"/>
              </w:rPr>
              <w:t>2.6</w:t>
            </w:r>
            <w:r w:rsidR="00AB186C" w:rsidRPr="00C20A01">
              <w:rPr>
                <w:noProof/>
                <w:sz w:val="16"/>
                <w:szCs w:val="16"/>
                <w:lang w:val="en-GB"/>
              </w:rPr>
              <w:t xml:space="preserve"> </w:t>
            </w:r>
            <w:r w:rsidRPr="00C20A01">
              <w:rPr>
                <w:noProof/>
                <w:sz w:val="16"/>
                <w:szCs w:val="16"/>
                <w:lang w:val="en-GB"/>
              </w:rPr>
              <w:t>m</w:t>
            </w:r>
          </w:p>
          <w:p w14:paraId="76D45632" w14:textId="77777777" w:rsidR="00397DEB" w:rsidRPr="00D86314" w:rsidRDefault="00397DEB" w:rsidP="00397DEB">
            <w:pPr>
              <w:keepNext/>
              <w:spacing w:before="40" w:after="40"/>
              <w:rPr>
                <w:noProof/>
                <w:sz w:val="16"/>
                <w:szCs w:val="16"/>
                <w:lang w:val="en-GB"/>
              </w:rPr>
            </w:pPr>
            <w:r w:rsidRPr="00C20A01">
              <w:rPr>
                <w:noProof/>
                <w:sz w:val="16"/>
                <w:szCs w:val="16"/>
                <w:lang w:val="en-GB"/>
              </w:rPr>
              <w:t>Migration costs (but would also be incurred in status quo)</w:t>
            </w:r>
          </w:p>
        </w:tc>
        <w:tc>
          <w:tcPr>
            <w:tcW w:w="1141" w:type="dxa"/>
          </w:tcPr>
          <w:p w14:paraId="4AFBC31D" w14:textId="77777777" w:rsidR="00397DEB" w:rsidRPr="00D86314" w:rsidRDefault="00397DEB" w:rsidP="00397DEB">
            <w:pPr>
              <w:keepNext/>
              <w:spacing w:before="40" w:after="40"/>
              <w:rPr>
                <w:noProof/>
                <w:sz w:val="16"/>
                <w:szCs w:val="16"/>
                <w:lang w:val="en-GB"/>
              </w:rPr>
            </w:pPr>
          </w:p>
        </w:tc>
      </w:tr>
      <w:tr w:rsidR="00397DEB" w:rsidRPr="00D86314" w14:paraId="6A1FBD8F" w14:textId="77777777" w:rsidTr="00182A0D">
        <w:trPr>
          <w:trHeight w:val="134"/>
        </w:trPr>
        <w:tc>
          <w:tcPr>
            <w:tcW w:w="1440" w:type="dxa"/>
            <w:vMerge/>
          </w:tcPr>
          <w:p w14:paraId="37E28B23" w14:textId="77777777" w:rsidR="00397DEB" w:rsidRPr="00D86314" w:rsidRDefault="00397DEB" w:rsidP="00397DEB">
            <w:pPr>
              <w:keepNext/>
              <w:spacing w:before="40" w:after="40"/>
              <w:rPr>
                <w:b/>
                <w:noProof/>
                <w:sz w:val="16"/>
                <w:szCs w:val="16"/>
                <w:lang w:val="en-GB"/>
              </w:rPr>
            </w:pPr>
          </w:p>
        </w:tc>
        <w:tc>
          <w:tcPr>
            <w:tcW w:w="932" w:type="dxa"/>
          </w:tcPr>
          <w:p w14:paraId="0900881F" w14:textId="77777777" w:rsidR="00397DEB" w:rsidRPr="00D86314" w:rsidRDefault="00397DEB" w:rsidP="00397DEB">
            <w:pPr>
              <w:keepNext/>
              <w:spacing w:before="40" w:after="40"/>
              <w:rPr>
                <w:noProof/>
                <w:sz w:val="16"/>
                <w:szCs w:val="16"/>
                <w:lang w:val="en-GB"/>
              </w:rPr>
            </w:pPr>
            <w:r w:rsidRPr="00D86314">
              <w:rPr>
                <w:noProof/>
                <w:sz w:val="16"/>
                <w:szCs w:val="16"/>
                <w:lang w:val="en-GB"/>
              </w:rPr>
              <w:t>Indirect / unintended costs</w:t>
            </w:r>
          </w:p>
        </w:tc>
        <w:tc>
          <w:tcPr>
            <w:tcW w:w="2557" w:type="dxa"/>
            <w:gridSpan w:val="2"/>
          </w:tcPr>
          <w:p w14:paraId="7472CEE5" w14:textId="77777777" w:rsidR="00397DEB" w:rsidRPr="00D86314" w:rsidRDefault="00397DEB" w:rsidP="00397DEB">
            <w:pPr>
              <w:keepNext/>
              <w:spacing w:before="40" w:after="40"/>
              <w:rPr>
                <w:noProof/>
                <w:sz w:val="16"/>
                <w:szCs w:val="16"/>
                <w:lang w:val="en-GB"/>
              </w:rPr>
            </w:pPr>
            <w:r w:rsidRPr="00C20A01">
              <w:rPr>
                <w:noProof/>
                <w:sz w:val="16"/>
                <w:szCs w:val="16"/>
                <w:lang w:val="en-GB"/>
              </w:rPr>
              <w:t xml:space="preserve">For incumbents with high reliance on copper / limited FTTH, potential reductions in revenues and ROCE, but depends on replacement scenario incl. wholesale access conditions. </w:t>
            </w:r>
            <w:r w:rsidRPr="00A36024">
              <w:rPr>
                <w:noProof/>
                <w:sz w:val="16"/>
                <w:szCs w:val="16"/>
              </w:rPr>
              <w:t>Otherwise, limited negative effects</w:t>
            </w:r>
          </w:p>
        </w:tc>
        <w:tc>
          <w:tcPr>
            <w:tcW w:w="2208" w:type="dxa"/>
            <w:gridSpan w:val="3"/>
          </w:tcPr>
          <w:p w14:paraId="73782BE3" w14:textId="77777777" w:rsidR="00397DEB" w:rsidRPr="00D86314" w:rsidRDefault="00397DEB" w:rsidP="00397DEB">
            <w:pPr>
              <w:keepNext/>
              <w:spacing w:before="40" w:after="40"/>
              <w:rPr>
                <w:noProof/>
                <w:sz w:val="16"/>
                <w:szCs w:val="16"/>
                <w:lang w:val="en-GB"/>
              </w:rPr>
            </w:pPr>
          </w:p>
        </w:tc>
        <w:tc>
          <w:tcPr>
            <w:tcW w:w="2258" w:type="dxa"/>
            <w:gridSpan w:val="2"/>
          </w:tcPr>
          <w:p w14:paraId="643897AD" w14:textId="77777777" w:rsidR="00397DEB" w:rsidRPr="00D86314" w:rsidRDefault="00397DEB" w:rsidP="00397DEB">
            <w:pPr>
              <w:keepNext/>
              <w:spacing w:before="40" w:after="40"/>
              <w:rPr>
                <w:noProof/>
                <w:sz w:val="16"/>
                <w:szCs w:val="16"/>
                <w:lang w:val="en-GB"/>
              </w:rPr>
            </w:pPr>
            <w:r w:rsidRPr="00C20A01">
              <w:rPr>
                <w:noProof/>
                <w:sz w:val="16"/>
                <w:szCs w:val="16"/>
                <w:lang w:val="en-GB"/>
              </w:rPr>
              <w:t>For altnets with high reliance on copper / limited FTTH, reductions in revenues and ROCE, but depends on replacement scenario incl. wholesale access conditions.</w:t>
            </w:r>
          </w:p>
        </w:tc>
      </w:tr>
      <w:tr w:rsidR="00397DEB" w:rsidRPr="00D86314" w14:paraId="5A7B7221" w14:textId="77777777" w:rsidTr="00182A0D">
        <w:trPr>
          <w:trHeight w:val="134"/>
        </w:trPr>
        <w:tc>
          <w:tcPr>
            <w:tcW w:w="1440" w:type="dxa"/>
            <w:vMerge/>
          </w:tcPr>
          <w:p w14:paraId="5EB7FE80" w14:textId="77777777" w:rsidR="00397DEB" w:rsidRPr="00D86314" w:rsidRDefault="00397DEB" w:rsidP="00397DEB">
            <w:pPr>
              <w:keepNext/>
              <w:spacing w:before="40" w:after="40"/>
              <w:rPr>
                <w:b/>
                <w:noProof/>
                <w:sz w:val="16"/>
                <w:szCs w:val="16"/>
                <w:lang w:val="en-GB"/>
              </w:rPr>
            </w:pPr>
          </w:p>
        </w:tc>
        <w:tc>
          <w:tcPr>
            <w:tcW w:w="932" w:type="dxa"/>
          </w:tcPr>
          <w:p w14:paraId="53AB4F63" w14:textId="77777777" w:rsidR="00397DEB" w:rsidRPr="00D86314" w:rsidRDefault="00397DEB" w:rsidP="00397DEB">
            <w:pPr>
              <w:keepNext/>
              <w:spacing w:before="40" w:after="40"/>
              <w:rPr>
                <w:noProof/>
                <w:sz w:val="16"/>
                <w:szCs w:val="16"/>
                <w:lang w:val="en-GB"/>
              </w:rPr>
            </w:pPr>
            <w:r w:rsidRPr="00D86314">
              <w:rPr>
                <w:noProof/>
                <w:sz w:val="16"/>
                <w:szCs w:val="16"/>
                <w:lang w:val="en-GB"/>
              </w:rPr>
              <w:t>Direct benefits</w:t>
            </w:r>
          </w:p>
        </w:tc>
        <w:tc>
          <w:tcPr>
            <w:tcW w:w="2557" w:type="dxa"/>
            <w:gridSpan w:val="2"/>
          </w:tcPr>
          <w:p w14:paraId="6E116F77" w14:textId="77777777" w:rsidR="00397DEB" w:rsidRPr="00D86314" w:rsidRDefault="00397DEB" w:rsidP="00397DEB">
            <w:pPr>
              <w:keepNext/>
              <w:spacing w:before="40" w:after="40"/>
              <w:rPr>
                <w:noProof/>
                <w:sz w:val="16"/>
                <w:szCs w:val="16"/>
                <w:lang w:val="en-GB"/>
              </w:rPr>
            </w:pPr>
            <w:r w:rsidRPr="00C20A01">
              <w:rPr>
                <w:noProof/>
                <w:sz w:val="16"/>
                <w:szCs w:val="16"/>
                <w:lang w:val="en-GB"/>
              </w:rPr>
              <w:t>Potential for accelerated sale of copper yielding significant revenues / cashflows</w:t>
            </w:r>
          </w:p>
          <w:p w14:paraId="2DEE14A7" w14:textId="77777777" w:rsidR="00397DEB" w:rsidRPr="00D86314" w:rsidRDefault="00397DEB" w:rsidP="00397DEB">
            <w:pPr>
              <w:keepNext/>
              <w:spacing w:before="40" w:after="40"/>
              <w:rPr>
                <w:noProof/>
                <w:sz w:val="16"/>
                <w:szCs w:val="16"/>
                <w:lang w:val="en-GB"/>
              </w:rPr>
            </w:pPr>
          </w:p>
        </w:tc>
        <w:tc>
          <w:tcPr>
            <w:tcW w:w="2208" w:type="dxa"/>
            <w:gridSpan w:val="3"/>
          </w:tcPr>
          <w:p w14:paraId="219B1E37" w14:textId="77777777" w:rsidR="00397DEB" w:rsidRPr="00D86314" w:rsidRDefault="00397DEB" w:rsidP="00397DEB">
            <w:pPr>
              <w:keepNext/>
              <w:spacing w:before="40" w:after="40"/>
              <w:rPr>
                <w:noProof/>
                <w:sz w:val="16"/>
                <w:szCs w:val="16"/>
                <w:lang w:val="en-GB"/>
              </w:rPr>
            </w:pPr>
            <w:r w:rsidRPr="00C20A01">
              <w:rPr>
                <w:noProof/>
                <w:sz w:val="16"/>
                <w:szCs w:val="16"/>
                <w:lang w:val="en-GB"/>
              </w:rPr>
              <w:t>Increased penetration on FTTH networks</w:t>
            </w:r>
          </w:p>
        </w:tc>
        <w:tc>
          <w:tcPr>
            <w:tcW w:w="2258" w:type="dxa"/>
            <w:gridSpan w:val="2"/>
          </w:tcPr>
          <w:p w14:paraId="56E2EBC3" w14:textId="77777777" w:rsidR="00397DEB" w:rsidRPr="00D86314" w:rsidRDefault="00397DEB" w:rsidP="00397DEB">
            <w:pPr>
              <w:keepNext/>
              <w:spacing w:before="40" w:after="40"/>
              <w:rPr>
                <w:noProof/>
                <w:sz w:val="16"/>
                <w:szCs w:val="16"/>
                <w:lang w:val="en-GB"/>
              </w:rPr>
            </w:pPr>
          </w:p>
        </w:tc>
      </w:tr>
      <w:tr w:rsidR="00397DEB" w:rsidRPr="00D86314" w14:paraId="43C9AA1C" w14:textId="77777777" w:rsidTr="00182A0D">
        <w:trPr>
          <w:trHeight w:val="134"/>
        </w:trPr>
        <w:tc>
          <w:tcPr>
            <w:tcW w:w="1440" w:type="dxa"/>
            <w:vMerge/>
          </w:tcPr>
          <w:p w14:paraId="4CD6311B" w14:textId="77777777" w:rsidR="00397DEB" w:rsidRPr="00D86314" w:rsidRDefault="00397DEB" w:rsidP="00397DEB">
            <w:pPr>
              <w:keepNext/>
              <w:spacing w:before="40" w:after="40"/>
              <w:rPr>
                <w:b/>
                <w:noProof/>
                <w:sz w:val="16"/>
                <w:szCs w:val="16"/>
                <w:lang w:val="en-GB"/>
              </w:rPr>
            </w:pPr>
          </w:p>
        </w:tc>
        <w:tc>
          <w:tcPr>
            <w:tcW w:w="932" w:type="dxa"/>
          </w:tcPr>
          <w:p w14:paraId="5026BFD6" w14:textId="77777777" w:rsidR="00397DEB" w:rsidRPr="00D86314" w:rsidRDefault="00397DEB" w:rsidP="00397DEB">
            <w:pPr>
              <w:keepNext/>
              <w:spacing w:before="40" w:after="40"/>
              <w:rPr>
                <w:noProof/>
                <w:sz w:val="16"/>
                <w:szCs w:val="16"/>
                <w:lang w:val="en-GB"/>
              </w:rPr>
            </w:pPr>
            <w:r w:rsidRPr="00D86314">
              <w:rPr>
                <w:noProof/>
                <w:sz w:val="16"/>
                <w:szCs w:val="16"/>
                <w:lang w:val="en-GB"/>
              </w:rPr>
              <w:t>Indirect benefits</w:t>
            </w:r>
          </w:p>
        </w:tc>
        <w:tc>
          <w:tcPr>
            <w:tcW w:w="2557" w:type="dxa"/>
            <w:gridSpan w:val="2"/>
          </w:tcPr>
          <w:p w14:paraId="799A4536" w14:textId="77777777" w:rsidR="00397DEB" w:rsidRPr="00D86314" w:rsidRDefault="00397DEB" w:rsidP="00397DEB">
            <w:pPr>
              <w:keepNext/>
              <w:spacing w:before="40" w:after="40"/>
              <w:rPr>
                <w:noProof/>
                <w:sz w:val="16"/>
                <w:szCs w:val="16"/>
                <w:lang w:val="en-GB"/>
              </w:rPr>
            </w:pPr>
            <w:r w:rsidRPr="00C20A01">
              <w:rPr>
                <w:noProof/>
                <w:sz w:val="16"/>
                <w:szCs w:val="16"/>
                <w:lang w:val="en-GB"/>
              </w:rPr>
              <w:t>For incumbents which have deployed widespread FTTH, reduced barriers to switching, reducing Opex related to operating parallel networks</w:t>
            </w:r>
          </w:p>
          <w:p w14:paraId="2E5E2BF8" w14:textId="77777777" w:rsidR="00397DEB" w:rsidRPr="00D86314" w:rsidRDefault="00397DEB" w:rsidP="00397DEB">
            <w:pPr>
              <w:keepNext/>
              <w:spacing w:before="40" w:after="40"/>
              <w:rPr>
                <w:noProof/>
                <w:sz w:val="16"/>
                <w:szCs w:val="16"/>
                <w:lang w:val="en-GB"/>
              </w:rPr>
            </w:pPr>
            <w:r w:rsidRPr="00C20A01">
              <w:rPr>
                <w:noProof/>
                <w:sz w:val="16"/>
                <w:szCs w:val="16"/>
                <w:lang w:val="en-GB"/>
              </w:rPr>
              <w:t>For all incumbents – Reduced energy consumption and associated costs for operating fibre, reduced capital expenses associated with repairs over time</w:t>
            </w:r>
          </w:p>
        </w:tc>
        <w:tc>
          <w:tcPr>
            <w:tcW w:w="2208" w:type="dxa"/>
            <w:gridSpan w:val="3"/>
          </w:tcPr>
          <w:p w14:paraId="6DC98C9A" w14:textId="77777777" w:rsidR="00397DEB" w:rsidRPr="00D86314" w:rsidRDefault="00397DEB" w:rsidP="00397DEB">
            <w:pPr>
              <w:keepNext/>
              <w:spacing w:before="40" w:after="40"/>
              <w:rPr>
                <w:noProof/>
                <w:sz w:val="16"/>
                <w:szCs w:val="16"/>
                <w:lang w:val="en-GB"/>
              </w:rPr>
            </w:pPr>
            <w:r w:rsidRPr="00A36024">
              <w:rPr>
                <w:noProof/>
                <w:sz w:val="16"/>
                <w:szCs w:val="16"/>
              </w:rPr>
              <w:t>Increased revenues and ROCE</w:t>
            </w:r>
          </w:p>
        </w:tc>
        <w:tc>
          <w:tcPr>
            <w:tcW w:w="2258" w:type="dxa"/>
            <w:gridSpan w:val="2"/>
          </w:tcPr>
          <w:p w14:paraId="6823E308" w14:textId="77777777" w:rsidR="00397DEB" w:rsidRPr="00D86314" w:rsidRDefault="00397DEB" w:rsidP="00397DEB">
            <w:pPr>
              <w:keepNext/>
              <w:spacing w:before="40" w:after="40"/>
              <w:rPr>
                <w:noProof/>
                <w:sz w:val="16"/>
                <w:szCs w:val="16"/>
                <w:lang w:val="en-GB"/>
              </w:rPr>
            </w:pPr>
            <w:r w:rsidRPr="00C20A01">
              <w:rPr>
                <w:noProof/>
                <w:sz w:val="16"/>
                <w:szCs w:val="16"/>
                <w:lang w:val="en-GB"/>
              </w:rPr>
              <w:t>Reduced energy consumption / opex if able to access passive inputs or if benefits are passed on in wholesale offers</w:t>
            </w:r>
          </w:p>
        </w:tc>
      </w:tr>
      <w:tr w:rsidR="004A55C6" w:rsidRPr="00D86314" w14:paraId="13116E3E" w14:textId="77777777" w:rsidTr="00182A0D">
        <w:trPr>
          <w:trHeight w:val="420"/>
        </w:trPr>
        <w:tc>
          <w:tcPr>
            <w:tcW w:w="1440" w:type="dxa"/>
            <w:vMerge w:val="restart"/>
          </w:tcPr>
          <w:p w14:paraId="2A8FC5D8" w14:textId="77777777" w:rsidR="00397DEB" w:rsidRPr="00D86314" w:rsidRDefault="00397DEB" w:rsidP="00397DEB">
            <w:pPr>
              <w:keepNext/>
              <w:spacing w:before="40" w:after="40"/>
              <w:rPr>
                <w:b/>
                <w:noProof/>
                <w:sz w:val="16"/>
                <w:szCs w:val="16"/>
                <w:lang w:val="en-GB"/>
              </w:rPr>
            </w:pPr>
            <w:r w:rsidRPr="00A36024">
              <w:rPr>
                <w:b/>
                <w:bCs/>
                <w:noProof/>
                <w:sz w:val="16"/>
                <w:szCs w:val="16"/>
              </w:rPr>
              <w:t>Access regulation: Data gathering</w:t>
            </w:r>
          </w:p>
        </w:tc>
        <w:tc>
          <w:tcPr>
            <w:tcW w:w="932" w:type="dxa"/>
          </w:tcPr>
          <w:p w14:paraId="68A5C8DB" w14:textId="77777777" w:rsidR="00397DEB" w:rsidRPr="00D86314" w:rsidRDefault="00397DEB" w:rsidP="00397DEB">
            <w:pPr>
              <w:keepNext/>
              <w:spacing w:before="40" w:after="40"/>
              <w:rPr>
                <w:noProof/>
                <w:sz w:val="16"/>
                <w:szCs w:val="16"/>
                <w:lang w:val="en-GB"/>
              </w:rPr>
            </w:pPr>
            <w:r w:rsidRPr="00D86314">
              <w:rPr>
                <w:noProof/>
                <w:sz w:val="16"/>
                <w:szCs w:val="16"/>
                <w:lang w:val="en-GB"/>
              </w:rPr>
              <w:t>Direct costs</w:t>
            </w:r>
          </w:p>
        </w:tc>
        <w:tc>
          <w:tcPr>
            <w:tcW w:w="1420" w:type="dxa"/>
          </w:tcPr>
          <w:p w14:paraId="3B176E26" w14:textId="7C9F2490" w:rsidR="00397DEB" w:rsidRPr="00D86314" w:rsidRDefault="00397DEB" w:rsidP="00397DEB">
            <w:pPr>
              <w:keepNext/>
              <w:spacing w:before="40" w:after="40"/>
              <w:rPr>
                <w:noProof/>
                <w:sz w:val="16"/>
                <w:szCs w:val="16"/>
                <w:lang w:val="en-GB"/>
              </w:rPr>
            </w:pPr>
            <w:r w:rsidRPr="00C20A01">
              <w:rPr>
                <w:noProof/>
                <w:sz w:val="16"/>
                <w:szCs w:val="16"/>
                <w:lang w:val="en-GB"/>
              </w:rPr>
              <w:t>Set-up of data gathering templates and processes est 15 FTE ~</w:t>
            </w:r>
            <w:r w:rsidR="00AB186C" w:rsidRPr="00C20A01">
              <w:rPr>
                <w:noProof/>
                <w:sz w:val="16"/>
                <w:szCs w:val="16"/>
                <w:lang w:val="en-GB"/>
              </w:rPr>
              <w:t>EUR </w:t>
            </w:r>
            <w:r w:rsidRPr="00C20A01">
              <w:rPr>
                <w:noProof/>
                <w:sz w:val="16"/>
                <w:szCs w:val="16"/>
                <w:lang w:val="en-GB"/>
              </w:rPr>
              <w:t>1.5</w:t>
            </w:r>
            <w:r w:rsidR="00AB186C" w:rsidRPr="00C20A01">
              <w:rPr>
                <w:noProof/>
                <w:sz w:val="16"/>
                <w:szCs w:val="16"/>
                <w:lang w:val="en-GB"/>
              </w:rPr>
              <w:t xml:space="preserve"> </w:t>
            </w:r>
            <w:r w:rsidRPr="00C20A01">
              <w:rPr>
                <w:noProof/>
                <w:sz w:val="16"/>
                <w:szCs w:val="16"/>
                <w:lang w:val="en-GB"/>
              </w:rPr>
              <w:t>m</w:t>
            </w:r>
          </w:p>
        </w:tc>
        <w:tc>
          <w:tcPr>
            <w:tcW w:w="1137" w:type="dxa"/>
          </w:tcPr>
          <w:p w14:paraId="0CE97390" w14:textId="7CB0929F" w:rsidR="00397DEB" w:rsidRPr="00D86314" w:rsidRDefault="00397DEB" w:rsidP="00397DEB">
            <w:pPr>
              <w:keepNext/>
              <w:spacing w:before="40" w:after="40"/>
              <w:rPr>
                <w:noProof/>
                <w:sz w:val="16"/>
                <w:szCs w:val="16"/>
                <w:lang w:val="en-GB"/>
              </w:rPr>
            </w:pPr>
            <w:r w:rsidRPr="00C20A01">
              <w:rPr>
                <w:noProof/>
                <w:sz w:val="16"/>
                <w:szCs w:val="16"/>
                <w:lang w:val="en-GB"/>
              </w:rPr>
              <w:t>Increased data provision costs est 132 FTE extra (~</w:t>
            </w:r>
            <w:r w:rsidR="00AB186C" w:rsidRPr="00C20A01">
              <w:rPr>
                <w:noProof/>
                <w:sz w:val="16"/>
                <w:szCs w:val="16"/>
                <w:lang w:val="en-GB"/>
              </w:rPr>
              <w:t>EUR </w:t>
            </w:r>
            <w:r w:rsidRPr="00C20A01">
              <w:rPr>
                <w:noProof/>
                <w:sz w:val="16"/>
                <w:szCs w:val="16"/>
                <w:lang w:val="en-GB"/>
              </w:rPr>
              <w:t>12.6</w:t>
            </w:r>
            <w:r w:rsidR="00AB186C" w:rsidRPr="00C20A01">
              <w:rPr>
                <w:noProof/>
                <w:sz w:val="16"/>
                <w:szCs w:val="16"/>
                <w:lang w:val="en-GB"/>
              </w:rPr>
              <w:t xml:space="preserve"> </w:t>
            </w:r>
            <w:r w:rsidRPr="00C20A01">
              <w:rPr>
                <w:noProof/>
                <w:sz w:val="16"/>
                <w:szCs w:val="16"/>
                <w:lang w:val="en-GB"/>
              </w:rPr>
              <w:t>m)</w:t>
            </w:r>
          </w:p>
        </w:tc>
        <w:tc>
          <w:tcPr>
            <w:tcW w:w="1154" w:type="dxa"/>
          </w:tcPr>
          <w:p w14:paraId="730300EC" w14:textId="778C4001" w:rsidR="00397DEB" w:rsidRPr="00D86314" w:rsidRDefault="00397DEB" w:rsidP="00397DEB">
            <w:pPr>
              <w:keepNext/>
              <w:spacing w:before="40" w:after="40"/>
              <w:rPr>
                <w:noProof/>
                <w:sz w:val="16"/>
                <w:szCs w:val="16"/>
                <w:lang w:val="en-GB"/>
              </w:rPr>
            </w:pPr>
            <w:r w:rsidRPr="00C20A01">
              <w:rPr>
                <w:noProof/>
                <w:sz w:val="16"/>
                <w:szCs w:val="16"/>
                <w:lang w:val="en-GB"/>
              </w:rPr>
              <w:t>Set-up of data gathering templates and processes est 8 FTE ~</w:t>
            </w:r>
            <w:r w:rsidR="00FF5F69" w:rsidRPr="00C20A01">
              <w:rPr>
                <w:noProof/>
                <w:sz w:val="16"/>
                <w:szCs w:val="16"/>
                <w:lang w:val="en-GB"/>
              </w:rPr>
              <w:t>EUR </w:t>
            </w:r>
            <w:r w:rsidRPr="00C20A01">
              <w:rPr>
                <w:noProof/>
                <w:sz w:val="16"/>
                <w:szCs w:val="16"/>
                <w:lang w:val="en-GB"/>
              </w:rPr>
              <w:t>0.7</w:t>
            </w:r>
            <w:r w:rsidR="00FF5F69" w:rsidRPr="00C20A01">
              <w:rPr>
                <w:noProof/>
                <w:sz w:val="16"/>
                <w:szCs w:val="16"/>
                <w:lang w:val="en-GB"/>
              </w:rPr>
              <w:t xml:space="preserve"> </w:t>
            </w:r>
            <w:r w:rsidRPr="00C20A01">
              <w:rPr>
                <w:noProof/>
                <w:sz w:val="16"/>
                <w:szCs w:val="16"/>
                <w:lang w:val="en-GB"/>
              </w:rPr>
              <w:t>m</w:t>
            </w:r>
          </w:p>
        </w:tc>
        <w:tc>
          <w:tcPr>
            <w:tcW w:w="1054" w:type="dxa"/>
            <w:gridSpan w:val="2"/>
          </w:tcPr>
          <w:p w14:paraId="554764FB" w14:textId="35F37315" w:rsidR="00397DEB" w:rsidRPr="00D86314" w:rsidRDefault="00397DEB" w:rsidP="00397DEB">
            <w:pPr>
              <w:keepNext/>
              <w:spacing w:before="40" w:after="40"/>
              <w:rPr>
                <w:noProof/>
                <w:sz w:val="16"/>
                <w:szCs w:val="16"/>
                <w:lang w:val="en-GB"/>
              </w:rPr>
            </w:pPr>
            <w:r w:rsidRPr="00C20A01">
              <w:rPr>
                <w:noProof/>
                <w:sz w:val="16"/>
                <w:szCs w:val="16"/>
                <w:lang w:val="en-GB"/>
              </w:rPr>
              <w:t>Increased data provision costs Est 66 FTE extra (~</w:t>
            </w:r>
            <w:r w:rsidR="00FF5F69" w:rsidRPr="00C20A01">
              <w:rPr>
                <w:noProof/>
                <w:sz w:val="16"/>
                <w:szCs w:val="16"/>
                <w:lang w:val="en-GB"/>
              </w:rPr>
              <w:t>EUR </w:t>
            </w:r>
            <w:r w:rsidRPr="00C20A01">
              <w:rPr>
                <w:noProof/>
                <w:sz w:val="16"/>
                <w:szCs w:val="16"/>
                <w:lang w:val="en-GB"/>
              </w:rPr>
              <w:t>6.3</w:t>
            </w:r>
            <w:r w:rsidR="00FF5F69" w:rsidRPr="00C20A01">
              <w:rPr>
                <w:noProof/>
                <w:sz w:val="16"/>
                <w:szCs w:val="16"/>
                <w:lang w:val="en-GB"/>
              </w:rPr>
              <w:t xml:space="preserve"> </w:t>
            </w:r>
            <w:r w:rsidRPr="00C20A01">
              <w:rPr>
                <w:noProof/>
                <w:sz w:val="16"/>
                <w:szCs w:val="16"/>
                <w:lang w:val="en-GB"/>
              </w:rPr>
              <w:t>m)</w:t>
            </w:r>
          </w:p>
        </w:tc>
        <w:tc>
          <w:tcPr>
            <w:tcW w:w="1117" w:type="dxa"/>
          </w:tcPr>
          <w:p w14:paraId="2EF9C5C7" w14:textId="1C511156" w:rsidR="00397DEB" w:rsidRPr="00D86314" w:rsidRDefault="00397DEB" w:rsidP="00397DEB">
            <w:pPr>
              <w:keepNext/>
              <w:spacing w:before="40" w:after="40"/>
              <w:rPr>
                <w:noProof/>
                <w:sz w:val="16"/>
                <w:szCs w:val="16"/>
                <w:lang w:val="en-GB"/>
              </w:rPr>
            </w:pPr>
            <w:r w:rsidRPr="00C20A01">
              <w:rPr>
                <w:noProof/>
                <w:sz w:val="16"/>
                <w:szCs w:val="16"/>
                <w:lang w:val="en-GB"/>
              </w:rPr>
              <w:t>Set-up of data gathering templates and processes est 8 FTE ~</w:t>
            </w:r>
            <w:r w:rsidR="00FF5F69" w:rsidRPr="00C20A01">
              <w:rPr>
                <w:noProof/>
                <w:sz w:val="16"/>
                <w:szCs w:val="16"/>
                <w:lang w:val="en-GB"/>
              </w:rPr>
              <w:t>EUR</w:t>
            </w:r>
            <w:r w:rsidR="001662F3" w:rsidRPr="00C20A01">
              <w:rPr>
                <w:noProof/>
                <w:sz w:val="16"/>
                <w:szCs w:val="16"/>
                <w:lang w:val="en-GB"/>
              </w:rPr>
              <w:t> </w:t>
            </w:r>
            <w:r w:rsidRPr="00C20A01">
              <w:rPr>
                <w:noProof/>
                <w:sz w:val="16"/>
                <w:szCs w:val="16"/>
                <w:lang w:val="en-GB"/>
              </w:rPr>
              <w:t>0,7 m</w:t>
            </w:r>
          </w:p>
        </w:tc>
        <w:tc>
          <w:tcPr>
            <w:tcW w:w="1141" w:type="dxa"/>
          </w:tcPr>
          <w:p w14:paraId="3F253FE8" w14:textId="3D462FC7" w:rsidR="00397DEB" w:rsidRPr="00D86314" w:rsidRDefault="00397DEB" w:rsidP="00397DEB">
            <w:pPr>
              <w:keepNext/>
              <w:spacing w:before="40" w:after="40"/>
              <w:rPr>
                <w:noProof/>
                <w:sz w:val="16"/>
                <w:szCs w:val="16"/>
                <w:lang w:val="en-GB"/>
              </w:rPr>
            </w:pPr>
            <w:r w:rsidRPr="00C20A01">
              <w:rPr>
                <w:noProof/>
                <w:sz w:val="16"/>
                <w:szCs w:val="16"/>
                <w:lang w:val="en-GB"/>
              </w:rPr>
              <w:t>Increased data provision costs est 66 FTE extra (~</w:t>
            </w:r>
            <w:r w:rsidR="00FF5F69" w:rsidRPr="00C20A01">
              <w:rPr>
                <w:noProof/>
                <w:sz w:val="16"/>
                <w:szCs w:val="16"/>
                <w:lang w:val="en-GB"/>
              </w:rPr>
              <w:t>EUR </w:t>
            </w:r>
            <w:r w:rsidRPr="00C20A01">
              <w:rPr>
                <w:noProof/>
                <w:sz w:val="16"/>
                <w:szCs w:val="16"/>
                <w:lang w:val="en-GB"/>
              </w:rPr>
              <w:t>6,3</w:t>
            </w:r>
            <w:r w:rsidR="00FF5F69" w:rsidRPr="00C20A01">
              <w:rPr>
                <w:noProof/>
                <w:sz w:val="16"/>
                <w:szCs w:val="16"/>
                <w:lang w:val="en-GB"/>
              </w:rPr>
              <w:t xml:space="preserve"> </w:t>
            </w:r>
            <w:r w:rsidRPr="00C20A01">
              <w:rPr>
                <w:noProof/>
                <w:sz w:val="16"/>
                <w:szCs w:val="16"/>
                <w:lang w:val="en-GB"/>
              </w:rPr>
              <w:t>m)</w:t>
            </w:r>
          </w:p>
        </w:tc>
      </w:tr>
      <w:tr w:rsidR="00397DEB" w:rsidRPr="00D86314" w14:paraId="621FAD59" w14:textId="77777777" w:rsidTr="00182A0D">
        <w:trPr>
          <w:trHeight w:val="134"/>
        </w:trPr>
        <w:tc>
          <w:tcPr>
            <w:tcW w:w="1440" w:type="dxa"/>
            <w:vMerge/>
          </w:tcPr>
          <w:p w14:paraId="1EBEF487" w14:textId="77777777" w:rsidR="00397DEB" w:rsidRPr="00D86314" w:rsidRDefault="00397DEB" w:rsidP="00397DEB">
            <w:pPr>
              <w:keepNext/>
              <w:spacing w:before="40" w:after="40"/>
              <w:rPr>
                <w:b/>
                <w:noProof/>
                <w:sz w:val="16"/>
                <w:szCs w:val="16"/>
                <w:lang w:val="en-GB"/>
              </w:rPr>
            </w:pPr>
          </w:p>
        </w:tc>
        <w:tc>
          <w:tcPr>
            <w:tcW w:w="932" w:type="dxa"/>
          </w:tcPr>
          <w:p w14:paraId="1EB794C5" w14:textId="77777777" w:rsidR="00397DEB" w:rsidRPr="00D86314" w:rsidRDefault="00397DEB" w:rsidP="00397DEB">
            <w:pPr>
              <w:keepNext/>
              <w:spacing w:before="40" w:after="40"/>
              <w:rPr>
                <w:noProof/>
                <w:sz w:val="16"/>
                <w:szCs w:val="16"/>
                <w:lang w:val="en-GB"/>
              </w:rPr>
            </w:pPr>
            <w:r w:rsidRPr="00D86314">
              <w:rPr>
                <w:noProof/>
                <w:sz w:val="16"/>
                <w:szCs w:val="16"/>
                <w:lang w:val="en-GB"/>
              </w:rPr>
              <w:t>Indirect / unintended costs</w:t>
            </w:r>
          </w:p>
        </w:tc>
        <w:tc>
          <w:tcPr>
            <w:tcW w:w="2557" w:type="dxa"/>
            <w:gridSpan w:val="2"/>
          </w:tcPr>
          <w:p w14:paraId="03D3061D" w14:textId="77777777" w:rsidR="00397DEB" w:rsidRPr="00D86314" w:rsidRDefault="00397DEB" w:rsidP="00397DEB">
            <w:pPr>
              <w:keepNext/>
              <w:spacing w:before="40" w:after="40"/>
              <w:rPr>
                <w:noProof/>
                <w:sz w:val="16"/>
                <w:szCs w:val="16"/>
                <w:lang w:val="en-GB"/>
              </w:rPr>
            </w:pPr>
          </w:p>
        </w:tc>
        <w:tc>
          <w:tcPr>
            <w:tcW w:w="2208" w:type="dxa"/>
            <w:gridSpan w:val="3"/>
          </w:tcPr>
          <w:p w14:paraId="519E3105" w14:textId="77777777" w:rsidR="00397DEB" w:rsidRPr="00D86314" w:rsidRDefault="00397DEB" w:rsidP="00397DEB">
            <w:pPr>
              <w:keepNext/>
              <w:spacing w:before="40" w:after="40"/>
              <w:rPr>
                <w:noProof/>
                <w:sz w:val="16"/>
                <w:szCs w:val="16"/>
                <w:lang w:val="en-GB"/>
              </w:rPr>
            </w:pPr>
            <w:r w:rsidRPr="00C20A01">
              <w:rPr>
                <w:noProof/>
                <w:sz w:val="16"/>
                <w:szCs w:val="16"/>
                <w:lang w:val="en-GB"/>
              </w:rPr>
              <w:t>Granular data gathering may highlight regional market power</w:t>
            </w:r>
          </w:p>
        </w:tc>
        <w:tc>
          <w:tcPr>
            <w:tcW w:w="2258" w:type="dxa"/>
            <w:gridSpan w:val="2"/>
          </w:tcPr>
          <w:p w14:paraId="3CCB6648" w14:textId="77777777" w:rsidR="00397DEB" w:rsidRPr="00D86314" w:rsidRDefault="00397DEB" w:rsidP="00397DEB">
            <w:pPr>
              <w:keepNext/>
              <w:spacing w:before="40" w:after="40"/>
              <w:rPr>
                <w:noProof/>
                <w:sz w:val="16"/>
                <w:szCs w:val="16"/>
                <w:lang w:val="en-GB"/>
              </w:rPr>
            </w:pPr>
          </w:p>
        </w:tc>
      </w:tr>
      <w:tr w:rsidR="004A55C6" w:rsidRPr="00D86314" w14:paraId="2155E0DE" w14:textId="77777777" w:rsidTr="00182A0D">
        <w:trPr>
          <w:trHeight w:val="1103"/>
        </w:trPr>
        <w:tc>
          <w:tcPr>
            <w:tcW w:w="1440" w:type="dxa"/>
            <w:vMerge w:val="restart"/>
          </w:tcPr>
          <w:p w14:paraId="744A1D53" w14:textId="77777777" w:rsidR="00397DEB" w:rsidRPr="00D86314" w:rsidRDefault="00397DEB" w:rsidP="00397DEB">
            <w:pPr>
              <w:keepNext/>
              <w:spacing w:before="40" w:after="40"/>
              <w:rPr>
                <w:b/>
                <w:noProof/>
                <w:sz w:val="16"/>
                <w:szCs w:val="16"/>
                <w:lang w:val="en-GB"/>
              </w:rPr>
            </w:pPr>
            <w:r w:rsidRPr="00C20A01">
              <w:rPr>
                <w:b/>
                <w:noProof/>
                <w:sz w:val="16"/>
                <w:szCs w:val="16"/>
                <w:lang w:val="en-GB"/>
              </w:rPr>
              <w:t>Access regulation: Potential increased use of Art 61(3) / Potential for RRM to be made optional</w:t>
            </w:r>
          </w:p>
        </w:tc>
        <w:tc>
          <w:tcPr>
            <w:tcW w:w="932" w:type="dxa"/>
          </w:tcPr>
          <w:p w14:paraId="5A53EBDE" w14:textId="77777777" w:rsidR="00397DEB" w:rsidRPr="00D86314" w:rsidRDefault="00397DEB" w:rsidP="00397DEB">
            <w:pPr>
              <w:keepNext/>
              <w:spacing w:before="40" w:after="40"/>
              <w:rPr>
                <w:noProof/>
                <w:sz w:val="16"/>
                <w:szCs w:val="16"/>
                <w:lang w:val="en-GB"/>
              </w:rPr>
            </w:pPr>
            <w:r w:rsidRPr="00D86314">
              <w:rPr>
                <w:noProof/>
                <w:sz w:val="16"/>
                <w:szCs w:val="16"/>
                <w:lang w:val="en-GB"/>
              </w:rPr>
              <w:t>Direct costs</w:t>
            </w:r>
          </w:p>
        </w:tc>
        <w:tc>
          <w:tcPr>
            <w:tcW w:w="1420" w:type="dxa"/>
          </w:tcPr>
          <w:p w14:paraId="608C8115" w14:textId="77777777" w:rsidR="00397DEB" w:rsidRPr="00D86314" w:rsidRDefault="00397DEB" w:rsidP="00397DEB">
            <w:pPr>
              <w:keepNext/>
              <w:spacing w:before="40" w:after="40"/>
              <w:rPr>
                <w:noProof/>
                <w:sz w:val="16"/>
                <w:szCs w:val="16"/>
                <w:lang w:val="en-GB"/>
              </w:rPr>
            </w:pPr>
          </w:p>
        </w:tc>
        <w:tc>
          <w:tcPr>
            <w:tcW w:w="1137" w:type="dxa"/>
          </w:tcPr>
          <w:p w14:paraId="0940EFE1" w14:textId="77777777" w:rsidR="00397DEB" w:rsidRPr="00D86314" w:rsidRDefault="00397DEB" w:rsidP="00397DEB">
            <w:pPr>
              <w:keepNext/>
              <w:spacing w:before="40" w:after="40"/>
              <w:rPr>
                <w:noProof/>
                <w:sz w:val="16"/>
                <w:szCs w:val="16"/>
                <w:lang w:val="en-GB"/>
              </w:rPr>
            </w:pPr>
            <w:r w:rsidRPr="00C20A01">
              <w:rPr>
                <w:noProof/>
                <w:sz w:val="16"/>
                <w:szCs w:val="16"/>
                <w:lang w:val="en-GB"/>
              </w:rPr>
              <w:t>Likely no change (reduced number of reviews, but 3CT), although use of Art 61(3) beyond first distr point instead of WLA could reduce costs if used in cases of local monopoly</w:t>
            </w:r>
          </w:p>
        </w:tc>
        <w:tc>
          <w:tcPr>
            <w:tcW w:w="1154" w:type="dxa"/>
          </w:tcPr>
          <w:p w14:paraId="1B3F37C6" w14:textId="77777777" w:rsidR="00397DEB" w:rsidRPr="00D86314" w:rsidRDefault="00397DEB" w:rsidP="00397DEB">
            <w:pPr>
              <w:keepNext/>
              <w:spacing w:before="40" w:after="40"/>
              <w:rPr>
                <w:noProof/>
                <w:sz w:val="16"/>
                <w:szCs w:val="16"/>
                <w:lang w:val="en-GB"/>
              </w:rPr>
            </w:pPr>
          </w:p>
        </w:tc>
        <w:tc>
          <w:tcPr>
            <w:tcW w:w="1054" w:type="dxa"/>
            <w:gridSpan w:val="2"/>
          </w:tcPr>
          <w:p w14:paraId="634B60C6" w14:textId="77777777" w:rsidR="00397DEB" w:rsidRPr="00D86314" w:rsidRDefault="00397DEB" w:rsidP="00397DEB">
            <w:pPr>
              <w:keepNext/>
              <w:spacing w:before="40" w:after="40"/>
              <w:rPr>
                <w:noProof/>
                <w:sz w:val="16"/>
                <w:szCs w:val="16"/>
                <w:lang w:val="en-GB"/>
              </w:rPr>
            </w:pPr>
            <w:r w:rsidRPr="00C20A01">
              <w:rPr>
                <w:noProof/>
                <w:sz w:val="16"/>
                <w:szCs w:val="16"/>
                <w:lang w:val="en-GB"/>
              </w:rPr>
              <w:t>Likely no change (reduced number of reviews, but 3CT) although use of Art 61(3) beyond first distr point instead of WLA could reduce costs if used in cases of local monopoly</w:t>
            </w:r>
          </w:p>
        </w:tc>
        <w:tc>
          <w:tcPr>
            <w:tcW w:w="1117" w:type="dxa"/>
          </w:tcPr>
          <w:p w14:paraId="5DCC6E75" w14:textId="77777777" w:rsidR="00397DEB" w:rsidRPr="00D86314" w:rsidRDefault="00397DEB" w:rsidP="00397DEB">
            <w:pPr>
              <w:keepNext/>
              <w:spacing w:before="40" w:after="40"/>
              <w:rPr>
                <w:noProof/>
                <w:sz w:val="16"/>
                <w:szCs w:val="16"/>
                <w:lang w:val="en-GB"/>
              </w:rPr>
            </w:pPr>
          </w:p>
        </w:tc>
        <w:tc>
          <w:tcPr>
            <w:tcW w:w="1141" w:type="dxa"/>
          </w:tcPr>
          <w:p w14:paraId="06B6793E" w14:textId="77777777" w:rsidR="00397DEB" w:rsidRPr="00D86314" w:rsidRDefault="00397DEB" w:rsidP="00397DEB">
            <w:pPr>
              <w:keepNext/>
              <w:spacing w:before="40" w:after="40"/>
              <w:rPr>
                <w:noProof/>
                <w:sz w:val="16"/>
                <w:szCs w:val="16"/>
                <w:lang w:val="en-GB"/>
              </w:rPr>
            </w:pPr>
            <w:r w:rsidRPr="00C20A01">
              <w:rPr>
                <w:noProof/>
                <w:sz w:val="16"/>
                <w:szCs w:val="16"/>
                <w:lang w:val="en-GB"/>
              </w:rPr>
              <w:t>Likely no change (reduced number of reviews, but 3CT) although use of Art 61(3) beyond first distr point instead of WLA could reduce costs if used in cases of local monopoly</w:t>
            </w:r>
          </w:p>
        </w:tc>
      </w:tr>
      <w:tr w:rsidR="00397DEB" w:rsidRPr="00D86314" w14:paraId="25B59F42" w14:textId="77777777" w:rsidTr="00182A0D">
        <w:trPr>
          <w:trHeight w:val="134"/>
        </w:trPr>
        <w:tc>
          <w:tcPr>
            <w:tcW w:w="1440" w:type="dxa"/>
            <w:vMerge/>
          </w:tcPr>
          <w:p w14:paraId="76A077F7" w14:textId="77777777" w:rsidR="00397DEB" w:rsidRPr="00D86314" w:rsidRDefault="00397DEB" w:rsidP="00397DEB">
            <w:pPr>
              <w:keepNext/>
              <w:spacing w:before="40" w:after="40"/>
              <w:rPr>
                <w:b/>
                <w:noProof/>
                <w:sz w:val="16"/>
                <w:szCs w:val="16"/>
                <w:lang w:val="en-GB"/>
              </w:rPr>
            </w:pPr>
          </w:p>
        </w:tc>
        <w:tc>
          <w:tcPr>
            <w:tcW w:w="932" w:type="dxa"/>
          </w:tcPr>
          <w:p w14:paraId="05273E56" w14:textId="77777777" w:rsidR="00397DEB" w:rsidRPr="00D86314" w:rsidRDefault="00397DEB" w:rsidP="00397DEB">
            <w:pPr>
              <w:keepNext/>
              <w:spacing w:before="40" w:after="40"/>
              <w:rPr>
                <w:noProof/>
                <w:sz w:val="16"/>
                <w:szCs w:val="16"/>
                <w:lang w:val="en-GB"/>
              </w:rPr>
            </w:pPr>
            <w:r w:rsidRPr="00D86314">
              <w:rPr>
                <w:noProof/>
                <w:sz w:val="16"/>
                <w:szCs w:val="16"/>
                <w:lang w:val="en-GB"/>
              </w:rPr>
              <w:t>Indirect / unintended costs</w:t>
            </w:r>
          </w:p>
        </w:tc>
        <w:tc>
          <w:tcPr>
            <w:tcW w:w="2557" w:type="dxa"/>
            <w:gridSpan w:val="2"/>
          </w:tcPr>
          <w:p w14:paraId="4D8F299B" w14:textId="77777777" w:rsidR="00397DEB" w:rsidRPr="00D86314" w:rsidRDefault="00397DEB" w:rsidP="00397DEB">
            <w:pPr>
              <w:keepNext/>
              <w:spacing w:before="40" w:after="40"/>
              <w:rPr>
                <w:noProof/>
                <w:sz w:val="16"/>
                <w:szCs w:val="16"/>
                <w:lang w:val="en-GB"/>
              </w:rPr>
            </w:pPr>
            <w:r w:rsidRPr="00C20A01">
              <w:rPr>
                <w:noProof/>
                <w:sz w:val="16"/>
                <w:szCs w:val="16"/>
                <w:lang w:val="en-GB"/>
              </w:rPr>
              <w:t>Greater incidence expected of legal challenge and associated cost in absence of RRM</w:t>
            </w:r>
          </w:p>
        </w:tc>
        <w:tc>
          <w:tcPr>
            <w:tcW w:w="2208" w:type="dxa"/>
            <w:gridSpan w:val="3"/>
          </w:tcPr>
          <w:p w14:paraId="083BFA46" w14:textId="77777777" w:rsidR="00397DEB" w:rsidRPr="00D86314" w:rsidRDefault="00397DEB" w:rsidP="00397DEB">
            <w:pPr>
              <w:keepNext/>
              <w:spacing w:before="40" w:after="40"/>
              <w:rPr>
                <w:noProof/>
                <w:sz w:val="16"/>
                <w:szCs w:val="16"/>
                <w:lang w:val="en-GB"/>
              </w:rPr>
            </w:pPr>
            <w:r w:rsidRPr="00C20A01">
              <w:rPr>
                <w:noProof/>
                <w:sz w:val="16"/>
                <w:szCs w:val="16"/>
                <w:lang w:val="en-GB"/>
              </w:rPr>
              <w:t xml:space="preserve">Increased uncertainty regarding future approach to regulation </w:t>
            </w:r>
          </w:p>
          <w:p w14:paraId="7FFD1688" w14:textId="77777777" w:rsidR="00397DEB" w:rsidRPr="00D86314" w:rsidRDefault="00397DEB" w:rsidP="00397DEB">
            <w:pPr>
              <w:keepNext/>
              <w:spacing w:before="40" w:after="40"/>
              <w:rPr>
                <w:noProof/>
                <w:sz w:val="16"/>
                <w:szCs w:val="16"/>
                <w:lang w:val="en-GB"/>
              </w:rPr>
            </w:pPr>
            <w:r w:rsidRPr="00C20A01">
              <w:rPr>
                <w:noProof/>
                <w:sz w:val="16"/>
                <w:szCs w:val="16"/>
                <w:lang w:val="en-GB"/>
              </w:rPr>
              <w:t>Greater incidence expected of legal challenge and associated cost in absence of RRM</w:t>
            </w:r>
          </w:p>
        </w:tc>
        <w:tc>
          <w:tcPr>
            <w:tcW w:w="2258" w:type="dxa"/>
            <w:gridSpan w:val="2"/>
          </w:tcPr>
          <w:p w14:paraId="2B566E12" w14:textId="77777777" w:rsidR="00397DEB" w:rsidRPr="00D86314" w:rsidRDefault="00397DEB" w:rsidP="00397DEB">
            <w:pPr>
              <w:keepNext/>
              <w:spacing w:before="40" w:after="40"/>
              <w:rPr>
                <w:noProof/>
                <w:sz w:val="16"/>
                <w:szCs w:val="16"/>
                <w:lang w:val="en-GB"/>
              </w:rPr>
            </w:pPr>
            <w:r w:rsidRPr="00C20A01">
              <w:rPr>
                <w:noProof/>
                <w:sz w:val="16"/>
                <w:szCs w:val="16"/>
                <w:lang w:val="en-GB"/>
              </w:rPr>
              <w:t>Deregulation signal likely to reduce valuations and increase cost of capital</w:t>
            </w:r>
          </w:p>
          <w:p w14:paraId="2DC97C63" w14:textId="77777777" w:rsidR="00397DEB" w:rsidRPr="00D86314" w:rsidRDefault="00397DEB" w:rsidP="00397DEB">
            <w:pPr>
              <w:keepNext/>
              <w:spacing w:before="40" w:after="40"/>
              <w:rPr>
                <w:noProof/>
                <w:sz w:val="16"/>
                <w:szCs w:val="16"/>
                <w:lang w:val="en-GB"/>
              </w:rPr>
            </w:pPr>
            <w:r w:rsidRPr="00C20A01">
              <w:rPr>
                <w:noProof/>
                <w:sz w:val="16"/>
                <w:szCs w:val="16"/>
                <w:lang w:val="en-GB"/>
              </w:rPr>
              <w:t>Greater incidence expected of legal challenge and associated cost in absence of RRM</w:t>
            </w:r>
          </w:p>
        </w:tc>
      </w:tr>
      <w:tr w:rsidR="00397DEB" w:rsidRPr="00D86314" w14:paraId="0F4DC485" w14:textId="77777777" w:rsidTr="00182A0D">
        <w:trPr>
          <w:trHeight w:val="134"/>
        </w:trPr>
        <w:tc>
          <w:tcPr>
            <w:tcW w:w="1440" w:type="dxa"/>
            <w:vMerge/>
          </w:tcPr>
          <w:p w14:paraId="43AB70C8" w14:textId="77777777" w:rsidR="00397DEB" w:rsidRPr="00D86314" w:rsidRDefault="00397DEB" w:rsidP="00397DEB">
            <w:pPr>
              <w:keepNext/>
              <w:spacing w:before="40" w:after="40"/>
              <w:rPr>
                <w:b/>
                <w:noProof/>
                <w:sz w:val="16"/>
                <w:szCs w:val="16"/>
                <w:lang w:val="en-GB"/>
              </w:rPr>
            </w:pPr>
          </w:p>
        </w:tc>
        <w:tc>
          <w:tcPr>
            <w:tcW w:w="932" w:type="dxa"/>
          </w:tcPr>
          <w:p w14:paraId="23127F47" w14:textId="77777777" w:rsidR="00397DEB" w:rsidRPr="00D86314" w:rsidRDefault="00397DEB" w:rsidP="00397DEB">
            <w:pPr>
              <w:keepNext/>
              <w:spacing w:before="40" w:after="40"/>
              <w:rPr>
                <w:noProof/>
                <w:sz w:val="16"/>
                <w:szCs w:val="16"/>
                <w:lang w:val="en-GB"/>
              </w:rPr>
            </w:pPr>
            <w:r w:rsidRPr="00D86314">
              <w:rPr>
                <w:noProof/>
                <w:sz w:val="16"/>
                <w:szCs w:val="16"/>
                <w:lang w:val="en-GB"/>
              </w:rPr>
              <w:t>Indirect benefits</w:t>
            </w:r>
          </w:p>
        </w:tc>
        <w:tc>
          <w:tcPr>
            <w:tcW w:w="2557" w:type="dxa"/>
            <w:gridSpan w:val="2"/>
          </w:tcPr>
          <w:p w14:paraId="17A9795F" w14:textId="3735E777" w:rsidR="00397DEB" w:rsidRPr="00D86314" w:rsidRDefault="00397DEB" w:rsidP="00397DEB">
            <w:pPr>
              <w:keepNext/>
              <w:spacing w:before="40" w:after="40"/>
              <w:rPr>
                <w:noProof/>
                <w:sz w:val="16"/>
                <w:szCs w:val="16"/>
                <w:lang w:val="en-GB"/>
              </w:rPr>
            </w:pPr>
            <w:r w:rsidRPr="00C20A01">
              <w:rPr>
                <w:noProof/>
                <w:sz w:val="16"/>
                <w:szCs w:val="16"/>
                <w:lang w:val="en-GB"/>
              </w:rPr>
              <w:t>Reduced costs / increased ease of deployment of FTTH if article</w:t>
            </w:r>
            <w:r w:rsidR="004A758B">
              <w:rPr>
                <w:noProof/>
                <w:sz w:val="16"/>
                <w:szCs w:val="16"/>
                <w:lang w:val="en-GB"/>
              </w:rPr>
              <w:t> </w:t>
            </w:r>
            <w:r w:rsidRPr="00C20A01">
              <w:rPr>
                <w:noProof/>
                <w:sz w:val="16"/>
                <w:szCs w:val="16"/>
                <w:lang w:val="en-GB"/>
              </w:rPr>
              <w:t>61(3) is applied more widely</w:t>
            </w:r>
          </w:p>
        </w:tc>
        <w:tc>
          <w:tcPr>
            <w:tcW w:w="2208" w:type="dxa"/>
            <w:gridSpan w:val="3"/>
          </w:tcPr>
          <w:p w14:paraId="5BA1FC4A" w14:textId="01E9CC42" w:rsidR="00397DEB" w:rsidRPr="00D86314" w:rsidRDefault="00397DEB" w:rsidP="00397DEB">
            <w:pPr>
              <w:keepNext/>
              <w:spacing w:before="40" w:after="40"/>
              <w:rPr>
                <w:noProof/>
                <w:sz w:val="16"/>
                <w:szCs w:val="16"/>
                <w:lang w:val="en-GB"/>
              </w:rPr>
            </w:pPr>
            <w:r w:rsidRPr="00C20A01">
              <w:rPr>
                <w:noProof/>
                <w:sz w:val="16"/>
                <w:szCs w:val="16"/>
                <w:lang w:val="en-GB"/>
              </w:rPr>
              <w:t>Reduced costs / increased ease of deployment of FTTH if article</w:t>
            </w:r>
            <w:r w:rsidR="004A758B">
              <w:rPr>
                <w:noProof/>
                <w:sz w:val="16"/>
                <w:szCs w:val="16"/>
                <w:lang w:val="en-GB"/>
              </w:rPr>
              <w:t> </w:t>
            </w:r>
            <w:r w:rsidRPr="00C20A01">
              <w:rPr>
                <w:noProof/>
                <w:sz w:val="16"/>
                <w:szCs w:val="16"/>
                <w:lang w:val="en-GB"/>
              </w:rPr>
              <w:t>61(3) is applied more widely</w:t>
            </w:r>
          </w:p>
        </w:tc>
        <w:tc>
          <w:tcPr>
            <w:tcW w:w="2258" w:type="dxa"/>
            <w:gridSpan w:val="2"/>
          </w:tcPr>
          <w:p w14:paraId="7058875C" w14:textId="1B496D92" w:rsidR="00397DEB" w:rsidRPr="00D86314" w:rsidRDefault="00397DEB" w:rsidP="00397DEB">
            <w:pPr>
              <w:keepNext/>
              <w:spacing w:before="40" w:after="40"/>
              <w:rPr>
                <w:noProof/>
                <w:sz w:val="16"/>
                <w:szCs w:val="16"/>
                <w:lang w:val="en-GB"/>
              </w:rPr>
            </w:pPr>
            <w:r w:rsidRPr="00C20A01">
              <w:rPr>
                <w:noProof/>
                <w:sz w:val="16"/>
                <w:szCs w:val="16"/>
                <w:lang w:val="en-GB"/>
              </w:rPr>
              <w:t>Reduced costs / increased ease of deployment of FTTH if article</w:t>
            </w:r>
            <w:r w:rsidR="004A758B">
              <w:rPr>
                <w:noProof/>
                <w:sz w:val="16"/>
                <w:szCs w:val="16"/>
                <w:lang w:val="en-GB"/>
              </w:rPr>
              <w:t> </w:t>
            </w:r>
            <w:r w:rsidRPr="00C20A01">
              <w:rPr>
                <w:noProof/>
                <w:sz w:val="16"/>
                <w:szCs w:val="16"/>
                <w:lang w:val="en-GB"/>
              </w:rPr>
              <w:t>61(3) is applied more widely</w:t>
            </w:r>
          </w:p>
        </w:tc>
      </w:tr>
      <w:tr w:rsidR="004A55C6" w:rsidRPr="00D86314" w14:paraId="453DA1D6" w14:textId="77777777" w:rsidTr="00182A0D">
        <w:trPr>
          <w:trHeight w:val="411"/>
        </w:trPr>
        <w:tc>
          <w:tcPr>
            <w:tcW w:w="1440" w:type="dxa"/>
            <w:vMerge w:val="restart"/>
          </w:tcPr>
          <w:p w14:paraId="3578CB9A" w14:textId="77777777" w:rsidR="00397DEB" w:rsidRPr="00D86314" w:rsidRDefault="00397DEB" w:rsidP="00397DEB">
            <w:pPr>
              <w:keepNext/>
              <w:spacing w:before="40" w:after="40"/>
              <w:rPr>
                <w:b/>
                <w:noProof/>
                <w:sz w:val="16"/>
                <w:szCs w:val="16"/>
                <w:lang w:val="en-GB"/>
              </w:rPr>
            </w:pPr>
            <w:r w:rsidRPr="00C20A01">
              <w:rPr>
                <w:b/>
                <w:noProof/>
                <w:sz w:val="16"/>
                <w:szCs w:val="16"/>
                <w:lang w:val="en-GB"/>
              </w:rPr>
              <w:t>Access regulation: Harmonised wholesale products</w:t>
            </w:r>
          </w:p>
        </w:tc>
        <w:tc>
          <w:tcPr>
            <w:tcW w:w="932" w:type="dxa"/>
          </w:tcPr>
          <w:p w14:paraId="7627B001" w14:textId="77777777" w:rsidR="00397DEB" w:rsidRPr="00D86314" w:rsidRDefault="00397DEB" w:rsidP="00397DEB">
            <w:pPr>
              <w:keepNext/>
              <w:spacing w:before="40" w:after="40"/>
              <w:rPr>
                <w:noProof/>
                <w:sz w:val="16"/>
                <w:szCs w:val="16"/>
                <w:lang w:val="en-GB"/>
              </w:rPr>
            </w:pPr>
            <w:r w:rsidRPr="00D86314">
              <w:rPr>
                <w:noProof/>
                <w:sz w:val="16"/>
                <w:szCs w:val="16"/>
                <w:lang w:val="en-GB"/>
              </w:rPr>
              <w:t>Direct costs</w:t>
            </w:r>
          </w:p>
        </w:tc>
        <w:tc>
          <w:tcPr>
            <w:tcW w:w="1420" w:type="dxa"/>
          </w:tcPr>
          <w:p w14:paraId="6B980721" w14:textId="4062318E" w:rsidR="00397DEB" w:rsidRPr="00D86314" w:rsidRDefault="00397DEB" w:rsidP="00397DEB">
            <w:pPr>
              <w:keepNext/>
              <w:spacing w:before="40" w:after="40"/>
              <w:rPr>
                <w:noProof/>
                <w:sz w:val="16"/>
                <w:szCs w:val="16"/>
                <w:lang w:val="en-GB"/>
              </w:rPr>
            </w:pPr>
            <w:r w:rsidRPr="00C20A01">
              <w:rPr>
                <w:noProof/>
                <w:sz w:val="16"/>
                <w:szCs w:val="16"/>
                <w:lang w:val="en-GB"/>
              </w:rPr>
              <w:t>Contribution to development of specifications est 46 FTE extra (~</w:t>
            </w:r>
            <w:r w:rsidR="004A55C6" w:rsidRPr="00C20A01">
              <w:rPr>
                <w:noProof/>
                <w:sz w:val="16"/>
                <w:szCs w:val="16"/>
                <w:lang w:val="en-GB"/>
              </w:rPr>
              <w:t>EUR </w:t>
            </w:r>
            <w:r w:rsidRPr="00C20A01">
              <w:rPr>
                <w:noProof/>
                <w:sz w:val="16"/>
                <w:szCs w:val="16"/>
                <w:lang w:val="en-GB"/>
              </w:rPr>
              <w:t>4.4</w:t>
            </w:r>
            <w:r w:rsidR="004A55C6" w:rsidRPr="00C20A01">
              <w:rPr>
                <w:noProof/>
                <w:sz w:val="16"/>
                <w:szCs w:val="16"/>
                <w:lang w:val="en-GB"/>
              </w:rPr>
              <w:t xml:space="preserve"> </w:t>
            </w:r>
            <w:r w:rsidRPr="00C20A01">
              <w:rPr>
                <w:noProof/>
                <w:sz w:val="16"/>
                <w:szCs w:val="16"/>
                <w:lang w:val="en-GB"/>
              </w:rPr>
              <w:t>m)</w:t>
            </w:r>
          </w:p>
          <w:p w14:paraId="42566510" w14:textId="77777777" w:rsidR="00397DEB" w:rsidRPr="00D86314" w:rsidRDefault="00397DEB" w:rsidP="00397DEB">
            <w:pPr>
              <w:keepNext/>
              <w:spacing w:before="40" w:after="40"/>
              <w:rPr>
                <w:noProof/>
                <w:sz w:val="16"/>
                <w:szCs w:val="16"/>
                <w:lang w:val="en-GB"/>
              </w:rPr>
            </w:pPr>
            <w:r w:rsidRPr="00C20A01">
              <w:rPr>
                <w:noProof/>
                <w:sz w:val="16"/>
                <w:szCs w:val="16"/>
                <w:lang w:val="en-GB"/>
              </w:rPr>
              <w:t>Product development and introduction – but added to wholesale charge</w:t>
            </w:r>
          </w:p>
        </w:tc>
        <w:tc>
          <w:tcPr>
            <w:tcW w:w="1137" w:type="dxa"/>
          </w:tcPr>
          <w:p w14:paraId="076FFC32" w14:textId="77777777" w:rsidR="00397DEB" w:rsidRPr="00D86314" w:rsidRDefault="00397DEB" w:rsidP="00397DEB">
            <w:pPr>
              <w:keepNext/>
              <w:spacing w:before="40" w:after="40"/>
              <w:rPr>
                <w:noProof/>
                <w:sz w:val="16"/>
                <w:szCs w:val="16"/>
                <w:lang w:val="en-GB"/>
              </w:rPr>
            </w:pPr>
          </w:p>
        </w:tc>
        <w:tc>
          <w:tcPr>
            <w:tcW w:w="1154" w:type="dxa"/>
          </w:tcPr>
          <w:p w14:paraId="6E2AB46C" w14:textId="48A3C86C" w:rsidR="00397DEB" w:rsidRPr="00D86314" w:rsidRDefault="00397DEB" w:rsidP="00397DEB">
            <w:pPr>
              <w:keepNext/>
              <w:spacing w:before="40" w:after="40"/>
              <w:rPr>
                <w:noProof/>
                <w:sz w:val="16"/>
                <w:szCs w:val="16"/>
                <w:lang w:val="en-GB"/>
              </w:rPr>
            </w:pPr>
            <w:r w:rsidRPr="00C20A01">
              <w:rPr>
                <w:noProof/>
                <w:sz w:val="16"/>
                <w:szCs w:val="16"/>
                <w:lang w:val="en-GB"/>
              </w:rPr>
              <w:t>Contribution to development of specifications est 23 FTE extra (~</w:t>
            </w:r>
            <w:r w:rsidR="004A55C6" w:rsidRPr="00C20A01">
              <w:rPr>
                <w:noProof/>
                <w:sz w:val="16"/>
                <w:szCs w:val="16"/>
                <w:lang w:val="en-GB"/>
              </w:rPr>
              <w:t>EUR </w:t>
            </w:r>
            <w:r w:rsidRPr="00C20A01">
              <w:rPr>
                <w:noProof/>
                <w:sz w:val="16"/>
                <w:szCs w:val="16"/>
                <w:lang w:val="en-GB"/>
              </w:rPr>
              <w:t>2.2</w:t>
            </w:r>
            <w:r w:rsidR="004A55C6" w:rsidRPr="00C20A01">
              <w:rPr>
                <w:noProof/>
                <w:sz w:val="16"/>
                <w:szCs w:val="16"/>
                <w:lang w:val="en-GB"/>
              </w:rPr>
              <w:t xml:space="preserve"> </w:t>
            </w:r>
            <w:r w:rsidRPr="00C20A01">
              <w:rPr>
                <w:noProof/>
                <w:sz w:val="16"/>
                <w:szCs w:val="16"/>
                <w:lang w:val="en-GB"/>
              </w:rPr>
              <w:t>m)</w:t>
            </w:r>
          </w:p>
          <w:p w14:paraId="77587E27" w14:textId="77777777" w:rsidR="00397DEB" w:rsidRPr="00D86314" w:rsidRDefault="00397DEB" w:rsidP="00397DEB">
            <w:pPr>
              <w:keepNext/>
              <w:spacing w:before="40" w:after="40"/>
              <w:rPr>
                <w:noProof/>
                <w:sz w:val="16"/>
                <w:szCs w:val="16"/>
                <w:lang w:val="en-GB"/>
              </w:rPr>
            </w:pPr>
          </w:p>
        </w:tc>
        <w:tc>
          <w:tcPr>
            <w:tcW w:w="1054" w:type="dxa"/>
            <w:gridSpan w:val="2"/>
          </w:tcPr>
          <w:p w14:paraId="18ECA62A" w14:textId="77777777" w:rsidR="00397DEB" w:rsidRPr="00D86314" w:rsidRDefault="00397DEB" w:rsidP="00397DEB">
            <w:pPr>
              <w:keepNext/>
              <w:spacing w:before="40" w:after="40"/>
              <w:rPr>
                <w:noProof/>
                <w:sz w:val="16"/>
                <w:szCs w:val="16"/>
                <w:lang w:val="en-GB"/>
              </w:rPr>
            </w:pPr>
          </w:p>
        </w:tc>
        <w:tc>
          <w:tcPr>
            <w:tcW w:w="1117" w:type="dxa"/>
          </w:tcPr>
          <w:p w14:paraId="49AF66CF" w14:textId="4E4CBCFD" w:rsidR="00397DEB" w:rsidRPr="00D86314" w:rsidRDefault="00397DEB" w:rsidP="00397DEB">
            <w:pPr>
              <w:keepNext/>
              <w:spacing w:before="40" w:after="40"/>
              <w:rPr>
                <w:noProof/>
                <w:sz w:val="16"/>
                <w:szCs w:val="16"/>
                <w:lang w:val="en-GB"/>
              </w:rPr>
            </w:pPr>
            <w:r w:rsidRPr="00C20A01">
              <w:rPr>
                <w:noProof/>
                <w:sz w:val="16"/>
                <w:szCs w:val="16"/>
                <w:lang w:val="en-GB"/>
              </w:rPr>
              <w:t>Contribution to development of specifications est 23 FTE extra (~</w:t>
            </w:r>
            <w:r w:rsidR="004A55C6" w:rsidRPr="00C20A01">
              <w:rPr>
                <w:noProof/>
                <w:sz w:val="16"/>
                <w:szCs w:val="16"/>
                <w:lang w:val="en-GB"/>
              </w:rPr>
              <w:t>EUR </w:t>
            </w:r>
            <w:r w:rsidRPr="00C20A01">
              <w:rPr>
                <w:noProof/>
                <w:sz w:val="16"/>
                <w:szCs w:val="16"/>
                <w:lang w:val="en-GB"/>
              </w:rPr>
              <w:t>2.2</w:t>
            </w:r>
            <w:r w:rsidR="004A55C6" w:rsidRPr="00C20A01">
              <w:rPr>
                <w:noProof/>
                <w:sz w:val="16"/>
                <w:szCs w:val="16"/>
                <w:lang w:val="en-GB"/>
              </w:rPr>
              <w:t xml:space="preserve"> </w:t>
            </w:r>
            <w:r w:rsidRPr="00C20A01">
              <w:rPr>
                <w:noProof/>
                <w:sz w:val="16"/>
                <w:szCs w:val="16"/>
                <w:lang w:val="en-GB"/>
              </w:rPr>
              <w:t>m)</w:t>
            </w:r>
          </w:p>
          <w:p w14:paraId="6907ECF6" w14:textId="77777777" w:rsidR="00397DEB" w:rsidRPr="00D86314" w:rsidRDefault="00397DEB" w:rsidP="00397DEB">
            <w:pPr>
              <w:keepNext/>
              <w:spacing w:before="40" w:after="40"/>
              <w:rPr>
                <w:noProof/>
                <w:sz w:val="16"/>
                <w:szCs w:val="16"/>
                <w:lang w:val="en-GB"/>
              </w:rPr>
            </w:pPr>
          </w:p>
        </w:tc>
        <w:tc>
          <w:tcPr>
            <w:tcW w:w="1141" w:type="dxa"/>
          </w:tcPr>
          <w:p w14:paraId="701A8A6E" w14:textId="77777777" w:rsidR="00397DEB" w:rsidRPr="00D86314" w:rsidRDefault="00397DEB" w:rsidP="00397DEB">
            <w:pPr>
              <w:keepNext/>
              <w:spacing w:before="40" w:after="40"/>
              <w:rPr>
                <w:noProof/>
                <w:sz w:val="16"/>
                <w:szCs w:val="16"/>
                <w:lang w:val="en-GB"/>
              </w:rPr>
            </w:pPr>
          </w:p>
        </w:tc>
      </w:tr>
      <w:tr w:rsidR="00397DEB" w:rsidRPr="00D86314" w14:paraId="322461EB" w14:textId="77777777" w:rsidTr="00182A0D">
        <w:trPr>
          <w:trHeight w:val="134"/>
        </w:trPr>
        <w:tc>
          <w:tcPr>
            <w:tcW w:w="1440" w:type="dxa"/>
            <w:vMerge/>
          </w:tcPr>
          <w:p w14:paraId="68765C97" w14:textId="77777777" w:rsidR="00397DEB" w:rsidRPr="00D86314" w:rsidRDefault="00397DEB" w:rsidP="00397DEB">
            <w:pPr>
              <w:keepNext/>
              <w:spacing w:before="40" w:after="40"/>
              <w:rPr>
                <w:b/>
                <w:noProof/>
                <w:sz w:val="16"/>
                <w:szCs w:val="16"/>
                <w:lang w:val="en-GB"/>
              </w:rPr>
            </w:pPr>
          </w:p>
        </w:tc>
        <w:tc>
          <w:tcPr>
            <w:tcW w:w="932" w:type="dxa"/>
          </w:tcPr>
          <w:p w14:paraId="1FCB027F" w14:textId="77777777" w:rsidR="00397DEB" w:rsidRPr="00D86314" w:rsidRDefault="00397DEB" w:rsidP="00397DEB">
            <w:pPr>
              <w:keepNext/>
              <w:spacing w:before="40" w:after="40"/>
              <w:rPr>
                <w:noProof/>
                <w:sz w:val="16"/>
                <w:szCs w:val="16"/>
                <w:lang w:val="en-GB"/>
              </w:rPr>
            </w:pPr>
            <w:r w:rsidRPr="00D86314">
              <w:rPr>
                <w:noProof/>
                <w:sz w:val="16"/>
                <w:szCs w:val="16"/>
                <w:lang w:val="en-GB"/>
              </w:rPr>
              <w:t>Indirect / unintended costs</w:t>
            </w:r>
          </w:p>
        </w:tc>
        <w:tc>
          <w:tcPr>
            <w:tcW w:w="2557" w:type="dxa"/>
            <w:gridSpan w:val="2"/>
          </w:tcPr>
          <w:p w14:paraId="4A2B7C5B" w14:textId="77777777" w:rsidR="00397DEB" w:rsidRPr="00D86314" w:rsidRDefault="00397DEB" w:rsidP="00397DEB">
            <w:pPr>
              <w:keepNext/>
              <w:spacing w:before="40" w:after="40"/>
              <w:rPr>
                <w:noProof/>
                <w:sz w:val="16"/>
                <w:szCs w:val="16"/>
                <w:lang w:val="en-GB"/>
              </w:rPr>
            </w:pPr>
            <w:r w:rsidRPr="00C20A01">
              <w:rPr>
                <w:noProof/>
                <w:sz w:val="16"/>
                <w:szCs w:val="16"/>
                <w:lang w:val="en-GB"/>
              </w:rPr>
              <w:t>Where standardised products applicable (subject to SMP finding), reduced scope to market active access -&gt; reduced revenues and profits</w:t>
            </w:r>
          </w:p>
        </w:tc>
        <w:tc>
          <w:tcPr>
            <w:tcW w:w="2208" w:type="dxa"/>
            <w:gridSpan w:val="3"/>
          </w:tcPr>
          <w:p w14:paraId="014E8E12" w14:textId="77777777" w:rsidR="00397DEB" w:rsidRPr="00D86314" w:rsidRDefault="00397DEB" w:rsidP="00397DEB">
            <w:pPr>
              <w:keepNext/>
              <w:spacing w:before="40" w:after="40"/>
              <w:rPr>
                <w:noProof/>
                <w:sz w:val="16"/>
                <w:szCs w:val="16"/>
                <w:lang w:val="en-GB"/>
              </w:rPr>
            </w:pPr>
            <w:r w:rsidRPr="00C20A01">
              <w:rPr>
                <w:noProof/>
                <w:sz w:val="16"/>
                <w:szCs w:val="16"/>
                <w:lang w:val="en-GB"/>
              </w:rPr>
              <w:t>Where standardised products applicable (subject to SMP finding), reduced scope to market active access -&gt; reduced revenues and profits</w:t>
            </w:r>
          </w:p>
        </w:tc>
        <w:tc>
          <w:tcPr>
            <w:tcW w:w="2258" w:type="dxa"/>
            <w:gridSpan w:val="2"/>
          </w:tcPr>
          <w:p w14:paraId="3DAD084E" w14:textId="77777777" w:rsidR="00397DEB" w:rsidRPr="00D86314" w:rsidRDefault="00397DEB" w:rsidP="00397DEB">
            <w:pPr>
              <w:keepNext/>
              <w:spacing w:before="40" w:after="40"/>
              <w:rPr>
                <w:noProof/>
                <w:sz w:val="16"/>
                <w:szCs w:val="16"/>
                <w:lang w:val="en-GB"/>
              </w:rPr>
            </w:pPr>
            <w:r w:rsidRPr="00C20A01">
              <w:rPr>
                <w:noProof/>
                <w:sz w:val="16"/>
                <w:szCs w:val="16"/>
                <w:lang w:val="en-GB"/>
              </w:rPr>
              <w:t>Where standardised products applicable (subject to SMP finding), increased scope for price and quality differentiation -&gt; increased profitability</w:t>
            </w:r>
          </w:p>
        </w:tc>
      </w:tr>
    </w:tbl>
    <w:p w14:paraId="2224E190" w14:textId="77777777" w:rsidR="000771EA" w:rsidRPr="00D86314" w:rsidRDefault="000771EA" w:rsidP="000771EA">
      <w:pPr>
        <w:keepNext/>
        <w:spacing w:before="120" w:after="360"/>
        <w:ind w:left="709" w:hanging="709"/>
        <w:rPr>
          <w:noProof/>
          <w:sz w:val="22"/>
          <w:szCs w:val="22"/>
        </w:rPr>
      </w:pPr>
      <w:r w:rsidRPr="00D86314">
        <w:rPr>
          <w:rStyle w:val="QuelleChar"/>
          <w:rFonts w:ascii="Times New Roman" w:eastAsiaTheme="minorHAnsi" w:hAnsi="Times New Roman"/>
          <w:noProof/>
          <w:sz w:val="22"/>
          <w:szCs w:val="22"/>
        </w:rPr>
        <w:t>Source</w:t>
      </w:r>
      <w:r w:rsidRPr="00D86314">
        <w:rPr>
          <w:noProof/>
          <w:sz w:val="22"/>
          <w:szCs w:val="22"/>
        </w:rPr>
        <w:t>:</w:t>
      </w:r>
      <w:r w:rsidRPr="00D86314">
        <w:rPr>
          <w:noProof/>
          <w:sz w:val="22"/>
          <w:szCs w:val="22"/>
        </w:rPr>
        <w:tab/>
        <w:t>WIK-Consult</w:t>
      </w:r>
    </w:p>
    <w:p w14:paraId="7BEE0755" w14:textId="77777777" w:rsidR="000771EA" w:rsidRPr="00D86314" w:rsidRDefault="000771EA" w:rsidP="007D1242">
      <w:pPr>
        <w:rPr>
          <w:b/>
          <w:bCs/>
          <w:noProof/>
        </w:rPr>
      </w:pPr>
      <w:bookmarkStart w:id="284" w:name="_Toc208239978"/>
      <w:r w:rsidRPr="00D86314">
        <w:rPr>
          <w:b/>
          <w:bCs/>
          <w:noProof/>
        </w:rPr>
        <w:t>National Regulatory Authorities (NRAs) and other competent authorities</w:t>
      </w:r>
      <w:bookmarkEnd w:id="284"/>
    </w:p>
    <w:p w14:paraId="759C46A8" w14:textId="77777777" w:rsidR="000771EA" w:rsidRPr="00D86314" w:rsidRDefault="000771EA" w:rsidP="007D1242">
      <w:pPr>
        <w:rPr>
          <w:i/>
          <w:iCs/>
          <w:noProof/>
        </w:rPr>
      </w:pPr>
      <w:bookmarkStart w:id="285" w:name="_Toc208239979"/>
      <w:r w:rsidRPr="00D86314">
        <w:rPr>
          <w:i/>
          <w:iCs/>
          <w:noProof/>
        </w:rPr>
        <w:t>Relevant policies</w:t>
      </w:r>
      <w:bookmarkEnd w:id="285"/>
    </w:p>
    <w:p w14:paraId="074F81C3" w14:textId="1E76D81D" w:rsidR="000771EA" w:rsidRPr="00D86314" w:rsidRDefault="000771EA" w:rsidP="000771EA">
      <w:pPr>
        <w:rPr>
          <w:noProof/>
        </w:rPr>
      </w:pPr>
      <w:r w:rsidRPr="00D86314">
        <w:rPr>
          <w:noProof/>
        </w:rPr>
        <w:t>The preferred option has the following implications for NRAs and other competent authorities compared with the status quo:</w:t>
      </w:r>
    </w:p>
    <w:p w14:paraId="5A26B69F" w14:textId="3084A7F8" w:rsidR="000771EA" w:rsidRPr="00C20A01" w:rsidRDefault="000771EA" w:rsidP="000771EA">
      <w:pPr>
        <w:pStyle w:val="bullettext"/>
        <w:rPr>
          <w:rFonts w:ascii="Times New Roman" w:hAnsi="Times New Roman"/>
          <w:sz w:val="24"/>
        </w:rPr>
      </w:pPr>
      <w:r w:rsidRPr="00C20A01">
        <w:rPr>
          <w:rFonts w:ascii="Times New Roman" w:hAnsi="Times New Roman"/>
          <w:sz w:val="24"/>
        </w:rPr>
        <w:t xml:space="preserve">Requirement for NRAs to assess copper switch-off plans and to ensure that the process is handled effectively and in a manner that protects consumer welfare and preserves competition. Competent authorities </w:t>
      </w:r>
      <w:r w:rsidR="0D6F5204" w:rsidRPr="00C20A01">
        <w:rPr>
          <w:rFonts w:ascii="Times New Roman" w:hAnsi="Times New Roman"/>
          <w:sz w:val="24"/>
        </w:rPr>
        <w:t xml:space="preserve">will </w:t>
      </w:r>
      <w:r w:rsidRPr="00C20A01">
        <w:rPr>
          <w:rFonts w:ascii="Times New Roman" w:hAnsi="Times New Roman"/>
          <w:sz w:val="24"/>
        </w:rPr>
        <w:t xml:space="preserve">also engage in preparing FTTH plans </w:t>
      </w:r>
      <w:r w:rsidR="2D81913A" w:rsidRPr="00C20A01">
        <w:rPr>
          <w:rFonts w:ascii="Times New Roman" w:hAnsi="Times New Roman"/>
          <w:sz w:val="24"/>
        </w:rPr>
        <w:t xml:space="preserve">and advise national governments </w:t>
      </w:r>
      <w:r w:rsidRPr="00C20A01">
        <w:rPr>
          <w:rFonts w:ascii="Times New Roman" w:hAnsi="Times New Roman"/>
          <w:sz w:val="24"/>
        </w:rPr>
        <w:t>in the context of copper switch-off.</w:t>
      </w:r>
    </w:p>
    <w:p w14:paraId="6132F807" w14:textId="77777777" w:rsidR="000771EA" w:rsidRPr="00C20A01" w:rsidRDefault="000771EA" w:rsidP="000771EA">
      <w:pPr>
        <w:pStyle w:val="bullettext"/>
        <w:rPr>
          <w:rFonts w:ascii="Times New Roman" w:hAnsi="Times New Roman"/>
          <w:sz w:val="24"/>
        </w:rPr>
      </w:pPr>
      <w:r w:rsidRPr="00C20A01">
        <w:rPr>
          <w:rFonts w:ascii="Times New Roman" w:hAnsi="Times New Roman"/>
          <w:sz w:val="24"/>
        </w:rPr>
        <w:t xml:space="preserve">Requirement for NRAs or competent authorities to collect geographic data and assess progress regarding FTTH deployment and copper switch-off. </w:t>
      </w:r>
    </w:p>
    <w:p w14:paraId="7B6208B8" w14:textId="77777777" w:rsidR="000771EA" w:rsidRPr="00C20A01" w:rsidRDefault="000771EA" w:rsidP="000771EA">
      <w:pPr>
        <w:pStyle w:val="bullettext"/>
        <w:rPr>
          <w:rFonts w:ascii="Times New Roman" w:hAnsi="Times New Roman"/>
          <w:sz w:val="24"/>
        </w:rPr>
      </w:pPr>
      <w:r w:rsidRPr="00C20A01">
        <w:rPr>
          <w:rFonts w:ascii="Times New Roman" w:hAnsi="Times New Roman"/>
          <w:sz w:val="24"/>
        </w:rPr>
        <w:t>Requirement to conduct a market analysis in the context of copper switch-off</w:t>
      </w:r>
    </w:p>
    <w:p w14:paraId="7AF5756C" w14:textId="0EB92E42" w:rsidR="000771EA" w:rsidRPr="00C20A01" w:rsidRDefault="000771EA" w:rsidP="000771EA">
      <w:pPr>
        <w:pStyle w:val="bullettext"/>
        <w:rPr>
          <w:rFonts w:ascii="Times New Roman" w:hAnsi="Times New Roman"/>
          <w:sz w:val="24"/>
        </w:rPr>
      </w:pPr>
      <w:r w:rsidRPr="00C20A01">
        <w:rPr>
          <w:rFonts w:ascii="Times New Roman" w:hAnsi="Times New Roman"/>
          <w:sz w:val="24"/>
        </w:rPr>
        <w:t>Possibility to consider application of Article</w:t>
      </w:r>
      <w:r w:rsidR="004A758B">
        <w:rPr>
          <w:rFonts w:ascii="Times New Roman" w:hAnsi="Times New Roman"/>
          <w:sz w:val="24"/>
        </w:rPr>
        <w:t> </w:t>
      </w:r>
      <w:r w:rsidRPr="00C20A01">
        <w:rPr>
          <w:rFonts w:ascii="Times New Roman" w:hAnsi="Times New Roman"/>
          <w:sz w:val="24"/>
        </w:rPr>
        <w:t xml:space="preserve">61(3) on own initiative. In the event that no RRM is adopted, removal of the existing requirement to analyse markets listed in the RRM, and a requirement to conduct the 3CT in addition to an SMP analysis for markets currently in the RRM.This may occur earlier, if markets are removed from the RRM. </w:t>
      </w:r>
    </w:p>
    <w:p w14:paraId="7E74CC7D" w14:textId="5FE6D0C2" w:rsidR="000771EA" w:rsidRPr="00C20A01" w:rsidRDefault="000771EA" w:rsidP="000771EA">
      <w:pPr>
        <w:pStyle w:val="bullettext"/>
        <w:rPr>
          <w:rFonts w:ascii="Times New Roman" w:hAnsi="Times New Roman"/>
          <w:sz w:val="24"/>
        </w:rPr>
      </w:pPr>
      <w:r w:rsidRPr="00C20A01">
        <w:rPr>
          <w:rFonts w:ascii="Times New Roman" w:hAnsi="Times New Roman"/>
          <w:sz w:val="24"/>
        </w:rPr>
        <w:t>Requirement for EC in consultation with BEREC to adopt an Implementing Act to establish best practice specifications for wholesale access products, a requirement for NRAs and other competent authorities to take these into account when imposing wholesale access</w:t>
      </w:r>
      <w:r w:rsidR="00CE7D7D" w:rsidRPr="00C20A01">
        <w:rPr>
          <w:rFonts w:ascii="Times New Roman" w:hAnsi="Times New Roman"/>
          <w:sz w:val="24"/>
        </w:rPr>
        <w:t>.</w:t>
      </w:r>
    </w:p>
    <w:p w14:paraId="6F15D7FF" w14:textId="77777777" w:rsidR="007D1242" w:rsidRPr="00D86314" w:rsidRDefault="007D1242" w:rsidP="007D1242">
      <w:pPr>
        <w:rPr>
          <w:noProof/>
        </w:rPr>
      </w:pPr>
      <w:bookmarkStart w:id="286" w:name="_Toc208239980"/>
    </w:p>
    <w:p w14:paraId="57BCFF92" w14:textId="0A40B2BE" w:rsidR="000771EA" w:rsidRPr="00D86314" w:rsidRDefault="000771EA" w:rsidP="00000DA8">
      <w:pPr>
        <w:keepNext/>
        <w:rPr>
          <w:i/>
          <w:iCs/>
          <w:noProof/>
        </w:rPr>
      </w:pPr>
      <w:r w:rsidRPr="00D86314">
        <w:rPr>
          <w:i/>
          <w:iCs/>
          <w:noProof/>
        </w:rPr>
        <w:t>Copper switch-off</w:t>
      </w:r>
      <w:bookmarkEnd w:id="286"/>
    </w:p>
    <w:p w14:paraId="3A23DB82" w14:textId="14ED805E" w:rsidR="000771EA" w:rsidRPr="00D86314" w:rsidRDefault="000771EA" w:rsidP="000771EA">
      <w:pPr>
        <w:rPr>
          <w:noProof/>
        </w:rPr>
      </w:pPr>
      <w:r w:rsidRPr="00D86314">
        <w:rPr>
          <w:noProof/>
        </w:rPr>
        <w:t xml:space="preserve">In relation to copper switch-off, SMP operators are already required to notify decommissioning plans to the NRA. The DNA is likely to affect the timing rather than the extent of NRAs' resourcing needs. In the nine countries planning CSO by 2030, few changes are expected. </w:t>
      </w:r>
    </w:p>
    <w:p w14:paraId="08A56380" w14:textId="7B5CD302" w:rsidR="000771EA" w:rsidRPr="00D86314" w:rsidRDefault="000771EA" w:rsidP="000771EA">
      <w:pPr>
        <w:rPr>
          <w:noProof/>
        </w:rPr>
      </w:pPr>
      <w:r w:rsidRPr="00D86314">
        <w:rPr>
          <w:noProof/>
        </w:rPr>
        <w:t>Other countries may need more resources to oversee the transition to FTTH post-DNA implementation.</w:t>
      </w:r>
      <w:r w:rsidR="147CE673" w:rsidRPr="00D86314">
        <w:rPr>
          <w:noProof/>
        </w:rPr>
        <w:t xml:space="preserve"> </w:t>
      </w:r>
      <w:r w:rsidRPr="00D86314">
        <w:rPr>
          <w:noProof/>
        </w:rPr>
        <w:t>Many Member States already have experts focused on this topic. For instance, Germany is engaged in various activities despite lacking formal plans. Additional costs will arise from expanding these activities to less-prepared Member States and extending requirements, such as reviewing switch-off plans</w:t>
      </w:r>
      <w:r w:rsidR="051BD119" w:rsidRPr="00D86314">
        <w:rPr>
          <w:noProof/>
        </w:rPr>
        <w:t xml:space="preserve">, advising governments </w:t>
      </w:r>
      <w:r w:rsidRPr="00D86314">
        <w:rPr>
          <w:noProof/>
        </w:rPr>
        <w:t>and accelerating FTTH deployment.</w:t>
      </w:r>
      <w:r w:rsidR="0C8EE30D" w:rsidRPr="00D86314">
        <w:rPr>
          <w:noProof/>
        </w:rPr>
        <w:t xml:space="preserve"> </w:t>
      </w:r>
      <w:r w:rsidRPr="00D86314">
        <w:rPr>
          <w:noProof/>
        </w:rPr>
        <w:t xml:space="preserve">Estimating precise costs is challenging without current resourcing data, but employing an additional 5 FTE per Member State (or 7-8 FTE in 18 Member States planning CSO before 2030) could require around 189 FTE, increasing resourcing needs by about </w:t>
      </w:r>
      <w:r w:rsidR="00CE7D7D" w:rsidRPr="00D86314">
        <w:rPr>
          <w:noProof/>
        </w:rPr>
        <w:t>EUR </w:t>
      </w:r>
      <w:r w:rsidRPr="00D86314">
        <w:rPr>
          <w:noProof/>
        </w:rPr>
        <w:t>13</w:t>
      </w:r>
      <w:r w:rsidR="00CE7D7D" w:rsidRPr="00D86314">
        <w:rPr>
          <w:noProof/>
        </w:rPr>
        <w:t xml:space="preserve"> </w:t>
      </w:r>
      <w:r w:rsidRPr="00D86314">
        <w:rPr>
          <w:noProof/>
        </w:rPr>
        <w:t>m</w:t>
      </w:r>
      <w:r w:rsidR="00CE7D7D" w:rsidRPr="00D86314">
        <w:rPr>
          <w:noProof/>
        </w:rPr>
        <w:t>illion</w:t>
      </w:r>
      <w:r w:rsidRPr="00D86314">
        <w:rPr>
          <w:noProof/>
        </w:rPr>
        <w:t xml:space="preserve"> if 50 FTE are currently engaged in CSO support across the EU. Additionally, 54 FTE might be needed for market analyses related to CSO, costing around </w:t>
      </w:r>
      <w:r w:rsidR="003F624D" w:rsidRPr="00D86314">
        <w:rPr>
          <w:noProof/>
        </w:rPr>
        <w:t>EUR </w:t>
      </w:r>
      <w:r w:rsidRPr="00D86314">
        <w:rPr>
          <w:noProof/>
        </w:rPr>
        <w:t>5</w:t>
      </w:r>
      <w:r w:rsidR="003F624D" w:rsidRPr="00D86314">
        <w:rPr>
          <w:noProof/>
        </w:rPr>
        <w:t xml:space="preserve"> </w:t>
      </w:r>
      <w:r w:rsidRPr="00D86314">
        <w:rPr>
          <w:noProof/>
        </w:rPr>
        <w:t>m</w:t>
      </w:r>
      <w:r w:rsidR="003F624D" w:rsidRPr="00D86314">
        <w:rPr>
          <w:noProof/>
        </w:rPr>
        <w:t>illion</w:t>
      </w:r>
      <w:r w:rsidRPr="00D86314">
        <w:rPr>
          <w:noProof/>
        </w:rPr>
        <w:t>.</w:t>
      </w:r>
    </w:p>
    <w:p w14:paraId="4BE6E8B6" w14:textId="0F5943C1" w:rsidR="000771EA" w:rsidRPr="00D86314" w:rsidRDefault="000771EA" w:rsidP="000771EA">
      <w:pPr>
        <w:rPr>
          <w:noProof/>
        </w:rPr>
      </w:pPr>
      <w:bookmarkStart w:id="287" w:name="_Toc95407284"/>
      <w:bookmarkStart w:id="288" w:name="_Toc208240003"/>
      <w:r w:rsidRPr="00D86314">
        <w:rPr>
          <w:noProof/>
        </w:rPr>
        <w:t>The obligation to gather data at a more granular level will have limited resource implications in countries already collecting such data</w:t>
      </w:r>
      <w:r w:rsidR="58036617" w:rsidRPr="00D86314">
        <w:rPr>
          <w:noProof/>
        </w:rPr>
        <w:t xml:space="preserve">, based on </w:t>
      </w:r>
      <w:r w:rsidRPr="00D86314">
        <w:rPr>
          <w:noProof/>
        </w:rPr>
        <w:t xml:space="preserve">the </w:t>
      </w:r>
      <w:r w:rsidR="58036617" w:rsidRPr="00D86314">
        <w:rPr>
          <w:noProof/>
        </w:rPr>
        <w:t xml:space="preserve">current code, </w:t>
      </w:r>
      <w:r w:rsidRPr="00D86314">
        <w:rPr>
          <w:noProof/>
        </w:rPr>
        <w:t xml:space="preserve">but may increase the frequency of data gathering. Countries not currently collecting granular data will need additional resources, involving one-off costs to adapt data gathering systems and recurring increases in resources. Developing new guidelines at the EU level will also require resources. Set-up costs for new data gathering templates are estimated at 2 FTE at the EU level (e.g., in BEREC) and 0.5 FTE per NRA, </w:t>
      </w:r>
      <w:r w:rsidR="00100021" w:rsidRPr="00D86314">
        <w:rPr>
          <w:noProof/>
        </w:rPr>
        <w:t>totalling</w:t>
      </w:r>
      <w:r w:rsidRPr="00D86314">
        <w:rPr>
          <w:noProof/>
        </w:rPr>
        <w:t xml:space="preserve"> 15.5 FTE on a one-off basis, costing around </w:t>
      </w:r>
      <w:r w:rsidR="00100021" w:rsidRPr="00D86314">
        <w:rPr>
          <w:noProof/>
        </w:rPr>
        <w:t>EUR </w:t>
      </w:r>
      <w:r w:rsidRPr="00D86314">
        <w:rPr>
          <w:noProof/>
        </w:rPr>
        <w:t>1.5</w:t>
      </w:r>
      <w:r w:rsidR="00100021" w:rsidRPr="00D86314">
        <w:rPr>
          <w:noProof/>
        </w:rPr>
        <w:t xml:space="preserve"> </w:t>
      </w:r>
      <w:r w:rsidRPr="00D86314">
        <w:rPr>
          <w:noProof/>
        </w:rPr>
        <w:t>m</w:t>
      </w:r>
      <w:r w:rsidR="00100021" w:rsidRPr="00D86314">
        <w:rPr>
          <w:noProof/>
        </w:rPr>
        <w:t>illion</w:t>
      </w:r>
      <w:r w:rsidRPr="00D86314">
        <w:rPr>
          <w:noProof/>
        </w:rPr>
        <w:t xml:space="preserve">. A 50% increase in resources devoted to data gathering, based on current annual resources of around 265 FTE, would result in additional annual resourcing needs of 132.5 FTE, costing around </w:t>
      </w:r>
      <w:r w:rsidR="00100021" w:rsidRPr="00D86314">
        <w:rPr>
          <w:noProof/>
        </w:rPr>
        <w:t>EUR </w:t>
      </w:r>
      <w:r w:rsidRPr="00D86314">
        <w:rPr>
          <w:noProof/>
        </w:rPr>
        <w:t>12.6</w:t>
      </w:r>
      <w:r w:rsidR="00BC2EE5" w:rsidRPr="00D86314">
        <w:rPr>
          <w:noProof/>
        </w:rPr>
        <w:t xml:space="preserve"> </w:t>
      </w:r>
      <w:r w:rsidRPr="00D86314">
        <w:rPr>
          <w:noProof/>
        </w:rPr>
        <w:t>m</w:t>
      </w:r>
      <w:r w:rsidR="00BC2EE5" w:rsidRPr="00D86314">
        <w:rPr>
          <w:noProof/>
        </w:rPr>
        <w:t>illion</w:t>
      </w:r>
      <w:r w:rsidRPr="00D86314">
        <w:rPr>
          <w:noProof/>
        </w:rPr>
        <w:t xml:space="preserve"> across the EU.</w:t>
      </w:r>
    </w:p>
    <w:p w14:paraId="747A6555" w14:textId="722EC4F2" w:rsidR="000771EA" w:rsidRPr="00D86314" w:rsidRDefault="000771EA" w:rsidP="000771EA">
      <w:pPr>
        <w:rPr>
          <w:noProof/>
        </w:rPr>
      </w:pPr>
      <w:r w:rsidRPr="00D86314">
        <w:rPr>
          <w:noProof/>
        </w:rPr>
        <w:t>Changes to access regulation, with an increased focus on Article</w:t>
      </w:r>
      <w:r w:rsidR="004A758B">
        <w:rPr>
          <w:noProof/>
        </w:rPr>
        <w:t> </w:t>
      </w:r>
      <w:r w:rsidRPr="00D86314">
        <w:rPr>
          <w:noProof/>
        </w:rPr>
        <w:t>61(3) for in-building wiring, may require additional resources. However, expanded use of Article</w:t>
      </w:r>
      <w:r w:rsidR="004A758B">
        <w:rPr>
          <w:noProof/>
        </w:rPr>
        <w:t> </w:t>
      </w:r>
      <w:r w:rsidRPr="00D86314">
        <w:rPr>
          <w:noProof/>
        </w:rPr>
        <w:t>61(3) beyond the first distribution point could enable cost efficiencies, potentially balancing out the costs. If the RRM becomes optional, the need for ex ante regulation may decrease, reducing the number of market reviews over time. This could be counteracted by increased resources for conducting the 3CT for all markets and additional analysis triggered by regional data considerations. Overall, there is likely to be no change in resourcing and administrative costs associated with market reviews, but NRAs may face higher legal challenges and associated costs when they intervene.</w:t>
      </w:r>
    </w:p>
    <w:p w14:paraId="168E5834" w14:textId="321E4D33" w:rsidR="000771EA" w:rsidRPr="00D86314" w:rsidRDefault="000771EA" w:rsidP="000771EA">
      <w:pPr>
        <w:rPr>
          <w:noProof/>
        </w:rPr>
      </w:pPr>
      <w:r w:rsidRPr="00D86314">
        <w:rPr>
          <w:noProof/>
        </w:rPr>
        <w:t xml:space="preserve">For harmonized wholesale product specifications, set-up costs would be incurred by BEREC and contributing NRAs. This includes a one-off contribution of 2x3 FTEs over two years for developing BEREC guidelines and an additional 0.5 FTE per Member State over three years for national specifications. The total one-off resourcing need is estimated at around 46.5 FTE, costing approximately </w:t>
      </w:r>
      <w:r w:rsidR="00BC2EE5" w:rsidRPr="00D86314">
        <w:rPr>
          <w:noProof/>
        </w:rPr>
        <w:t>EUR </w:t>
      </w:r>
      <w:r w:rsidRPr="00D86314">
        <w:rPr>
          <w:noProof/>
        </w:rPr>
        <w:t>4.4</w:t>
      </w:r>
      <w:r w:rsidR="00BC2EE5" w:rsidRPr="00D86314">
        <w:rPr>
          <w:noProof/>
        </w:rPr>
        <w:t xml:space="preserve"> </w:t>
      </w:r>
      <w:r w:rsidRPr="00D86314">
        <w:rPr>
          <w:noProof/>
        </w:rPr>
        <w:t>m</w:t>
      </w:r>
      <w:r w:rsidR="00BC2EE5" w:rsidRPr="00D86314">
        <w:rPr>
          <w:noProof/>
        </w:rPr>
        <w:t>illion</w:t>
      </w:r>
      <w:r w:rsidRPr="00D86314">
        <w:rPr>
          <w:noProof/>
        </w:rPr>
        <w:t>.</w:t>
      </w:r>
    </w:p>
    <w:p w14:paraId="6DDA9323" w14:textId="07467379" w:rsidR="000771EA" w:rsidRPr="00D86314" w:rsidRDefault="000771EA" w:rsidP="00271373">
      <w:pPr>
        <w:pStyle w:val="Tabberschrift"/>
        <w:ind w:left="1701" w:hanging="1701"/>
        <w:rPr>
          <w:rFonts w:ascii="Times New Roman" w:hAnsi="Times New Roman"/>
          <w:noProof/>
          <w:szCs w:val="22"/>
        </w:rPr>
      </w:pPr>
      <w:r w:rsidRPr="00D86314">
        <w:rPr>
          <w:rFonts w:ascii="Times New Roman" w:hAnsi="Times New Roman"/>
          <w:noProof/>
          <w:szCs w:val="22"/>
        </w:rPr>
        <w:t>Table</w:t>
      </w:r>
      <w:r w:rsidR="00F06D39" w:rsidRPr="00D86314">
        <w:rPr>
          <w:rFonts w:ascii="Times New Roman" w:hAnsi="Times New Roman"/>
          <w:noProof/>
          <w:szCs w:val="22"/>
        </w:rPr>
        <w:t xml:space="preserve"> A9 1-10</w:t>
      </w:r>
      <w:r w:rsidRPr="00D86314">
        <w:rPr>
          <w:rFonts w:ascii="Times New Roman" w:hAnsi="Times New Roman"/>
          <w:noProof/>
          <w:szCs w:val="22"/>
        </w:rPr>
        <w:t>:Estimated costs and benefits to NRAs and other competent authorities linked to the preferred DNA option</w:t>
      </w:r>
      <w:bookmarkEnd w:id="287"/>
      <w:bookmarkEnd w:id="288"/>
    </w:p>
    <w:tbl>
      <w:tblPr>
        <w:tblStyle w:val="TableGrid1"/>
        <w:tblW w:w="0" w:type="auto"/>
        <w:tblLook w:val="04A0" w:firstRow="1" w:lastRow="0" w:firstColumn="1" w:lastColumn="0" w:noHBand="0" w:noVBand="1"/>
      </w:tblPr>
      <w:tblGrid>
        <w:gridCol w:w="3867"/>
        <w:gridCol w:w="1497"/>
        <w:gridCol w:w="1618"/>
        <w:gridCol w:w="1626"/>
      </w:tblGrid>
      <w:tr w:rsidR="000771EA" w:rsidRPr="00D86314" w14:paraId="11E3091E" w14:textId="77777777">
        <w:tc>
          <w:tcPr>
            <w:tcW w:w="5487" w:type="dxa"/>
            <w:gridSpan w:val="2"/>
            <w:vMerge w:val="restart"/>
            <w:hideMark/>
          </w:tcPr>
          <w:p w14:paraId="754B9428" w14:textId="77777777" w:rsidR="000771EA" w:rsidRPr="00D86314" w:rsidRDefault="000771EA">
            <w:pPr>
              <w:keepNext/>
              <w:spacing w:before="40" w:after="40"/>
              <w:rPr>
                <w:noProof/>
                <w:sz w:val="16"/>
                <w:szCs w:val="16"/>
                <w:lang w:val="en-GB"/>
              </w:rPr>
            </w:pPr>
            <w:r w:rsidRPr="00D86314">
              <w:rPr>
                <w:noProof/>
                <w:sz w:val="16"/>
                <w:szCs w:val="16"/>
                <w:lang w:val="en-GB"/>
              </w:rPr>
              <w:t> </w:t>
            </w:r>
          </w:p>
        </w:tc>
        <w:tc>
          <w:tcPr>
            <w:tcW w:w="3282" w:type="dxa"/>
            <w:gridSpan w:val="2"/>
            <w:hideMark/>
          </w:tcPr>
          <w:p w14:paraId="6F7FB8D7" w14:textId="77777777" w:rsidR="000771EA" w:rsidRPr="00D86314" w:rsidRDefault="000771EA">
            <w:pPr>
              <w:keepNext/>
              <w:spacing w:before="40" w:after="40"/>
              <w:rPr>
                <w:b/>
                <w:noProof/>
                <w:sz w:val="16"/>
                <w:szCs w:val="16"/>
                <w:lang w:val="en-GB"/>
              </w:rPr>
            </w:pPr>
            <w:r w:rsidRPr="00D86314">
              <w:rPr>
                <w:b/>
                <w:noProof/>
                <w:sz w:val="16"/>
                <w:szCs w:val="16"/>
                <w:lang w:val="en-GB"/>
              </w:rPr>
              <w:t>NRAs and other competent authorities</w:t>
            </w:r>
          </w:p>
        </w:tc>
      </w:tr>
      <w:tr w:rsidR="000771EA" w:rsidRPr="00D86314" w14:paraId="369FF4F9" w14:textId="77777777">
        <w:tc>
          <w:tcPr>
            <w:tcW w:w="5487" w:type="dxa"/>
            <w:gridSpan w:val="2"/>
            <w:vMerge/>
            <w:hideMark/>
          </w:tcPr>
          <w:p w14:paraId="4DE184DC" w14:textId="77777777" w:rsidR="000771EA" w:rsidRPr="00D86314" w:rsidRDefault="000771EA">
            <w:pPr>
              <w:keepNext/>
              <w:spacing w:before="40" w:after="40"/>
              <w:rPr>
                <w:noProof/>
                <w:sz w:val="16"/>
                <w:szCs w:val="16"/>
                <w:lang w:val="en-GB"/>
              </w:rPr>
            </w:pPr>
          </w:p>
        </w:tc>
        <w:tc>
          <w:tcPr>
            <w:tcW w:w="1636" w:type="dxa"/>
            <w:hideMark/>
          </w:tcPr>
          <w:p w14:paraId="5FB2D844" w14:textId="77777777" w:rsidR="000771EA" w:rsidRPr="00D86314" w:rsidRDefault="000771EA">
            <w:pPr>
              <w:keepNext/>
              <w:spacing w:before="40" w:after="40"/>
              <w:rPr>
                <w:b/>
                <w:noProof/>
                <w:sz w:val="16"/>
                <w:szCs w:val="16"/>
                <w:lang w:val="en-GB"/>
              </w:rPr>
            </w:pPr>
            <w:r w:rsidRPr="00D86314">
              <w:rPr>
                <w:b/>
                <w:noProof/>
                <w:sz w:val="16"/>
                <w:szCs w:val="16"/>
                <w:lang w:val="en-GB"/>
              </w:rPr>
              <w:t>One-off</w:t>
            </w:r>
          </w:p>
        </w:tc>
        <w:tc>
          <w:tcPr>
            <w:tcW w:w="1646" w:type="dxa"/>
            <w:hideMark/>
          </w:tcPr>
          <w:p w14:paraId="6B1F9B91" w14:textId="77777777" w:rsidR="000771EA" w:rsidRPr="00D86314" w:rsidRDefault="000771EA">
            <w:pPr>
              <w:keepNext/>
              <w:spacing w:before="40" w:after="40"/>
              <w:rPr>
                <w:b/>
                <w:noProof/>
                <w:sz w:val="16"/>
                <w:szCs w:val="16"/>
                <w:lang w:val="en-GB"/>
              </w:rPr>
            </w:pPr>
            <w:r w:rsidRPr="00D86314">
              <w:rPr>
                <w:b/>
                <w:noProof/>
                <w:sz w:val="16"/>
                <w:szCs w:val="16"/>
                <w:lang w:val="en-GB"/>
              </w:rPr>
              <w:t>Recurrent</w:t>
            </w:r>
          </w:p>
        </w:tc>
      </w:tr>
      <w:tr w:rsidR="000771EA" w:rsidRPr="00D86314" w14:paraId="4208CE04" w14:textId="77777777">
        <w:tc>
          <w:tcPr>
            <w:tcW w:w="3963" w:type="dxa"/>
            <w:vMerge w:val="restart"/>
          </w:tcPr>
          <w:p w14:paraId="3185D27E" w14:textId="77777777" w:rsidR="000771EA" w:rsidRPr="00D86314" w:rsidRDefault="000771EA">
            <w:pPr>
              <w:keepNext/>
              <w:spacing w:before="40" w:after="40"/>
              <w:rPr>
                <w:b/>
                <w:noProof/>
                <w:sz w:val="16"/>
                <w:szCs w:val="16"/>
                <w:lang w:val="en-GB"/>
              </w:rPr>
            </w:pPr>
            <w:r w:rsidRPr="00A36024">
              <w:rPr>
                <w:b/>
                <w:bCs/>
                <w:noProof/>
                <w:sz w:val="16"/>
                <w:szCs w:val="16"/>
              </w:rPr>
              <w:t>Copper switch-off</w:t>
            </w:r>
          </w:p>
        </w:tc>
        <w:tc>
          <w:tcPr>
            <w:tcW w:w="1524" w:type="dxa"/>
          </w:tcPr>
          <w:p w14:paraId="75E90409"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074CCC6D" w14:textId="79D17C54" w:rsidR="000771EA" w:rsidRPr="00D86314" w:rsidRDefault="000771EA">
            <w:pPr>
              <w:keepNext/>
              <w:spacing w:before="40" w:after="40"/>
              <w:rPr>
                <w:noProof/>
                <w:sz w:val="16"/>
                <w:szCs w:val="16"/>
                <w:lang w:val="en-GB"/>
              </w:rPr>
            </w:pPr>
            <w:r w:rsidRPr="00C20A01">
              <w:rPr>
                <w:noProof/>
                <w:sz w:val="16"/>
                <w:szCs w:val="16"/>
                <w:lang w:val="en-GB"/>
              </w:rPr>
              <w:t xml:space="preserve">139 FTE additional </w:t>
            </w:r>
            <w:r w:rsidR="00D21E6F" w:rsidRPr="00C20A01">
              <w:rPr>
                <w:noProof/>
                <w:sz w:val="16"/>
                <w:szCs w:val="16"/>
                <w:lang w:val="en-GB"/>
              </w:rPr>
              <w:t>~EUR </w:t>
            </w:r>
            <w:r w:rsidRPr="00C20A01">
              <w:rPr>
                <w:noProof/>
                <w:sz w:val="16"/>
                <w:szCs w:val="16"/>
                <w:lang w:val="en-GB"/>
              </w:rPr>
              <w:t>13.2</w:t>
            </w:r>
            <w:r w:rsidR="002F5E56" w:rsidRPr="00C20A01">
              <w:rPr>
                <w:noProof/>
                <w:sz w:val="16"/>
                <w:szCs w:val="16"/>
                <w:lang w:val="en-GB"/>
              </w:rPr>
              <w:t xml:space="preserve"> </w:t>
            </w:r>
            <w:r w:rsidRPr="00C20A01">
              <w:rPr>
                <w:noProof/>
                <w:sz w:val="16"/>
                <w:szCs w:val="16"/>
                <w:lang w:val="en-GB"/>
              </w:rPr>
              <w:t>m for review of CSO plans</w:t>
            </w:r>
          </w:p>
          <w:p w14:paraId="284B2E84" w14:textId="45FD4A54" w:rsidR="000771EA" w:rsidRPr="00D86314" w:rsidRDefault="000771EA">
            <w:pPr>
              <w:keepNext/>
              <w:spacing w:before="40" w:after="40"/>
              <w:rPr>
                <w:noProof/>
                <w:sz w:val="16"/>
                <w:szCs w:val="16"/>
                <w:lang w:val="en-GB"/>
              </w:rPr>
            </w:pPr>
            <w:r w:rsidRPr="00C20A01">
              <w:rPr>
                <w:noProof/>
                <w:sz w:val="16"/>
                <w:szCs w:val="16"/>
                <w:lang w:val="en-GB"/>
              </w:rPr>
              <w:t>54 additional FTEs for CSO market review ~</w:t>
            </w:r>
            <w:r w:rsidR="008C321D" w:rsidRPr="00C20A01">
              <w:rPr>
                <w:noProof/>
                <w:sz w:val="16"/>
                <w:szCs w:val="16"/>
                <w:lang w:val="en-GB"/>
              </w:rPr>
              <w:t>EUR </w:t>
            </w:r>
            <w:r w:rsidRPr="00C20A01">
              <w:rPr>
                <w:noProof/>
                <w:sz w:val="16"/>
                <w:szCs w:val="16"/>
                <w:lang w:val="en-GB"/>
              </w:rPr>
              <w:t>5.2</w:t>
            </w:r>
            <w:r w:rsidR="002F5E56" w:rsidRPr="00C20A01">
              <w:rPr>
                <w:noProof/>
                <w:sz w:val="16"/>
                <w:szCs w:val="16"/>
                <w:lang w:val="en-GB"/>
              </w:rPr>
              <w:t xml:space="preserve"> </w:t>
            </w:r>
            <w:r w:rsidRPr="00C20A01">
              <w:rPr>
                <w:noProof/>
                <w:sz w:val="16"/>
                <w:szCs w:val="16"/>
                <w:lang w:val="en-GB"/>
              </w:rPr>
              <w:t>m</w:t>
            </w:r>
          </w:p>
        </w:tc>
        <w:tc>
          <w:tcPr>
            <w:tcW w:w="1646" w:type="dxa"/>
          </w:tcPr>
          <w:p w14:paraId="67444B47" w14:textId="77777777" w:rsidR="000771EA" w:rsidRPr="00D86314" w:rsidRDefault="000771EA">
            <w:pPr>
              <w:keepNext/>
              <w:spacing w:before="40" w:after="40"/>
              <w:rPr>
                <w:noProof/>
                <w:sz w:val="16"/>
                <w:szCs w:val="16"/>
                <w:lang w:val="en-GB"/>
              </w:rPr>
            </w:pPr>
          </w:p>
        </w:tc>
      </w:tr>
      <w:tr w:rsidR="000771EA" w:rsidRPr="00D86314" w14:paraId="245EAA91" w14:textId="77777777">
        <w:tc>
          <w:tcPr>
            <w:tcW w:w="3963" w:type="dxa"/>
            <w:vMerge/>
          </w:tcPr>
          <w:p w14:paraId="66D44685" w14:textId="77777777" w:rsidR="000771EA" w:rsidRPr="00D86314" w:rsidRDefault="000771EA">
            <w:pPr>
              <w:keepNext/>
              <w:spacing w:before="40" w:after="40"/>
              <w:rPr>
                <w:b/>
                <w:noProof/>
                <w:sz w:val="16"/>
                <w:szCs w:val="16"/>
                <w:lang w:val="en-GB"/>
              </w:rPr>
            </w:pPr>
          </w:p>
        </w:tc>
        <w:tc>
          <w:tcPr>
            <w:tcW w:w="1524" w:type="dxa"/>
          </w:tcPr>
          <w:p w14:paraId="78A238B3"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3282" w:type="dxa"/>
            <w:gridSpan w:val="2"/>
          </w:tcPr>
          <w:p w14:paraId="026629CF" w14:textId="77777777" w:rsidR="000771EA" w:rsidRPr="00D86314" w:rsidRDefault="000771EA">
            <w:pPr>
              <w:keepNext/>
              <w:spacing w:before="40" w:after="40"/>
              <w:rPr>
                <w:noProof/>
                <w:sz w:val="16"/>
                <w:szCs w:val="16"/>
                <w:lang w:val="en-GB"/>
              </w:rPr>
            </w:pPr>
          </w:p>
        </w:tc>
      </w:tr>
      <w:tr w:rsidR="000771EA" w:rsidRPr="00D86314" w14:paraId="59A553D6" w14:textId="77777777">
        <w:tc>
          <w:tcPr>
            <w:tcW w:w="3963" w:type="dxa"/>
            <w:vMerge/>
          </w:tcPr>
          <w:p w14:paraId="5EC23147" w14:textId="77777777" w:rsidR="000771EA" w:rsidRPr="00D86314" w:rsidRDefault="000771EA">
            <w:pPr>
              <w:keepNext/>
              <w:spacing w:before="40" w:after="40"/>
              <w:rPr>
                <w:b/>
                <w:noProof/>
                <w:sz w:val="16"/>
                <w:szCs w:val="16"/>
                <w:lang w:val="en-GB"/>
              </w:rPr>
            </w:pPr>
          </w:p>
        </w:tc>
        <w:tc>
          <w:tcPr>
            <w:tcW w:w="1524" w:type="dxa"/>
          </w:tcPr>
          <w:p w14:paraId="5AE94EE7"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4384D327" w14:textId="77777777" w:rsidR="000771EA" w:rsidRPr="00D86314" w:rsidRDefault="000771EA">
            <w:pPr>
              <w:keepNext/>
              <w:spacing w:before="40" w:after="40"/>
              <w:rPr>
                <w:noProof/>
                <w:sz w:val="16"/>
                <w:szCs w:val="16"/>
                <w:lang w:val="en-GB"/>
              </w:rPr>
            </w:pPr>
          </w:p>
        </w:tc>
      </w:tr>
      <w:tr w:rsidR="000771EA" w:rsidRPr="00D86314" w14:paraId="5F07BADE" w14:textId="77777777">
        <w:tc>
          <w:tcPr>
            <w:tcW w:w="3963" w:type="dxa"/>
            <w:vMerge/>
          </w:tcPr>
          <w:p w14:paraId="368E1C53" w14:textId="77777777" w:rsidR="000771EA" w:rsidRPr="00D86314" w:rsidRDefault="000771EA">
            <w:pPr>
              <w:keepNext/>
              <w:spacing w:before="40" w:after="40"/>
              <w:rPr>
                <w:b/>
                <w:noProof/>
                <w:sz w:val="16"/>
                <w:szCs w:val="16"/>
                <w:lang w:val="en-GB"/>
              </w:rPr>
            </w:pPr>
          </w:p>
        </w:tc>
        <w:tc>
          <w:tcPr>
            <w:tcW w:w="1524" w:type="dxa"/>
          </w:tcPr>
          <w:p w14:paraId="04E15EFE"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5505EAA6" w14:textId="77777777" w:rsidR="000771EA" w:rsidRPr="00D86314" w:rsidRDefault="000771EA">
            <w:pPr>
              <w:keepNext/>
              <w:spacing w:before="40" w:after="40"/>
              <w:rPr>
                <w:noProof/>
                <w:sz w:val="16"/>
                <w:szCs w:val="16"/>
                <w:lang w:val="en-GB"/>
              </w:rPr>
            </w:pPr>
          </w:p>
        </w:tc>
      </w:tr>
      <w:tr w:rsidR="000771EA" w:rsidRPr="00D86314" w14:paraId="7D0EBDB7" w14:textId="77777777">
        <w:tc>
          <w:tcPr>
            <w:tcW w:w="3963" w:type="dxa"/>
            <w:vMerge w:val="restart"/>
          </w:tcPr>
          <w:p w14:paraId="4698CB50" w14:textId="77777777" w:rsidR="000771EA" w:rsidRPr="00D86314" w:rsidRDefault="000771EA">
            <w:pPr>
              <w:keepNext/>
              <w:spacing w:before="40" w:after="40"/>
              <w:rPr>
                <w:b/>
                <w:noProof/>
                <w:sz w:val="16"/>
                <w:szCs w:val="16"/>
                <w:lang w:val="en-GB"/>
              </w:rPr>
            </w:pPr>
            <w:r w:rsidRPr="00A36024">
              <w:rPr>
                <w:b/>
                <w:bCs/>
                <w:noProof/>
                <w:sz w:val="16"/>
                <w:szCs w:val="16"/>
              </w:rPr>
              <w:t>Access regulation: Data gathering</w:t>
            </w:r>
          </w:p>
        </w:tc>
        <w:tc>
          <w:tcPr>
            <w:tcW w:w="1524" w:type="dxa"/>
          </w:tcPr>
          <w:p w14:paraId="6EBC8EC8"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52BE7CE0" w14:textId="5BC8CDEA" w:rsidR="000771EA" w:rsidRPr="00D86314" w:rsidRDefault="000771EA">
            <w:pPr>
              <w:keepNext/>
              <w:spacing w:before="40" w:after="40"/>
              <w:rPr>
                <w:noProof/>
                <w:sz w:val="16"/>
                <w:szCs w:val="16"/>
                <w:lang w:val="en-GB"/>
              </w:rPr>
            </w:pPr>
            <w:r w:rsidRPr="00C20A01">
              <w:rPr>
                <w:noProof/>
                <w:sz w:val="16"/>
                <w:szCs w:val="16"/>
                <w:lang w:val="en-GB"/>
              </w:rPr>
              <w:t>15.5 FTE ~</w:t>
            </w:r>
            <w:r w:rsidR="00D21E6F" w:rsidRPr="00C20A01">
              <w:rPr>
                <w:noProof/>
                <w:sz w:val="16"/>
                <w:szCs w:val="16"/>
                <w:lang w:val="en-GB"/>
              </w:rPr>
              <w:t>EUR</w:t>
            </w:r>
            <w:r w:rsidR="008C321D" w:rsidRPr="00C20A01">
              <w:rPr>
                <w:noProof/>
                <w:sz w:val="16"/>
                <w:szCs w:val="16"/>
                <w:lang w:val="en-GB"/>
              </w:rPr>
              <w:t> </w:t>
            </w:r>
            <w:r w:rsidRPr="00C20A01">
              <w:rPr>
                <w:noProof/>
                <w:sz w:val="16"/>
                <w:szCs w:val="16"/>
                <w:lang w:val="en-GB"/>
              </w:rPr>
              <w:t>1.5</w:t>
            </w:r>
            <w:r w:rsidR="00950D34" w:rsidRPr="00C20A01">
              <w:rPr>
                <w:noProof/>
                <w:sz w:val="16"/>
                <w:szCs w:val="16"/>
                <w:lang w:val="en-GB"/>
              </w:rPr>
              <w:t xml:space="preserve"> </w:t>
            </w:r>
            <w:r w:rsidRPr="00C20A01">
              <w:rPr>
                <w:noProof/>
                <w:sz w:val="16"/>
                <w:szCs w:val="16"/>
                <w:lang w:val="en-GB"/>
              </w:rPr>
              <w:t>m for establishment of templates</w:t>
            </w:r>
          </w:p>
        </w:tc>
        <w:tc>
          <w:tcPr>
            <w:tcW w:w="1646" w:type="dxa"/>
          </w:tcPr>
          <w:p w14:paraId="70C97EB4" w14:textId="06824135" w:rsidR="000771EA" w:rsidRPr="00D86314" w:rsidRDefault="000771EA">
            <w:pPr>
              <w:keepNext/>
              <w:spacing w:before="40" w:after="40"/>
              <w:rPr>
                <w:noProof/>
                <w:sz w:val="16"/>
                <w:szCs w:val="16"/>
                <w:lang w:val="en-GB"/>
              </w:rPr>
            </w:pPr>
            <w:r w:rsidRPr="00A36024">
              <w:rPr>
                <w:noProof/>
                <w:sz w:val="16"/>
                <w:szCs w:val="16"/>
              </w:rPr>
              <w:t>132.5 FTE additional ~</w:t>
            </w:r>
            <w:r w:rsidR="008C321D" w:rsidRPr="00A36024">
              <w:rPr>
                <w:noProof/>
                <w:sz w:val="16"/>
                <w:szCs w:val="16"/>
              </w:rPr>
              <w:t>EUR </w:t>
            </w:r>
            <w:r w:rsidRPr="00A36024">
              <w:rPr>
                <w:noProof/>
                <w:sz w:val="16"/>
                <w:szCs w:val="16"/>
              </w:rPr>
              <w:t>12.6</w:t>
            </w:r>
            <w:r w:rsidR="00950D34" w:rsidRPr="00A36024">
              <w:rPr>
                <w:noProof/>
                <w:sz w:val="16"/>
                <w:szCs w:val="16"/>
              </w:rPr>
              <w:t xml:space="preserve"> </w:t>
            </w:r>
            <w:r w:rsidRPr="00A36024">
              <w:rPr>
                <w:noProof/>
                <w:sz w:val="16"/>
                <w:szCs w:val="16"/>
              </w:rPr>
              <w:t>m</w:t>
            </w:r>
          </w:p>
        </w:tc>
      </w:tr>
      <w:tr w:rsidR="000771EA" w:rsidRPr="00D86314" w14:paraId="48986B01" w14:textId="77777777">
        <w:tc>
          <w:tcPr>
            <w:tcW w:w="3963" w:type="dxa"/>
            <w:vMerge/>
          </w:tcPr>
          <w:p w14:paraId="39911F46" w14:textId="77777777" w:rsidR="000771EA" w:rsidRPr="00D86314" w:rsidRDefault="000771EA">
            <w:pPr>
              <w:keepNext/>
              <w:spacing w:before="40" w:after="40"/>
              <w:rPr>
                <w:b/>
                <w:noProof/>
                <w:sz w:val="16"/>
                <w:szCs w:val="16"/>
                <w:lang w:val="en-GB"/>
              </w:rPr>
            </w:pPr>
          </w:p>
        </w:tc>
        <w:tc>
          <w:tcPr>
            <w:tcW w:w="1524" w:type="dxa"/>
          </w:tcPr>
          <w:p w14:paraId="0F699BC5"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1636" w:type="dxa"/>
          </w:tcPr>
          <w:p w14:paraId="61899826" w14:textId="77777777" w:rsidR="000771EA" w:rsidRPr="00D86314" w:rsidRDefault="000771EA">
            <w:pPr>
              <w:keepNext/>
              <w:spacing w:before="40" w:after="40"/>
              <w:rPr>
                <w:noProof/>
                <w:sz w:val="16"/>
                <w:szCs w:val="16"/>
                <w:lang w:val="en-GB"/>
              </w:rPr>
            </w:pPr>
          </w:p>
        </w:tc>
        <w:tc>
          <w:tcPr>
            <w:tcW w:w="1646" w:type="dxa"/>
          </w:tcPr>
          <w:p w14:paraId="769EE3DC" w14:textId="77777777" w:rsidR="000771EA" w:rsidRPr="00D86314" w:rsidRDefault="000771EA">
            <w:pPr>
              <w:keepNext/>
              <w:spacing w:before="40" w:after="40"/>
              <w:rPr>
                <w:noProof/>
                <w:sz w:val="16"/>
                <w:szCs w:val="16"/>
                <w:lang w:val="en-GB"/>
              </w:rPr>
            </w:pPr>
          </w:p>
        </w:tc>
      </w:tr>
      <w:tr w:rsidR="000771EA" w:rsidRPr="00D86314" w14:paraId="40EEA287" w14:textId="77777777">
        <w:tc>
          <w:tcPr>
            <w:tcW w:w="3963" w:type="dxa"/>
            <w:vMerge/>
          </w:tcPr>
          <w:p w14:paraId="1A4DD76A" w14:textId="77777777" w:rsidR="000771EA" w:rsidRPr="00D86314" w:rsidRDefault="000771EA">
            <w:pPr>
              <w:keepNext/>
              <w:spacing w:before="40" w:after="40"/>
              <w:rPr>
                <w:b/>
                <w:noProof/>
                <w:sz w:val="16"/>
                <w:szCs w:val="16"/>
                <w:lang w:val="en-GB"/>
              </w:rPr>
            </w:pPr>
          </w:p>
        </w:tc>
        <w:tc>
          <w:tcPr>
            <w:tcW w:w="1524" w:type="dxa"/>
          </w:tcPr>
          <w:p w14:paraId="374DAD03"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39F32C13" w14:textId="77777777" w:rsidR="000771EA" w:rsidRPr="00D86314" w:rsidRDefault="000771EA">
            <w:pPr>
              <w:keepNext/>
              <w:spacing w:before="40" w:after="40"/>
              <w:rPr>
                <w:noProof/>
                <w:sz w:val="16"/>
                <w:szCs w:val="16"/>
                <w:lang w:val="en-GB"/>
              </w:rPr>
            </w:pPr>
            <w:r w:rsidRPr="00C20A01">
              <w:rPr>
                <w:noProof/>
                <w:sz w:val="16"/>
                <w:szCs w:val="16"/>
                <w:lang w:val="en-GB"/>
              </w:rPr>
              <w:t>More accurate data to input to geographic market analyses</w:t>
            </w:r>
          </w:p>
        </w:tc>
      </w:tr>
      <w:tr w:rsidR="000771EA" w:rsidRPr="00D86314" w14:paraId="79D648AA" w14:textId="77777777">
        <w:tc>
          <w:tcPr>
            <w:tcW w:w="3963" w:type="dxa"/>
            <w:vMerge/>
          </w:tcPr>
          <w:p w14:paraId="1DDDF5C7" w14:textId="77777777" w:rsidR="000771EA" w:rsidRPr="00D86314" w:rsidRDefault="000771EA">
            <w:pPr>
              <w:keepNext/>
              <w:spacing w:before="40" w:after="40"/>
              <w:rPr>
                <w:b/>
                <w:noProof/>
                <w:sz w:val="16"/>
                <w:szCs w:val="16"/>
                <w:lang w:val="en-GB"/>
              </w:rPr>
            </w:pPr>
          </w:p>
        </w:tc>
        <w:tc>
          <w:tcPr>
            <w:tcW w:w="1524" w:type="dxa"/>
          </w:tcPr>
          <w:p w14:paraId="672A99E0"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685E0442" w14:textId="77777777" w:rsidR="000771EA" w:rsidRPr="00D86314" w:rsidRDefault="000771EA">
            <w:pPr>
              <w:keepNext/>
              <w:spacing w:before="40" w:after="40"/>
              <w:rPr>
                <w:noProof/>
                <w:sz w:val="16"/>
                <w:szCs w:val="16"/>
                <w:lang w:val="en-GB"/>
              </w:rPr>
            </w:pPr>
          </w:p>
        </w:tc>
      </w:tr>
      <w:tr w:rsidR="000771EA" w:rsidRPr="00D86314" w14:paraId="276D9629" w14:textId="77777777">
        <w:tc>
          <w:tcPr>
            <w:tcW w:w="3963" w:type="dxa"/>
            <w:vMerge w:val="restart"/>
          </w:tcPr>
          <w:p w14:paraId="2CAEA928" w14:textId="61891AFE" w:rsidR="000771EA" w:rsidRPr="00D86314" w:rsidRDefault="000771EA">
            <w:pPr>
              <w:keepNext/>
              <w:spacing w:before="40" w:after="40"/>
              <w:rPr>
                <w:b/>
                <w:noProof/>
                <w:sz w:val="16"/>
                <w:szCs w:val="16"/>
                <w:lang w:val="en-GB"/>
              </w:rPr>
            </w:pPr>
            <w:r w:rsidRPr="00C20A01">
              <w:rPr>
                <w:b/>
                <w:noProof/>
                <w:sz w:val="16"/>
                <w:szCs w:val="16"/>
                <w:lang w:val="en-GB"/>
              </w:rPr>
              <w:t>Access regulation: Extension of Article 61(3). Potential for RRM to be made optional</w:t>
            </w:r>
          </w:p>
        </w:tc>
        <w:tc>
          <w:tcPr>
            <w:tcW w:w="1524" w:type="dxa"/>
          </w:tcPr>
          <w:p w14:paraId="439C1FB3"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5778EA65" w14:textId="77777777" w:rsidR="000771EA" w:rsidRPr="00D86314" w:rsidRDefault="000771EA">
            <w:pPr>
              <w:keepNext/>
              <w:spacing w:before="40" w:after="40"/>
              <w:rPr>
                <w:noProof/>
                <w:sz w:val="16"/>
                <w:szCs w:val="16"/>
                <w:lang w:val="en-GB"/>
              </w:rPr>
            </w:pPr>
            <w:r w:rsidRPr="00A36024">
              <w:rPr>
                <w:noProof/>
                <w:sz w:val="16"/>
                <w:szCs w:val="16"/>
              </w:rPr>
              <w:t>No change</w:t>
            </w:r>
          </w:p>
        </w:tc>
        <w:tc>
          <w:tcPr>
            <w:tcW w:w="1646" w:type="dxa"/>
          </w:tcPr>
          <w:p w14:paraId="54C512C3" w14:textId="77777777" w:rsidR="000771EA" w:rsidRPr="00D86314" w:rsidRDefault="000771EA">
            <w:pPr>
              <w:keepNext/>
              <w:spacing w:before="40" w:after="40"/>
              <w:rPr>
                <w:noProof/>
                <w:sz w:val="16"/>
                <w:szCs w:val="16"/>
                <w:lang w:val="en-GB"/>
              </w:rPr>
            </w:pPr>
            <w:r w:rsidRPr="00C20A01">
              <w:rPr>
                <w:noProof/>
                <w:sz w:val="16"/>
                <w:szCs w:val="16"/>
                <w:lang w:val="en-GB"/>
              </w:rPr>
              <w:t>No change although there could be cost savings if Art 61(3) is used instead of SMP WLA in cases of local monopoly</w:t>
            </w:r>
          </w:p>
        </w:tc>
      </w:tr>
      <w:tr w:rsidR="000771EA" w:rsidRPr="00D86314" w14:paraId="6E690D3A" w14:textId="77777777">
        <w:tc>
          <w:tcPr>
            <w:tcW w:w="3963" w:type="dxa"/>
            <w:vMerge/>
          </w:tcPr>
          <w:p w14:paraId="32267C23" w14:textId="77777777" w:rsidR="000771EA" w:rsidRPr="00D86314" w:rsidRDefault="000771EA">
            <w:pPr>
              <w:keepNext/>
              <w:spacing w:before="40" w:after="40"/>
              <w:rPr>
                <w:b/>
                <w:noProof/>
                <w:sz w:val="16"/>
                <w:szCs w:val="16"/>
                <w:lang w:val="en-GB"/>
              </w:rPr>
            </w:pPr>
          </w:p>
        </w:tc>
        <w:tc>
          <w:tcPr>
            <w:tcW w:w="1524" w:type="dxa"/>
          </w:tcPr>
          <w:p w14:paraId="09750B02"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3282" w:type="dxa"/>
            <w:gridSpan w:val="2"/>
          </w:tcPr>
          <w:p w14:paraId="6A33F95B" w14:textId="77777777" w:rsidR="000771EA" w:rsidRPr="00D86314" w:rsidRDefault="000771EA">
            <w:pPr>
              <w:keepNext/>
              <w:spacing w:before="40" w:after="40"/>
              <w:rPr>
                <w:noProof/>
                <w:sz w:val="16"/>
                <w:szCs w:val="16"/>
                <w:lang w:val="en-GB"/>
              </w:rPr>
            </w:pPr>
            <w:r w:rsidRPr="00C20A01">
              <w:rPr>
                <w:noProof/>
                <w:sz w:val="16"/>
                <w:szCs w:val="16"/>
                <w:lang w:val="en-GB"/>
              </w:rPr>
              <w:t>If RRM optional, reduced legal certainty / threat of legal challenge and associated costs</w:t>
            </w:r>
          </w:p>
          <w:p w14:paraId="66F209A6" w14:textId="77777777" w:rsidR="000771EA" w:rsidRPr="00D86314" w:rsidRDefault="000771EA">
            <w:pPr>
              <w:keepNext/>
              <w:spacing w:before="40" w:after="40"/>
              <w:rPr>
                <w:noProof/>
                <w:sz w:val="16"/>
                <w:szCs w:val="16"/>
                <w:lang w:val="en-GB"/>
              </w:rPr>
            </w:pPr>
            <w:r w:rsidRPr="00C20A01">
              <w:rPr>
                <w:noProof/>
                <w:sz w:val="16"/>
                <w:szCs w:val="16"/>
                <w:lang w:val="en-GB"/>
              </w:rPr>
              <w:t>Increased risk of under-regulation (but impacts mainly on ECN operators and end-users)</w:t>
            </w:r>
          </w:p>
        </w:tc>
      </w:tr>
      <w:tr w:rsidR="000771EA" w:rsidRPr="00D86314" w14:paraId="2C7F7C0F" w14:textId="77777777">
        <w:tc>
          <w:tcPr>
            <w:tcW w:w="3963" w:type="dxa"/>
            <w:vMerge/>
          </w:tcPr>
          <w:p w14:paraId="4F2D67CD" w14:textId="77777777" w:rsidR="000771EA" w:rsidRPr="00D86314" w:rsidRDefault="000771EA">
            <w:pPr>
              <w:keepNext/>
              <w:spacing w:before="40" w:after="40"/>
              <w:rPr>
                <w:b/>
                <w:noProof/>
                <w:sz w:val="16"/>
                <w:szCs w:val="16"/>
                <w:lang w:val="en-GB"/>
              </w:rPr>
            </w:pPr>
          </w:p>
        </w:tc>
        <w:tc>
          <w:tcPr>
            <w:tcW w:w="1524" w:type="dxa"/>
          </w:tcPr>
          <w:p w14:paraId="1BF3F586"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791EC52E" w14:textId="77777777" w:rsidR="000771EA" w:rsidRPr="00D86314" w:rsidRDefault="000771EA">
            <w:pPr>
              <w:keepNext/>
              <w:spacing w:before="40" w:after="40"/>
              <w:rPr>
                <w:noProof/>
                <w:sz w:val="16"/>
                <w:szCs w:val="16"/>
                <w:lang w:val="en-GB"/>
              </w:rPr>
            </w:pPr>
          </w:p>
        </w:tc>
      </w:tr>
      <w:tr w:rsidR="000771EA" w:rsidRPr="00D86314" w14:paraId="01E60534" w14:textId="77777777">
        <w:tc>
          <w:tcPr>
            <w:tcW w:w="3963" w:type="dxa"/>
            <w:vMerge/>
          </w:tcPr>
          <w:p w14:paraId="31C71927" w14:textId="77777777" w:rsidR="000771EA" w:rsidRPr="00D86314" w:rsidRDefault="000771EA">
            <w:pPr>
              <w:keepNext/>
              <w:spacing w:before="40" w:after="40"/>
              <w:rPr>
                <w:b/>
                <w:noProof/>
                <w:sz w:val="16"/>
                <w:szCs w:val="16"/>
                <w:lang w:val="en-GB"/>
              </w:rPr>
            </w:pPr>
          </w:p>
        </w:tc>
        <w:tc>
          <w:tcPr>
            <w:tcW w:w="1524" w:type="dxa"/>
          </w:tcPr>
          <w:p w14:paraId="3E1CAE82"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6D5F73AF" w14:textId="77777777" w:rsidR="000771EA" w:rsidRPr="00D86314" w:rsidRDefault="000771EA">
            <w:pPr>
              <w:keepNext/>
              <w:spacing w:before="40" w:after="40"/>
              <w:rPr>
                <w:noProof/>
                <w:sz w:val="16"/>
                <w:szCs w:val="16"/>
                <w:lang w:val="en-GB"/>
              </w:rPr>
            </w:pPr>
          </w:p>
        </w:tc>
      </w:tr>
      <w:tr w:rsidR="000771EA" w:rsidRPr="00D86314" w14:paraId="7FA951C6" w14:textId="77777777">
        <w:tc>
          <w:tcPr>
            <w:tcW w:w="3963" w:type="dxa"/>
            <w:vMerge w:val="restart"/>
          </w:tcPr>
          <w:p w14:paraId="70623C7B" w14:textId="77777777" w:rsidR="000771EA" w:rsidRPr="00D86314" w:rsidRDefault="000771EA">
            <w:pPr>
              <w:keepNext/>
              <w:spacing w:before="40" w:after="40"/>
              <w:rPr>
                <w:b/>
                <w:noProof/>
                <w:sz w:val="16"/>
                <w:szCs w:val="16"/>
                <w:lang w:val="en-GB"/>
              </w:rPr>
            </w:pPr>
            <w:r w:rsidRPr="00C20A01">
              <w:rPr>
                <w:b/>
                <w:noProof/>
                <w:sz w:val="16"/>
                <w:szCs w:val="16"/>
                <w:lang w:val="en-GB"/>
              </w:rPr>
              <w:t>Access regulation: Harmonised wholesale products</w:t>
            </w:r>
          </w:p>
        </w:tc>
        <w:tc>
          <w:tcPr>
            <w:tcW w:w="1524" w:type="dxa"/>
          </w:tcPr>
          <w:p w14:paraId="03B73B6B"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276F1E50" w14:textId="15E077AA" w:rsidR="000771EA" w:rsidRPr="00D86314" w:rsidRDefault="000771EA">
            <w:pPr>
              <w:keepNext/>
              <w:spacing w:before="40" w:after="40"/>
              <w:rPr>
                <w:noProof/>
                <w:sz w:val="16"/>
                <w:szCs w:val="16"/>
                <w:lang w:val="en-GB"/>
              </w:rPr>
            </w:pPr>
            <w:r w:rsidRPr="00C20A01">
              <w:rPr>
                <w:noProof/>
                <w:sz w:val="16"/>
                <w:szCs w:val="16"/>
                <w:lang w:val="en-GB"/>
              </w:rPr>
              <w:t>46.5 additional to draft and implement ~</w:t>
            </w:r>
            <w:r w:rsidR="008C321D" w:rsidRPr="00C20A01">
              <w:rPr>
                <w:noProof/>
                <w:sz w:val="16"/>
                <w:szCs w:val="16"/>
                <w:lang w:val="en-GB"/>
              </w:rPr>
              <w:t>EUR </w:t>
            </w:r>
            <w:r w:rsidRPr="00C20A01">
              <w:rPr>
                <w:noProof/>
                <w:sz w:val="16"/>
                <w:szCs w:val="16"/>
                <w:lang w:val="en-GB"/>
              </w:rPr>
              <w:t>4.4</w:t>
            </w:r>
            <w:r w:rsidR="00950D34" w:rsidRPr="00C20A01">
              <w:rPr>
                <w:noProof/>
                <w:sz w:val="16"/>
                <w:szCs w:val="16"/>
                <w:lang w:val="en-GB"/>
              </w:rPr>
              <w:t xml:space="preserve"> </w:t>
            </w:r>
            <w:r w:rsidRPr="00C20A01">
              <w:rPr>
                <w:noProof/>
                <w:sz w:val="16"/>
                <w:szCs w:val="16"/>
                <w:lang w:val="en-GB"/>
              </w:rPr>
              <w:t>m</w:t>
            </w:r>
          </w:p>
        </w:tc>
        <w:tc>
          <w:tcPr>
            <w:tcW w:w="1646" w:type="dxa"/>
          </w:tcPr>
          <w:p w14:paraId="6CEA9D81" w14:textId="77777777" w:rsidR="000771EA" w:rsidRPr="00D86314" w:rsidRDefault="000771EA">
            <w:pPr>
              <w:keepNext/>
              <w:spacing w:before="40" w:after="40"/>
              <w:rPr>
                <w:noProof/>
                <w:sz w:val="16"/>
                <w:szCs w:val="16"/>
                <w:lang w:val="en-GB"/>
              </w:rPr>
            </w:pPr>
            <w:r w:rsidRPr="00C20A01">
              <w:rPr>
                <w:noProof/>
                <w:sz w:val="16"/>
                <w:szCs w:val="16"/>
                <w:lang w:val="en-GB"/>
              </w:rPr>
              <w:t>Reduced costs associated with development of remedies</w:t>
            </w:r>
          </w:p>
        </w:tc>
      </w:tr>
      <w:tr w:rsidR="000771EA" w:rsidRPr="00D86314" w14:paraId="573A9166" w14:textId="77777777">
        <w:trPr>
          <w:trHeight w:val="43"/>
        </w:trPr>
        <w:tc>
          <w:tcPr>
            <w:tcW w:w="3963" w:type="dxa"/>
            <w:vMerge/>
          </w:tcPr>
          <w:p w14:paraId="1DB31922" w14:textId="77777777" w:rsidR="000771EA" w:rsidRPr="00D86314" w:rsidRDefault="000771EA">
            <w:pPr>
              <w:keepNext/>
              <w:spacing w:before="40" w:after="40"/>
              <w:rPr>
                <w:b/>
                <w:noProof/>
                <w:sz w:val="16"/>
                <w:szCs w:val="16"/>
                <w:lang w:val="en-GB"/>
              </w:rPr>
            </w:pPr>
          </w:p>
        </w:tc>
        <w:tc>
          <w:tcPr>
            <w:tcW w:w="1524" w:type="dxa"/>
          </w:tcPr>
          <w:p w14:paraId="7AD7FF18"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1636" w:type="dxa"/>
          </w:tcPr>
          <w:p w14:paraId="4B624271" w14:textId="77777777" w:rsidR="000771EA" w:rsidRPr="00D86314" w:rsidRDefault="000771EA">
            <w:pPr>
              <w:keepNext/>
              <w:spacing w:before="40" w:after="40"/>
              <w:rPr>
                <w:noProof/>
                <w:sz w:val="16"/>
                <w:szCs w:val="16"/>
                <w:lang w:val="en-GB"/>
              </w:rPr>
            </w:pPr>
          </w:p>
        </w:tc>
        <w:tc>
          <w:tcPr>
            <w:tcW w:w="1646" w:type="dxa"/>
          </w:tcPr>
          <w:p w14:paraId="139BB34F" w14:textId="77777777" w:rsidR="000771EA" w:rsidRPr="00D86314" w:rsidRDefault="000771EA">
            <w:pPr>
              <w:keepNext/>
              <w:spacing w:before="40" w:after="40"/>
              <w:rPr>
                <w:noProof/>
                <w:sz w:val="16"/>
                <w:szCs w:val="16"/>
                <w:lang w:val="en-GB"/>
              </w:rPr>
            </w:pPr>
          </w:p>
        </w:tc>
      </w:tr>
      <w:tr w:rsidR="000771EA" w:rsidRPr="00D86314" w14:paraId="6F90758A" w14:textId="77777777">
        <w:tc>
          <w:tcPr>
            <w:tcW w:w="3963" w:type="dxa"/>
            <w:vMerge/>
          </w:tcPr>
          <w:p w14:paraId="7CE8DCA1" w14:textId="77777777" w:rsidR="000771EA" w:rsidRPr="00D86314" w:rsidRDefault="000771EA">
            <w:pPr>
              <w:keepNext/>
              <w:spacing w:before="40" w:after="40"/>
              <w:rPr>
                <w:b/>
                <w:noProof/>
                <w:sz w:val="16"/>
                <w:szCs w:val="16"/>
                <w:lang w:val="en-GB"/>
              </w:rPr>
            </w:pPr>
          </w:p>
        </w:tc>
        <w:tc>
          <w:tcPr>
            <w:tcW w:w="1524" w:type="dxa"/>
          </w:tcPr>
          <w:p w14:paraId="0C64FFE2"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19B92A17" w14:textId="77777777" w:rsidR="000771EA" w:rsidRPr="00D86314" w:rsidRDefault="000771EA">
            <w:pPr>
              <w:keepNext/>
              <w:spacing w:before="40" w:after="40"/>
              <w:rPr>
                <w:noProof/>
                <w:sz w:val="16"/>
                <w:szCs w:val="16"/>
                <w:lang w:val="en-GB"/>
              </w:rPr>
            </w:pPr>
            <w:r w:rsidRPr="00C20A01">
              <w:rPr>
                <w:noProof/>
                <w:sz w:val="16"/>
                <w:szCs w:val="16"/>
                <w:lang w:val="en-GB"/>
              </w:rPr>
              <w:t>Simplification / streamlining of process of defining remedies on ongoing basis</w:t>
            </w:r>
          </w:p>
        </w:tc>
      </w:tr>
      <w:tr w:rsidR="000771EA" w:rsidRPr="00D86314" w14:paraId="57602502" w14:textId="77777777">
        <w:tc>
          <w:tcPr>
            <w:tcW w:w="3963" w:type="dxa"/>
            <w:vMerge/>
          </w:tcPr>
          <w:p w14:paraId="13FA3063" w14:textId="77777777" w:rsidR="000771EA" w:rsidRPr="00D86314" w:rsidRDefault="000771EA">
            <w:pPr>
              <w:keepNext/>
              <w:spacing w:before="40" w:after="40"/>
              <w:rPr>
                <w:b/>
                <w:noProof/>
                <w:sz w:val="16"/>
                <w:szCs w:val="16"/>
                <w:lang w:val="en-GB"/>
              </w:rPr>
            </w:pPr>
          </w:p>
        </w:tc>
        <w:tc>
          <w:tcPr>
            <w:tcW w:w="1524" w:type="dxa"/>
          </w:tcPr>
          <w:p w14:paraId="001F062F"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413CDFBD" w14:textId="77777777" w:rsidR="000771EA" w:rsidRPr="00D86314" w:rsidRDefault="000771EA">
            <w:pPr>
              <w:keepNext/>
              <w:spacing w:before="40" w:after="40"/>
              <w:rPr>
                <w:noProof/>
                <w:sz w:val="16"/>
                <w:szCs w:val="16"/>
                <w:lang w:val="en-GB"/>
              </w:rPr>
            </w:pPr>
          </w:p>
        </w:tc>
      </w:tr>
    </w:tbl>
    <w:p w14:paraId="1E78B3AB" w14:textId="77777777" w:rsidR="000771EA" w:rsidRPr="00D86314" w:rsidRDefault="000771EA" w:rsidP="000771EA">
      <w:pPr>
        <w:keepNext/>
        <w:spacing w:before="120" w:after="360"/>
        <w:ind w:left="709" w:hanging="709"/>
        <w:rPr>
          <w:noProof/>
          <w:sz w:val="22"/>
          <w:szCs w:val="22"/>
        </w:rPr>
      </w:pPr>
      <w:r w:rsidRPr="00D86314">
        <w:rPr>
          <w:rStyle w:val="QuelleChar"/>
          <w:rFonts w:ascii="Times New Roman" w:eastAsiaTheme="minorHAnsi" w:hAnsi="Times New Roman"/>
          <w:noProof/>
          <w:sz w:val="22"/>
          <w:szCs w:val="22"/>
        </w:rPr>
        <w:t>Source</w:t>
      </w:r>
      <w:r w:rsidRPr="00D86314">
        <w:rPr>
          <w:noProof/>
          <w:sz w:val="22"/>
          <w:szCs w:val="22"/>
        </w:rPr>
        <w:t>:</w:t>
      </w:r>
      <w:r w:rsidRPr="00D86314">
        <w:rPr>
          <w:noProof/>
          <w:sz w:val="22"/>
          <w:szCs w:val="22"/>
        </w:rPr>
        <w:tab/>
        <w:t>WIK-Consult</w:t>
      </w:r>
    </w:p>
    <w:p w14:paraId="179156DA" w14:textId="77777777" w:rsidR="000771EA" w:rsidRPr="00D86314" w:rsidRDefault="000771EA" w:rsidP="007D1242">
      <w:pPr>
        <w:rPr>
          <w:b/>
          <w:bCs/>
          <w:noProof/>
        </w:rPr>
      </w:pPr>
      <w:bookmarkStart w:id="289" w:name="_Toc208239982"/>
      <w:r w:rsidRPr="00D86314">
        <w:rPr>
          <w:b/>
          <w:bCs/>
          <w:noProof/>
        </w:rPr>
        <w:t>Consumers</w:t>
      </w:r>
      <w:bookmarkEnd w:id="289"/>
    </w:p>
    <w:p w14:paraId="3DBDB7B8" w14:textId="77777777" w:rsidR="000771EA" w:rsidRPr="00D86314" w:rsidRDefault="000771EA" w:rsidP="007D1242">
      <w:pPr>
        <w:rPr>
          <w:i/>
          <w:iCs/>
          <w:noProof/>
        </w:rPr>
      </w:pPr>
      <w:bookmarkStart w:id="290" w:name="_Toc208239983"/>
      <w:r w:rsidRPr="00D86314">
        <w:rPr>
          <w:i/>
          <w:iCs/>
          <w:noProof/>
        </w:rPr>
        <w:t>Relevant policies</w:t>
      </w:r>
      <w:bookmarkEnd w:id="290"/>
    </w:p>
    <w:p w14:paraId="323DF579" w14:textId="77777777" w:rsidR="000771EA" w:rsidRPr="00D86314" w:rsidRDefault="000771EA" w:rsidP="000771EA">
      <w:pPr>
        <w:rPr>
          <w:noProof/>
        </w:rPr>
      </w:pPr>
      <w:r w:rsidRPr="00D86314">
        <w:rPr>
          <w:noProof/>
        </w:rPr>
        <w:t>Consumers will be directly affected by the requirement for Member States to ensure that copper switch-off occurs in areas which have reached 95% coverage with FTTH and retail prices which allow equivalent services to be provided at no extra charge. In addition, consumers will be indirectly affected by changes to access regulation that influence choice, price and quality in broadband offers.</w:t>
      </w:r>
    </w:p>
    <w:p w14:paraId="3E0EB4AF" w14:textId="77777777" w:rsidR="00BD5F9C" w:rsidRPr="00D86314" w:rsidRDefault="00BD5F9C" w:rsidP="007D1242">
      <w:pPr>
        <w:rPr>
          <w:i/>
          <w:iCs/>
          <w:noProof/>
        </w:rPr>
      </w:pPr>
      <w:bookmarkStart w:id="291" w:name="_Toc208239984"/>
    </w:p>
    <w:p w14:paraId="0DFEDE74" w14:textId="77777777" w:rsidR="000771EA" w:rsidRPr="00D86314" w:rsidRDefault="000771EA" w:rsidP="007D1242">
      <w:pPr>
        <w:rPr>
          <w:i/>
          <w:iCs/>
          <w:noProof/>
        </w:rPr>
      </w:pPr>
      <w:r w:rsidRPr="00D86314">
        <w:rPr>
          <w:i/>
          <w:iCs/>
          <w:noProof/>
        </w:rPr>
        <w:t>Copper switch-off</w:t>
      </w:r>
      <w:bookmarkEnd w:id="291"/>
    </w:p>
    <w:p w14:paraId="05A8C429" w14:textId="5D03C534" w:rsidR="000771EA" w:rsidRPr="00D86314" w:rsidRDefault="000771EA" w:rsidP="000771EA">
      <w:pPr>
        <w:rPr>
          <w:noProof/>
        </w:rPr>
      </w:pPr>
      <w:r w:rsidRPr="00D86314">
        <w:rPr>
          <w:noProof/>
        </w:rPr>
        <w:t>Regarding copper switch-off, as previously noted, the requirements under the DNA will affect the timing of a migration from copper to fibre that can be seen as inevitable. However, they will do so in a manner which seek to limit any negative impacts, and in particular the potential for increased costs</w:t>
      </w:r>
      <w:r w:rsidR="23591B3D" w:rsidRPr="00D86314">
        <w:rPr>
          <w:noProof/>
        </w:rPr>
        <w:t>,</w:t>
      </w:r>
      <w:r w:rsidRPr="00D86314">
        <w:rPr>
          <w:noProof/>
        </w:rPr>
        <w:t xml:space="preserve"> to consumers.</w:t>
      </w:r>
    </w:p>
    <w:p w14:paraId="0DBBF4BC" w14:textId="36489884" w:rsidR="000771EA" w:rsidRPr="00D86314" w:rsidRDefault="000771EA" w:rsidP="000771EA">
      <w:pPr>
        <w:rPr>
          <w:noProof/>
        </w:rPr>
      </w:pPr>
      <w:r w:rsidRPr="00D86314">
        <w:rPr>
          <w:noProof/>
        </w:rPr>
        <w:t xml:space="preserve">Regarding direct costs, copper switch-off and the associated FTTH deployment will require the deployment of in-building fibre wiring. In cases where this does not already exist in MDUs, this may involve costs for the deployment of such wiring, which may be met directly by consumers e.g. if it is the responsibility of the building owner, or indirectly, if the costs are met by ECN providers, but then passed onto consumers. Upgrades to fibre wiring are already required for major renovations under </w:t>
      </w:r>
      <w:r w:rsidR="00493D07" w:rsidRPr="00D86314">
        <w:rPr>
          <w:noProof/>
        </w:rPr>
        <w:t>Article</w:t>
      </w:r>
      <w:r w:rsidR="004A758B">
        <w:rPr>
          <w:noProof/>
        </w:rPr>
        <w:t> </w:t>
      </w:r>
      <w:r w:rsidRPr="00D86314">
        <w:rPr>
          <w:noProof/>
        </w:rPr>
        <w:t>10 GIA. However, accelerated fibre deployment under the DNA may also necessitate the accelerated deployment of in-building fibre in existing buildings. The manner in which these connection costs are passed on could be one important element addressed in the copper switch-off plan</w:t>
      </w:r>
      <w:r w:rsidR="1ADE0EF0" w:rsidRPr="00D86314">
        <w:rPr>
          <w:noProof/>
        </w:rPr>
        <w:t xml:space="preserve"> to be prepared by national authorities</w:t>
      </w:r>
      <w:r w:rsidR="57C7DEA2" w:rsidRPr="00D86314">
        <w:rPr>
          <w:noProof/>
        </w:rPr>
        <w:t>.</w:t>
      </w:r>
      <w:r w:rsidRPr="00D86314">
        <w:rPr>
          <w:noProof/>
        </w:rPr>
        <w:t xml:space="preserve"> Such costs can be minimised for example by adopting best practice standards and ensuring the sharing of wiring between multiple providers under Articl</w:t>
      </w:r>
      <w:r w:rsidR="004A758B">
        <w:rPr>
          <w:noProof/>
        </w:rPr>
        <w:t>e </w:t>
      </w:r>
      <w:r w:rsidRPr="00D86314">
        <w:rPr>
          <w:noProof/>
        </w:rPr>
        <w:t xml:space="preserve">61(3). ECN operators could also commit to distributing connection costs over a longer period so that they do not impose an undue burden on consumers. </w:t>
      </w:r>
    </w:p>
    <w:p w14:paraId="0F7B6609" w14:textId="7E8AE268" w:rsidR="000771EA" w:rsidRPr="00D86314" w:rsidRDefault="000771EA" w:rsidP="000771EA">
      <w:pPr>
        <w:rPr>
          <w:noProof/>
        </w:rPr>
      </w:pPr>
      <w:r w:rsidRPr="00D86314">
        <w:rPr>
          <w:noProof/>
        </w:rPr>
        <w:t>The preferred option seeks to ensure that all consumers passed by a fibre network within a given distance will have the right to connect at standard terms and conditions (which may be free if the connection is paid over time through the rental fee).  The CSO requirement in the DNA should also make it more likely that connections are installed in parallel rather than sequentially. As discussed in relation to the impact on ECN operators, this should significantly reduce the total costs involved in installing connections, limiting the burden on consumers.</w:t>
      </w:r>
    </w:p>
    <w:p w14:paraId="0C060E63" w14:textId="227F4BF2" w:rsidR="000771EA" w:rsidRPr="00D86314" w:rsidRDefault="000771EA" w:rsidP="000771EA">
      <w:pPr>
        <w:rPr>
          <w:noProof/>
        </w:rPr>
      </w:pPr>
      <w:r w:rsidRPr="00D86314">
        <w:rPr>
          <w:noProof/>
        </w:rPr>
        <w:t>Regarding ongoing charges for fibre, the provisions in the DNA include provisions that switch-off should occur only if prices for equivalent services are not higher over the replacement infrastructure. This should ensure that consumers do not pay more for fibre-based broadband. In practice, evidence shows that significantly higher bandwidths over fibre are available at no extra charge to copper in the majority of Member States.</w:t>
      </w:r>
    </w:p>
    <w:p w14:paraId="45381DB9" w14:textId="16A445D7" w:rsidR="000771EA" w:rsidRPr="00D86314" w:rsidRDefault="000771EA" w:rsidP="000771EA">
      <w:pPr>
        <w:rPr>
          <w:noProof/>
        </w:rPr>
      </w:pPr>
      <w:r w:rsidRPr="00D86314">
        <w:rPr>
          <w:noProof/>
        </w:rPr>
        <w:t>In fact, available data suggests that a mandatory transition from copper (incl</w:t>
      </w:r>
      <w:r w:rsidR="00493D07" w:rsidRPr="00D86314">
        <w:rPr>
          <w:noProof/>
        </w:rPr>
        <w:t>.</w:t>
      </w:r>
      <w:r w:rsidRPr="00D86314">
        <w:rPr>
          <w:noProof/>
        </w:rPr>
        <w:t xml:space="preserve"> FTTC) to FTTH should result in end-users experiencing increased speeds and greater reliability for similar price. Recently published Empirica data shows (see figures below) that, as of 2023, in only 6 countries (DE, BG, EE, PT, AT</w:t>
      </w:r>
      <w:r w:rsidRPr="00D86314" w:rsidDel="001616E7">
        <w:rPr>
          <w:noProof/>
        </w:rPr>
        <w:t xml:space="preserve">, </w:t>
      </w:r>
      <w:r w:rsidRPr="00D86314">
        <w:rPr>
          <w:noProof/>
        </w:rPr>
        <w:t xml:space="preserve">EL) would charges for an FTTH or cable connection of more than 100 Mbps be more expensive than an FTTC or ADSL connection at less than 100 Mbps for double and triple play including broadband and fixed telephony and TV in the case of a the triple play offer (the results are similar for standalone broadband). </w:t>
      </w:r>
    </w:p>
    <w:p w14:paraId="5F629865" w14:textId="1BD19F27" w:rsidR="000771EA" w:rsidRPr="00D86314" w:rsidRDefault="000771EA" w:rsidP="000771EA">
      <w:pPr>
        <w:rPr>
          <w:noProof/>
        </w:rPr>
      </w:pPr>
      <w:r w:rsidRPr="00D86314">
        <w:rPr>
          <w:noProof/>
        </w:rPr>
        <w:t xml:space="preserve">Indeed, the presence of such a difference could prompt a review in these outlier countries of whether competition on fibre (including via access regulation where necessary) is sufficient to ensure that retail prices remain competitive following copper switch-off. Evidence from the vast majority of other countries suggests that better quality connections should </w:t>
      </w:r>
      <w:r w:rsidR="5272E9E3" w:rsidRPr="00D86314">
        <w:rPr>
          <w:noProof/>
        </w:rPr>
        <w:t xml:space="preserve">be </w:t>
      </w:r>
      <w:r w:rsidRPr="00D86314">
        <w:rPr>
          <w:noProof/>
        </w:rPr>
        <w:t xml:space="preserve">available for no extra charge. </w:t>
      </w:r>
    </w:p>
    <w:p w14:paraId="28F1F4C2" w14:textId="2B125936" w:rsidR="000771EA" w:rsidRPr="00D86314" w:rsidRDefault="0010365D" w:rsidP="00CD12BC">
      <w:pPr>
        <w:pStyle w:val="Caption"/>
        <w:keepNext/>
        <w:keepLines/>
        <w:ind w:left="1644" w:hanging="1644"/>
        <w:jc w:val="left"/>
        <w:rPr>
          <w:noProof/>
          <w:color w:val="auto"/>
          <w:sz w:val="22"/>
          <w:szCs w:val="22"/>
        </w:rPr>
      </w:pPr>
      <w:r w:rsidRPr="00D86314">
        <w:rPr>
          <w:noProof/>
          <w:color w:val="auto"/>
          <w:sz w:val="22"/>
          <w:szCs w:val="22"/>
        </w:rPr>
        <w:t>Figure A9 1-5</w:t>
      </w:r>
      <w:r w:rsidR="000771EA" w:rsidRPr="00D86314">
        <w:rPr>
          <w:noProof/>
          <w:color w:val="auto"/>
          <w:sz w:val="22"/>
          <w:szCs w:val="22"/>
        </w:rPr>
        <w:t>: Double play pricing – difference between copper and cable or fibre-based connections from &gt;= 30 &lt; 100 Mbps to &gt;= 100 Mbps &lt; 200 Mbps (internet and phone)</w:t>
      </w:r>
    </w:p>
    <w:p w14:paraId="6547799C" w14:textId="77777777" w:rsidR="000771EA" w:rsidRPr="00D86314" w:rsidRDefault="000771EA" w:rsidP="000771EA">
      <w:pPr>
        <w:keepNext/>
        <w:rPr>
          <w:noProof/>
        </w:rPr>
      </w:pPr>
      <w:r w:rsidRPr="00CA2C0B">
        <w:rPr>
          <w:noProof/>
          <w:lang w:eastAsia="en-GB"/>
        </w:rPr>
        <w:drawing>
          <wp:inline distT="0" distB="0" distL="0" distR="0" wp14:anchorId="4FBD654D" wp14:editId="41C010B6">
            <wp:extent cx="5523230" cy="3566160"/>
            <wp:effectExtent l="0" t="0" r="1270" b="0"/>
            <wp:docPr id="1106215371" name="Grafik 4" descr="A graph with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15371" name="Grafik 4" descr="A graph with blue and black text&#10;&#10;AI-generated content may be incorrect."/>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523230" cy="3566160"/>
                    </a:xfrm>
                    <a:prstGeom prst="rect">
                      <a:avLst/>
                    </a:prstGeom>
                    <a:noFill/>
                  </pic:spPr>
                </pic:pic>
              </a:graphicData>
            </a:graphic>
          </wp:inline>
        </w:drawing>
      </w:r>
    </w:p>
    <w:p w14:paraId="02114C4A" w14:textId="77777777" w:rsidR="000771EA" w:rsidRPr="00D86314" w:rsidRDefault="000771EA" w:rsidP="00CD12BC">
      <w:pPr>
        <w:pStyle w:val="Quelle"/>
        <w:ind w:left="454" w:hanging="454"/>
        <w:rPr>
          <w:rFonts w:ascii="Times New Roman" w:hAnsi="Times New Roman"/>
          <w:noProof/>
        </w:rPr>
      </w:pPr>
      <w:r w:rsidRPr="00D86314">
        <w:rPr>
          <w:rFonts w:ascii="Times New Roman" w:hAnsi="Times New Roman"/>
          <w:noProof/>
        </w:rPr>
        <w:t>Note: The Netherlands and Slovakia excluded as least expensive offer based on xDSL. &gt;= 100 &lt; 200 Mbps offers in Poland and Germany based on LTE/5G. No data was available for Finland.</w:t>
      </w:r>
    </w:p>
    <w:p w14:paraId="401FDE01" w14:textId="2F95D271" w:rsidR="00100197" w:rsidRPr="00D86314" w:rsidRDefault="000771EA" w:rsidP="00CD12BC">
      <w:pPr>
        <w:pStyle w:val="Quelle"/>
        <w:ind w:left="567" w:hanging="567"/>
        <w:rPr>
          <w:rFonts w:ascii="Times New Roman" w:hAnsi="Times New Roman"/>
          <w:noProof/>
        </w:rPr>
      </w:pPr>
      <w:r w:rsidRPr="00D86314">
        <w:rPr>
          <w:rFonts w:ascii="Times New Roman" w:hAnsi="Times New Roman"/>
          <w:noProof/>
        </w:rPr>
        <w:t>Source: empirica (2025): Mobile and Fixed Broadband Prices in Europe 2023, Prices as of October 2023, least expensive fixed broadband offer.</w:t>
      </w:r>
      <w:r w:rsidRPr="00D86314">
        <w:rPr>
          <w:rFonts w:ascii="Times New Roman" w:hAnsi="Times New Roman"/>
          <w:noProof/>
        </w:rPr>
        <w:tab/>
      </w:r>
      <w:r w:rsidRPr="00D86314">
        <w:rPr>
          <w:rFonts w:ascii="Times New Roman" w:hAnsi="Times New Roman"/>
          <w:noProof/>
        </w:rPr>
        <w:br/>
      </w:r>
      <w:hyperlink r:id="rId158" w:history="1">
        <w:r w:rsidR="00100197" w:rsidRPr="00D86314">
          <w:rPr>
            <w:rStyle w:val="Hyperlink"/>
            <w:rFonts w:ascii="Times New Roman" w:hAnsi="Times New Roman"/>
            <w:noProof/>
          </w:rPr>
          <w:t>https://digital-strategy.ec.europa.eu/en/library/mobile-and-fixed-broadband-price-europe-2023-insights-european-broadband-market</w:t>
        </w:r>
      </w:hyperlink>
    </w:p>
    <w:p w14:paraId="10C267C0" w14:textId="11029534" w:rsidR="000771EA" w:rsidRPr="00D86314" w:rsidRDefault="00C162BB" w:rsidP="00E53597">
      <w:pPr>
        <w:pStyle w:val="Caption"/>
        <w:keepNext/>
        <w:keepLines/>
        <w:ind w:left="1361" w:hanging="1361"/>
        <w:jc w:val="left"/>
        <w:rPr>
          <w:noProof/>
          <w:sz w:val="22"/>
          <w:szCs w:val="22"/>
        </w:rPr>
      </w:pPr>
      <w:r w:rsidRPr="00D86314">
        <w:rPr>
          <w:noProof/>
          <w:color w:val="auto"/>
          <w:sz w:val="22"/>
          <w:szCs w:val="22"/>
        </w:rPr>
        <w:t>Figure A9 1-6</w:t>
      </w:r>
      <w:r w:rsidR="000771EA" w:rsidRPr="00D86314">
        <w:rPr>
          <w:noProof/>
          <w:sz w:val="22"/>
          <w:szCs w:val="22"/>
        </w:rPr>
        <w:t>:</w:t>
      </w:r>
      <w:r w:rsidR="00FF350D" w:rsidRPr="00D86314">
        <w:rPr>
          <w:noProof/>
          <w:sz w:val="22"/>
          <w:szCs w:val="22"/>
        </w:rPr>
        <w:t xml:space="preserve"> </w:t>
      </w:r>
      <w:r w:rsidR="000771EA" w:rsidRPr="00D86314">
        <w:rPr>
          <w:noProof/>
          <w:color w:val="auto"/>
          <w:sz w:val="22"/>
          <w:szCs w:val="22"/>
        </w:rPr>
        <w:t>Triple play pricing – difference between copper and cable or fibre-based connections from &gt;= 30 Mbps &lt; 100 Mbps to &gt;= 100 Mbps &lt; 200 Mbps (internet, phone and TV)</w:t>
      </w:r>
    </w:p>
    <w:p w14:paraId="0D12E607" w14:textId="77777777" w:rsidR="000771EA" w:rsidRPr="00D86314" w:rsidRDefault="000771EA" w:rsidP="000771EA">
      <w:pPr>
        <w:keepNext/>
        <w:rPr>
          <w:noProof/>
        </w:rPr>
      </w:pPr>
      <w:r w:rsidRPr="00CA2C0B">
        <w:rPr>
          <w:noProof/>
          <w:lang w:eastAsia="en-GB"/>
        </w:rPr>
        <w:drawing>
          <wp:inline distT="0" distB="0" distL="0" distR="0" wp14:anchorId="5ADA0E6D" wp14:editId="7A684356">
            <wp:extent cx="5603358" cy="3620327"/>
            <wp:effectExtent l="0" t="0" r="0" b="0"/>
            <wp:docPr id="1401046097" name="Grafik 7" descr="Ein Bild, das Text, Screenshot, Reihe,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46097" name="Grafik 7" descr="Ein Bild, das Text, Screenshot, Reihe, Schrift enthält.&#10;&#10;KI-generierte Inhalte können fehlerhaft sein."/>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661368" cy="3657807"/>
                    </a:xfrm>
                    <a:prstGeom prst="rect">
                      <a:avLst/>
                    </a:prstGeom>
                    <a:noFill/>
                  </pic:spPr>
                </pic:pic>
              </a:graphicData>
            </a:graphic>
          </wp:inline>
        </w:drawing>
      </w:r>
    </w:p>
    <w:p w14:paraId="290F53A4" w14:textId="77777777" w:rsidR="000771EA" w:rsidRPr="00D86314" w:rsidRDefault="000771EA" w:rsidP="00E606AF">
      <w:pPr>
        <w:pStyle w:val="Quelle"/>
        <w:ind w:left="454" w:hanging="454"/>
        <w:rPr>
          <w:rFonts w:ascii="Times New Roman" w:hAnsi="Times New Roman"/>
          <w:noProof/>
        </w:rPr>
      </w:pPr>
      <w:r w:rsidRPr="00D86314">
        <w:rPr>
          <w:rFonts w:ascii="Times New Roman" w:hAnsi="Times New Roman"/>
          <w:noProof/>
        </w:rPr>
        <w:t>Note: Netherlands not included in this graph as prices referred to xDSL offer. No data was available for Finland. Germany and Estonia refer to cable.</w:t>
      </w:r>
    </w:p>
    <w:p w14:paraId="4C087DCA" w14:textId="073D71A2" w:rsidR="000771EA" w:rsidRPr="00D86314" w:rsidRDefault="000771EA" w:rsidP="00E606AF">
      <w:pPr>
        <w:pStyle w:val="Quelle"/>
        <w:ind w:left="567" w:hanging="567"/>
        <w:jc w:val="left"/>
        <w:rPr>
          <w:rFonts w:ascii="Times New Roman" w:hAnsi="Times New Roman"/>
          <w:noProof/>
        </w:rPr>
      </w:pPr>
      <w:r w:rsidRPr="00D86314">
        <w:rPr>
          <w:rFonts w:ascii="Times New Roman" w:hAnsi="Times New Roman"/>
          <w:noProof/>
        </w:rPr>
        <w:t>Source: empirica (2025): Mobile and Fixed Broadband Prices in Europe 2023, Prices as of October 2023, least expensive fixed broadband offer.</w:t>
      </w:r>
      <w:r w:rsidR="00FF350D" w:rsidRPr="00D86314">
        <w:rPr>
          <w:rFonts w:ascii="Times New Roman" w:hAnsi="Times New Roman"/>
          <w:noProof/>
        </w:rPr>
        <w:t xml:space="preserve"> </w:t>
      </w:r>
      <w:r w:rsidRPr="00D86314" w:rsidDel="00FF350D">
        <w:rPr>
          <w:rFonts w:ascii="Times New Roman" w:hAnsi="Times New Roman"/>
          <w:noProof/>
        </w:rPr>
        <w:br/>
      </w:r>
      <w:hyperlink r:id="rId160" w:history="1">
        <w:r w:rsidRPr="00D86314">
          <w:rPr>
            <w:rStyle w:val="Hyperlink"/>
            <w:rFonts w:ascii="Times New Roman" w:hAnsi="Times New Roman"/>
            <w:noProof/>
          </w:rPr>
          <w:t>https://digital-strategy.ec.europa.eu/en/library/mobile-and-fixed-broadband-price-europe-2023-insights-european-broadband-market</w:t>
        </w:r>
      </w:hyperlink>
    </w:p>
    <w:p w14:paraId="647D4FE1" w14:textId="77777777" w:rsidR="000771EA" w:rsidRPr="00D86314" w:rsidRDefault="000771EA" w:rsidP="000771EA">
      <w:pPr>
        <w:rPr>
          <w:noProof/>
        </w:rPr>
      </w:pPr>
      <w:r w:rsidRPr="00D86314">
        <w:rPr>
          <w:noProof/>
        </w:rPr>
        <w:t xml:space="preserve">This finding is consistent with the fact that, when unviable duplication of infrastructure is removed via copper switch-off, thereby removing the demand-risk associated with parallel operation of copper and fibre which would otherwise increase the WACC, the cost of fibre-based broadband is not intrinsically higher than that of copper-based broadband. NRAs have for some time based charge controls on copper networks on the basis of bottom-up models in which costs are based on FTTH as the modern equivalent asset. </w:t>
      </w:r>
    </w:p>
    <w:p w14:paraId="366E47E0" w14:textId="6810C270" w:rsidR="000771EA" w:rsidRPr="00D86314" w:rsidRDefault="000771EA" w:rsidP="000771EA">
      <w:pPr>
        <w:rPr>
          <w:noProof/>
        </w:rPr>
      </w:pPr>
      <w:r w:rsidRPr="00D86314">
        <w:rPr>
          <w:noProof/>
        </w:rPr>
        <w:t>As can be seen from the following chart, the migration from low</w:t>
      </w:r>
      <w:r w:rsidR="00756743" w:rsidRPr="00D86314">
        <w:rPr>
          <w:noProof/>
        </w:rPr>
        <w:t>-</w:t>
      </w:r>
      <w:r w:rsidRPr="00D86314">
        <w:rPr>
          <w:noProof/>
        </w:rPr>
        <w:t>speed copper to double and triple play offers with Gigabit speeds could be associated with considerable price increases in some countries. However, while the transfer to a fibre connection should provide additional options for consumers, there is no obligation for consumers to upgrade to Gigabit and incur these extra charges. Moreover, and importantly, the obligation under the preferred option for NRAs to conduct market reviews in connection with CSO could provide an opportunity for NRAs to address any barriers to competition (including inadequately specified wholesale products) that are preventing Gigabit speeds from being offered at competitive rates.</w:t>
      </w:r>
    </w:p>
    <w:p w14:paraId="7A761C87" w14:textId="35F21BBC" w:rsidR="000771EA" w:rsidRPr="00D86314" w:rsidRDefault="00FF350D" w:rsidP="00E606AF">
      <w:pPr>
        <w:keepNext/>
        <w:keepLines/>
        <w:ind w:left="1644" w:hanging="1644"/>
        <w:jc w:val="left"/>
        <w:rPr>
          <w:i/>
          <w:noProof/>
          <w:sz w:val="22"/>
          <w:szCs w:val="22"/>
        </w:rPr>
      </w:pPr>
      <w:r w:rsidRPr="00D86314">
        <w:rPr>
          <w:i/>
          <w:noProof/>
          <w:sz w:val="22"/>
          <w:szCs w:val="22"/>
        </w:rPr>
        <w:t>Figure A9 1-7</w:t>
      </w:r>
      <w:r w:rsidR="000771EA" w:rsidRPr="00D86314">
        <w:rPr>
          <w:i/>
          <w:noProof/>
          <w:sz w:val="22"/>
          <w:szCs w:val="22"/>
        </w:rPr>
        <w:t>:</w:t>
      </w:r>
      <w:r w:rsidRPr="00D86314">
        <w:rPr>
          <w:i/>
          <w:noProof/>
          <w:sz w:val="22"/>
          <w:szCs w:val="22"/>
        </w:rPr>
        <w:t xml:space="preserve"> </w:t>
      </w:r>
      <w:r w:rsidR="000771EA" w:rsidRPr="00D86314">
        <w:rPr>
          <w:i/>
          <w:noProof/>
          <w:sz w:val="22"/>
          <w:szCs w:val="22"/>
        </w:rPr>
        <w:t>Double play pricing – difference between copper and cable or fibre-based connections from &gt;= 30 &lt; 100 Mbps to &gt;= 1 Gbps (internet and phone)</w:t>
      </w:r>
    </w:p>
    <w:p w14:paraId="2031557D" w14:textId="77777777" w:rsidR="000771EA" w:rsidRPr="00D86314" w:rsidRDefault="000771EA" w:rsidP="000771EA">
      <w:pPr>
        <w:keepNext/>
        <w:rPr>
          <w:noProof/>
        </w:rPr>
      </w:pPr>
      <w:r w:rsidRPr="00CA2C0B">
        <w:rPr>
          <w:noProof/>
          <w:lang w:eastAsia="en-GB"/>
        </w:rPr>
        <w:drawing>
          <wp:inline distT="0" distB="0" distL="0" distR="0" wp14:anchorId="0CEC2EFC" wp14:editId="5BD32D05">
            <wp:extent cx="5625545" cy="3634660"/>
            <wp:effectExtent l="0" t="0" r="0" b="4445"/>
            <wp:docPr id="1930113909" name="Grafik 16" descr="Ein Bild, das Text, Screensho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13909" name="Grafik 16" descr="Ein Bild, das Text, Screenshot, Reihe, Diagramm enthält.&#10;&#10;KI-generierte Inhalte können fehlerhaft sein."/>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644749" cy="3647068"/>
                    </a:xfrm>
                    <a:prstGeom prst="rect">
                      <a:avLst/>
                    </a:prstGeom>
                    <a:noFill/>
                  </pic:spPr>
                </pic:pic>
              </a:graphicData>
            </a:graphic>
          </wp:inline>
        </w:drawing>
      </w:r>
    </w:p>
    <w:p w14:paraId="1FA96C5C" w14:textId="77777777" w:rsidR="000771EA" w:rsidRPr="00D86314" w:rsidRDefault="000771EA" w:rsidP="00E53597">
      <w:pPr>
        <w:pStyle w:val="Quelle"/>
        <w:ind w:left="454" w:hanging="454"/>
        <w:rPr>
          <w:rFonts w:ascii="Times New Roman" w:hAnsi="Times New Roman"/>
          <w:noProof/>
        </w:rPr>
      </w:pPr>
      <w:r w:rsidRPr="00D86314">
        <w:rPr>
          <w:rFonts w:ascii="Times New Roman" w:hAnsi="Times New Roman"/>
          <w:noProof/>
        </w:rPr>
        <w:t>Note: The Netherlands, Poland, Portugal, Romania and Slovakia excluded as offer refers to bandwidth below 1 Gbps. No data was available for Finland. Germany and Estonia based on cable.</w:t>
      </w:r>
    </w:p>
    <w:p w14:paraId="41AED7FE" w14:textId="38F82A9C" w:rsidR="000771EA" w:rsidRPr="00D86314" w:rsidRDefault="000771EA" w:rsidP="00E53597">
      <w:pPr>
        <w:pStyle w:val="Quelle"/>
        <w:ind w:left="567" w:hanging="567"/>
        <w:jc w:val="left"/>
        <w:rPr>
          <w:rFonts w:ascii="Times New Roman" w:hAnsi="Times New Roman"/>
          <w:noProof/>
        </w:rPr>
      </w:pPr>
      <w:r w:rsidRPr="00D86314">
        <w:rPr>
          <w:rFonts w:ascii="Times New Roman" w:hAnsi="Times New Roman"/>
          <w:noProof/>
        </w:rPr>
        <w:t>Source: empirica (2025): Mobile and Fixed Broadband Prices in Europe 2023, Prices as of October 2023, least expensive fixed broadband offer.</w:t>
      </w:r>
      <w:r w:rsidRPr="00D86314">
        <w:rPr>
          <w:rFonts w:ascii="Times New Roman" w:hAnsi="Times New Roman"/>
          <w:noProof/>
        </w:rPr>
        <w:br/>
      </w:r>
      <w:hyperlink r:id="rId162" w:history="1">
        <w:r w:rsidRPr="00D86314">
          <w:rPr>
            <w:rStyle w:val="Hyperlink"/>
            <w:rFonts w:ascii="Times New Roman" w:hAnsi="Times New Roman"/>
            <w:noProof/>
          </w:rPr>
          <w:t>https://digital-strategy.ec.europa.eu/en/library/mobile-and-fixed-broadband-price-europe-2023-insights-european-broadband-market</w:t>
        </w:r>
      </w:hyperlink>
    </w:p>
    <w:p w14:paraId="3FC82DBF" w14:textId="2D3FF587" w:rsidR="000771EA" w:rsidRPr="00D86314" w:rsidRDefault="000771EA" w:rsidP="000771EA">
      <w:pPr>
        <w:rPr>
          <w:noProof/>
        </w:rPr>
      </w:pPr>
      <w:r w:rsidRPr="00D86314">
        <w:rPr>
          <w:noProof/>
        </w:rPr>
        <w:t>In summary, under the preferred option</w:t>
      </w:r>
      <w:r w:rsidRPr="00D86314">
        <w:rPr>
          <w:b/>
          <w:bCs/>
          <w:noProof/>
        </w:rPr>
        <w:t>,</w:t>
      </w:r>
      <w:r w:rsidRPr="00D86314">
        <w:rPr>
          <w:noProof/>
        </w:rPr>
        <w:t xml:space="preserve"> the vast majority of consumers and businesses will benefit from higher speeds and reduced environmental impacts as well as reduced energy consumption compared with the status quo. Attention to the maintenance of competition during the copper to fibre migration along with legal safeguards should mean that consumers benefit from higher quality broadband at no additional cost. However, a limited proportion of consumers may need to switch to wireless and/or mobile solutions</w:t>
      </w:r>
      <w:r w:rsidR="376A0EA8" w:rsidRPr="00D86314">
        <w:rPr>
          <w:noProof/>
        </w:rPr>
        <w:t>.</w:t>
      </w:r>
      <w:r w:rsidR="00756743" w:rsidRPr="00D86314">
        <w:rPr>
          <w:noProof/>
        </w:rPr>
        <w:t xml:space="preserve"> </w:t>
      </w:r>
      <w:r w:rsidRPr="00D86314">
        <w:rPr>
          <w:noProof/>
        </w:rPr>
        <w:t xml:space="preserve">There is evidence to suggest that in most cases, these wireless technologies already provide capabilities that are comparable to those available over copper. Thus, even consumers which are not served with FTTH should not be disadvantaged by copper switch-off. In the event that this is not the case, Member States could </w:t>
      </w:r>
      <w:r w:rsidR="6217F53F" w:rsidRPr="00D86314">
        <w:rPr>
          <w:noProof/>
        </w:rPr>
        <w:t xml:space="preserve">allow, following the 2035 review, the continued use of copper in residual areas where the deployment of </w:t>
      </w:r>
      <w:r w:rsidR="00756743" w:rsidRPr="00D86314">
        <w:rPr>
          <w:noProof/>
        </w:rPr>
        <w:t>fibre</w:t>
      </w:r>
      <w:r w:rsidR="6217F53F" w:rsidRPr="00D86314">
        <w:rPr>
          <w:noProof/>
        </w:rPr>
        <w:t xml:space="preserve"> would not be viable or </w:t>
      </w:r>
      <w:r w:rsidRPr="00D86314">
        <w:rPr>
          <w:noProof/>
        </w:rPr>
        <w:t>take action to secure an appropriate safety net via USO measures for those consumers who are not served with an FTTH network when copper is switched off</w:t>
      </w:r>
      <w:r w:rsidR="00347817" w:rsidRPr="00D86314">
        <w:rPr>
          <w:noProof/>
        </w:rPr>
        <w:t xml:space="preserve"> to ensure an adequate internet</w:t>
      </w:r>
      <w:r w:rsidR="00C70C6F" w:rsidRPr="00D86314">
        <w:rPr>
          <w:noProof/>
        </w:rPr>
        <w:t xml:space="preserve"> </w:t>
      </w:r>
      <w:r w:rsidR="00E9238A" w:rsidRPr="00D86314">
        <w:rPr>
          <w:noProof/>
        </w:rPr>
        <w:t>access service</w:t>
      </w:r>
      <w:r w:rsidRPr="00D86314">
        <w:rPr>
          <w:noProof/>
        </w:rPr>
        <w:t>.</w:t>
      </w:r>
    </w:p>
    <w:p w14:paraId="1C453016" w14:textId="77777777" w:rsidR="000771EA" w:rsidRPr="00D86314" w:rsidRDefault="000771EA" w:rsidP="007D1242">
      <w:pPr>
        <w:rPr>
          <w:i/>
          <w:iCs/>
          <w:noProof/>
        </w:rPr>
      </w:pPr>
      <w:bookmarkStart w:id="292" w:name="_Toc208239985"/>
      <w:r w:rsidRPr="00D86314">
        <w:rPr>
          <w:i/>
          <w:iCs/>
          <w:noProof/>
        </w:rPr>
        <w:t>Access regulation</w:t>
      </w:r>
      <w:bookmarkEnd w:id="292"/>
    </w:p>
    <w:p w14:paraId="7D8FDC43" w14:textId="6C42DC81" w:rsidR="000771EA" w:rsidRPr="00D86314" w:rsidRDefault="000771EA" w:rsidP="000771EA">
      <w:pPr>
        <w:rPr>
          <w:noProof/>
        </w:rPr>
      </w:pPr>
      <w:r w:rsidRPr="00D86314">
        <w:rPr>
          <w:noProof/>
        </w:rPr>
        <w:t>Although they may not benefit directly from changes to access regulation, consumers should benefit from increased choice and quality on their fibre connections in situations where harmonised wholesale products are introduced. The wider scope of application of Article</w:t>
      </w:r>
      <w:r w:rsidR="004A758B">
        <w:rPr>
          <w:noProof/>
        </w:rPr>
        <w:t> </w:t>
      </w:r>
      <w:r w:rsidRPr="00D86314">
        <w:rPr>
          <w:noProof/>
        </w:rPr>
        <w:t>61(3) which has been achieved very positive outcomes in countries such as France, could also help to support increased competition on fibre networks in countries where there are multiple local monopolies.</w:t>
      </w:r>
    </w:p>
    <w:p w14:paraId="2DA32230" w14:textId="05EEAD1D" w:rsidR="000771EA" w:rsidRPr="00D86314" w:rsidRDefault="000771EA" w:rsidP="000771EA">
      <w:pPr>
        <w:rPr>
          <w:noProof/>
        </w:rPr>
      </w:pPr>
      <w:r w:rsidRPr="00D86314">
        <w:rPr>
          <w:noProof/>
        </w:rPr>
        <w:t xml:space="preserve">On the downside, in the event that there is no RRM and NRAs do not act proactively to ensure appropriate access regulation on fibre networks, consumers could face the risk of increased prices for broadband and constraints on quality. </w:t>
      </w:r>
      <w:r w:rsidR="6F15BAE9" w:rsidRPr="00D86314">
        <w:rPr>
          <w:noProof/>
        </w:rPr>
        <w:t>However, as</w:t>
      </w:r>
      <w:r w:rsidR="28FC4665" w:rsidRPr="00D86314">
        <w:rPr>
          <w:noProof/>
        </w:rPr>
        <w:t xml:space="preserve"> </w:t>
      </w:r>
      <w:r w:rsidR="6F15BAE9" w:rsidRPr="00D86314">
        <w:rPr>
          <w:noProof/>
        </w:rPr>
        <w:t>explained also above, the review of the RRM is a separate process. In addition, a potential Commission decision to make the RRM optional in the text of the DNA does not automatical</w:t>
      </w:r>
      <w:r w:rsidR="39F84F9E" w:rsidRPr="00D86314">
        <w:rPr>
          <w:noProof/>
        </w:rPr>
        <w:t>ly imply that there is a decision not to issue a RRM.</w:t>
      </w:r>
      <w:r w:rsidR="6F15BAE9" w:rsidRPr="00D86314">
        <w:rPr>
          <w:noProof/>
        </w:rPr>
        <w:t xml:space="preserve"> </w:t>
      </w:r>
      <w:r w:rsidRPr="00D86314">
        <w:rPr>
          <w:noProof/>
        </w:rPr>
        <w:t>NRAs in the vast majority of countries expect that, following copper switch-off, there will be only one FTTH network reaching the majority of households with a high proportion of duopoly, and very limited presence of three or more infrastructures. Financial investors note that network duplication should be min</w:t>
      </w:r>
      <w:r w:rsidR="539376B0" w:rsidRPr="00D86314">
        <w:rPr>
          <w:noProof/>
        </w:rPr>
        <w:t>i</w:t>
      </w:r>
      <w:r w:rsidRPr="00D86314">
        <w:rPr>
          <w:noProof/>
        </w:rPr>
        <w:t>mised and enabled only in the densest areas, reaching around 20% of households. The</w:t>
      </w:r>
      <w:r w:rsidR="10462B46" w:rsidRPr="00D86314">
        <w:rPr>
          <w:noProof/>
        </w:rPr>
        <w:t>refore,</w:t>
      </w:r>
      <w:r w:rsidRPr="00D86314">
        <w:rPr>
          <w:noProof/>
        </w:rPr>
        <w:t xml:space="preserve"> </w:t>
      </w:r>
      <w:r w:rsidR="211A75C2" w:rsidRPr="00D86314">
        <w:rPr>
          <w:noProof/>
        </w:rPr>
        <w:t>NRAs will need to assess</w:t>
      </w:r>
      <w:r w:rsidRPr="00D86314">
        <w:rPr>
          <w:noProof/>
        </w:rPr>
        <w:t xml:space="preserve"> risk</w:t>
      </w:r>
      <w:r w:rsidR="30A6E634" w:rsidRPr="00D86314">
        <w:rPr>
          <w:noProof/>
        </w:rPr>
        <w:t>s</w:t>
      </w:r>
      <w:r w:rsidRPr="00D86314">
        <w:rPr>
          <w:noProof/>
        </w:rPr>
        <w:t xml:space="preserve"> of exploitative pricing and limitations on quality </w:t>
      </w:r>
      <w:r w:rsidR="5486036E" w:rsidRPr="00D86314">
        <w:rPr>
          <w:noProof/>
        </w:rPr>
        <w:t>and act as needed.</w:t>
      </w:r>
    </w:p>
    <w:p w14:paraId="4E16DBC3" w14:textId="6BF4156E" w:rsidR="000771EA" w:rsidRPr="00D86314" w:rsidRDefault="000771EA" w:rsidP="000771EA">
      <w:pPr>
        <w:rPr>
          <w:noProof/>
        </w:rPr>
      </w:pPr>
      <w:r w:rsidRPr="00D86314">
        <w:rPr>
          <w:noProof/>
        </w:rPr>
        <w:t>Assuming that it serves to ensure that NRAs address competition problems in broadband markets, the preferred option should increase take-up of Gigabit connectivity compared with the status quo, due to the combined effects of CSO on FTTH coverage and the development of harmonised wholesale product specifications which enable competition on quality. Projections suggest that in concrete terms consumers could benefit from increased broadband speeds (from 176 to 743 Mbit/s in 2035) under the preferred option, compared with speeds of 584Mbit/s in 2035 under the status quo.</w:t>
      </w:r>
    </w:p>
    <w:p w14:paraId="6A3F76E1" w14:textId="77777777" w:rsidR="000771EA" w:rsidRPr="00D86314" w:rsidRDefault="000771EA" w:rsidP="000771EA">
      <w:pPr>
        <w:rPr>
          <w:noProof/>
        </w:rPr>
      </w:pPr>
    </w:p>
    <w:p w14:paraId="1FC0854F" w14:textId="5BB73688" w:rsidR="000771EA" w:rsidRPr="00D86314" w:rsidRDefault="000771EA" w:rsidP="000771EA">
      <w:pPr>
        <w:pStyle w:val="Tabberschrift"/>
        <w:rPr>
          <w:rFonts w:ascii="Times New Roman" w:hAnsi="Times New Roman"/>
          <w:noProof/>
        </w:rPr>
      </w:pPr>
      <w:bookmarkStart w:id="293" w:name="_Toc208240004"/>
      <w:r w:rsidRPr="00D86314">
        <w:rPr>
          <w:rFonts w:ascii="Times New Roman" w:hAnsi="Times New Roman"/>
          <w:noProof/>
        </w:rPr>
        <w:t>Table:</w:t>
      </w:r>
      <w:r w:rsidR="00D442C8" w:rsidRPr="00D86314">
        <w:rPr>
          <w:rFonts w:ascii="Times New Roman" w:hAnsi="Times New Roman"/>
          <w:noProof/>
        </w:rPr>
        <w:t xml:space="preserve"> A9 1-11</w:t>
      </w:r>
      <w:r w:rsidR="00D0151D" w:rsidRPr="00D86314">
        <w:rPr>
          <w:rFonts w:ascii="Times New Roman" w:hAnsi="Times New Roman"/>
          <w:noProof/>
        </w:rPr>
        <w:t>:</w:t>
      </w:r>
      <w:r w:rsidR="00D0151D" w:rsidRPr="00D86314">
        <w:rPr>
          <w:rFonts w:ascii="Times New Roman" w:hAnsi="Times New Roman"/>
          <w:noProof/>
        </w:rPr>
        <w:tab/>
      </w:r>
      <w:r w:rsidRPr="00D86314">
        <w:rPr>
          <w:rFonts w:ascii="Times New Roman" w:hAnsi="Times New Roman"/>
          <w:noProof/>
        </w:rPr>
        <w:tab/>
        <w:t>Estimated costs and benefits to consumers linked to the preferred DNA option</w:t>
      </w:r>
      <w:bookmarkEnd w:id="293"/>
    </w:p>
    <w:tbl>
      <w:tblPr>
        <w:tblStyle w:val="TableGrid1"/>
        <w:tblW w:w="0" w:type="auto"/>
        <w:tblLook w:val="04A0" w:firstRow="1" w:lastRow="0" w:firstColumn="1" w:lastColumn="0" w:noHBand="0" w:noVBand="1"/>
      </w:tblPr>
      <w:tblGrid>
        <w:gridCol w:w="3873"/>
        <w:gridCol w:w="1499"/>
        <w:gridCol w:w="1613"/>
        <w:gridCol w:w="1623"/>
      </w:tblGrid>
      <w:tr w:rsidR="000771EA" w:rsidRPr="00D86314" w14:paraId="6F89E44A" w14:textId="77777777">
        <w:tc>
          <w:tcPr>
            <w:tcW w:w="5487" w:type="dxa"/>
            <w:gridSpan w:val="2"/>
            <w:vMerge w:val="restart"/>
            <w:hideMark/>
          </w:tcPr>
          <w:p w14:paraId="37C6ECEF" w14:textId="77777777" w:rsidR="000771EA" w:rsidRPr="00D86314" w:rsidRDefault="000771EA">
            <w:pPr>
              <w:keepNext/>
              <w:spacing w:before="40" w:after="40"/>
              <w:rPr>
                <w:noProof/>
                <w:sz w:val="16"/>
                <w:szCs w:val="16"/>
                <w:lang w:val="en-GB"/>
              </w:rPr>
            </w:pPr>
            <w:r w:rsidRPr="00D86314">
              <w:rPr>
                <w:noProof/>
                <w:sz w:val="16"/>
                <w:szCs w:val="16"/>
                <w:lang w:val="en-GB"/>
              </w:rPr>
              <w:t> </w:t>
            </w:r>
          </w:p>
        </w:tc>
        <w:tc>
          <w:tcPr>
            <w:tcW w:w="3282" w:type="dxa"/>
            <w:gridSpan w:val="2"/>
            <w:hideMark/>
          </w:tcPr>
          <w:p w14:paraId="657C605E" w14:textId="77777777" w:rsidR="000771EA" w:rsidRPr="00D86314" w:rsidRDefault="000771EA">
            <w:pPr>
              <w:keepNext/>
              <w:spacing w:before="40" w:after="40"/>
              <w:rPr>
                <w:b/>
                <w:noProof/>
                <w:sz w:val="16"/>
                <w:szCs w:val="16"/>
                <w:lang w:val="en-GB"/>
              </w:rPr>
            </w:pPr>
            <w:r w:rsidRPr="00D86314">
              <w:rPr>
                <w:b/>
                <w:noProof/>
                <w:sz w:val="16"/>
                <w:szCs w:val="16"/>
                <w:lang w:val="en-GB"/>
              </w:rPr>
              <w:t>Consumers</w:t>
            </w:r>
          </w:p>
        </w:tc>
      </w:tr>
      <w:tr w:rsidR="000771EA" w:rsidRPr="00D86314" w14:paraId="4B304E24" w14:textId="77777777">
        <w:tc>
          <w:tcPr>
            <w:tcW w:w="5487" w:type="dxa"/>
            <w:gridSpan w:val="2"/>
            <w:vMerge/>
            <w:hideMark/>
          </w:tcPr>
          <w:p w14:paraId="1807EB8A" w14:textId="77777777" w:rsidR="000771EA" w:rsidRPr="00D86314" w:rsidRDefault="000771EA">
            <w:pPr>
              <w:keepNext/>
              <w:spacing w:before="40" w:after="40"/>
              <w:rPr>
                <w:noProof/>
                <w:sz w:val="16"/>
                <w:szCs w:val="16"/>
                <w:lang w:val="en-GB"/>
              </w:rPr>
            </w:pPr>
          </w:p>
        </w:tc>
        <w:tc>
          <w:tcPr>
            <w:tcW w:w="1636" w:type="dxa"/>
            <w:hideMark/>
          </w:tcPr>
          <w:p w14:paraId="02E3BBF8" w14:textId="77777777" w:rsidR="000771EA" w:rsidRPr="00D86314" w:rsidRDefault="000771EA">
            <w:pPr>
              <w:keepNext/>
              <w:spacing w:before="40" w:after="40"/>
              <w:rPr>
                <w:b/>
                <w:noProof/>
                <w:sz w:val="16"/>
                <w:szCs w:val="16"/>
                <w:lang w:val="en-GB"/>
              </w:rPr>
            </w:pPr>
            <w:r w:rsidRPr="00D86314">
              <w:rPr>
                <w:b/>
                <w:noProof/>
                <w:sz w:val="16"/>
                <w:szCs w:val="16"/>
                <w:lang w:val="en-GB"/>
              </w:rPr>
              <w:t>One-off</w:t>
            </w:r>
          </w:p>
        </w:tc>
        <w:tc>
          <w:tcPr>
            <w:tcW w:w="1646" w:type="dxa"/>
            <w:hideMark/>
          </w:tcPr>
          <w:p w14:paraId="75AEBA5C" w14:textId="77777777" w:rsidR="000771EA" w:rsidRPr="00D86314" w:rsidRDefault="000771EA">
            <w:pPr>
              <w:keepNext/>
              <w:spacing w:before="40" w:after="40"/>
              <w:rPr>
                <w:b/>
                <w:noProof/>
                <w:sz w:val="16"/>
                <w:szCs w:val="16"/>
                <w:lang w:val="en-GB"/>
              </w:rPr>
            </w:pPr>
            <w:r w:rsidRPr="00D86314">
              <w:rPr>
                <w:b/>
                <w:noProof/>
                <w:sz w:val="16"/>
                <w:szCs w:val="16"/>
                <w:lang w:val="en-GB"/>
              </w:rPr>
              <w:t>Recurrent</w:t>
            </w:r>
          </w:p>
        </w:tc>
      </w:tr>
      <w:tr w:rsidR="000771EA" w:rsidRPr="00D86314" w14:paraId="6E258340" w14:textId="77777777">
        <w:tc>
          <w:tcPr>
            <w:tcW w:w="3963" w:type="dxa"/>
            <w:vMerge w:val="restart"/>
          </w:tcPr>
          <w:p w14:paraId="17328915" w14:textId="77777777" w:rsidR="000771EA" w:rsidRPr="00D86314" w:rsidRDefault="000771EA">
            <w:pPr>
              <w:keepNext/>
              <w:spacing w:before="40" w:after="40"/>
              <w:rPr>
                <w:b/>
                <w:noProof/>
                <w:sz w:val="16"/>
                <w:szCs w:val="16"/>
                <w:lang w:val="en-GB"/>
              </w:rPr>
            </w:pPr>
            <w:r w:rsidRPr="00A36024">
              <w:rPr>
                <w:b/>
                <w:bCs/>
                <w:noProof/>
                <w:sz w:val="16"/>
                <w:szCs w:val="16"/>
              </w:rPr>
              <w:t>Copper switch-off</w:t>
            </w:r>
          </w:p>
        </w:tc>
        <w:tc>
          <w:tcPr>
            <w:tcW w:w="1524" w:type="dxa"/>
          </w:tcPr>
          <w:p w14:paraId="08C1A17B"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075C9DAA" w14:textId="77777777" w:rsidR="000771EA" w:rsidRPr="00D86314" w:rsidRDefault="000771EA">
            <w:pPr>
              <w:keepNext/>
              <w:spacing w:before="40" w:after="40"/>
              <w:rPr>
                <w:noProof/>
                <w:sz w:val="16"/>
                <w:szCs w:val="16"/>
                <w:lang w:val="en-GB"/>
              </w:rPr>
            </w:pPr>
            <w:r w:rsidRPr="00C20A01">
              <w:rPr>
                <w:noProof/>
                <w:sz w:val="16"/>
                <w:szCs w:val="16"/>
                <w:lang w:val="en-GB"/>
              </w:rPr>
              <w:t>In-building wiring (where not already deployed), but would also occur later under status quo – and could be minimised and distributed over time as part of the CSO process</w:t>
            </w:r>
          </w:p>
        </w:tc>
        <w:tc>
          <w:tcPr>
            <w:tcW w:w="1646" w:type="dxa"/>
          </w:tcPr>
          <w:p w14:paraId="07193C28" w14:textId="77777777" w:rsidR="000771EA" w:rsidRPr="00D86314" w:rsidRDefault="000771EA">
            <w:pPr>
              <w:keepNext/>
              <w:spacing w:before="40" w:after="40"/>
              <w:rPr>
                <w:noProof/>
                <w:sz w:val="16"/>
                <w:szCs w:val="16"/>
                <w:lang w:val="en-GB"/>
              </w:rPr>
            </w:pPr>
            <w:r w:rsidRPr="00C20A01">
              <w:rPr>
                <w:noProof/>
                <w:sz w:val="16"/>
                <w:szCs w:val="16"/>
                <w:lang w:val="en-GB"/>
              </w:rPr>
              <w:t>None – as the conditions prevent CSO which would lead to higher prices</w:t>
            </w:r>
          </w:p>
        </w:tc>
      </w:tr>
      <w:tr w:rsidR="000771EA" w:rsidRPr="00D86314" w14:paraId="1A948141" w14:textId="77777777">
        <w:tc>
          <w:tcPr>
            <w:tcW w:w="3963" w:type="dxa"/>
            <w:vMerge/>
          </w:tcPr>
          <w:p w14:paraId="30291B59" w14:textId="77777777" w:rsidR="000771EA" w:rsidRPr="00D86314" w:rsidRDefault="000771EA">
            <w:pPr>
              <w:keepNext/>
              <w:spacing w:before="40" w:after="40"/>
              <w:rPr>
                <w:b/>
                <w:noProof/>
                <w:sz w:val="16"/>
                <w:szCs w:val="16"/>
                <w:lang w:val="en-GB"/>
              </w:rPr>
            </w:pPr>
          </w:p>
        </w:tc>
        <w:tc>
          <w:tcPr>
            <w:tcW w:w="1524" w:type="dxa"/>
          </w:tcPr>
          <w:p w14:paraId="340AEACB"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3282" w:type="dxa"/>
            <w:gridSpan w:val="2"/>
          </w:tcPr>
          <w:p w14:paraId="21DE2FD6" w14:textId="77777777" w:rsidR="000771EA" w:rsidRPr="00D86314" w:rsidRDefault="000771EA">
            <w:pPr>
              <w:keepNext/>
              <w:spacing w:before="40" w:after="40"/>
              <w:rPr>
                <w:noProof/>
                <w:sz w:val="16"/>
                <w:szCs w:val="16"/>
                <w:lang w:val="en-GB"/>
              </w:rPr>
            </w:pPr>
            <w:r w:rsidRPr="00C20A01">
              <w:rPr>
                <w:noProof/>
                <w:sz w:val="16"/>
                <w:szCs w:val="16"/>
                <w:lang w:val="en-GB"/>
              </w:rPr>
              <w:t xml:space="preserve">Disruption associated with migration. </w:t>
            </w:r>
          </w:p>
          <w:p w14:paraId="63DDE029" w14:textId="77777777" w:rsidR="000771EA" w:rsidRPr="00D86314" w:rsidRDefault="000771EA">
            <w:pPr>
              <w:keepNext/>
              <w:spacing w:before="40" w:after="40"/>
              <w:rPr>
                <w:noProof/>
                <w:sz w:val="16"/>
                <w:szCs w:val="16"/>
                <w:lang w:val="en-GB"/>
              </w:rPr>
            </w:pPr>
          </w:p>
          <w:p w14:paraId="51ED604E" w14:textId="77777777" w:rsidR="000771EA" w:rsidRPr="00D86314" w:rsidRDefault="000771EA">
            <w:pPr>
              <w:keepNext/>
              <w:spacing w:before="40" w:after="40"/>
              <w:rPr>
                <w:noProof/>
                <w:sz w:val="16"/>
                <w:szCs w:val="16"/>
                <w:lang w:val="en-GB"/>
              </w:rPr>
            </w:pPr>
            <w:r w:rsidRPr="00C20A01">
              <w:rPr>
                <w:noProof/>
                <w:sz w:val="16"/>
                <w:szCs w:val="16"/>
                <w:lang w:val="en-GB"/>
              </w:rPr>
              <w:t>A limited % of consumers may need to be transitioned to FWA / mobile, but these often offer equivalent speeds to copper and (if not) action could be taken under CSO to support minimum quality guarantees</w:t>
            </w:r>
          </w:p>
        </w:tc>
      </w:tr>
      <w:tr w:rsidR="000771EA" w:rsidRPr="00D86314" w14:paraId="17DA3617" w14:textId="77777777">
        <w:tc>
          <w:tcPr>
            <w:tcW w:w="3963" w:type="dxa"/>
            <w:vMerge/>
          </w:tcPr>
          <w:p w14:paraId="4E2F6A30" w14:textId="77777777" w:rsidR="000771EA" w:rsidRPr="00D86314" w:rsidRDefault="000771EA">
            <w:pPr>
              <w:keepNext/>
              <w:spacing w:before="40" w:after="40"/>
              <w:rPr>
                <w:b/>
                <w:noProof/>
                <w:sz w:val="16"/>
                <w:szCs w:val="16"/>
                <w:lang w:val="en-GB"/>
              </w:rPr>
            </w:pPr>
          </w:p>
        </w:tc>
        <w:tc>
          <w:tcPr>
            <w:tcW w:w="1524" w:type="dxa"/>
          </w:tcPr>
          <w:p w14:paraId="0C098989"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64EDF4EE" w14:textId="77777777" w:rsidR="000771EA" w:rsidRPr="00D86314" w:rsidRDefault="000771EA">
            <w:pPr>
              <w:keepNext/>
              <w:spacing w:before="40" w:after="40"/>
              <w:rPr>
                <w:noProof/>
                <w:sz w:val="16"/>
                <w:szCs w:val="16"/>
                <w:lang w:val="en-GB"/>
              </w:rPr>
            </w:pPr>
            <w:r w:rsidRPr="00C20A01">
              <w:rPr>
                <w:noProof/>
                <w:sz w:val="16"/>
                <w:szCs w:val="16"/>
                <w:lang w:val="en-GB"/>
              </w:rPr>
              <w:t>Higher speeds and more reliable connections at no extra cost</w:t>
            </w:r>
          </w:p>
        </w:tc>
      </w:tr>
      <w:tr w:rsidR="000771EA" w:rsidRPr="00D86314" w14:paraId="0B60FC76" w14:textId="77777777">
        <w:tc>
          <w:tcPr>
            <w:tcW w:w="3963" w:type="dxa"/>
            <w:vMerge/>
          </w:tcPr>
          <w:p w14:paraId="2959CBDA" w14:textId="77777777" w:rsidR="000771EA" w:rsidRPr="00D86314" w:rsidRDefault="000771EA">
            <w:pPr>
              <w:keepNext/>
              <w:spacing w:before="40" w:after="40"/>
              <w:rPr>
                <w:b/>
                <w:noProof/>
                <w:sz w:val="16"/>
                <w:szCs w:val="16"/>
                <w:lang w:val="en-GB"/>
              </w:rPr>
            </w:pPr>
          </w:p>
        </w:tc>
        <w:tc>
          <w:tcPr>
            <w:tcW w:w="1524" w:type="dxa"/>
          </w:tcPr>
          <w:p w14:paraId="74EE2636"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6F3CD269" w14:textId="77777777" w:rsidR="000771EA" w:rsidRPr="00D86314" w:rsidRDefault="000771EA">
            <w:pPr>
              <w:keepNext/>
              <w:spacing w:before="40" w:after="40"/>
              <w:rPr>
                <w:noProof/>
                <w:sz w:val="16"/>
                <w:szCs w:val="16"/>
                <w:lang w:val="en-GB"/>
              </w:rPr>
            </w:pPr>
            <w:r w:rsidRPr="00C20A01">
              <w:rPr>
                <w:noProof/>
                <w:sz w:val="16"/>
                <w:szCs w:val="16"/>
                <w:lang w:val="en-GB"/>
              </w:rPr>
              <w:t>Positive impacts on growth, jobs and sustainability</w:t>
            </w:r>
          </w:p>
        </w:tc>
      </w:tr>
      <w:tr w:rsidR="000771EA" w:rsidRPr="00D86314" w14:paraId="423C891E" w14:textId="77777777">
        <w:tc>
          <w:tcPr>
            <w:tcW w:w="3963" w:type="dxa"/>
            <w:vMerge w:val="restart"/>
          </w:tcPr>
          <w:p w14:paraId="22C1E727" w14:textId="77777777" w:rsidR="000771EA" w:rsidRPr="00D86314" w:rsidRDefault="000771EA">
            <w:pPr>
              <w:keepNext/>
              <w:spacing w:before="40" w:after="40"/>
              <w:rPr>
                <w:b/>
                <w:noProof/>
                <w:sz w:val="16"/>
                <w:szCs w:val="16"/>
                <w:lang w:val="en-GB"/>
              </w:rPr>
            </w:pPr>
            <w:r w:rsidRPr="00A36024">
              <w:rPr>
                <w:b/>
                <w:bCs/>
                <w:noProof/>
                <w:sz w:val="16"/>
                <w:szCs w:val="16"/>
              </w:rPr>
              <w:t>Access regulation: Data gathering</w:t>
            </w:r>
          </w:p>
        </w:tc>
        <w:tc>
          <w:tcPr>
            <w:tcW w:w="1524" w:type="dxa"/>
          </w:tcPr>
          <w:p w14:paraId="03CD840F"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7E4FF276"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5C158FDA" w14:textId="77777777" w:rsidR="000771EA" w:rsidRPr="00D86314" w:rsidRDefault="000771EA">
            <w:pPr>
              <w:keepNext/>
              <w:spacing w:before="40" w:after="40"/>
              <w:rPr>
                <w:noProof/>
                <w:sz w:val="16"/>
                <w:szCs w:val="16"/>
                <w:lang w:val="en-GB"/>
              </w:rPr>
            </w:pPr>
          </w:p>
        </w:tc>
      </w:tr>
      <w:tr w:rsidR="000771EA" w:rsidRPr="00D86314" w14:paraId="71AF4801" w14:textId="77777777">
        <w:tc>
          <w:tcPr>
            <w:tcW w:w="3963" w:type="dxa"/>
            <w:vMerge/>
          </w:tcPr>
          <w:p w14:paraId="27652575" w14:textId="77777777" w:rsidR="000771EA" w:rsidRPr="00D86314" w:rsidRDefault="000771EA">
            <w:pPr>
              <w:keepNext/>
              <w:spacing w:before="40" w:after="40"/>
              <w:rPr>
                <w:b/>
                <w:noProof/>
                <w:sz w:val="16"/>
                <w:szCs w:val="16"/>
                <w:lang w:val="en-GB"/>
              </w:rPr>
            </w:pPr>
          </w:p>
        </w:tc>
        <w:tc>
          <w:tcPr>
            <w:tcW w:w="1524" w:type="dxa"/>
          </w:tcPr>
          <w:p w14:paraId="6E5AC002"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1636" w:type="dxa"/>
          </w:tcPr>
          <w:p w14:paraId="2A850A02"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4CDDBD2D" w14:textId="77777777" w:rsidR="000771EA" w:rsidRPr="00D86314" w:rsidRDefault="000771EA">
            <w:pPr>
              <w:keepNext/>
              <w:spacing w:before="40" w:after="40"/>
              <w:rPr>
                <w:noProof/>
                <w:sz w:val="16"/>
                <w:szCs w:val="16"/>
                <w:lang w:val="en-GB"/>
              </w:rPr>
            </w:pPr>
          </w:p>
        </w:tc>
      </w:tr>
      <w:tr w:rsidR="000771EA" w:rsidRPr="00D86314" w14:paraId="7B18AF39" w14:textId="77777777">
        <w:tc>
          <w:tcPr>
            <w:tcW w:w="3963" w:type="dxa"/>
            <w:vMerge/>
          </w:tcPr>
          <w:p w14:paraId="6C6A3457" w14:textId="77777777" w:rsidR="000771EA" w:rsidRPr="00D86314" w:rsidRDefault="000771EA">
            <w:pPr>
              <w:keepNext/>
              <w:spacing w:before="40" w:after="40"/>
              <w:rPr>
                <w:b/>
                <w:noProof/>
                <w:sz w:val="16"/>
                <w:szCs w:val="16"/>
                <w:lang w:val="en-GB"/>
              </w:rPr>
            </w:pPr>
          </w:p>
        </w:tc>
        <w:tc>
          <w:tcPr>
            <w:tcW w:w="1524" w:type="dxa"/>
          </w:tcPr>
          <w:p w14:paraId="4166CFB0"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203A63F0" w14:textId="77777777" w:rsidR="000771EA" w:rsidRPr="00D86314" w:rsidRDefault="000771EA">
            <w:pPr>
              <w:keepNext/>
              <w:spacing w:before="40" w:after="40"/>
              <w:rPr>
                <w:noProof/>
                <w:sz w:val="16"/>
                <w:szCs w:val="16"/>
                <w:lang w:val="en-GB"/>
              </w:rPr>
            </w:pPr>
            <w:r w:rsidRPr="00C20A01">
              <w:rPr>
                <w:noProof/>
                <w:sz w:val="16"/>
                <w:szCs w:val="16"/>
                <w:lang w:val="en-GB"/>
              </w:rPr>
              <w:t>N/A – although may affect outcomes of market analysis (see below)</w:t>
            </w:r>
          </w:p>
        </w:tc>
      </w:tr>
      <w:tr w:rsidR="000771EA" w:rsidRPr="00D86314" w14:paraId="20BD400A" w14:textId="77777777">
        <w:tc>
          <w:tcPr>
            <w:tcW w:w="3963" w:type="dxa"/>
            <w:vMerge/>
          </w:tcPr>
          <w:p w14:paraId="7D071105" w14:textId="77777777" w:rsidR="000771EA" w:rsidRPr="00D86314" w:rsidRDefault="000771EA">
            <w:pPr>
              <w:keepNext/>
              <w:spacing w:before="40" w:after="40"/>
              <w:rPr>
                <w:b/>
                <w:noProof/>
                <w:sz w:val="16"/>
                <w:szCs w:val="16"/>
                <w:lang w:val="en-GB"/>
              </w:rPr>
            </w:pPr>
          </w:p>
        </w:tc>
        <w:tc>
          <w:tcPr>
            <w:tcW w:w="1524" w:type="dxa"/>
          </w:tcPr>
          <w:p w14:paraId="1324DBA3"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080AC892" w14:textId="77777777" w:rsidR="000771EA" w:rsidRPr="00D86314" w:rsidRDefault="000771EA">
            <w:pPr>
              <w:keepNext/>
              <w:spacing w:before="40" w:after="40"/>
              <w:rPr>
                <w:noProof/>
                <w:sz w:val="16"/>
                <w:szCs w:val="16"/>
                <w:lang w:val="en-GB"/>
              </w:rPr>
            </w:pPr>
          </w:p>
        </w:tc>
      </w:tr>
      <w:tr w:rsidR="000771EA" w:rsidRPr="00D86314" w14:paraId="157C33F7" w14:textId="77777777">
        <w:tc>
          <w:tcPr>
            <w:tcW w:w="3963" w:type="dxa"/>
            <w:vMerge w:val="restart"/>
          </w:tcPr>
          <w:p w14:paraId="174E7F8D" w14:textId="77777777" w:rsidR="000771EA" w:rsidRPr="00D86314" w:rsidRDefault="000771EA">
            <w:pPr>
              <w:keepNext/>
              <w:spacing w:before="40" w:after="40"/>
              <w:rPr>
                <w:b/>
                <w:noProof/>
                <w:sz w:val="16"/>
                <w:szCs w:val="16"/>
                <w:lang w:val="en-GB"/>
              </w:rPr>
            </w:pPr>
            <w:r w:rsidRPr="00C20A01">
              <w:rPr>
                <w:b/>
                <w:noProof/>
                <w:sz w:val="16"/>
                <w:szCs w:val="16"/>
                <w:lang w:val="en-GB"/>
              </w:rPr>
              <w:t>Access regulation: RRM made optional</w:t>
            </w:r>
          </w:p>
        </w:tc>
        <w:tc>
          <w:tcPr>
            <w:tcW w:w="1524" w:type="dxa"/>
          </w:tcPr>
          <w:p w14:paraId="397FF560"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7CF543B4"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68335CCE" w14:textId="77777777" w:rsidR="000771EA" w:rsidRPr="00D86314" w:rsidRDefault="000771EA">
            <w:pPr>
              <w:keepNext/>
              <w:spacing w:before="40" w:after="40"/>
              <w:rPr>
                <w:noProof/>
                <w:sz w:val="16"/>
                <w:szCs w:val="16"/>
                <w:lang w:val="en-GB"/>
              </w:rPr>
            </w:pPr>
          </w:p>
        </w:tc>
      </w:tr>
      <w:tr w:rsidR="000771EA" w:rsidRPr="00D86314" w14:paraId="09BB7A37" w14:textId="77777777">
        <w:tc>
          <w:tcPr>
            <w:tcW w:w="3963" w:type="dxa"/>
            <w:vMerge/>
          </w:tcPr>
          <w:p w14:paraId="58E23823" w14:textId="77777777" w:rsidR="000771EA" w:rsidRPr="00D86314" w:rsidRDefault="000771EA">
            <w:pPr>
              <w:keepNext/>
              <w:spacing w:before="40" w:after="40"/>
              <w:rPr>
                <w:b/>
                <w:noProof/>
                <w:sz w:val="16"/>
                <w:szCs w:val="16"/>
                <w:lang w:val="en-GB"/>
              </w:rPr>
            </w:pPr>
          </w:p>
        </w:tc>
        <w:tc>
          <w:tcPr>
            <w:tcW w:w="1524" w:type="dxa"/>
          </w:tcPr>
          <w:p w14:paraId="79907366"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3282" w:type="dxa"/>
            <w:gridSpan w:val="2"/>
          </w:tcPr>
          <w:p w14:paraId="35A80458" w14:textId="77777777" w:rsidR="000771EA" w:rsidRPr="00D86314" w:rsidRDefault="000771EA">
            <w:pPr>
              <w:keepNext/>
              <w:spacing w:before="40" w:after="40"/>
              <w:rPr>
                <w:noProof/>
                <w:sz w:val="16"/>
                <w:szCs w:val="16"/>
                <w:lang w:val="en-GB"/>
              </w:rPr>
            </w:pPr>
            <w:r w:rsidRPr="00C20A01">
              <w:rPr>
                <w:noProof/>
                <w:sz w:val="16"/>
                <w:szCs w:val="16"/>
                <w:lang w:val="en-GB"/>
              </w:rPr>
              <w:t>In the event that the RRM is made optional, there would be a risk of under-regulation / lack of targeting in regulation leading to reductions in competition and associated limitations in choice, quality and reasonable pricing. Under preferred option, some consumers needing Gigabit connections may not be served with such connections at an affordable price</w:t>
            </w:r>
          </w:p>
        </w:tc>
      </w:tr>
      <w:tr w:rsidR="000771EA" w:rsidRPr="00D86314" w14:paraId="4D3ECBDA" w14:textId="77777777">
        <w:tc>
          <w:tcPr>
            <w:tcW w:w="3963" w:type="dxa"/>
            <w:vMerge/>
          </w:tcPr>
          <w:p w14:paraId="784C4613" w14:textId="77777777" w:rsidR="000771EA" w:rsidRPr="00D86314" w:rsidRDefault="000771EA">
            <w:pPr>
              <w:keepNext/>
              <w:spacing w:before="40" w:after="40"/>
              <w:rPr>
                <w:b/>
                <w:noProof/>
                <w:sz w:val="16"/>
                <w:szCs w:val="16"/>
                <w:lang w:val="en-GB"/>
              </w:rPr>
            </w:pPr>
          </w:p>
        </w:tc>
        <w:tc>
          <w:tcPr>
            <w:tcW w:w="1524" w:type="dxa"/>
          </w:tcPr>
          <w:p w14:paraId="21294CA7"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486E5EFC" w14:textId="77777777" w:rsidR="000771EA" w:rsidRPr="00D86314" w:rsidRDefault="000771EA">
            <w:pPr>
              <w:keepNext/>
              <w:spacing w:before="40" w:after="40"/>
              <w:rPr>
                <w:noProof/>
                <w:sz w:val="16"/>
                <w:szCs w:val="16"/>
                <w:lang w:val="en-GB"/>
              </w:rPr>
            </w:pPr>
            <w:r w:rsidRPr="00A36024">
              <w:rPr>
                <w:noProof/>
                <w:sz w:val="16"/>
                <w:szCs w:val="16"/>
              </w:rPr>
              <w:t>N/A</w:t>
            </w:r>
          </w:p>
        </w:tc>
      </w:tr>
      <w:tr w:rsidR="000771EA" w:rsidRPr="00D86314" w14:paraId="441377F6" w14:textId="77777777">
        <w:tc>
          <w:tcPr>
            <w:tcW w:w="3963" w:type="dxa"/>
            <w:vMerge/>
          </w:tcPr>
          <w:p w14:paraId="7D1F5005" w14:textId="77777777" w:rsidR="000771EA" w:rsidRPr="00D86314" w:rsidRDefault="000771EA">
            <w:pPr>
              <w:keepNext/>
              <w:spacing w:before="40" w:after="40"/>
              <w:rPr>
                <w:b/>
                <w:noProof/>
                <w:sz w:val="16"/>
                <w:szCs w:val="16"/>
                <w:lang w:val="en-GB"/>
              </w:rPr>
            </w:pPr>
          </w:p>
        </w:tc>
        <w:tc>
          <w:tcPr>
            <w:tcW w:w="1524" w:type="dxa"/>
          </w:tcPr>
          <w:p w14:paraId="354DCA40"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0454CB9A" w14:textId="77777777" w:rsidR="000771EA" w:rsidRPr="00D86314" w:rsidRDefault="000771EA">
            <w:pPr>
              <w:keepNext/>
              <w:spacing w:before="40" w:after="40"/>
              <w:rPr>
                <w:noProof/>
                <w:sz w:val="16"/>
                <w:szCs w:val="16"/>
                <w:lang w:val="en-GB"/>
              </w:rPr>
            </w:pPr>
            <w:r w:rsidRPr="00A36024">
              <w:rPr>
                <w:noProof/>
                <w:sz w:val="16"/>
                <w:szCs w:val="16"/>
              </w:rPr>
              <w:t>N/A</w:t>
            </w:r>
          </w:p>
        </w:tc>
      </w:tr>
      <w:tr w:rsidR="000771EA" w:rsidRPr="00D86314" w14:paraId="6E7925EA" w14:textId="77777777">
        <w:tc>
          <w:tcPr>
            <w:tcW w:w="3963" w:type="dxa"/>
            <w:vMerge w:val="restart"/>
          </w:tcPr>
          <w:p w14:paraId="39EDE7DE" w14:textId="77777777" w:rsidR="000771EA" w:rsidRPr="00D86314" w:rsidRDefault="000771EA">
            <w:pPr>
              <w:keepNext/>
              <w:spacing w:before="40" w:after="40"/>
              <w:rPr>
                <w:b/>
                <w:noProof/>
                <w:sz w:val="16"/>
                <w:szCs w:val="16"/>
                <w:lang w:val="en-GB"/>
              </w:rPr>
            </w:pPr>
            <w:r w:rsidRPr="00C20A01">
              <w:rPr>
                <w:b/>
                <w:noProof/>
                <w:sz w:val="16"/>
                <w:szCs w:val="16"/>
                <w:lang w:val="en-GB"/>
              </w:rPr>
              <w:t>Access regulation: Harmonised wholesale products</w:t>
            </w:r>
          </w:p>
        </w:tc>
        <w:tc>
          <w:tcPr>
            <w:tcW w:w="1524" w:type="dxa"/>
          </w:tcPr>
          <w:p w14:paraId="76E4FEC5"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4A0EC493"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339822BB" w14:textId="77777777" w:rsidR="000771EA" w:rsidRPr="00D86314" w:rsidRDefault="000771EA">
            <w:pPr>
              <w:keepNext/>
              <w:spacing w:before="40" w:after="40"/>
              <w:rPr>
                <w:noProof/>
                <w:sz w:val="16"/>
                <w:szCs w:val="16"/>
                <w:lang w:val="en-GB"/>
              </w:rPr>
            </w:pPr>
          </w:p>
        </w:tc>
      </w:tr>
      <w:tr w:rsidR="000771EA" w:rsidRPr="00D86314" w14:paraId="4608E74E" w14:textId="77777777">
        <w:trPr>
          <w:trHeight w:val="43"/>
        </w:trPr>
        <w:tc>
          <w:tcPr>
            <w:tcW w:w="3963" w:type="dxa"/>
            <w:vMerge/>
          </w:tcPr>
          <w:p w14:paraId="38B074E0" w14:textId="77777777" w:rsidR="000771EA" w:rsidRPr="00D86314" w:rsidRDefault="000771EA">
            <w:pPr>
              <w:keepNext/>
              <w:spacing w:before="40" w:after="40"/>
              <w:rPr>
                <w:b/>
                <w:noProof/>
                <w:sz w:val="16"/>
                <w:szCs w:val="16"/>
                <w:lang w:val="en-GB"/>
              </w:rPr>
            </w:pPr>
          </w:p>
        </w:tc>
        <w:tc>
          <w:tcPr>
            <w:tcW w:w="1524" w:type="dxa"/>
          </w:tcPr>
          <w:p w14:paraId="64807A62"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1636" w:type="dxa"/>
          </w:tcPr>
          <w:p w14:paraId="2FE3E69B"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55129C74" w14:textId="77777777" w:rsidR="000771EA" w:rsidRPr="00D86314" w:rsidRDefault="000771EA">
            <w:pPr>
              <w:keepNext/>
              <w:spacing w:before="40" w:after="40"/>
              <w:rPr>
                <w:noProof/>
                <w:sz w:val="16"/>
                <w:szCs w:val="16"/>
                <w:lang w:val="en-GB"/>
              </w:rPr>
            </w:pPr>
          </w:p>
        </w:tc>
      </w:tr>
      <w:tr w:rsidR="000771EA" w:rsidRPr="00D86314" w14:paraId="2C281D4C" w14:textId="77777777">
        <w:tc>
          <w:tcPr>
            <w:tcW w:w="3963" w:type="dxa"/>
            <w:vMerge/>
          </w:tcPr>
          <w:p w14:paraId="5E9E7B05" w14:textId="77777777" w:rsidR="000771EA" w:rsidRPr="00D86314" w:rsidRDefault="000771EA">
            <w:pPr>
              <w:keepNext/>
              <w:spacing w:before="40" w:after="40"/>
              <w:rPr>
                <w:b/>
                <w:noProof/>
                <w:sz w:val="16"/>
                <w:szCs w:val="16"/>
                <w:lang w:val="en-GB"/>
              </w:rPr>
            </w:pPr>
          </w:p>
        </w:tc>
        <w:tc>
          <w:tcPr>
            <w:tcW w:w="1524" w:type="dxa"/>
          </w:tcPr>
          <w:p w14:paraId="00E246F0"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03C809AE" w14:textId="77777777" w:rsidR="000771EA" w:rsidRPr="00D86314" w:rsidRDefault="000771EA">
            <w:pPr>
              <w:keepNext/>
              <w:spacing w:before="40" w:after="40"/>
              <w:rPr>
                <w:noProof/>
                <w:sz w:val="16"/>
                <w:szCs w:val="16"/>
                <w:lang w:val="en-GB"/>
              </w:rPr>
            </w:pPr>
            <w:r w:rsidRPr="00C20A01">
              <w:rPr>
                <w:noProof/>
                <w:sz w:val="16"/>
                <w:szCs w:val="16"/>
                <w:lang w:val="en-GB"/>
              </w:rPr>
              <w:t>Where applied, potential for greater competition in quality (higher speeds for same price)</w:t>
            </w:r>
          </w:p>
        </w:tc>
      </w:tr>
      <w:tr w:rsidR="000771EA" w:rsidRPr="00D86314" w14:paraId="6ABF7B78" w14:textId="77777777">
        <w:tc>
          <w:tcPr>
            <w:tcW w:w="3963" w:type="dxa"/>
            <w:vMerge/>
          </w:tcPr>
          <w:p w14:paraId="19F8BDB8" w14:textId="77777777" w:rsidR="000771EA" w:rsidRPr="00D86314" w:rsidRDefault="000771EA">
            <w:pPr>
              <w:keepNext/>
              <w:spacing w:before="40" w:after="40"/>
              <w:rPr>
                <w:b/>
                <w:noProof/>
                <w:sz w:val="16"/>
                <w:szCs w:val="16"/>
                <w:lang w:val="en-GB"/>
              </w:rPr>
            </w:pPr>
          </w:p>
        </w:tc>
        <w:tc>
          <w:tcPr>
            <w:tcW w:w="1524" w:type="dxa"/>
          </w:tcPr>
          <w:p w14:paraId="7692EC82"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7D88234F" w14:textId="77777777" w:rsidR="000771EA" w:rsidRPr="00D86314" w:rsidRDefault="000771EA">
            <w:pPr>
              <w:keepNext/>
              <w:spacing w:before="40" w:after="40"/>
              <w:rPr>
                <w:noProof/>
                <w:sz w:val="16"/>
                <w:szCs w:val="16"/>
                <w:lang w:val="en-GB"/>
              </w:rPr>
            </w:pPr>
          </w:p>
        </w:tc>
      </w:tr>
    </w:tbl>
    <w:p w14:paraId="4EF0887A" w14:textId="77777777" w:rsidR="000771EA" w:rsidRPr="00D86314" w:rsidRDefault="000771EA" w:rsidP="000771EA">
      <w:pPr>
        <w:keepNext/>
        <w:spacing w:before="120" w:after="360"/>
        <w:ind w:left="709" w:hanging="709"/>
        <w:rPr>
          <w:noProof/>
          <w:sz w:val="18"/>
        </w:rPr>
      </w:pPr>
      <w:r w:rsidRPr="00D86314">
        <w:rPr>
          <w:rStyle w:val="QuelleChar"/>
          <w:rFonts w:eastAsiaTheme="minorHAnsi"/>
          <w:noProof/>
        </w:rPr>
        <w:t>Source</w:t>
      </w:r>
      <w:r w:rsidRPr="00D86314">
        <w:rPr>
          <w:noProof/>
          <w:sz w:val="18"/>
        </w:rPr>
        <w:t>:</w:t>
      </w:r>
      <w:r w:rsidRPr="00D86314">
        <w:rPr>
          <w:noProof/>
          <w:sz w:val="18"/>
        </w:rPr>
        <w:tab/>
        <w:t>WIK-Consult</w:t>
      </w:r>
      <w:bookmarkStart w:id="294" w:name="_Toc208239986"/>
    </w:p>
    <w:p w14:paraId="7CB0A102" w14:textId="77777777" w:rsidR="000771EA" w:rsidRPr="00D86314" w:rsidRDefault="000771EA" w:rsidP="007D1242">
      <w:pPr>
        <w:rPr>
          <w:i/>
          <w:iCs/>
          <w:noProof/>
        </w:rPr>
      </w:pPr>
      <w:r w:rsidRPr="00D86314">
        <w:rPr>
          <w:i/>
          <w:iCs/>
          <w:noProof/>
        </w:rPr>
        <w:t>Large enterprises</w:t>
      </w:r>
      <w:bookmarkEnd w:id="294"/>
    </w:p>
    <w:p w14:paraId="1F1DD120" w14:textId="77777777" w:rsidR="000771EA" w:rsidRPr="00D86314" w:rsidRDefault="000771EA" w:rsidP="000771EA">
      <w:pPr>
        <w:rPr>
          <w:noProof/>
        </w:rPr>
      </w:pPr>
      <w:r w:rsidRPr="00D86314">
        <w:rPr>
          <w:noProof/>
        </w:rPr>
        <w:t>Large enterprises will be directly affected by the obligation to switch off copper networks by 2030. In addition, enterprises will be indirectly affected by changes to access regulation that influence choice, price and quality in broadband offers.</w:t>
      </w:r>
    </w:p>
    <w:p w14:paraId="55EC74CB" w14:textId="77777777" w:rsidR="000771EA" w:rsidRPr="00D86314" w:rsidRDefault="000771EA" w:rsidP="007D1242">
      <w:pPr>
        <w:rPr>
          <w:i/>
          <w:iCs/>
          <w:noProof/>
        </w:rPr>
      </w:pPr>
      <w:bookmarkStart w:id="295" w:name="_Toc208239987"/>
      <w:r w:rsidRPr="00D86314">
        <w:rPr>
          <w:i/>
          <w:iCs/>
          <w:noProof/>
        </w:rPr>
        <w:t>Copper switch-off</w:t>
      </w:r>
      <w:bookmarkEnd w:id="295"/>
    </w:p>
    <w:p w14:paraId="5DF9A1E7" w14:textId="35C67D7D" w:rsidR="000771EA" w:rsidRPr="00D86314" w:rsidRDefault="000771EA" w:rsidP="000771EA">
      <w:pPr>
        <w:rPr>
          <w:noProof/>
        </w:rPr>
      </w:pPr>
      <w:bookmarkStart w:id="296" w:name="_Toc208239988"/>
      <w:r w:rsidRPr="00D86314">
        <w:rPr>
          <w:noProof/>
        </w:rPr>
        <w:t xml:space="preserve">Large enterprises will incur migration costs for copper-based leased lines, such as those used for alarms and elevators, to alternative technologies like </w:t>
      </w:r>
      <w:r w:rsidR="001521F4" w:rsidRPr="00D86314">
        <w:rPr>
          <w:noProof/>
        </w:rPr>
        <w:t>fibre</w:t>
      </w:r>
      <w:r w:rsidRPr="00D86314">
        <w:rPr>
          <w:noProof/>
        </w:rPr>
        <w:t>, wireless, or mobile connections. One-off costs include purchasing new equipment, while ongoing costs may involve differences in broadband pricing. These costs are inevitable but CSO obligations primarily affect their timing.</w:t>
      </w:r>
      <w:r w:rsidR="76F23DBA" w:rsidRPr="00D86314">
        <w:rPr>
          <w:noProof/>
        </w:rPr>
        <w:t xml:space="preserve"> </w:t>
      </w:r>
      <w:r w:rsidRPr="00D86314">
        <w:rPr>
          <w:noProof/>
        </w:rPr>
        <w:t>The scale of changes needed is significant but data is limited. Network operators and service providers have successfully migrated from PSTN to all-IP, suggesting similar success for CSO. Delays in migration could lead to economic losses, as noted by BT Group, emphasizing the need for timely migration to avoid productivity and participation losses.</w:t>
      </w:r>
    </w:p>
    <w:p w14:paraId="4CC5017F" w14:textId="188DC7CB" w:rsidR="000771EA" w:rsidRPr="00D86314" w:rsidRDefault="000771EA" w:rsidP="000771EA">
      <w:pPr>
        <w:rPr>
          <w:noProof/>
        </w:rPr>
      </w:pPr>
      <w:r w:rsidRPr="00D86314">
        <w:rPr>
          <w:noProof/>
        </w:rPr>
        <w:t xml:space="preserve">Enterprises will benefit from wider </w:t>
      </w:r>
      <w:r w:rsidR="002C5E52" w:rsidRPr="00D86314">
        <w:rPr>
          <w:noProof/>
        </w:rPr>
        <w:t xml:space="preserve">fibre </w:t>
      </w:r>
      <w:r w:rsidRPr="00D86314">
        <w:rPr>
          <w:noProof/>
        </w:rPr>
        <w:t>connectivity, improved reliability, and quality of connections. However, dedicated connections offering multi-Gigabit symmetric capabilities will be crucial for advanced use cases, especially outside dense areas. Large enterprises will be more affected by gaps in FTTH availability, highlighting the importance of addressing dedicated connectivity in market reviews. Overall, CSO can raise awareness and ensure timely planning, addressing migration challenges without necessitating deadline extensions.</w:t>
      </w:r>
    </w:p>
    <w:p w14:paraId="0841FFB5" w14:textId="77777777" w:rsidR="000771EA" w:rsidRPr="00D86314" w:rsidRDefault="000771EA" w:rsidP="007D1242">
      <w:pPr>
        <w:rPr>
          <w:i/>
          <w:iCs/>
          <w:noProof/>
        </w:rPr>
      </w:pPr>
      <w:r w:rsidRPr="00D86314">
        <w:rPr>
          <w:i/>
          <w:iCs/>
          <w:noProof/>
        </w:rPr>
        <w:t>Access regulation</w:t>
      </w:r>
      <w:bookmarkEnd w:id="296"/>
    </w:p>
    <w:p w14:paraId="66FB7CAC" w14:textId="3C12CC43" w:rsidR="000771EA" w:rsidRPr="00D86314" w:rsidRDefault="000771EA" w:rsidP="000771EA">
      <w:pPr>
        <w:rPr>
          <w:noProof/>
        </w:rPr>
      </w:pPr>
      <w:bookmarkStart w:id="297" w:name="_Toc208240005"/>
      <w:r w:rsidRPr="00D86314">
        <w:rPr>
          <w:noProof/>
        </w:rPr>
        <w:t xml:space="preserve">Large enterprises could benefit from NRAs gathering more granular data on </w:t>
      </w:r>
      <w:r w:rsidR="00FB1F03" w:rsidRPr="00D86314">
        <w:rPr>
          <w:noProof/>
        </w:rPr>
        <w:t>fibre</w:t>
      </w:r>
      <w:r w:rsidRPr="00D86314">
        <w:rPr>
          <w:noProof/>
        </w:rPr>
        <w:t xml:space="preserve"> rings and point-to-point connections, and from harmonized wholesale specifications for Ethernet leased lines and business-grade QoS. However, they may be negatively impacted</w:t>
      </w:r>
      <w:r w:rsidR="0CC14FAC" w:rsidRPr="00D86314">
        <w:rPr>
          <w:noProof/>
        </w:rPr>
        <w:t>, in case of deregulation of the dedicated business connectivity market.</w:t>
      </w:r>
      <w:r w:rsidRPr="00D86314">
        <w:rPr>
          <w:noProof/>
        </w:rPr>
        <w:t xml:space="preserve"> if the market review process and remedies become optional if there is a removal of the RRM. Currently, only 15 out of 27 NRAs regulate the dedicated connectivity market, and many lack market information. </w:t>
      </w:r>
    </w:p>
    <w:p w14:paraId="3CD7322A" w14:textId="5C1228CA" w:rsidR="000771EA" w:rsidRPr="00D86314" w:rsidRDefault="000771EA" w:rsidP="00271373">
      <w:pPr>
        <w:keepNext/>
        <w:ind w:left="1418" w:hanging="1418"/>
        <w:rPr>
          <w:noProof/>
          <w:sz w:val="22"/>
          <w:szCs w:val="22"/>
        </w:rPr>
      </w:pPr>
      <w:r w:rsidRPr="00D86314">
        <w:rPr>
          <w:noProof/>
          <w:sz w:val="22"/>
          <w:szCs w:val="22"/>
        </w:rPr>
        <w:t>Table</w:t>
      </w:r>
      <w:r w:rsidR="00532F74" w:rsidRPr="00D86314">
        <w:rPr>
          <w:noProof/>
          <w:sz w:val="22"/>
          <w:szCs w:val="22"/>
        </w:rPr>
        <w:t xml:space="preserve"> A9 1-12</w:t>
      </w:r>
      <w:r w:rsidRPr="00D86314">
        <w:rPr>
          <w:noProof/>
          <w:sz w:val="22"/>
          <w:szCs w:val="22"/>
        </w:rPr>
        <w:t>:Estimated costs and benefits to large enterprises linked to the preferred DNA option</w:t>
      </w:r>
      <w:bookmarkEnd w:id="297"/>
    </w:p>
    <w:tbl>
      <w:tblPr>
        <w:tblStyle w:val="TableGrid1"/>
        <w:tblW w:w="0" w:type="auto"/>
        <w:tblLook w:val="04A0" w:firstRow="1" w:lastRow="0" w:firstColumn="1" w:lastColumn="0" w:noHBand="0" w:noVBand="1"/>
      </w:tblPr>
      <w:tblGrid>
        <w:gridCol w:w="3869"/>
        <w:gridCol w:w="1498"/>
        <w:gridCol w:w="1615"/>
        <w:gridCol w:w="1626"/>
      </w:tblGrid>
      <w:tr w:rsidR="000771EA" w:rsidRPr="00D86314" w14:paraId="0719EB9A" w14:textId="77777777">
        <w:tc>
          <w:tcPr>
            <w:tcW w:w="5487" w:type="dxa"/>
            <w:gridSpan w:val="2"/>
            <w:vMerge w:val="restart"/>
            <w:hideMark/>
          </w:tcPr>
          <w:p w14:paraId="403A82CC" w14:textId="77777777" w:rsidR="000771EA" w:rsidRPr="00D86314" w:rsidRDefault="000771EA">
            <w:pPr>
              <w:keepNext/>
              <w:spacing w:before="40" w:after="40"/>
              <w:rPr>
                <w:noProof/>
                <w:sz w:val="16"/>
                <w:szCs w:val="16"/>
                <w:lang w:val="en-GB"/>
              </w:rPr>
            </w:pPr>
            <w:r w:rsidRPr="00D86314">
              <w:rPr>
                <w:noProof/>
                <w:sz w:val="16"/>
                <w:szCs w:val="16"/>
                <w:lang w:val="en-GB"/>
              </w:rPr>
              <w:t> </w:t>
            </w:r>
          </w:p>
        </w:tc>
        <w:tc>
          <w:tcPr>
            <w:tcW w:w="3282" w:type="dxa"/>
            <w:gridSpan w:val="2"/>
            <w:hideMark/>
          </w:tcPr>
          <w:p w14:paraId="1FB89431" w14:textId="77777777" w:rsidR="000771EA" w:rsidRPr="00D86314" w:rsidRDefault="000771EA">
            <w:pPr>
              <w:keepNext/>
              <w:spacing w:before="40" w:after="40"/>
              <w:rPr>
                <w:b/>
                <w:noProof/>
                <w:sz w:val="16"/>
                <w:szCs w:val="16"/>
                <w:lang w:val="en-GB"/>
              </w:rPr>
            </w:pPr>
            <w:r w:rsidRPr="00D86314">
              <w:rPr>
                <w:b/>
                <w:noProof/>
                <w:sz w:val="16"/>
                <w:szCs w:val="16"/>
                <w:lang w:val="en-GB"/>
              </w:rPr>
              <w:t>Consumers</w:t>
            </w:r>
          </w:p>
        </w:tc>
      </w:tr>
      <w:tr w:rsidR="000771EA" w:rsidRPr="00D86314" w14:paraId="4CAA1A24" w14:textId="77777777">
        <w:tc>
          <w:tcPr>
            <w:tcW w:w="5487" w:type="dxa"/>
            <w:gridSpan w:val="2"/>
            <w:vMerge/>
            <w:hideMark/>
          </w:tcPr>
          <w:p w14:paraId="08703795" w14:textId="77777777" w:rsidR="000771EA" w:rsidRPr="00D86314" w:rsidRDefault="000771EA">
            <w:pPr>
              <w:keepNext/>
              <w:spacing w:before="40" w:after="40"/>
              <w:rPr>
                <w:noProof/>
                <w:sz w:val="16"/>
                <w:szCs w:val="16"/>
                <w:lang w:val="en-GB"/>
              </w:rPr>
            </w:pPr>
          </w:p>
        </w:tc>
        <w:tc>
          <w:tcPr>
            <w:tcW w:w="1636" w:type="dxa"/>
            <w:hideMark/>
          </w:tcPr>
          <w:p w14:paraId="5411114A" w14:textId="77777777" w:rsidR="000771EA" w:rsidRPr="00D86314" w:rsidRDefault="000771EA">
            <w:pPr>
              <w:keepNext/>
              <w:spacing w:before="40" w:after="40"/>
              <w:rPr>
                <w:b/>
                <w:noProof/>
                <w:sz w:val="16"/>
                <w:szCs w:val="16"/>
                <w:lang w:val="en-GB"/>
              </w:rPr>
            </w:pPr>
            <w:r w:rsidRPr="00D86314">
              <w:rPr>
                <w:b/>
                <w:noProof/>
                <w:sz w:val="16"/>
                <w:szCs w:val="16"/>
                <w:lang w:val="en-GB"/>
              </w:rPr>
              <w:t>One-off</w:t>
            </w:r>
          </w:p>
        </w:tc>
        <w:tc>
          <w:tcPr>
            <w:tcW w:w="1646" w:type="dxa"/>
            <w:hideMark/>
          </w:tcPr>
          <w:p w14:paraId="2DD12CA2" w14:textId="77777777" w:rsidR="000771EA" w:rsidRPr="00D86314" w:rsidRDefault="000771EA">
            <w:pPr>
              <w:keepNext/>
              <w:spacing w:before="40" w:after="40"/>
              <w:rPr>
                <w:b/>
                <w:noProof/>
                <w:sz w:val="16"/>
                <w:szCs w:val="16"/>
                <w:lang w:val="en-GB"/>
              </w:rPr>
            </w:pPr>
            <w:r w:rsidRPr="00D86314">
              <w:rPr>
                <w:b/>
                <w:noProof/>
                <w:sz w:val="16"/>
                <w:szCs w:val="16"/>
                <w:lang w:val="en-GB"/>
              </w:rPr>
              <w:t>Recurrent</w:t>
            </w:r>
          </w:p>
        </w:tc>
      </w:tr>
      <w:tr w:rsidR="000771EA" w:rsidRPr="00D86314" w14:paraId="17A39E0D" w14:textId="77777777">
        <w:tc>
          <w:tcPr>
            <w:tcW w:w="3963" w:type="dxa"/>
            <w:vMerge w:val="restart"/>
          </w:tcPr>
          <w:p w14:paraId="34B9C85F" w14:textId="77777777" w:rsidR="000771EA" w:rsidRPr="00D86314" w:rsidRDefault="000771EA">
            <w:pPr>
              <w:keepNext/>
              <w:spacing w:before="40" w:after="40"/>
              <w:rPr>
                <w:b/>
                <w:noProof/>
                <w:sz w:val="16"/>
                <w:szCs w:val="16"/>
                <w:lang w:val="en-GB"/>
              </w:rPr>
            </w:pPr>
            <w:r w:rsidRPr="00A36024">
              <w:rPr>
                <w:b/>
                <w:bCs/>
                <w:noProof/>
                <w:sz w:val="16"/>
                <w:szCs w:val="16"/>
              </w:rPr>
              <w:t>Copper switch-off</w:t>
            </w:r>
          </w:p>
        </w:tc>
        <w:tc>
          <w:tcPr>
            <w:tcW w:w="1524" w:type="dxa"/>
          </w:tcPr>
          <w:p w14:paraId="5648B090"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3DAA6C2A" w14:textId="77777777" w:rsidR="000771EA" w:rsidRPr="00D86314" w:rsidRDefault="000771EA">
            <w:pPr>
              <w:keepNext/>
              <w:spacing w:before="40" w:after="40"/>
              <w:rPr>
                <w:noProof/>
                <w:sz w:val="16"/>
                <w:szCs w:val="16"/>
                <w:lang w:val="en-GB"/>
              </w:rPr>
            </w:pPr>
            <w:r w:rsidRPr="00C20A01">
              <w:rPr>
                <w:noProof/>
                <w:sz w:val="16"/>
                <w:szCs w:val="16"/>
                <w:lang w:val="en-GB"/>
              </w:rPr>
              <w:t>In-building wiring (where not already deployed), costs associated with replacement of legacy analogue equipment but would also occur later under status quo</w:t>
            </w:r>
          </w:p>
        </w:tc>
        <w:tc>
          <w:tcPr>
            <w:tcW w:w="1646" w:type="dxa"/>
          </w:tcPr>
          <w:p w14:paraId="4E0457A8" w14:textId="77777777" w:rsidR="000771EA" w:rsidRPr="00D86314" w:rsidRDefault="000771EA">
            <w:pPr>
              <w:keepNext/>
              <w:spacing w:before="40" w:after="40"/>
              <w:rPr>
                <w:noProof/>
                <w:sz w:val="16"/>
                <w:szCs w:val="16"/>
                <w:lang w:val="en-GB"/>
              </w:rPr>
            </w:pPr>
            <w:r w:rsidRPr="00C20A01">
              <w:rPr>
                <w:noProof/>
                <w:sz w:val="16"/>
                <w:szCs w:val="16"/>
                <w:lang w:val="en-GB"/>
              </w:rPr>
              <w:t>Equivalent service quality for the same price should be assured at least for mass-market grade connections. For business-grade connections (dedicated capacity) the market review requirement connected to CSO should seek to address any barriers to competition</w:t>
            </w:r>
          </w:p>
        </w:tc>
      </w:tr>
      <w:tr w:rsidR="000771EA" w:rsidRPr="00D86314" w14:paraId="7F781401" w14:textId="77777777">
        <w:tc>
          <w:tcPr>
            <w:tcW w:w="3963" w:type="dxa"/>
            <w:vMerge/>
          </w:tcPr>
          <w:p w14:paraId="7AF32047" w14:textId="77777777" w:rsidR="000771EA" w:rsidRPr="00D86314" w:rsidRDefault="000771EA">
            <w:pPr>
              <w:keepNext/>
              <w:spacing w:before="40" w:after="40"/>
              <w:rPr>
                <w:b/>
                <w:noProof/>
                <w:sz w:val="16"/>
                <w:szCs w:val="16"/>
                <w:lang w:val="en-GB"/>
              </w:rPr>
            </w:pPr>
          </w:p>
        </w:tc>
        <w:tc>
          <w:tcPr>
            <w:tcW w:w="1524" w:type="dxa"/>
          </w:tcPr>
          <w:p w14:paraId="5C2A2F8A"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3282" w:type="dxa"/>
            <w:gridSpan w:val="2"/>
          </w:tcPr>
          <w:p w14:paraId="596EA2C3" w14:textId="77777777" w:rsidR="000771EA" w:rsidRPr="00D86314" w:rsidRDefault="000771EA">
            <w:pPr>
              <w:keepNext/>
              <w:spacing w:before="40" w:after="40"/>
              <w:rPr>
                <w:noProof/>
                <w:sz w:val="16"/>
                <w:szCs w:val="16"/>
                <w:lang w:val="en-GB"/>
              </w:rPr>
            </w:pPr>
            <w:r w:rsidRPr="00C20A01">
              <w:rPr>
                <w:noProof/>
                <w:sz w:val="16"/>
                <w:szCs w:val="16"/>
                <w:lang w:val="en-GB"/>
              </w:rPr>
              <w:t>Potential gaps in availability of dedicated capacity for critical applications</w:t>
            </w:r>
          </w:p>
          <w:p w14:paraId="046706AF" w14:textId="77777777" w:rsidR="000771EA" w:rsidRPr="00D86314" w:rsidRDefault="000771EA">
            <w:pPr>
              <w:keepNext/>
              <w:spacing w:before="40" w:after="40"/>
              <w:rPr>
                <w:noProof/>
                <w:sz w:val="16"/>
                <w:szCs w:val="16"/>
                <w:lang w:val="en-GB"/>
              </w:rPr>
            </w:pPr>
            <w:r w:rsidRPr="00C20A01">
              <w:rPr>
                <w:noProof/>
                <w:sz w:val="16"/>
                <w:szCs w:val="16"/>
                <w:lang w:val="en-GB"/>
              </w:rPr>
              <w:t xml:space="preserve">Disruption associated with migration including replacement of analogue equipment. </w:t>
            </w:r>
          </w:p>
        </w:tc>
      </w:tr>
      <w:tr w:rsidR="000771EA" w:rsidRPr="00D86314" w14:paraId="35558AA0" w14:textId="77777777">
        <w:tc>
          <w:tcPr>
            <w:tcW w:w="3963" w:type="dxa"/>
            <w:vMerge/>
          </w:tcPr>
          <w:p w14:paraId="3CA45F8D" w14:textId="77777777" w:rsidR="000771EA" w:rsidRPr="00D86314" w:rsidRDefault="000771EA">
            <w:pPr>
              <w:keepNext/>
              <w:spacing w:before="40" w:after="40"/>
              <w:rPr>
                <w:b/>
                <w:noProof/>
                <w:sz w:val="16"/>
                <w:szCs w:val="16"/>
                <w:lang w:val="en-GB"/>
              </w:rPr>
            </w:pPr>
          </w:p>
        </w:tc>
        <w:tc>
          <w:tcPr>
            <w:tcW w:w="1524" w:type="dxa"/>
          </w:tcPr>
          <w:p w14:paraId="08F2815D"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5A5977CB" w14:textId="77777777" w:rsidR="000771EA" w:rsidRPr="00D86314" w:rsidRDefault="000771EA">
            <w:pPr>
              <w:keepNext/>
              <w:spacing w:before="40" w:after="40"/>
              <w:rPr>
                <w:noProof/>
                <w:sz w:val="16"/>
                <w:szCs w:val="16"/>
                <w:lang w:val="en-GB"/>
              </w:rPr>
            </w:pPr>
            <w:r w:rsidRPr="00C20A01">
              <w:rPr>
                <w:noProof/>
                <w:sz w:val="16"/>
                <w:szCs w:val="16"/>
                <w:lang w:val="en-GB"/>
              </w:rPr>
              <w:t>Greater availability of Gigabit-capable broadband. Higher quality connections for the same cost</w:t>
            </w:r>
          </w:p>
        </w:tc>
      </w:tr>
      <w:tr w:rsidR="000771EA" w:rsidRPr="00D86314" w14:paraId="77CF5EC0" w14:textId="77777777">
        <w:tc>
          <w:tcPr>
            <w:tcW w:w="3963" w:type="dxa"/>
            <w:vMerge/>
          </w:tcPr>
          <w:p w14:paraId="2DB3FAD6" w14:textId="77777777" w:rsidR="000771EA" w:rsidRPr="00D86314" w:rsidRDefault="000771EA">
            <w:pPr>
              <w:keepNext/>
              <w:spacing w:before="40" w:after="40"/>
              <w:rPr>
                <w:b/>
                <w:noProof/>
                <w:sz w:val="16"/>
                <w:szCs w:val="16"/>
                <w:lang w:val="en-GB"/>
              </w:rPr>
            </w:pPr>
          </w:p>
        </w:tc>
        <w:tc>
          <w:tcPr>
            <w:tcW w:w="1524" w:type="dxa"/>
          </w:tcPr>
          <w:p w14:paraId="6CAAADFE"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6AE1E9B3" w14:textId="77777777" w:rsidR="000771EA" w:rsidRPr="00D86314" w:rsidRDefault="000771EA">
            <w:pPr>
              <w:keepNext/>
              <w:spacing w:before="40" w:after="40"/>
              <w:rPr>
                <w:noProof/>
                <w:sz w:val="16"/>
                <w:szCs w:val="16"/>
                <w:lang w:val="en-GB"/>
              </w:rPr>
            </w:pPr>
          </w:p>
        </w:tc>
      </w:tr>
      <w:tr w:rsidR="000771EA" w:rsidRPr="00D86314" w14:paraId="39F5A2C0" w14:textId="77777777">
        <w:tc>
          <w:tcPr>
            <w:tcW w:w="3963" w:type="dxa"/>
            <w:vMerge w:val="restart"/>
          </w:tcPr>
          <w:p w14:paraId="6972ED26" w14:textId="77777777" w:rsidR="000771EA" w:rsidRPr="00D86314" w:rsidRDefault="000771EA">
            <w:pPr>
              <w:keepNext/>
              <w:spacing w:before="40" w:after="40"/>
              <w:rPr>
                <w:b/>
                <w:noProof/>
                <w:sz w:val="16"/>
                <w:szCs w:val="16"/>
                <w:lang w:val="en-GB"/>
              </w:rPr>
            </w:pPr>
            <w:r w:rsidRPr="00A36024">
              <w:rPr>
                <w:b/>
                <w:bCs/>
                <w:noProof/>
                <w:sz w:val="16"/>
                <w:szCs w:val="16"/>
              </w:rPr>
              <w:t>Access regulation: Data gathering</w:t>
            </w:r>
          </w:p>
        </w:tc>
        <w:tc>
          <w:tcPr>
            <w:tcW w:w="1524" w:type="dxa"/>
          </w:tcPr>
          <w:p w14:paraId="7900BF51"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2CB87193"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3AE9E4A7" w14:textId="77777777" w:rsidR="000771EA" w:rsidRPr="00D86314" w:rsidRDefault="000771EA">
            <w:pPr>
              <w:keepNext/>
              <w:spacing w:before="40" w:after="40"/>
              <w:rPr>
                <w:noProof/>
                <w:sz w:val="16"/>
                <w:szCs w:val="16"/>
                <w:lang w:val="en-GB"/>
              </w:rPr>
            </w:pPr>
          </w:p>
        </w:tc>
      </w:tr>
      <w:tr w:rsidR="000771EA" w:rsidRPr="00D86314" w14:paraId="22139888" w14:textId="77777777">
        <w:tc>
          <w:tcPr>
            <w:tcW w:w="3963" w:type="dxa"/>
            <w:vMerge/>
          </w:tcPr>
          <w:p w14:paraId="1F716F8D" w14:textId="77777777" w:rsidR="000771EA" w:rsidRPr="00D86314" w:rsidRDefault="000771EA">
            <w:pPr>
              <w:keepNext/>
              <w:spacing w:before="40" w:after="40"/>
              <w:rPr>
                <w:b/>
                <w:noProof/>
                <w:sz w:val="16"/>
                <w:szCs w:val="16"/>
                <w:lang w:val="en-GB"/>
              </w:rPr>
            </w:pPr>
          </w:p>
        </w:tc>
        <w:tc>
          <w:tcPr>
            <w:tcW w:w="1524" w:type="dxa"/>
          </w:tcPr>
          <w:p w14:paraId="5DD138DB"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1636" w:type="dxa"/>
          </w:tcPr>
          <w:p w14:paraId="3E7F1215"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2BE59861" w14:textId="77777777" w:rsidR="000771EA" w:rsidRPr="00D86314" w:rsidRDefault="000771EA">
            <w:pPr>
              <w:keepNext/>
              <w:spacing w:before="40" w:after="40"/>
              <w:rPr>
                <w:noProof/>
                <w:sz w:val="16"/>
                <w:szCs w:val="16"/>
                <w:lang w:val="en-GB"/>
              </w:rPr>
            </w:pPr>
          </w:p>
        </w:tc>
      </w:tr>
      <w:tr w:rsidR="000771EA" w:rsidRPr="00D86314" w14:paraId="40DE5B7C" w14:textId="77777777">
        <w:tc>
          <w:tcPr>
            <w:tcW w:w="3963" w:type="dxa"/>
            <w:vMerge/>
          </w:tcPr>
          <w:p w14:paraId="64CF6455" w14:textId="77777777" w:rsidR="000771EA" w:rsidRPr="00D86314" w:rsidRDefault="000771EA">
            <w:pPr>
              <w:keepNext/>
              <w:spacing w:before="40" w:after="40"/>
              <w:rPr>
                <w:b/>
                <w:noProof/>
                <w:sz w:val="16"/>
                <w:szCs w:val="16"/>
                <w:lang w:val="en-GB"/>
              </w:rPr>
            </w:pPr>
          </w:p>
        </w:tc>
        <w:tc>
          <w:tcPr>
            <w:tcW w:w="1524" w:type="dxa"/>
          </w:tcPr>
          <w:p w14:paraId="0349034C"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23103C19" w14:textId="77777777" w:rsidR="000771EA" w:rsidRPr="00D86314" w:rsidRDefault="000771EA">
            <w:pPr>
              <w:keepNext/>
              <w:spacing w:before="40" w:after="40"/>
              <w:rPr>
                <w:noProof/>
                <w:sz w:val="16"/>
                <w:szCs w:val="16"/>
                <w:lang w:val="en-GB"/>
              </w:rPr>
            </w:pPr>
            <w:r w:rsidRPr="00C20A01">
              <w:rPr>
                <w:noProof/>
                <w:sz w:val="16"/>
                <w:szCs w:val="16"/>
                <w:lang w:val="en-GB"/>
              </w:rPr>
              <w:t>N/A – although may affect outcomes of market analysis (see below)</w:t>
            </w:r>
          </w:p>
        </w:tc>
      </w:tr>
      <w:tr w:rsidR="000771EA" w:rsidRPr="00D86314" w14:paraId="7559D51F" w14:textId="77777777">
        <w:tc>
          <w:tcPr>
            <w:tcW w:w="3963" w:type="dxa"/>
            <w:vMerge/>
          </w:tcPr>
          <w:p w14:paraId="2D686AB5" w14:textId="77777777" w:rsidR="000771EA" w:rsidRPr="00D86314" w:rsidRDefault="000771EA">
            <w:pPr>
              <w:keepNext/>
              <w:spacing w:before="40" w:after="40"/>
              <w:rPr>
                <w:b/>
                <w:noProof/>
                <w:sz w:val="16"/>
                <w:szCs w:val="16"/>
                <w:lang w:val="en-GB"/>
              </w:rPr>
            </w:pPr>
          </w:p>
        </w:tc>
        <w:tc>
          <w:tcPr>
            <w:tcW w:w="1524" w:type="dxa"/>
          </w:tcPr>
          <w:p w14:paraId="19D2603F"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36C31718" w14:textId="77777777" w:rsidR="000771EA" w:rsidRPr="00D86314" w:rsidRDefault="000771EA">
            <w:pPr>
              <w:keepNext/>
              <w:spacing w:before="40" w:after="40"/>
              <w:rPr>
                <w:noProof/>
                <w:sz w:val="16"/>
                <w:szCs w:val="16"/>
                <w:lang w:val="en-GB"/>
              </w:rPr>
            </w:pPr>
          </w:p>
        </w:tc>
      </w:tr>
      <w:tr w:rsidR="000771EA" w:rsidRPr="00D86314" w14:paraId="0E50BBE4" w14:textId="77777777">
        <w:tc>
          <w:tcPr>
            <w:tcW w:w="3963" w:type="dxa"/>
            <w:vMerge w:val="restart"/>
          </w:tcPr>
          <w:p w14:paraId="12520B90" w14:textId="77777777" w:rsidR="000771EA" w:rsidRPr="00D86314" w:rsidRDefault="000771EA">
            <w:pPr>
              <w:keepNext/>
              <w:spacing w:before="40" w:after="40"/>
              <w:rPr>
                <w:b/>
                <w:noProof/>
                <w:sz w:val="16"/>
                <w:szCs w:val="16"/>
                <w:lang w:val="en-GB"/>
              </w:rPr>
            </w:pPr>
            <w:r w:rsidRPr="00C20A01">
              <w:rPr>
                <w:b/>
                <w:noProof/>
                <w:sz w:val="16"/>
                <w:szCs w:val="16"/>
                <w:lang w:val="en-GB"/>
              </w:rPr>
              <w:t>Access regulation: RRM made optional</w:t>
            </w:r>
          </w:p>
        </w:tc>
        <w:tc>
          <w:tcPr>
            <w:tcW w:w="1524" w:type="dxa"/>
          </w:tcPr>
          <w:p w14:paraId="70924C2E"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37817BBE"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7D750BC0" w14:textId="77777777" w:rsidR="000771EA" w:rsidRPr="00D86314" w:rsidRDefault="000771EA">
            <w:pPr>
              <w:keepNext/>
              <w:spacing w:before="40" w:after="40"/>
              <w:rPr>
                <w:noProof/>
                <w:sz w:val="16"/>
                <w:szCs w:val="16"/>
                <w:lang w:val="en-GB"/>
              </w:rPr>
            </w:pPr>
          </w:p>
        </w:tc>
      </w:tr>
      <w:tr w:rsidR="000771EA" w:rsidRPr="00D86314" w14:paraId="2C961AA9" w14:textId="77777777">
        <w:tc>
          <w:tcPr>
            <w:tcW w:w="3963" w:type="dxa"/>
            <w:vMerge/>
          </w:tcPr>
          <w:p w14:paraId="4A44C61C" w14:textId="77777777" w:rsidR="000771EA" w:rsidRPr="00D86314" w:rsidRDefault="000771EA">
            <w:pPr>
              <w:keepNext/>
              <w:spacing w:before="40" w:after="40"/>
              <w:rPr>
                <w:b/>
                <w:noProof/>
                <w:sz w:val="16"/>
                <w:szCs w:val="16"/>
                <w:lang w:val="en-GB"/>
              </w:rPr>
            </w:pPr>
          </w:p>
        </w:tc>
        <w:tc>
          <w:tcPr>
            <w:tcW w:w="1524" w:type="dxa"/>
          </w:tcPr>
          <w:p w14:paraId="4B71076C"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3282" w:type="dxa"/>
            <w:gridSpan w:val="2"/>
          </w:tcPr>
          <w:p w14:paraId="4A369F9D" w14:textId="77777777" w:rsidR="000771EA" w:rsidRPr="00D86314" w:rsidRDefault="000771EA">
            <w:pPr>
              <w:keepNext/>
              <w:spacing w:before="40" w:after="40"/>
              <w:rPr>
                <w:noProof/>
                <w:sz w:val="16"/>
                <w:szCs w:val="16"/>
                <w:lang w:val="en-GB"/>
              </w:rPr>
            </w:pPr>
            <w:r w:rsidRPr="00C20A01">
              <w:rPr>
                <w:noProof/>
                <w:sz w:val="16"/>
                <w:szCs w:val="16"/>
                <w:lang w:val="en-GB"/>
              </w:rPr>
              <w:t>In the event that the RRM is made optional, there would be a risk of under-regulation / lack of targeting in regulation leading to reductions in competition and associated limitations in choice, quality and reasonable pricing. This risk may be increased for dedicated capacity compared with mass-market, as there is already less data and attention given to this market</w:t>
            </w:r>
          </w:p>
        </w:tc>
      </w:tr>
      <w:tr w:rsidR="000771EA" w:rsidRPr="00D86314" w14:paraId="2C0F3E30" w14:textId="77777777">
        <w:tc>
          <w:tcPr>
            <w:tcW w:w="3963" w:type="dxa"/>
            <w:vMerge/>
          </w:tcPr>
          <w:p w14:paraId="158989F5" w14:textId="77777777" w:rsidR="000771EA" w:rsidRPr="00D86314" w:rsidRDefault="000771EA">
            <w:pPr>
              <w:keepNext/>
              <w:spacing w:before="40" w:after="40"/>
              <w:rPr>
                <w:b/>
                <w:noProof/>
                <w:sz w:val="16"/>
                <w:szCs w:val="16"/>
                <w:lang w:val="en-GB"/>
              </w:rPr>
            </w:pPr>
          </w:p>
        </w:tc>
        <w:tc>
          <w:tcPr>
            <w:tcW w:w="1524" w:type="dxa"/>
          </w:tcPr>
          <w:p w14:paraId="587E3732"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7D186608" w14:textId="77777777" w:rsidR="000771EA" w:rsidRPr="00D86314" w:rsidRDefault="000771EA">
            <w:pPr>
              <w:keepNext/>
              <w:spacing w:before="40" w:after="40"/>
              <w:rPr>
                <w:noProof/>
                <w:sz w:val="16"/>
                <w:szCs w:val="16"/>
                <w:lang w:val="en-GB"/>
              </w:rPr>
            </w:pPr>
            <w:r w:rsidRPr="00A36024">
              <w:rPr>
                <w:noProof/>
                <w:sz w:val="16"/>
                <w:szCs w:val="16"/>
              </w:rPr>
              <w:t>N/A</w:t>
            </w:r>
          </w:p>
        </w:tc>
      </w:tr>
      <w:tr w:rsidR="000771EA" w:rsidRPr="00D86314" w14:paraId="0AF9EB2C" w14:textId="77777777">
        <w:tc>
          <w:tcPr>
            <w:tcW w:w="3963" w:type="dxa"/>
            <w:vMerge/>
          </w:tcPr>
          <w:p w14:paraId="5FD185E3" w14:textId="77777777" w:rsidR="000771EA" w:rsidRPr="00D86314" w:rsidRDefault="000771EA">
            <w:pPr>
              <w:keepNext/>
              <w:spacing w:before="40" w:after="40"/>
              <w:rPr>
                <w:b/>
                <w:noProof/>
                <w:sz w:val="16"/>
                <w:szCs w:val="16"/>
                <w:lang w:val="en-GB"/>
              </w:rPr>
            </w:pPr>
          </w:p>
        </w:tc>
        <w:tc>
          <w:tcPr>
            <w:tcW w:w="1524" w:type="dxa"/>
          </w:tcPr>
          <w:p w14:paraId="040A3620"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16CB293E" w14:textId="77777777" w:rsidR="000771EA" w:rsidRPr="00D86314" w:rsidRDefault="000771EA">
            <w:pPr>
              <w:keepNext/>
              <w:spacing w:before="40" w:after="40"/>
              <w:rPr>
                <w:noProof/>
                <w:sz w:val="16"/>
                <w:szCs w:val="16"/>
                <w:lang w:val="en-GB"/>
              </w:rPr>
            </w:pPr>
            <w:r w:rsidRPr="00A36024">
              <w:rPr>
                <w:noProof/>
                <w:sz w:val="16"/>
                <w:szCs w:val="16"/>
              </w:rPr>
              <w:t>N/A</w:t>
            </w:r>
          </w:p>
        </w:tc>
      </w:tr>
      <w:tr w:rsidR="000771EA" w:rsidRPr="00D86314" w14:paraId="26F198CF" w14:textId="77777777">
        <w:tc>
          <w:tcPr>
            <w:tcW w:w="3963" w:type="dxa"/>
            <w:vMerge w:val="restart"/>
          </w:tcPr>
          <w:p w14:paraId="30BF9A94" w14:textId="77777777" w:rsidR="000771EA" w:rsidRPr="00D86314" w:rsidRDefault="000771EA">
            <w:pPr>
              <w:keepNext/>
              <w:spacing w:before="40" w:after="40"/>
              <w:rPr>
                <w:b/>
                <w:noProof/>
                <w:sz w:val="16"/>
                <w:szCs w:val="16"/>
                <w:lang w:val="en-GB"/>
              </w:rPr>
            </w:pPr>
            <w:r w:rsidRPr="00C20A01">
              <w:rPr>
                <w:b/>
                <w:noProof/>
                <w:sz w:val="16"/>
                <w:szCs w:val="16"/>
                <w:lang w:val="en-GB"/>
              </w:rPr>
              <w:t>Access regulation: Harmonised wholesale products</w:t>
            </w:r>
          </w:p>
        </w:tc>
        <w:tc>
          <w:tcPr>
            <w:tcW w:w="1524" w:type="dxa"/>
          </w:tcPr>
          <w:p w14:paraId="4199DDF5" w14:textId="77777777" w:rsidR="000771EA" w:rsidRPr="00D86314" w:rsidRDefault="000771EA">
            <w:pPr>
              <w:keepNext/>
              <w:spacing w:before="40" w:after="40"/>
              <w:rPr>
                <w:noProof/>
                <w:sz w:val="16"/>
                <w:szCs w:val="16"/>
                <w:lang w:val="en-GB"/>
              </w:rPr>
            </w:pPr>
            <w:r w:rsidRPr="00D86314">
              <w:rPr>
                <w:noProof/>
                <w:sz w:val="16"/>
                <w:szCs w:val="16"/>
                <w:lang w:val="en-GB"/>
              </w:rPr>
              <w:t>Direct costs</w:t>
            </w:r>
          </w:p>
        </w:tc>
        <w:tc>
          <w:tcPr>
            <w:tcW w:w="1636" w:type="dxa"/>
          </w:tcPr>
          <w:p w14:paraId="46E4D0B4"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532754EB" w14:textId="77777777" w:rsidR="000771EA" w:rsidRPr="00D86314" w:rsidRDefault="000771EA">
            <w:pPr>
              <w:keepNext/>
              <w:spacing w:before="40" w:after="40"/>
              <w:rPr>
                <w:noProof/>
                <w:sz w:val="16"/>
                <w:szCs w:val="16"/>
                <w:lang w:val="en-GB"/>
              </w:rPr>
            </w:pPr>
          </w:p>
        </w:tc>
      </w:tr>
      <w:tr w:rsidR="000771EA" w:rsidRPr="00D86314" w14:paraId="08774B96" w14:textId="77777777">
        <w:trPr>
          <w:trHeight w:val="43"/>
        </w:trPr>
        <w:tc>
          <w:tcPr>
            <w:tcW w:w="3963" w:type="dxa"/>
            <w:vMerge/>
          </w:tcPr>
          <w:p w14:paraId="1D800415" w14:textId="77777777" w:rsidR="000771EA" w:rsidRPr="00D86314" w:rsidRDefault="000771EA">
            <w:pPr>
              <w:keepNext/>
              <w:spacing w:before="40" w:after="40"/>
              <w:rPr>
                <w:b/>
                <w:noProof/>
                <w:sz w:val="16"/>
                <w:szCs w:val="16"/>
                <w:lang w:val="en-GB"/>
              </w:rPr>
            </w:pPr>
          </w:p>
        </w:tc>
        <w:tc>
          <w:tcPr>
            <w:tcW w:w="1524" w:type="dxa"/>
          </w:tcPr>
          <w:p w14:paraId="53296D06" w14:textId="77777777" w:rsidR="000771EA" w:rsidRPr="00D86314" w:rsidRDefault="000771EA">
            <w:pPr>
              <w:keepNext/>
              <w:spacing w:before="40" w:after="40"/>
              <w:rPr>
                <w:noProof/>
                <w:sz w:val="16"/>
                <w:szCs w:val="16"/>
                <w:lang w:val="en-GB"/>
              </w:rPr>
            </w:pPr>
            <w:r w:rsidRPr="00D86314">
              <w:rPr>
                <w:noProof/>
                <w:sz w:val="16"/>
                <w:szCs w:val="16"/>
                <w:lang w:val="en-GB"/>
              </w:rPr>
              <w:t>Indirect costs</w:t>
            </w:r>
          </w:p>
        </w:tc>
        <w:tc>
          <w:tcPr>
            <w:tcW w:w="1636" w:type="dxa"/>
          </w:tcPr>
          <w:p w14:paraId="77485F62" w14:textId="77777777" w:rsidR="000771EA" w:rsidRPr="00D86314" w:rsidRDefault="000771EA">
            <w:pPr>
              <w:keepNext/>
              <w:spacing w:before="40" w:after="40"/>
              <w:rPr>
                <w:noProof/>
                <w:sz w:val="16"/>
                <w:szCs w:val="16"/>
                <w:lang w:val="en-GB"/>
              </w:rPr>
            </w:pPr>
            <w:r w:rsidRPr="00A36024">
              <w:rPr>
                <w:noProof/>
                <w:sz w:val="16"/>
                <w:szCs w:val="16"/>
              </w:rPr>
              <w:t>N/A</w:t>
            </w:r>
          </w:p>
        </w:tc>
        <w:tc>
          <w:tcPr>
            <w:tcW w:w="1646" w:type="dxa"/>
          </w:tcPr>
          <w:p w14:paraId="2E803B7F" w14:textId="77777777" w:rsidR="000771EA" w:rsidRPr="00D86314" w:rsidRDefault="000771EA">
            <w:pPr>
              <w:keepNext/>
              <w:spacing w:before="40" w:after="40"/>
              <w:rPr>
                <w:noProof/>
                <w:sz w:val="16"/>
                <w:szCs w:val="16"/>
                <w:lang w:val="en-GB"/>
              </w:rPr>
            </w:pPr>
          </w:p>
        </w:tc>
      </w:tr>
      <w:tr w:rsidR="000771EA" w:rsidRPr="00D86314" w14:paraId="3A556E3B" w14:textId="77777777">
        <w:tc>
          <w:tcPr>
            <w:tcW w:w="3963" w:type="dxa"/>
            <w:vMerge/>
          </w:tcPr>
          <w:p w14:paraId="639B61CD" w14:textId="77777777" w:rsidR="000771EA" w:rsidRPr="00D86314" w:rsidRDefault="000771EA">
            <w:pPr>
              <w:keepNext/>
              <w:spacing w:before="40" w:after="40"/>
              <w:rPr>
                <w:b/>
                <w:noProof/>
                <w:sz w:val="16"/>
                <w:szCs w:val="16"/>
                <w:lang w:val="en-GB"/>
              </w:rPr>
            </w:pPr>
          </w:p>
        </w:tc>
        <w:tc>
          <w:tcPr>
            <w:tcW w:w="1524" w:type="dxa"/>
          </w:tcPr>
          <w:p w14:paraId="5B03EB09" w14:textId="77777777" w:rsidR="000771EA" w:rsidRPr="00D86314" w:rsidRDefault="000771EA">
            <w:pPr>
              <w:keepNext/>
              <w:spacing w:before="40" w:after="40"/>
              <w:rPr>
                <w:noProof/>
                <w:sz w:val="16"/>
                <w:szCs w:val="16"/>
                <w:lang w:val="en-GB"/>
              </w:rPr>
            </w:pPr>
            <w:r w:rsidRPr="00D86314">
              <w:rPr>
                <w:noProof/>
                <w:sz w:val="16"/>
                <w:szCs w:val="16"/>
                <w:lang w:val="en-GB"/>
              </w:rPr>
              <w:t>Direct benefits</w:t>
            </w:r>
          </w:p>
        </w:tc>
        <w:tc>
          <w:tcPr>
            <w:tcW w:w="3282" w:type="dxa"/>
            <w:gridSpan w:val="2"/>
          </w:tcPr>
          <w:p w14:paraId="405C91E2" w14:textId="77777777" w:rsidR="000771EA" w:rsidRPr="00D86314" w:rsidRDefault="000771EA">
            <w:pPr>
              <w:keepNext/>
              <w:spacing w:before="40" w:after="40"/>
              <w:rPr>
                <w:noProof/>
                <w:sz w:val="16"/>
                <w:szCs w:val="16"/>
                <w:lang w:val="en-GB"/>
              </w:rPr>
            </w:pPr>
            <w:r w:rsidRPr="00C20A01">
              <w:rPr>
                <w:noProof/>
                <w:sz w:val="16"/>
                <w:szCs w:val="16"/>
                <w:lang w:val="en-GB"/>
              </w:rPr>
              <w:t>Where applied, should increase availability of QoS guarantees for business and dedicated capacity</w:t>
            </w:r>
          </w:p>
        </w:tc>
      </w:tr>
      <w:tr w:rsidR="000771EA" w:rsidRPr="00D86314" w14:paraId="0033E015" w14:textId="77777777">
        <w:tc>
          <w:tcPr>
            <w:tcW w:w="3963" w:type="dxa"/>
            <w:vMerge/>
          </w:tcPr>
          <w:p w14:paraId="7A72B32F" w14:textId="77777777" w:rsidR="000771EA" w:rsidRPr="00D86314" w:rsidRDefault="000771EA">
            <w:pPr>
              <w:keepNext/>
              <w:spacing w:before="40" w:after="40"/>
              <w:rPr>
                <w:b/>
                <w:noProof/>
                <w:sz w:val="16"/>
                <w:szCs w:val="16"/>
                <w:lang w:val="en-GB"/>
              </w:rPr>
            </w:pPr>
          </w:p>
        </w:tc>
        <w:tc>
          <w:tcPr>
            <w:tcW w:w="1524" w:type="dxa"/>
          </w:tcPr>
          <w:p w14:paraId="1D51058B" w14:textId="77777777" w:rsidR="000771EA" w:rsidRPr="00D86314" w:rsidRDefault="000771EA">
            <w:pPr>
              <w:keepNext/>
              <w:spacing w:before="40" w:after="40"/>
              <w:rPr>
                <w:noProof/>
                <w:sz w:val="16"/>
                <w:szCs w:val="16"/>
                <w:lang w:val="en-GB"/>
              </w:rPr>
            </w:pPr>
            <w:r w:rsidRPr="00D86314">
              <w:rPr>
                <w:noProof/>
                <w:sz w:val="16"/>
                <w:szCs w:val="16"/>
                <w:lang w:val="en-GB"/>
              </w:rPr>
              <w:t>Indirect benefits</w:t>
            </w:r>
          </w:p>
        </w:tc>
        <w:tc>
          <w:tcPr>
            <w:tcW w:w="3282" w:type="dxa"/>
            <w:gridSpan w:val="2"/>
          </w:tcPr>
          <w:p w14:paraId="484E5586" w14:textId="77777777" w:rsidR="000771EA" w:rsidRPr="00D86314" w:rsidRDefault="000771EA">
            <w:pPr>
              <w:keepNext/>
              <w:spacing w:before="40" w:after="40"/>
              <w:rPr>
                <w:noProof/>
                <w:sz w:val="16"/>
                <w:szCs w:val="16"/>
                <w:lang w:val="en-GB"/>
              </w:rPr>
            </w:pPr>
          </w:p>
        </w:tc>
      </w:tr>
    </w:tbl>
    <w:p w14:paraId="61283668" w14:textId="77777777" w:rsidR="000771EA" w:rsidRPr="00D86314" w:rsidRDefault="000771EA" w:rsidP="000771EA">
      <w:pPr>
        <w:rPr>
          <w:noProof/>
        </w:rPr>
      </w:pPr>
    </w:p>
    <w:p w14:paraId="5EBC1723" w14:textId="77777777" w:rsidR="000771EA" w:rsidRPr="00D86314" w:rsidRDefault="000771EA" w:rsidP="007D1242">
      <w:pPr>
        <w:rPr>
          <w:b/>
          <w:bCs/>
          <w:noProof/>
        </w:rPr>
      </w:pPr>
      <w:bookmarkStart w:id="298" w:name="_Toc208239989"/>
      <w:r w:rsidRPr="00D86314">
        <w:rPr>
          <w:b/>
          <w:bCs/>
          <w:noProof/>
        </w:rPr>
        <w:t>SMEs</w:t>
      </w:r>
      <w:bookmarkEnd w:id="298"/>
    </w:p>
    <w:p w14:paraId="70D07C65" w14:textId="77777777" w:rsidR="000771EA" w:rsidRPr="00D86314" w:rsidRDefault="000771EA" w:rsidP="000771EA">
      <w:pPr>
        <w:rPr>
          <w:noProof/>
        </w:rPr>
      </w:pPr>
      <w:r w:rsidRPr="00D86314">
        <w:rPr>
          <w:noProof/>
        </w:rPr>
        <w:t>Affected SMEs include smaller telecom infrastructure and service providers as well as small and medium enterprises and smaller public sector bodies (such as GP surgeries, schools) in the wider economy.</w:t>
      </w:r>
    </w:p>
    <w:p w14:paraId="09411100" w14:textId="77777777" w:rsidR="000771EA" w:rsidRPr="00D86314" w:rsidRDefault="000771EA" w:rsidP="000771EA">
      <w:pPr>
        <w:rPr>
          <w:noProof/>
        </w:rPr>
      </w:pPr>
      <w:r w:rsidRPr="00D86314">
        <w:rPr>
          <w:noProof/>
        </w:rPr>
        <w:t>SMEs in the telecom sector will be directly affected by both the obligation to switch off copper networks by 2030 as well as changes to access regulation.</w:t>
      </w:r>
    </w:p>
    <w:p w14:paraId="2035EC77" w14:textId="77777777" w:rsidR="000771EA" w:rsidRPr="00D86314" w:rsidRDefault="000771EA" w:rsidP="000771EA">
      <w:pPr>
        <w:rPr>
          <w:noProof/>
        </w:rPr>
      </w:pPr>
      <w:r w:rsidRPr="00D86314">
        <w:rPr>
          <w:noProof/>
        </w:rPr>
        <w:t>SMEs in the wider economy will be directly affected by the obligation to switch off copper networks by 2030. In addition, such SMEs will be indirectly affected by changes to access regulation that influence choice, price and quality in broadband offers.</w:t>
      </w:r>
    </w:p>
    <w:p w14:paraId="17408AFA" w14:textId="77777777" w:rsidR="004D48EF" w:rsidRPr="00D86314" w:rsidRDefault="004D48EF" w:rsidP="007D1242">
      <w:pPr>
        <w:rPr>
          <w:i/>
          <w:iCs/>
          <w:noProof/>
        </w:rPr>
      </w:pPr>
      <w:bookmarkStart w:id="299" w:name="_Toc208239990"/>
      <w:r w:rsidRPr="00D86314">
        <w:rPr>
          <w:i/>
          <w:iCs/>
          <w:noProof/>
        </w:rPr>
        <w:t>Copper switch-off</w:t>
      </w:r>
      <w:bookmarkEnd w:id="299"/>
    </w:p>
    <w:p w14:paraId="26AC449C" w14:textId="77777777" w:rsidR="004D48EF" w:rsidRPr="00D86314" w:rsidRDefault="004D48EF" w:rsidP="004D48EF">
      <w:pPr>
        <w:rPr>
          <w:noProof/>
        </w:rPr>
      </w:pPr>
      <w:r w:rsidRPr="00D86314">
        <w:rPr>
          <w:noProof/>
        </w:rPr>
        <w:t>SMEs in the telecom sector are likely to be affected by copper switch-off because this category of actor is likely to include smaller ISPs which rely on wholesale access to offer retail services to end-users. Due to the small scale of these providers, such connections are likely to be on a rental basis rather than IRU and may include a high proportion of copper wholesale access lines, in certain countries. Copper switch-off will force such players to find alternatives sources of access, and may impact profits and the ongoing viability of such actors, in particular if wholesale access options on fibre are not available on reasonable terms and conditions. The role of the market review to be conducted in the context of CSO will therefore be important in addressing reductions in competition arising from CSO that may be detrimental to these stakeholders. On the other hand, smaller players offering wireless services could benefit from new business in cases where copper switch-off leaves gaps in the availability of connections, which need to be addressed through alternative technologies.</w:t>
      </w:r>
    </w:p>
    <w:p w14:paraId="1BA933D0" w14:textId="7D5F75DA" w:rsidR="004D48EF" w:rsidRPr="00D86314" w:rsidRDefault="004D48EF" w:rsidP="004D48EF">
      <w:pPr>
        <w:rPr>
          <w:noProof/>
        </w:rPr>
      </w:pPr>
      <w:r w:rsidRPr="00D86314">
        <w:rPr>
          <w:noProof/>
        </w:rPr>
        <w:t>SMEs in the wider economy will need to migrate existing copper-based leased lines, including those used for applications such as alarms, elevators, to alternative technologies. In some cases, for critical connections, dedicated fibre connections may be appropriate. In other cases wireless or mobile connections could be adequate. One-off migration costs may involve the purchase of new equipment, while ongoing costs may include differences in pricing associated with the broadband connections offered via alternative technologies. SMEs may be more affected by these migration challenges than large enterprises, as there may be a higher share of legacy equipment, although the precise proportion of SMEs affected is not known. While costs are inevitable during this migration process, they would also occur in the status quo. The main impact of the CSO obligations would be on the timing of those costs. SMEs are expected to reap significant benefits from copper switch-off, through the wider availability of FTTH connectivity, and associated improvements in reliability and quality of connections, which will support a wide range of applications. However, dedicated connections offering multi-Gigabit symmetric capabilities will be needed to support advanced use cases in the coming decades, for SMEs, and smaller public sector bodies as well as larger businesses, in particular where they seek to make use of services involving big data processing and two-way video communication. For SMEs to reap the benefits, it will therefore be important to ensure that such connections can be provided, in particular outside very dense areas, noting that SMEs and smaller public sector bodies are likely to be dispersed across the country. It should also be noted that businesses and public sector bodies in general including SMEs would be more affected than residential consumers by gaps that may be caused by requirements for copper switch-off in areas where there is no FTTH network available (and the potential for dedicated connectivity) for a portion of premises (even if less than 5%), because cable and wireless would not provide a substitute for critical use cases. The role of market reviews and associated access regulation in less dense areas is therefore particularly important to address the needs of SMEs based outside large cities.</w:t>
      </w:r>
    </w:p>
    <w:p w14:paraId="49758F95" w14:textId="77777777" w:rsidR="00644446" w:rsidRPr="00D86314" w:rsidRDefault="00644446" w:rsidP="007D1242">
      <w:pPr>
        <w:rPr>
          <w:i/>
          <w:iCs/>
          <w:noProof/>
        </w:rPr>
      </w:pPr>
      <w:bookmarkStart w:id="300" w:name="_Toc208239991"/>
      <w:r w:rsidRPr="00D86314">
        <w:rPr>
          <w:i/>
          <w:iCs/>
          <w:noProof/>
        </w:rPr>
        <w:t>Access regulation</w:t>
      </w:r>
      <w:bookmarkEnd w:id="300"/>
    </w:p>
    <w:p w14:paraId="3E1221CB" w14:textId="75F2F208" w:rsidR="00644446" w:rsidRPr="00D86314" w:rsidRDefault="00644446" w:rsidP="00644446">
      <w:pPr>
        <w:rPr>
          <w:noProof/>
        </w:rPr>
      </w:pPr>
      <w:r w:rsidRPr="00D86314">
        <w:rPr>
          <w:noProof/>
        </w:rPr>
        <w:t xml:space="preserve">SMEs could benefit indirectly from requirements for NRAs to gather data at a more granular level, if such data includes information about the reach and location of fibre rings and point to point fibre connections providing dedicated capacity as well as FTTH. They will also benefit from measures to include Ethernet leased lines and business grade QoS in a list of harmonised wholesale specifications at EU level. However, they are likely to be disproportionately negatively impacted compared with residential consumers in the event that RRM is removed. A lack of an RRM and / or associated guidance at EU level to require an examination of markets could also have the effect of reducing attention to business grade QoS in relation to “mass-market” products such as fibre unbundling and FTTH VULA. </w:t>
      </w:r>
    </w:p>
    <w:p w14:paraId="58A73A58" w14:textId="77777777" w:rsidR="00644446" w:rsidRPr="00D86314" w:rsidRDefault="00644446" w:rsidP="00644446">
      <w:pPr>
        <w:rPr>
          <w:noProof/>
        </w:rPr>
      </w:pPr>
      <w:r w:rsidRPr="00D86314">
        <w:rPr>
          <w:noProof/>
        </w:rPr>
        <w:t>Demand modelling based on evolutions in applications and the requirements of SMEs suggest that 50% of SMEs will require Gigabit connectivity by 2035, and many will require symmetric bandwidths. The preferred option could make a substantial contribution to ensuring that these needs are met.</w:t>
      </w:r>
    </w:p>
    <w:p w14:paraId="22761464" w14:textId="3FB3A4D3" w:rsidR="00644446" w:rsidRPr="00D86314" w:rsidRDefault="00644446" w:rsidP="00271373">
      <w:pPr>
        <w:pStyle w:val="Tabberschrift"/>
        <w:rPr>
          <w:rFonts w:ascii="Times New Roman" w:hAnsi="Times New Roman"/>
          <w:noProof/>
          <w:szCs w:val="22"/>
        </w:rPr>
      </w:pPr>
      <w:bookmarkStart w:id="301" w:name="_Toc208240006"/>
      <w:r w:rsidRPr="00D86314">
        <w:rPr>
          <w:rFonts w:ascii="Times New Roman" w:hAnsi="Times New Roman"/>
          <w:noProof/>
          <w:szCs w:val="22"/>
        </w:rPr>
        <w:t>Table</w:t>
      </w:r>
      <w:r w:rsidR="000A7790" w:rsidRPr="00D86314">
        <w:rPr>
          <w:rFonts w:ascii="Times New Roman" w:hAnsi="Times New Roman"/>
          <w:noProof/>
          <w:szCs w:val="22"/>
        </w:rPr>
        <w:t xml:space="preserve"> A9 1-13</w:t>
      </w:r>
      <w:r w:rsidRPr="00D86314">
        <w:rPr>
          <w:rFonts w:ascii="Times New Roman" w:hAnsi="Times New Roman"/>
          <w:noProof/>
          <w:szCs w:val="22"/>
        </w:rPr>
        <w:t>:Estimated administrative costs to SMEs (in the wider market) linked to the preferred DNA option</w:t>
      </w:r>
      <w:bookmarkEnd w:id="301"/>
    </w:p>
    <w:tbl>
      <w:tblPr>
        <w:tblStyle w:val="TableGrid1"/>
        <w:tblW w:w="8875" w:type="dxa"/>
        <w:tblLook w:val="04A0" w:firstRow="1" w:lastRow="0" w:firstColumn="1" w:lastColumn="0" w:noHBand="0" w:noVBand="1"/>
      </w:tblPr>
      <w:tblGrid>
        <w:gridCol w:w="3870"/>
        <w:gridCol w:w="1499"/>
        <w:gridCol w:w="1616"/>
        <w:gridCol w:w="1890"/>
      </w:tblGrid>
      <w:tr w:rsidR="00644446" w:rsidRPr="00D86314" w14:paraId="214F7A92" w14:textId="77777777" w:rsidTr="00182A0D">
        <w:tc>
          <w:tcPr>
            <w:tcW w:w="5369" w:type="dxa"/>
            <w:gridSpan w:val="2"/>
            <w:vMerge w:val="restart"/>
            <w:hideMark/>
          </w:tcPr>
          <w:p w14:paraId="26F912AD" w14:textId="77777777" w:rsidR="00644446" w:rsidRPr="00D86314" w:rsidRDefault="00644446">
            <w:pPr>
              <w:keepNext/>
              <w:spacing w:before="40" w:after="40"/>
              <w:rPr>
                <w:noProof/>
                <w:sz w:val="16"/>
                <w:szCs w:val="16"/>
                <w:lang w:val="en-GB"/>
              </w:rPr>
            </w:pPr>
            <w:r w:rsidRPr="00D86314">
              <w:rPr>
                <w:noProof/>
                <w:sz w:val="16"/>
                <w:szCs w:val="16"/>
                <w:lang w:val="en-GB"/>
              </w:rPr>
              <w:t> </w:t>
            </w:r>
          </w:p>
        </w:tc>
        <w:tc>
          <w:tcPr>
            <w:tcW w:w="3506" w:type="dxa"/>
            <w:gridSpan w:val="2"/>
            <w:hideMark/>
          </w:tcPr>
          <w:p w14:paraId="3C4E423A" w14:textId="77777777" w:rsidR="00644446" w:rsidRPr="00D86314" w:rsidRDefault="00644446">
            <w:pPr>
              <w:keepNext/>
              <w:spacing w:before="40" w:after="40"/>
              <w:rPr>
                <w:b/>
                <w:noProof/>
                <w:sz w:val="16"/>
                <w:szCs w:val="16"/>
                <w:lang w:val="en-GB"/>
              </w:rPr>
            </w:pPr>
            <w:r w:rsidRPr="00D86314">
              <w:rPr>
                <w:b/>
                <w:noProof/>
                <w:sz w:val="16"/>
                <w:szCs w:val="16"/>
                <w:lang w:val="en-GB"/>
              </w:rPr>
              <w:t>Consumers</w:t>
            </w:r>
          </w:p>
        </w:tc>
      </w:tr>
      <w:tr w:rsidR="00644446" w:rsidRPr="00D86314" w14:paraId="27A5828A" w14:textId="77777777" w:rsidTr="00182A0D">
        <w:tc>
          <w:tcPr>
            <w:tcW w:w="5369" w:type="dxa"/>
            <w:gridSpan w:val="2"/>
            <w:vMerge/>
            <w:hideMark/>
          </w:tcPr>
          <w:p w14:paraId="011E022B" w14:textId="77777777" w:rsidR="00644446" w:rsidRPr="00D86314" w:rsidRDefault="00644446">
            <w:pPr>
              <w:keepNext/>
              <w:spacing w:before="40" w:after="40"/>
              <w:rPr>
                <w:noProof/>
                <w:sz w:val="16"/>
                <w:szCs w:val="16"/>
                <w:lang w:val="en-GB"/>
              </w:rPr>
            </w:pPr>
          </w:p>
        </w:tc>
        <w:tc>
          <w:tcPr>
            <w:tcW w:w="1616" w:type="dxa"/>
            <w:hideMark/>
          </w:tcPr>
          <w:p w14:paraId="7745D7E7" w14:textId="77777777" w:rsidR="00644446" w:rsidRPr="00D86314" w:rsidRDefault="00644446">
            <w:pPr>
              <w:keepNext/>
              <w:spacing w:before="40" w:after="40"/>
              <w:rPr>
                <w:b/>
                <w:noProof/>
                <w:sz w:val="16"/>
                <w:szCs w:val="16"/>
                <w:lang w:val="en-GB"/>
              </w:rPr>
            </w:pPr>
            <w:r w:rsidRPr="00D86314">
              <w:rPr>
                <w:b/>
                <w:noProof/>
                <w:sz w:val="16"/>
                <w:szCs w:val="16"/>
                <w:lang w:val="en-GB"/>
              </w:rPr>
              <w:t>One-off</w:t>
            </w:r>
          </w:p>
        </w:tc>
        <w:tc>
          <w:tcPr>
            <w:tcW w:w="1890" w:type="dxa"/>
            <w:hideMark/>
          </w:tcPr>
          <w:p w14:paraId="4D78A02B" w14:textId="77777777" w:rsidR="00644446" w:rsidRPr="00D86314" w:rsidRDefault="00644446">
            <w:pPr>
              <w:keepNext/>
              <w:spacing w:before="40" w:after="40"/>
              <w:rPr>
                <w:b/>
                <w:noProof/>
                <w:sz w:val="16"/>
                <w:szCs w:val="16"/>
                <w:lang w:val="en-GB"/>
              </w:rPr>
            </w:pPr>
            <w:r w:rsidRPr="00D86314">
              <w:rPr>
                <w:b/>
                <w:noProof/>
                <w:sz w:val="16"/>
                <w:szCs w:val="16"/>
                <w:lang w:val="en-GB"/>
              </w:rPr>
              <w:t>Recurrent</w:t>
            </w:r>
          </w:p>
        </w:tc>
      </w:tr>
      <w:tr w:rsidR="00644446" w:rsidRPr="00D86314" w14:paraId="27A7986F" w14:textId="77777777" w:rsidTr="00182A0D">
        <w:tc>
          <w:tcPr>
            <w:tcW w:w="3870" w:type="dxa"/>
            <w:vMerge w:val="restart"/>
          </w:tcPr>
          <w:p w14:paraId="138DB7B6" w14:textId="19AB4940" w:rsidR="00644446" w:rsidRPr="00D86314" w:rsidRDefault="00EC1652">
            <w:pPr>
              <w:keepNext/>
              <w:spacing w:before="40" w:after="40"/>
              <w:rPr>
                <w:b/>
                <w:noProof/>
                <w:sz w:val="16"/>
                <w:szCs w:val="16"/>
                <w:lang w:val="en-GB"/>
              </w:rPr>
            </w:pPr>
            <w:r w:rsidRPr="00A36024">
              <w:rPr>
                <w:b/>
                <w:bCs/>
                <w:noProof/>
                <w:sz w:val="16"/>
                <w:szCs w:val="16"/>
              </w:rPr>
              <w:t>Transition to fibre</w:t>
            </w:r>
          </w:p>
        </w:tc>
        <w:tc>
          <w:tcPr>
            <w:tcW w:w="1499" w:type="dxa"/>
          </w:tcPr>
          <w:p w14:paraId="3ECD70D9" w14:textId="77777777" w:rsidR="00644446" w:rsidRPr="00D86314" w:rsidRDefault="00644446">
            <w:pPr>
              <w:keepNext/>
              <w:spacing w:before="40" w:after="40"/>
              <w:rPr>
                <w:noProof/>
                <w:sz w:val="16"/>
                <w:szCs w:val="16"/>
                <w:lang w:val="en-GB"/>
              </w:rPr>
            </w:pPr>
            <w:r w:rsidRPr="00D86314">
              <w:rPr>
                <w:noProof/>
                <w:sz w:val="16"/>
                <w:szCs w:val="16"/>
                <w:lang w:val="en-GB"/>
              </w:rPr>
              <w:t>Direct costs</w:t>
            </w:r>
          </w:p>
        </w:tc>
        <w:tc>
          <w:tcPr>
            <w:tcW w:w="1616" w:type="dxa"/>
          </w:tcPr>
          <w:p w14:paraId="6A6F035B" w14:textId="77777777" w:rsidR="00644446" w:rsidRPr="00D86314" w:rsidRDefault="00644446">
            <w:pPr>
              <w:keepNext/>
              <w:spacing w:before="40" w:after="40"/>
              <w:rPr>
                <w:noProof/>
                <w:sz w:val="16"/>
                <w:szCs w:val="16"/>
                <w:lang w:val="en-GB"/>
              </w:rPr>
            </w:pPr>
            <w:r w:rsidRPr="00C20A01">
              <w:rPr>
                <w:noProof/>
                <w:sz w:val="16"/>
                <w:szCs w:val="16"/>
                <w:lang w:val="en-GB"/>
              </w:rPr>
              <w:t>In-building wiring (where not already deployed), costs associated with replacement of legacy analogue equipment but would also occur later under status quo. The limited right to connectivity under the preferred option should protect SMEs that others might be refused or charged excess fees for connection to the fibre network</w:t>
            </w:r>
          </w:p>
        </w:tc>
        <w:tc>
          <w:tcPr>
            <w:tcW w:w="1890" w:type="dxa"/>
          </w:tcPr>
          <w:p w14:paraId="3FE0A1AF" w14:textId="77777777" w:rsidR="00644446" w:rsidRPr="00D86314" w:rsidRDefault="00644446">
            <w:pPr>
              <w:keepNext/>
              <w:spacing w:before="40" w:after="40"/>
              <w:rPr>
                <w:noProof/>
                <w:sz w:val="16"/>
                <w:szCs w:val="16"/>
                <w:lang w:val="en-GB"/>
              </w:rPr>
            </w:pPr>
            <w:r w:rsidRPr="00C20A01">
              <w:rPr>
                <w:noProof/>
                <w:sz w:val="16"/>
                <w:szCs w:val="16"/>
                <w:lang w:val="en-GB"/>
              </w:rPr>
              <w:t>CSO conditions should ensure that fibre-based access is available at no extra charge</w:t>
            </w:r>
          </w:p>
        </w:tc>
      </w:tr>
      <w:tr w:rsidR="00644446" w:rsidRPr="00D86314" w14:paraId="21449320" w14:textId="77777777" w:rsidTr="00182A0D">
        <w:tc>
          <w:tcPr>
            <w:tcW w:w="3870" w:type="dxa"/>
            <w:vMerge/>
          </w:tcPr>
          <w:p w14:paraId="638F9657" w14:textId="77777777" w:rsidR="00644446" w:rsidRPr="00D86314" w:rsidRDefault="00644446">
            <w:pPr>
              <w:keepNext/>
              <w:spacing w:before="40" w:after="40"/>
              <w:rPr>
                <w:b/>
                <w:noProof/>
                <w:sz w:val="16"/>
                <w:szCs w:val="16"/>
                <w:lang w:val="en-GB"/>
              </w:rPr>
            </w:pPr>
          </w:p>
        </w:tc>
        <w:tc>
          <w:tcPr>
            <w:tcW w:w="1499" w:type="dxa"/>
          </w:tcPr>
          <w:p w14:paraId="16877467" w14:textId="77777777" w:rsidR="00644446" w:rsidRPr="00D86314" w:rsidRDefault="00644446">
            <w:pPr>
              <w:keepNext/>
              <w:spacing w:before="40" w:after="40"/>
              <w:rPr>
                <w:noProof/>
                <w:sz w:val="16"/>
                <w:szCs w:val="16"/>
                <w:lang w:val="en-GB"/>
              </w:rPr>
            </w:pPr>
            <w:r w:rsidRPr="00D86314">
              <w:rPr>
                <w:noProof/>
                <w:sz w:val="16"/>
                <w:szCs w:val="16"/>
                <w:lang w:val="en-GB"/>
              </w:rPr>
              <w:t>Indirect costs</w:t>
            </w:r>
          </w:p>
        </w:tc>
        <w:tc>
          <w:tcPr>
            <w:tcW w:w="3506" w:type="dxa"/>
            <w:gridSpan w:val="2"/>
          </w:tcPr>
          <w:p w14:paraId="6589635D" w14:textId="77777777" w:rsidR="00644446" w:rsidRPr="00D86314" w:rsidRDefault="00644446">
            <w:pPr>
              <w:keepNext/>
              <w:spacing w:before="40" w:after="40"/>
              <w:rPr>
                <w:noProof/>
                <w:sz w:val="16"/>
                <w:szCs w:val="16"/>
                <w:lang w:val="en-GB"/>
              </w:rPr>
            </w:pPr>
            <w:r w:rsidRPr="00C20A01">
              <w:rPr>
                <w:noProof/>
                <w:sz w:val="16"/>
                <w:szCs w:val="16"/>
                <w:lang w:val="en-GB"/>
              </w:rPr>
              <w:t>Some SMEs may be forced to rely on FWA or mobile following CSO. Depending on specifications, this may not meet the requirements of business. Attention could be given to this issue in the context of USO, if needed.</w:t>
            </w:r>
          </w:p>
          <w:p w14:paraId="62B5DFB8" w14:textId="04F5E123" w:rsidR="00644446" w:rsidRPr="00D86314" w:rsidRDefault="00644446">
            <w:pPr>
              <w:keepNext/>
              <w:spacing w:before="40" w:after="40"/>
              <w:rPr>
                <w:noProof/>
                <w:sz w:val="16"/>
                <w:szCs w:val="16"/>
                <w:lang w:val="en-GB"/>
              </w:rPr>
            </w:pPr>
            <w:r w:rsidRPr="00C20A01">
              <w:rPr>
                <w:noProof/>
                <w:sz w:val="16"/>
                <w:szCs w:val="16"/>
                <w:lang w:val="en-GB"/>
              </w:rPr>
              <w:t xml:space="preserve">Potential gaps in availability of dedicated capacity for critical </w:t>
            </w:r>
            <w:r w:rsidR="008D4479" w:rsidRPr="00C20A01">
              <w:rPr>
                <w:noProof/>
                <w:sz w:val="16"/>
                <w:szCs w:val="16"/>
                <w:lang w:val="en-GB"/>
              </w:rPr>
              <w:t>applications. Attention</w:t>
            </w:r>
            <w:r w:rsidRPr="00C20A01">
              <w:rPr>
                <w:noProof/>
                <w:sz w:val="16"/>
                <w:szCs w:val="16"/>
                <w:lang w:val="en-GB"/>
              </w:rPr>
              <w:t xml:space="preserve"> could be given to this issue in the context of the market review process</w:t>
            </w:r>
          </w:p>
          <w:p w14:paraId="76547620" w14:textId="77777777" w:rsidR="00644446" w:rsidRPr="00D86314" w:rsidRDefault="00644446">
            <w:pPr>
              <w:keepNext/>
              <w:spacing w:before="40" w:after="40"/>
              <w:rPr>
                <w:noProof/>
                <w:sz w:val="16"/>
                <w:szCs w:val="16"/>
                <w:lang w:val="en-GB"/>
              </w:rPr>
            </w:pPr>
            <w:r w:rsidRPr="00C20A01">
              <w:rPr>
                <w:noProof/>
                <w:sz w:val="16"/>
                <w:szCs w:val="16"/>
                <w:lang w:val="en-GB"/>
              </w:rPr>
              <w:t xml:space="preserve">Disruption associated with migration including replacement of analogue equipment. </w:t>
            </w:r>
          </w:p>
        </w:tc>
      </w:tr>
      <w:tr w:rsidR="00644446" w:rsidRPr="00D86314" w14:paraId="15D8580C" w14:textId="77777777" w:rsidTr="00182A0D">
        <w:tc>
          <w:tcPr>
            <w:tcW w:w="3870" w:type="dxa"/>
            <w:vMerge/>
          </w:tcPr>
          <w:p w14:paraId="5ECD02DF" w14:textId="77777777" w:rsidR="00644446" w:rsidRPr="00D86314" w:rsidRDefault="00644446">
            <w:pPr>
              <w:keepNext/>
              <w:spacing w:before="40" w:after="40"/>
              <w:rPr>
                <w:b/>
                <w:noProof/>
                <w:sz w:val="16"/>
                <w:szCs w:val="16"/>
                <w:lang w:val="en-GB"/>
              </w:rPr>
            </w:pPr>
          </w:p>
        </w:tc>
        <w:tc>
          <w:tcPr>
            <w:tcW w:w="1499" w:type="dxa"/>
          </w:tcPr>
          <w:p w14:paraId="79F41374" w14:textId="77777777" w:rsidR="00644446" w:rsidRPr="00D86314" w:rsidRDefault="00644446">
            <w:pPr>
              <w:keepNext/>
              <w:spacing w:before="40" w:after="40"/>
              <w:rPr>
                <w:noProof/>
                <w:sz w:val="16"/>
                <w:szCs w:val="16"/>
                <w:lang w:val="en-GB"/>
              </w:rPr>
            </w:pPr>
            <w:r w:rsidRPr="00D86314">
              <w:rPr>
                <w:noProof/>
                <w:sz w:val="16"/>
                <w:szCs w:val="16"/>
                <w:lang w:val="en-GB"/>
              </w:rPr>
              <w:t>Direct benefits</w:t>
            </w:r>
          </w:p>
        </w:tc>
        <w:tc>
          <w:tcPr>
            <w:tcW w:w="3506" w:type="dxa"/>
            <w:gridSpan w:val="2"/>
          </w:tcPr>
          <w:p w14:paraId="239B3F4E" w14:textId="715A5F6C" w:rsidR="00644446" w:rsidRPr="00D86314" w:rsidRDefault="00644446">
            <w:pPr>
              <w:keepNext/>
              <w:spacing w:before="40" w:after="40"/>
              <w:rPr>
                <w:noProof/>
                <w:sz w:val="16"/>
                <w:szCs w:val="16"/>
                <w:lang w:val="en-GB"/>
              </w:rPr>
            </w:pPr>
            <w:r w:rsidRPr="00C20A01">
              <w:rPr>
                <w:noProof/>
                <w:sz w:val="16"/>
                <w:szCs w:val="16"/>
                <w:lang w:val="en-GB"/>
              </w:rPr>
              <w:t>Greater availability of Gigabit-capable broadband, in areas where copper switch-off by 2030 would support the business case for FTTH deployment</w:t>
            </w:r>
          </w:p>
        </w:tc>
      </w:tr>
      <w:tr w:rsidR="00644446" w:rsidRPr="00D86314" w14:paraId="30E54D61" w14:textId="77777777" w:rsidTr="00182A0D">
        <w:tc>
          <w:tcPr>
            <w:tcW w:w="3870" w:type="dxa"/>
            <w:vMerge/>
          </w:tcPr>
          <w:p w14:paraId="27B68D7E" w14:textId="77777777" w:rsidR="00644446" w:rsidRPr="00D86314" w:rsidRDefault="00644446">
            <w:pPr>
              <w:keepNext/>
              <w:spacing w:before="40" w:after="40"/>
              <w:rPr>
                <w:b/>
                <w:noProof/>
                <w:sz w:val="16"/>
                <w:szCs w:val="16"/>
                <w:lang w:val="en-GB"/>
              </w:rPr>
            </w:pPr>
          </w:p>
        </w:tc>
        <w:tc>
          <w:tcPr>
            <w:tcW w:w="1499" w:type="dxa"/>
          </w:tcPr>
          <w:p w14:paraId="215ED90B" w14:textId="77777777" w:rsidR="00644446" w:rsidRPr="00D86314" w:rsidRDefault="00644446">
            <w:pPr>
              <w:keepNext/>
              <w:spacing w:before="40" w:after="40"/>
              <w:rPr>
                <w:noProof/>
                <w:sz w:val="16"/>
                <w:szCs w:val="16"/>
                <w:lang w:val="en-GB"/>
              </w:rPr>
            </w:pPr>
            <w:r w:rsidRPr="00D86314">
              <w:rPr>
                <w:noProof/>
                <w:sz w:val="16"/>
                <w:szCs w:val="16"/>
                <w:lang w:val="en-GB"/>
              </w:rPr>
              <w:t>Indirect benefits</w:t>
            </w:r>
          </w:p>
        </w:tc>
        <w:tc>
          <w:tcPr>
            <w:tcW w:w="3506" w:type="dxa"/>
            <w:gridSpan w:val="2"/>
          </w:tcPr>
          <w:p w14:paraId="4EB92C4C" w14:textId="77777777" w:rsidR="00644446" w:rsidRPr="00D86314" w:rsidRDefault="00644446">
            <w:pPr>
              <w:keepNext/>
              <w:spacing w:before="40" w:after="40"/>
              <w:rPr>
                <w:noProof/>
                <w:sz w:val="16"/>
                <w:szCs w:val="16"/>
                <w:lang w:val="en-GB"/>
              </w:rPr>
            </w:pPr>
          </w:p>
        </w:tc>
      </w:tr>
      <w:tr w:rsidR="00644446" w:rsidRPr="00D86314" w14:paraId="712E1D94" w14:textId="77777777" w:rsidTr="00182A0D">
        <w:tc>
          <w:tcPr>
            <w:tcW w:w="3870" w:type="dxa"/>
            <w:vMerge w:val="restart"/>
          </w:tcPr>
          <w:p w14:paraId="67D6600C" w14:textId="77777777" w:rsidR="00644446" w:rsidRPr="00D86314" w:rsidRDefault="00644446">
            <w:pPr>
              <w:keepNext/>
              <w:spacing w:before="40" w:after="40"/>
              <w:rPr>
                <w:b/>
                <w:noProof/>
                <w:sz w:val="16"/>
                <w:szCs w:val="16"/>
                <w:lang w:val="en-GB"/>
              </w:rPr>
            </w:pPr>
            <w:r w:rsidRPr="00A36024">
              <w:rPr>
                <w:b/>
                <w:bCs/>
                <w:noProof/>
                <w:sz w:val="16"/>
                <w:szCs w:val="16"/>
              </w:rPr>
              <w:t>Access regulation: Data gathering</w:t>
            </w:r>
          </w:p>
        </w:tc>
        <w:tc>
          <w:tcPr>
            <w:tcW w:w="1499" w:type="dxa"/>
          </w:tcPr>
          <w:p w14:paraId="262F9616" w14:textId="77777777" w:rsidR="00644446" w:rsidRPr="00D86314" w:rsidRDefault="00644446">
            <w:pPr>
              <w:keepNext/>
              <w:spacing w:before="40" w:after="40"/>
              <w:rPr>
                <w:noProof/>
                <w:sz w:val="16"/>
                <w:szCs w:val="16"/>
                <w:lang w:val="en-GB"/>
              </w:rPr>
            </w:pPr>
            <w:r w:rsidRPr="00D86314">
              <w:rPr>
                <w:noProof/>
                <w:sz w:val="16"/>
                <w:szCs w:val="16"/>
                <w:lang w:val="en-GB"/>
              </w:rPr>
              <w:t>Direct costs</w:t>
            </w:r>
          </w:p>
        </w:tc>
        <w:tc>
          <w:tcPr>
            <w:tcW w:w="1616" w:type="dxa"/>
          </w:tcPr>
          <w:p w14:paraId="0A9D88C9" w14:textId="77777777" w:rsidR="00644446" w:rsidRPr="00D86314" w:rsidRDefault="00644446">
            <w:pPr>
              <w:keepNext/>
              <w:spacing w:before="40" w:after="40"/>
              <w:rPr>
                <w:noProof/>
                <w:sz w:val="16"/>
                <w:szCs w:val="16"/>
                <w:lang w:val="en-GB"/>
              </w:rPr>
            </w:pPr>
            <w:r w:rsidRPr="00A36024">
              <w:rPr>
                <w:noProof/>
                <w:sz w:val="16"/>
                <w:szCs w:val="16"/>
              </w:rPr>
              <w:t>N/A</w:t>
            </w:r>
          </w:p>
        </w:tc>
        <w:tc>
          <w:tcPr>
            <w:tcW w:w="1890" w:type="dxa"/>
          </w:tcPr>
          <w:p w14:paraId="589542BC" w14:textId="77777777" w:rsidR="00644446" w:rsidRPr="00D86314" w:rsidRDefault="00644446">
            <w:pPr>
              <w:keepNext/>
              <w:spacing w:before="40" w:after="40"/>
              <w:rPr>
                <w:noProof/>
                <w:sz w:val="16"/>
                <w:szCs w:val="16"/>
                <w:lang w:val="en-GB"/>
              </w:rPr>
            </w:pPr>
          </w:p>
        </w:tc>
      </w:tr>
      <w:tr w:rsidR="00644446" w:rsidRPr="00D86314" w14:paraId="101ECFD8" w14:textId="77777777" w:rsidTr="00182A0D">
        <w:tc>
          <w:tcPr>
            <w:tcW w:w="3870" w:type="dxa"/>
            <w:vMerge/>
          </w:tcPr>
          <w:p w14:paraId="1131BD91" w14:textId="77777777" w:rsidR="00644446" w:rsidRPr="00D86314" w:rsidRDefault="00644446">
            <w:pPr>
              <w:keepNext/>
              <w:spacing w:before="40" w:after="40"/>
              <w:rPr>
                <w:b/>
                <w:noProof/>
                <w:sz w:val="16"/>
                <w:szCs w:val="16"/>
                <w:lang w:val="en-GB"/>
              </w:rPr>
            </w:pPr>
          </w:p>
        </w:tc>
        <w:tc>
          <w:tcPr>
            <w:tcW w:w="1499" w:type="dxa"/>
          </w:tcPr>
          <w:p w14:paraId="3C420E76" w14:textId="77777777" w:rsidR="00644446" w:rsidRPr="00D86314" w:rsidRDefault="00644446">
            <w:pPr>
              <w:keepNext/>
              <w:spacing w:before="40" w:after="40"/>
              <w:rPr>
                <w:noProof/>
                <w:sz w:val="16"/>
                <w:szCs w:val="16"/>
                <w:lang w:val="en-GB"/>
              </w:rPr>
            </w:pPr>
            <w:r w:rsidRPr="00D86314">
              <w:rPr>
                <w:noProof/>
                <w:sz w:val="16"/>
                <w:szCs w:val="16"/>
                <w:lang w:val="en-GB"/>
              </w:rPr>
              <w:t>Indirect costs</w:t>
            </w:r>
          </w:p>
        </w:tc>
        <w:tc>
          <w:tcPr>
            <w:tcW w:w="1616" w:type="dxa"/>
          </w:tcPr>
          <w:p w14:paraId="4D3193D7" w14:textId="77777777" w:rsidR="00644446" w:rsidRPr="00D86314" w:rsidRDefault="00644446">
            <w:pPr>
              <w:keepNext/>
              <w:spacing w:before="40" w:after="40"/>
              <w:rPr>
                <w:noProof/>
                <w:sz w:val="16"/>
                <w:szCs w:val="16"/>
                <w:lang w:val="en-GB"/>
              </w:rPr>
            </w:pPr>
            <w:r w:rsidRPr="00A36024">
              <w:rPr>
                <w:noProof/>
                <w:sz w:val="16"/>
                <w:szCs w:val="16"/>
              </w:rPr>
              <w:t>N/A</w:t>
            </w:r>
          </w:p>
        </w:tc>
        <w:tc>
          <w:tcPr>
            <w:tcW w:w="1890" w:type="dxa"/>
          </w:tcPr>
          <w:p w14:paraId="02018A2F" w14:textId="77777777" w:rsidR="00644446" w:rsidRPr="00D86314" w:rsidRDefault="00644446">
            <w:pPr>
              <w:keepNext/>
              <w:spacing w:before="40" w:after="40"/>
              <w:rPr>
                <w:noProof/>
                <w:sz w:val="16"/>
                <w:szCs w:val="16"/>
                <w:lang w:val="en-GB"/>
              </w:rPr>
            </w:pPr>
          </w:p>
        </w:tc>
      </w:tr>
      <w:tr w:rsidR="00644446" w:rsidRPr="00D86314" w14:paraId="3E57BDF6" w14:textId="77777777" w:rsidTr="00182A0D">
        <w:tc>
          <w:tcPr>
            <w:tcW w:w="3870" w:type="dxa"/>
            <w:vMerge/>
          </w:tcPr>
          <w:p w14:paraId="09184FBD" w14:textId="77777777" w:rsidR="00644446" w:rsidRPr="00D86314" w:rsidRDefault="00644446">
            <w:pPr>
              <w:keepNext/>
              <w:spacing w:before="40" w:after="40"/>
              <w:rPr>
                <w:b/>
                <w:noProof/>
                <w:sz w:val="16"/>
                <w:szCs w:val="16"/>
                <w:lang w:val="en-GB"/>
              </w:rPr>
            </w:pPr>
          </w:p>
        </w:tc>
        <w:tc>
          <w:tcPr>
            <w:tcW w:w="1499" w:type="dxa"/>
          </w:tcPr>
          <w:p w14:paraId="04B7CDF8" w14:textId="77777777" w:rsidR="00644446" w:rsidRPr="00D86314" w:rsidRDefault="00644446">
            <w:pPr>
              <w:keepNext/>
              <w:spacing w:before="40" w:after="40"/>
              <w:rPr>
                <w:noProof/>
                <w:sz w:val="16"/>
                <w:szCs w:val="16"/>
                <w:lang w:val="en-GB"/>
              </w:rPr>
            </w:pPr>
            <w:r w:rsidRPr="00D86314">
              <w:rPr>
                <w:noProof/>
                <w:sz w:val="16"/>
                <w:szCs w:val="16"/>
                <w:lang w:val="en-GB"/>
              </w:rPr>
              <w:t>Direct benefits</w:t>
            </w:r>
          </w:p>
        </w:tc>
        <w:tc>
          <w:tcPr>
            <w:tcW w:w="3506" w:type="dxa"/>
            <w:gridSpan w:val="2"/>
          </w:tcPr>
          <w:p w14:paraId="1A656170" w14:textId="77777777" w:rsidR="00644446" w:rsidRPr="00D86314" w:rsidRDefault="00644446">
            <w:pPr>
              <w:keepNext/>
              <w:spacing w:before="40" w:after="40"/>
              <w:rPr>
                <w:noProof/>
                <w:sz w:val="16"/>
                <w:szCs w:val="16"/>
                <w:lang w:val="en-GB"/>
              </w:rPr>
            </w:pPr>
            <w:r w:rsidRPr="00C20A01">
              <w:rPr>
                <w:noProof/>
                <w:sz w:val="16"/>
                <w:szCs w:val="16"/>
                <w:lang w:val="en-GB"/>
              </w:rPr>
              <w:t>N/A – although may affect outcomes of market analysis (see below)</w:t>
            </w:r>
          </w:p>
        </w:tc>
      </w:tr>
      <w:tr w:rsidR="00644446" w:rsidRPr="00D86314" w14:paraId="23E8379B" w14:textId="77777777" w:rsidTr="00182A0D">
        <w:tc>
          <w:tcPr>
            <w:tcW w:w="3870" w:type="dxa"/>
            <w:vMerge/>
          </w:tcPr>
          <w:p w14:paraId="471F49A7" w14:textId="77777777" w:rsidR="00644446" w:rsidRPr="00D86314" w:rsidRDefault="00644446">
            <w:pPr>
              <w:keepNext/>
              <w:spacing w:before="40" w:after="40"/>
              <w:rPr>
                <w:b/>
                <w:noProof/>
                <w:sz w:val="16"/>
                <w:szCs w:val="16"/>
                <w:lang w:val="en-GB"/>
              </w:rPr>
            </w:pPr>
          </w:p>
        </w:tc>
        <w:tc>
          <w:tcPr>
            <w:tcW w:w="1499" w:type="dxa"/>
          </w:tcPr>
          <w:p w14:paraId="165969DB" w14:textId="77777777" w:rsidR="00644446" w:rsidRPr="00D86314" w:rsidRDefault="00644446">
            <w:pPr>
              <w:keepNext/>
              <w:spacing w:before="40" w:after="40"/>
              <w:rPr>
                <w:noProof/>
                <w:sz w:val="16"/>
                <w:szCs w:val="16"/>
                <w:lang w:val="en-GB"/>
              </w:rPr>
            </w:pPr>
            <w:r w:rsidRPr="00D86314">
              <w:rPr>
                <w:noProof/>
                <w:sz w:val="16"/>
                <w:szCs w:val="16"/>
                <w:lang w:val="en-GB"/>
              </w:rPr>
              <w:t>Indirect benefits</w:t>
            </w:r>
          </w:p>
        </w:tc>
        <w:tc>
          <w:tcPr>
            <w:tcW w:w="3506" w:type="dxa"/>
            <w:gridSpan w:val="2"/>
          </w:tcPr>
          <w:p w14:paraId="7F3EB665" w14:textId="77777777" w:rsidR="00644446" w:rsidRPr="00D86314" w:rsidRDefault="00644446">
            <w:pPr>
              <w:keepNext/>
              <w:spacing w:before="40" w:after="40"/>
              <w:rPr>
                <w:noProof/>
                <w:sz w:val="16"/>
                <w:szCs w:val="16"/>
                <w:lang w:val="en-GB"/>
              </w:rPr>
            </w:pPr>
          </w:p>
        </w:tc>
      </w:tr>
      <w:tr w:rsidR="00644446" w:rsidRPr="00D86314" w14:paraId="60C983D9" w14:textId="77777777" w:rsidTr="00182A0D">
        <w:tc>
          <w:tcPr>
            <w:tcW w:w="3870" w:type="dxa"/>
            <w:vMerge w:val="restart"/>
          </w:tcPr>
          <w:p w14:paraId="1EA9F2FA" w14:textId="77777777" w:rsidR="00644446" w:rsidRPr="00D86314" w:rsidRDefault="00644446">
            <w:pPr>
              <w:keepNext/>
              <w:spacing w:before="40" w:after="40"/>
              <w:rPr>
                <w:b/>
                <w:noProof/>
                <w:sz w:val="16"/>
                <w:szCs w:val="16"/>
                <w:lang w:val="en-GB"/>
              </w:rPr>
            </w:pPr>
            <w:r w:rsidRPr="00C20A01">
              <w:rPr>
                <w:b/>
                <w:noProof/>
                <w:sz w:val="16"/>
                <w:szCs w:val="16"/>
                <w:lang w:val="en-GB"/>
              </w:rPr>
              <w:t>Access regulation: RRM made optional</w:t>
            </w:r>
          </w:p>
        </w:tc>
        <w:tc>
          <w:tcPr>
            <w:tcW w:w="1499" w:type="dxa"/>
          </w:tcPr>
          <w:p w14:paraId="78DB271A" w14:textId="77777777" w:rsidR="00644446" w:rsidRPr="00D86314" w:rsidRDefault="00644446">
            <w:pPr>
              <w:keepNext/>
              <w:spacing w:before="40" w:after="40"/>
              <w:rPr>
                <w:noProof/>
                <w:sz w:val="16"/>
                <w:szCs w:val="16"/>
                <w:lang w:val="en-GB"/>
              </w:rPr>
            </w:pPr>
            <w:r w:rsidRPr="00D86314">
              <w:rPr>
                <w:noProof/>
                <w:sz w:val="16"/>
                <w:szCs w:val="16"/>
                <w:lang w:val="en-GB"/>
              </w:rPr>
              <w:t>Direct costs</w:t>
            </w:r>
          </w:p>
        </w:tc>
        <w:tc>
          <w:tcPr>
            <w:tcW w:w="1616" w:type="dxa"/>
          </w:tcPr>
          <w:p w14:paraId="0A77F8D3" w14:textId="77777777" w:rsidR="00644446" w:rsidRPr="00D86314" w:rsidRDefault="00644446">
            <w:pPr>
              <w:keepNext/>
              <w:spacing w:before="40" w:after="40"/>
              <w:rPr>
                <w:noProof/>
                <w:sz w:val="16"/>
                <w:szCs w:val="16"/>
                <w:lang w:val="en-GB"/>
              </w:rPr>
            </w:pPr>
            <w:r w:rsidRPr="00A36024">
              <w:rPr>
                <w:noProof/>
                <w:sz w:val="16"/>
                <w:szCs w:val="16"/>
              </w:rPr>
              <w:t>N/A</w:t>
            </w:r>
          </w:p>
        </w:tc>
        <w:tc>
          <w:tcPr>
            <w:tcW w:w="1890" w:type="dxa"/>
          </w:tcPr>
          <w:p w14:paraId="37916B2E" w14:textId="77777777" w:rsidR="00644446" w:rsidRPr="00D86314" w:rsidRDefault="00644446">
            <w:pPr>
              <w:keepNext/>
              <w:spacing w:before="40" w:after="40"/>
              <w:rPr>
                <w:noProof/>
                <w:sz w:val="16"/>
                <w:szCs w:val="16"/>
                <w:lang w:val="en-GB"/>
              </w:rPr>
            </w:pPr>
          </w:p>
        </w:tc>
      </w:tr>
      <w:tr w:rsidR="00644446" w:rsidRPr="00D86314" w14:paraId="11F11A40" w14:textId="77777777" w:rsidTr="00182A0D">
        <w:tc>
          <w:tcPr>
            <w:tcW w:w="3870" w:type="dxa"/>
            <w:vMerge/>
          </w:tcPr>
          <w:p w14:paraId="2DD40841" w14:textId="77777777" w:rsidR="00644446" w:rsidRPr="00D86314" w:rsidRDefault="00644446">
            <w:pPr>
              <w:keepNext/>
              <w:spacing w:before="40" w:after="40"/>
              <w:rPr>
                <w:b/>
                <w:noProof/>
                <w:sz w:val="16"/>
                <w:szCs w:val="16"/>
                <w:lang w:val="en-GB"/>
              </w:rPr>
            </w:pPr>
          </w:p>
        </w:tc>
        <w:tc>
          <w:tcPr>
            <w:tcW w:w="1499" w:type="dxa"/>
          </w:tcPr>
          <w:p w14:paraId="3A4D7916" w14:textId="77777777" w:rsidR="00644446" w:rsidRPr="00D86314" w:rsidRDefault="00644446">
            <w:pPr>
              <w:keepNext/>
              <w:spacing w:before="40" w:after="40"/>
              <w:rPr>
                <w:noProof/>
                <w:sz w:val="16"/>
                <w:szCs w:val="16"/>
                <w:lang w:val="en-GB"/>
              </w:rPr>
            </w:pPr>
            <w:r w:rsidRPr="00D86314">
              <w:rPr>
                <w:noProof/>
                <w:sz w:val="16"/>
                <w:szCs w:val="16"/>
                <w:lang w:val="en-GB"/>
              </w:rPr>
              <w:t>Indirect costs</w:t>
            </w:r>
          </w:p>
        </w:tc>
        <w:tc>
          <w:tcPr>
            <w:tcW w:w="3506" w:type="dxa"/>
            <w:gridSpan w:val="2"/>
          </w:tcPr>
          <w:p w14:paraId="181615B1" w14:textId="77777777" w:rsidR="00644446" w:rsidRPr="00D86314" w:rsidRDefault="00644446">
            <w:pPr>
              <w:keepNext/>
              <w:spacing w:before="40" w:after="40"/>
              <w:rPr>
                <w:noProof/>
                <w:sz w:val="16"/>
                <w:szCs w:val="16"/>
                <w:lang w:val="en-GB"/>
              </w:rPr>
            </w:pPr>
            <w:r w:rsidRPr="00C20A01">
              <w:rPr>
                <w:noProof/>
                <w:sz w:val="16"/>
                <w:szCs w:val="16"/>
                <w:lang w:val="en-GB"/>
              </w:rPr>
              <w:t>Risk of type II errors (lack of intervention where it might be warranted) / lack of targeting in regulation leading to reductions in competition and associated limitations in choice, quality and reasonable pricing. This risk may be increased for dedicated capacity and mass-market with business-grade QoS compared with mass-market, as there is already less data and attention given to these markets. The gap between demand for Gigabit and take-up under this option may not be fully closed and is likely to be de</w:t>
            </w:r>
            <w:r w:rsidRPr="00C20A01">
              <w:rPr>
                <w:noProof/>
                <w:lang w:val="en-GB"/>
              </w:rPr>
              <w:t>p</w:t>
            </w:r>
            <w:r w:rsidRPr="00C20A01">
              <w:rPr>
                <w:noProof/>
                <w:sz w:val="16"/>
                <w:szCs w:val="16"/>
                <w:lang w:val="en-GB"/>
              </w:rPr>
              <w:t>endent on the approaches taken by individual NRAs</w:t>
            </w:r>
          </w:p>
        </w:tc>
      </w:tr>
      <w:tr w:rsidR="00644446" w:rsidRPr="00D86314" w14:paraId="1E52ED72" w14:textId="77777777" w:rsidTr="00182A0D">
        <w:tc>
          <w:tcPr>
            <w:tcW w:w="3870" w:type="dxa"/>
            <w:vMerge/>
          </w:tcPr>
          <w:p w14:paraId="6988B7A1" w14:textId="77777777" w:rsidR="00644446" w:rsidRPr="00D86314" w:rsidRDefault="00644446">
            <w:pPr>
              <w:keepNext/>
              <w:spacing w:before="40" w:after="40"/>
              <w:rPr>
                <w:b/>
                <w:noProof/>
                <w:sz w:val="16"/>
                <w:szCs w:val="16"/>
                <w:lang w:val="en-GB"/>
              </w:rPr>
            </w:pPr>
          </w:p>
        </w:tc>
        <w:tc>
          <w:tcPr>
            <w:tcW w:w="1499" w:type="dxa"/>
          </w:tcPr>
          <w:p w14:paraId="3CF98609" w14:textId="77777777" w:rsidR="00644446" w:rsidRPr="00D86314" w:rsidRDefault="00644446">
            <w:pPr>
              <w:keepNext/>
              <w:spacing w:before="40" w:after="40"/>
              <w:rPr>
                <w:noProof/>
                <w:sz w:val="16"/>
                <w:szCs w:val="16"/>
                <w:lang w:val="en-GB"/>
              </w:rPr>
            </w:pPr>
            <w:r w:rsidRPr="00D86314">
              <w:rPr>
                <w:noProof/>
                <w:sz w:val="16"/>
                <w:szCs w:val="16"/>
                <w:lang w:val="en-GB"/>
              </w:rPr>
              <w:t>Direct benefits</w:t>
            </w:r>
          </w:p>
        </w:tc>
        <w:tc>
          <w:tcPr>
            <w:tcW w:w="3506" w:type="dxa"/>
            <w:gridSpan w:val="2"/>
          </w:tcPr>
          <w:p w14:paraId="4B97EC59" w14:textId="77777777" w:rsidR="00644446" w:rsidRPr="00D86314" w:rsidRDefault="00644446">
            <w:pPr>
              <w:keepNext/>
              <w:spacing w:before="40" w:after="40"/>
              <w:rPr>
                <w:noProof/>
                <w:sz w:val="16"/>
                <w:szCs w:val="16"/>
                <w:lang w:val="en-GB"/>
              </w:rPr>
            </w:pPr>
            <w:r w:rsidRPr="00A36024">
              <w:rPr>
                <w:noProof/>
                <w:sz w:val="16"/>
                <w:szCs w:val="16"/>
              </w:rPr>
              <w:t>N/A</w:t>
            </w:r>
          </w:p>
        </w:tc>
      </w:tr>
      <w:tr w:rsidR="00644446" w:rsidRPr="00D86314" w14:paraId="6B40DFA2" w14:textId="77777777" w:rsidTr="00182A0D">
        <w:tc>
          <w:tcPr>
            <w:tcW w:w="3870" w:type="dxa"/>
            <w:vMerge/>
          </w:tcPr>
          <w:p w14:paraId="6E6C0375" w14:textId="77777777" w:rsidR="00644446" w:rsidRPr="00D86314" w:rsidRDefault="00644446">
            <w:pPr>
              <w:keepNext/>
              <w:spacing w:before="40" w:after="40"/>
              <w:rPr>
                <w:b/>
                <w:noProof/>
                <w:sz w:val="16"/>
                <w:szCs w:val="16"/>
                <w:lang w:val="en-GB"/>
              </w:rPr>
            </w:pPr>
          </w:p>
        </w:tc>
        <w:tc>
          <w:tcPr>
            <w:tcW w:w="1499" w:type="dxa"/>
          </w:tcPr>
          <w:p w14:paraId="40CD7F90" w14:textId="77777777" w:rsidR="00644446" w:rsidRPr="00D86314" w:rsidRDefault="00644446">
            <w:pPr>
              <w:keepNext/>
              <w:spacing w:before="40" w:after="40"/>
              <w:rPr>
                <w:noProof/>
                <w:sz w:val="16"/>
                <w:szCs w:val="16"/>
                <w:lang w:val="en-GB"/>
              </w:rPr>
            </w:pPr>
            <w:r w:rsidRPr="00D86314">
              <w:rPr>
                <w:noProof/>
                <w:sz w:val="16"/>
                <w:szCs w:val="16"/>
                <w:lang w:val="en-GB"/>
              </w:rPr>
              <w:t>Indirect benefits</w:t>
            </w:r>
          </w:p>
        </w:tc>
        <w:tc>
          <w:tcPr>
            <w:tcW w:w="3506" w:type="dxa"/>
            <w:gridSpan w:val="2"/>
          </w:tcPr>
          <w:p w14:paraId="26A38C0F" w14:textId="77777777" w:rsidR="00644446" w:rsidRPr="00D86314" w:rsidRDefault="00644446">
            <w:pPr>
              <w:keepNext/>
              <w:spacing w:before="40" w:after="40"/>
              <w:rPr>
                <w:noProof/>
                <w:sz w:val="16"/>
                <w:szCs w:val="16"/>
                <w:lang w:val="en-GB"/>
              </w:rPr>
            </w:pPr>
            <w:r w:rsidRPr="00A36024">
              <w:rPr>
                <w:noProof/>
                <w:sz w:val="16"/>
                <w:szCs w:val="16"/>
              </w:rPr>
              <w:t>N/A</w:t>
            </w:r>
          </w:p>
        </w:tc>
      </w:tr>
      <w:tr w:rsidR="00644446" w:rsidRPr="00D86314" w14:paraId="26C82AC1" w14:textId="77777777" w:rsidTr="00182A0D">
        <w:tc>
          <w:tcPr>
            <w:tcW w:w="3870" w:type="dxa"/>
            <w:vMerge w:val="restart"/>
          </w:tcPr>
          <w:p w14:paraId="32D02EEE" w14:textId="77777777" w:rsidR="00644446" w:rsidRPr="00D86314" w:rsidRDefault="00644446">
            <w:pPr>
              <w:keepNext/>
              <w:spacing w:before="40" w:after="40"/>
              <w:rPr>
                <w:b/>
                <w:noProof/>
                <w:sz w:val="16"/>
                <w:szCs w:val="16"/>
                <w:lang w:val="en-GB"/>
              </w:rPr>
            </w:pPr>
            <w:r w:rsidRPr="00C20A01">
              <w:rPr>
                <w:b/>
                <w:noProof/>
                <w:sz w:val="16"/>
                <w:szCs w:val="16"/>
                <w:lang w:val="en-GB"/>
              </w:rPr>
              <w:t>Access regulation: Harmonised wholesale products</w:t>
            </w:r>
          </w:p>
        </w:tc>
        <w:tc>
          <w:tcPr>
            <w:tcW w:w="1499" w:type="dxa"/>
          </w:tcPr>
          <w:p w14:paraId="77A53BA5" w14:textId="77777777" w:rsidR="00644446" w:rsidRPr="00D86314" w:rsidRDefault="00644446">
            <w:pPr>
              <w:keepNext/>
              <w:spacing w:before="40" w:after="40"/>
              <w:rPr>
                <w:noProof/>
                <w:sz w:val="16"/>
                <w:szCs w:val="16"/>
                <w:lang w:val="en-GB"/>
              </w:rPr>
            </w:pPr>
            <w:r w:rsidRPr="00D86314">
              <w:rPr>
                <w:noProof/>
                <w:sz w:val="16"/>
                <w:szCs w:val="16"/>
                <w:lang w:val="en-GB"/>
              </w:rPr>
              <w:t>Direct costs</w:t>
            </w:r>
          </w:p>
        </w:tc>
        <w:tc>
          <w:tcPr>
            <w:tcW w:w="1616" w:type="dxa"/>
          </w:tcPr>
          <w:p w14:paraId="18EE2B52" w14:textId="77777777" w:rsidR="00644446" w:rsidRPr="00D86314" w:rsidRDefault="00644446">
            <w:pPr>
              <w:keepNext/>
              <w:spacing w:before="40" w:after="40"/>
              <w:rPr>
                <w:noProof/>
                <w:sz w:val="16"/>
                <w:szCs w:val="16"/>
                <w:lang w:val="en-GB"/>
              </w:rPr>
            </w:pPr>
            <w:r w:rsidRPr="00A36024">
              <w:rPr>
                <w:noProof/>
                <w:sz w:val="16"/>
                <w:szCs w:val="16"/>
              </w:rPr>
              <w:t>N/A</w:t>
            </w:r>
          </w:p>
        </w:tc>
        <w:tc>
          <w:tcPr>
            <w:tcW w:w="1890" w:type="dxa"/>
          </w:tcPr>
          <w:p w14:paraId="04009E5E" w14:textId="77777777" w:rsidR="00644446" w:rsidRPr="00D86314" w:rsidRDefault="00644446">
            <w:pPr>
              <w:keepNext/>
              <w:spacing w:before="40" w:after="40"/>
              <w:rPr>
                <w:noProof/>
                <w:sz w:val="16"/>
                <w:szCs w:val="16"/>
                <w:lang w:val="en-GB"/>
              </w:rPr>
            </w:pPr>
          </w:p>
        </w:tc>
      </w:tr>
      <w:tr w:rsidR="00644446" w:rsidRPr="00D86314" w14:paraId="64728F36" w14:textId="77777777" w:rsidTr="00182A0D">
        <w:trPr>
          <w:trHeight w:val="43"/>
        </w:trPr>
        <w:tc>
          <w:tcPr>
            <w:tcW w:w="3870" w:type="dxa"/>
            <w:vMerge/>
          </w:tcPr>
          <w:p w14:paraId="681D0733" w14:textId="77777777" w:rsidR="00644446" w:rsidRPr="00D86314" w:rsidRDefault="00644446">
            <w:pPr>
              <w:keepNext/>
              <w:spacing w:before="40" w:after="40"/>
              <w:rPr>
                <w:b/>
                <w:noProof/>
                <w:sz w:val="16"/>
                <w:szCs w:val="16"/>
                <w:lang w:val="en-GB"/>
              </w:rPr>
            </w:pPr>
          </w:p>
        </w:tc>
        <w:tc>
          <w:tcPr>
            <w:tcW w:w="1499" w:type="dxa"/>
          </w:tcPr>
          <w:p w14:paraId="3CAA2E9B" w14:textId="77777777" w:rsidR="00644446" w:rsidRPr="00D86314" w:rsidRDefault="00644446">
            <w:pPr>
              <w:keepNext/>
              <w:spacing w:before="40" w:after="40"/>
              <w:rPr>
                <w:noProof/>
                <w:sz w:val="16"/>
                <w:szCs w:val="16"/>
                <w:lang w:val="en-GB"/>
              </w:rPr>
            </w:pPr>
            <w:r w:rsidRPr="00D86314">
              <w:rPr>
                <w:noProof/>
                <w:sz w:val="16"/>
                <w:szCs w:val="16"/>
                <w:lang w:val="en-GB"/>
              </w:rPr>
              <w:t>Indirect costs</w:t>
            </w:r>
          </w:p>
        </w:tc>
        <w:tc>
          <w:tcPr>
            <w:tcW w:w="1616" w:type="dxa"/>
          </w:tcPr>
          <w:p w14:paraId="67CACC8B" w14:textId="77777777" w:rsidR="00644446" w:rsidRPr="00D86314" w:rsidRDefault="00644446">
            <w:pPr>
              <w:keepNext/>
              <w:spacing w:before="40" w:after="40"/>
              <w:rPr>
                <w:noProof/>
                <w:sz w:val="16"/>
                <w:szCs w:val="16"/>
                <w:lang w:val="en-GB"/>
              </w:rPr>
            </w:pPr>
            <w:r w:rsidRPr="00A36024">
              <w:rPr>
                <w:noProof/>
                <w:sz w:val="16"/>
                <w:szCs w:val="16"/>
              </w:rPr>
              <w:t>N/A</w:t>
            </w:r>
          </w:p>
        </w:tc>
        <w:tc>
          <w:tcPr>
            <w:tcW w:w="1890" w:type="dxa"/>
          </w:tcPr>
          <w:p w14:paraId="6A15E156" w14:textId="77777777" w:rsidR="00644446" w:rsidRPr="00D86314" w:rsidRDefault="00644446">
            <w:pPr>
              <w:keepNext/>
              <w:spacing w:before="40" w:after="40"/>
              <w:rPr>
                <w:noProof/>
                <w:sz w:val="16"/>
                <w:szCs w:val="16"/>
                <w:lang w:val="en-GB"/>
              </w:rPr>
            </w:pPr>
          </w:p>
        </w:tc>
      </w:tr>
      <w:tr w:rsidR="00644446" w:rsidRPr="00D86314" w14:paraId="4335AAE6" w14:textId="77777777" w:rsidTr="00182A0D">
        <w:tc>
          <w:tcPr>
            <w:tcW w:w="3870" w:type="dxa"/>
            <w:vMerge/>
          </w:tcPr>
          <w:p w14:paraId="19ECE4D5" w14:textId="77777777" w:rsidR="00644446" w:rsidRPr="00D86314" w:rsidRDefault="00644446">
            <w:pPr>
              <w:keepNext/>
              <w:spacing w:before="40" w:after="40"/>
              <w:rPr>
                <w:b/>
                <w:noProof/>
                <w:sz w:val="16"/>
                <w:szCs w:val="16"/>
                <w:lang w:val="en-GB"/>
              </w:rPr>
            </w:pPr>
          </w:p>
        </w:tc>
        <w:tc>
          <w:tcPr>
            <w:tcW w:w="1499" w:type="dxa"/>
          </w:tcPr>
          <w:p w14:paraId="30138D88" w14:textId="77777777" w:rsidR="00644446" w:rsidRPr="00D86314" w:rsidRDefault="00644446">
            <w:pPr>
              <w:keepNext/>
              <w:spacing w:before="40" w:after="40"/>
              <w:rPr>
                <w:noProof/>
                <w:sz w:val="16"/>
                <w:szCs w:val="16"/>
                <w:lang w:val="en-GB"/>
              </w:rPr>
            </w:pPr>
            <w:r w:rsidRPr="00D86314">
              <w:rPr>
                <w:noProof/>
                <w:sz w:val="16"/>
                <w:szCs w:val="16"/>
                <w:lang w:val="en-GB"/>
              </w:rPr>
              <w:t>Direct benefits</w:t>
            </w:r>
          </w:p>
        </w:tc>
        <w:tc>
          <w:tcPr>
            <w:tcW w:w="3506" w:type="dxa"/>
            <w:gridSpan w:val="2"/>
          </w:tcPr>
          <w:p w14:paraId="79295F30" w14:textId="77777777" w:rsidR="00644446" w:rsidRPr="00D86314" w:rsidRDefault="00644446">
            <w:pPr>
              <w:keepNext/>
              <w:spacing w:before="40" w:after="40"/>
              <w:rPr>
                <w:noProof/>
                <w:sz w:val="16"/>
                <w:szCs w:val="16"/>
                <w:lang w:val="en-GB"/>
              </w:rPr>
            </w:pPr>
            <w:r w:rsidRPr="00C20A01">
              <w:rPr>
                <w:noProof/>
                <w:sz w:val="16"/>
                <w:szCs w:val="16"/>
                <w:lang w:val="en-GB"/>
              </w:rPr>
              <w:t>Where applied, should increase availability of QoS guarantees for business and dedicated capacity</w:t>
            </w:r>
          </w:p>
        </w:tc>
      </w:tr>
      <w:tr w:rsidR="00644446" w:rsidRPr="00D86314" w14:paraId="06F9B6D3" w14:textId="77777777" w:rsidTr="00182A0D">
        <w:tc>
          <w:tcPr>
            <w:tcW w:w="3870" w:type="dxa"/>
            <w:vMerge/>
          </w:tcPr>
          <w:p w14:paraId="7CEA1A22" w14:textId="77777777" w:rsidR="00644446" w:rsidRPr="00D86314" w:rsidRDefault="00644446">
            <w:pPr>
              <w:keepNext/>
              <w:spacing w:before="40" w:after="40"/>
              <w:rPr>
                <w:b/>
                <w:noProof/>
                <w:sz w:val="16"/>
                <w:szCs w:val="16"/>
                <w:lang w:val="en-GB"/>
              </w:rPr>
            </w:pPr>
          </w:p>
        </w:tc>
        <w:tc>
          <w:tcPr>
            <w:tcW w:w="1499" w:type="dxa"/>
          </w:tcPr>
          <w:p w14:paraId="3BF98FB9" w14:textId="77777777" w:rsidR="00644446" w:rsidRPr="00D86314" w:rsidRDefault="00644446">
            <w:pPr>
              <w:keepNext/>
              <w:spacing w:before="40" w:after="40"/>
              <w:rPr>
                <w:noProof/>
                <w:sz w:val="16"/>
                <w:szCs w:val="16"/>
                <w:lang w:val="en-GB"/>
              </w:rPr>
            </w:pPr>
            <w:r w:rsidRPr="00D86314">
              <w:rPr>
                <w:noProof/>
                <w:sz w:val="16"/>
                <w:szCs w:val="16"/>
                <w:lang w:val="en-GB"/>
              </w:rPr>
              <w:t>Indirect benefits</w:t>
            </w:r>
          </w:p>
        </w:tc>
        <w:tc>
          <w:tcPr>
            <w:tcW w:w="3506" w:type="dxa"/>
            <w:gridSpan w:val="2"/>
          </w:tcPr>
          <w:p w14:paraId="700B9255" w14:textId="77777777" w:rsidR="00644446" w:rsidRPr="00D86314" w:rsidRDefault="00644446">
            <w:pPr>
              <w:keepNext/>
              <w:spacing w:before="40" w:after="40"/>
              <w:rPr>
                <w:noProof/>
                <w:sz w:val="16"/>
                <w:szCs w:val="16"/>
                <w:lang w:val="en-GB"/>
              </w:rPr>
            </w:pPr>
          </w:p>
        </w:tc>
      </w:tr>
    </w:tbl>
    <w:p w14:paraId="4B5935E4" w14:textId="3CAE1431" w:rsidR="00BC038B" w:rsidRPr="00D86314" w:rsidRDefault="00644446" w:rsidP="001F0EE4">
      <w:pPr>
        <w:pStyle w:val="Quelle"/>
        <w:rPr>
          <w:noProof/>
        </w:rPr>
      </w:pPr>
      <w:r w:rsidRPr="00D86314">
        <w:rPr>
          <w:noProof/>
        </w:rPr>
        <w:t>Source:</w:t>
      </w:r>
      <w:r w:rsidRPr="00D86314">
        <w:rPr>
          <w:noProof/>
        </w:rPr>
        <w:tab/>
        <w:t>WIK-Consult</w:t>
      </w:r>
    </w:p>
    <w:p w14:paraId="41FF504F" w14:textId="0774D7C5" w:rsidR="009D0DCA" w:rsidRPr="00D86314" w:rsidRDefault="00DA613B" w:rsidP="00E53597">
      <w:pPr>
        <w:pStyle w:val="Heading2"/>
        <w:numPr>
          <w:ilvl w:val="0"/>
          <w:numId w:val="0"/>
        </w:numPr>
        <w:spacing w:before="240"/>
        <w:ind w:left="576"/>
        <w:rPr>
          <w:noProof/>
        </w:rPr>
      </w:pPr>
      <w:bookmarkStart w:id="302" w:name="_Toc219718452"/>
      <w:r w:rsidRPr="00D86314">
        <w:rPr>
          <w:noProof/>
        </w:rPr>
        <w:t xml:space="preserve">1.2 </w:t>
      </w:r>
      <w:r w:rsidR="00003B6E" w:rsidRPr="00D86314">
        <w:rPr>
          <w:noProof/>
        </w:rPr>
        <w:t>Spectrum</w:t>
      </w:r>
      <w:bookmarkEnd w:id="302"/>
    </w:p>
    <w:p w14:paraId="126353BE" w14:textId="77777777" w:rsidR="0029593E" w:rsidRPr="00D86314" w:rsidRDefault="005E51D5" w:rsidP="004971FD">
      <w:pPr>
        <w:pStyle w:val="EYBodytextwithparaspace"/>
        <w:spacing w:before="240"/>
        <w:rPr>
          <w:rFonts w:ascii="Times New Roman" w:hAnsi="Times New Roman"/>
          <w:noProof/>
        </w:rPr>
      </w:pPr>
      <w:r w:rsidRPr="00D86314">
        <w:rPr>
          <w:rFonts w:ascii="Times New Roman" w:hAnsi="Times New Roman"/>
          <w:noProof/>
        </w:rPr>
        <w:t>The comparison of the Spectrum options from the perspective of Relevance and EU added value:</w:t>
      </w:r>
    </w:p>
    <w:p w14:paraId="50CBA536" w14:textId="77777777" w:rsidR="003527C4" w:rsidRPr="00D86314" w:rsidRDefault="00F20076" w:rsidP="0029593E">
      <w:pPr>
        <w:pStyle w:val="Heading3"/>
        <w:numPr>
          <w:ilvl w:val="0"/>
          <w:numId w:val="0"/>
        </w:numPr>
        <w:ind w:left="720"/>
        <w:rPr>
          <w:i w:val="0"/>
          <w:noProof/>
        </w:rPr>
      </w:pPr>
      <w:bookmarkStart w:id="303" w:name="_Toc219718453"/>
      <w:r w:rsidRPr="00D86314">
        <w:rPr>
          <w:b/>
          <w:i w:val="0"/>
          <w:noProof/>
          <w:u w:val="single"/>
        </w:rPr>
        <w:t>Relevance</w:t>
      </w:r>
      <w:bookmarkEnd w:id="303"/>
      <w:r w:rsidRPr="00D86314">
        <w:rPr>
          <w:i w:val="0"/>
          <w:noProof/>
        </w:rPr>
        <w:t xml:space="preserve"> </w:t>
      </w:r>
    </w:p>
    <w:p w14:paraId="21FEE2EB" w14:textId="7F4D3A89" w:rsidR="0029593E" w:rsidRPr="00D86314" w:rsidRDefault="00F20076" w:rsidP="003527C4">
      <w:pPr>
        <w:pStyle w:val="EYBodytextwithparaspace"/>
        <w:spacing w:before="240"/>
        <w:rPr>
          <w:rFonts w:ascii="Times New Roman" w:hAnsi="Times New Roman"/>
          <w:noProof/>
          <w:szCs w:val="20"/>
        </w:rPr>
      </w:pPr>
      <w:r w:rsidRPr="00D86314">
        <w:rPr>
          <w:rFonts w:ascii="Times New Roman" w:hAnsi="Times New Roman"/>
          <w:b/>
          <w:noProof/>
        </w:rPr>
        <w:t>The baseline</w:t>
      </w:r>
      <w:r w:rsidRPr="00D86314">
        <w:rPr>
          <w:rFonts w:ascii="Times New Roman" w:hAnsi="Times New Roman"/>
          <w:noProof/>
        </w:rPr>
        <w:t xml:space="preserve"> is not well-suited to meet current and future investment needs in gigabit networks, 5G/6G, and next-generation infrastructure. It perpetuates regulatory fragmentation and uncertainty, discouraging large-scale deployment. </w:t>
      </w:r>
      <w:r w:rsidRPr="00C20A01">
        <w:rPr>
          <w:rFonts w:ascii="Times New Roman" w:hAnsi="Times New Roman"/>
          <w:b/>
          <w:noProof/>
        </w:rPr>
        <w:t>Option 1</w:t>
      </w:r>
      <w:r w:rsidRPr="00C20A01">
        <w:rPr>
          <w:rFonts w:ascii="Times New Roman" w:hAnsi="Times New Roman"/>
          <w:noProof/>
        </w:rPr>
        <w:t xml:space="preserve"> is relevant as it introduces long-term licensing predictability and voluntary alignment tools. </w:t>
      </w:r>
      <w:r w:rsidRPr="00D86314">
        <w:rPr>
          <w:rFonts w:ascii="Times New Roman" w:hAnsi="Times New Roman"/>
          <w:b/>
          <w:noProof/>
        </w:rPr>
        <w:t>Option 2</w:t>
      </w:r>
      <w:r w:rsidRPr="00D86314">
        <w:rPr>
          <w:rFonts w:ascii="Times New Roman" w:hAnsi="Times New Roman"/>
          <w:noProof/>
        </w:rPr>
        <w:t xml:space="preserve"> responds more closely to evolving needs, introducing renewal guarantees and placing investment sustainability at the centre of spectrum policy design encouraging 5G SA deployment and ensuring a solid bridge towards 6G in EU. Binding authorisation rules, mandatory spectrum sharing (without prejudice to competition law), and the removal of barriers to flexible spectrum access support new market entrants and business models. With a focus on coordinated timing of awards, this option promotes harmonised EU-wide 6G deployment in strategically important bands. </w:t>
      </w:r>
      <w:r w:rsidRPr="00D86314">
        <w:rPr>
          <w:rFonts w:ascii="Times New Roman" w:hAnsi="Times New Roman"/>
          <w:b/>
          <w:noProof/>
        </w:rPr>
        <w:t>Option 3</w:t>
      </w:r>
      <w:r w:rsidRPr="00D86314">
        <w:rPr>
          <w:rFonts w:ascii="Times New Roman" w:hAnsi="Times New Roman"/>
          <w:noProof/>
        </w:rPr>
        <w:t xml:space="preserve"> is particularly relevant for addressing pan-European investment models, cross-border consolidation, future shared infrastructure, and strategic initiatives like the EU Digital Decade and the Connectivity Toolbox, by ensuring consistency, scalability, and long-term visibility. Indefinite license duration and harmonised award conditions promote consistency, scalability, and long-term certainty across Member States.</w:t>
      </w:r>
    </w:p>
    <w:p w14:paraId="129B31CE" w14:textId="77777777" w:rsidR="003527C4" w:rsidRPr="00D86314" w:rsidRDefault="00F20076" w:rsidP="00E53597">
      <w:pPr>
        <w:pStyle w:val="Heading3"/>
        <w:numPr>
          <w:ilvl w:val="0"/>
          <w:numId w:val="0"/>
        </w:numPr>
        <w:ind w:left="720"/>
        <w:rPr>
          <w:b/>
          <w:noProof/>
          <w:u w:val="single"/>
        </w:rPr>
      </w:pPr>
      <w:bookmarkStart w:id="304" w:name="_Toc219718454"/>
      <w:r w:rsidRPr="00D86314">
        <w:rPr>
          <w:b/>
          <w:i w:val="0"/>
          <w:noProof/>
          <w:u w:val="single"/>
        </w:rPr>
        <w:t>EU added value</w:t>
      </w:r>
      <w:bookmarkEnd w:id="304"/>
    </w:p>
    <w:p w14:paraId="3B84F548" w14:textId="1A738D1A" w:rsidR="003527C4" w:rsidRPr="00D86314" w:rsidRDefault="00F20076" w:rsidP="004971FD">
      <w:pPr>
        <w:pStyle w:val="EYBodytextwithparaspace"/>
        <w:spacing w:before="240"/>
        <w:rPr>
          <w:rFonts w:ascii="Times New Roman" w:hAnsi="Times New Roman"/>
          <w:noProof/>
        </w:rPr>
      </w:pPr>
      <w:r w:rsidRPr="00D86314">
        <w:rPr>
          <w:rFonts w:ascii="Times New Roman" w:hAnsi="Times New Roman"/>
          <w:noProof/>
        </w:rPr>
        <w:t xml:space="preserve">The baseline leaves investment incentives and regulatory certainty entirely in the hands of Member States. </w:t>
      </w:r>
      <w:r w:rsidRPr="00D86314">
        <w:rPr>
          <w:rFonts w:ascii="Times New Roman" w:hAnsi="Times New Roman"/>
          <w:b/>
          <w:noProof/>
        </w:rPr>
        <w:t>Option 1</w:t>
      </w:r>
      <w:r w:rsidRPr="00D86314">
        <w:rPr>
          <w:rFonts w:ascii="Times New Roman" w:hAnsi="Times New Roman"/>
          <w:noProof/>
        </w:rPr>
        <w:t xml:space="preserve"> demonstrates added value through voluntary tools that encourage convergence and partially reduce regulatory risk. </w:t>
      </w:r>
      <w:r w:rsidRPr="00D86314">
        <w:rPr>
          <w:rFonts w:ascii="Times New Roman" w:hAnsi="Times New Roman"/>
          <w:b/>
          <w:noProof/>
        </w:rPr>
        <w:t>Option 2</w:t>
      </w:r>
      <w:r w:rsidRPr="00D86314">
        <w:rPr>
          <w:rFonts w:ascii="Times New Roman" w:hAnsi="Times New Roman"/>
          <w:noProof/>
        </w:rPr>
        <w:t xml:space="preserve"> achieves greater EU added value by embedding investment-related criteria into auction designs, thus promoting effective competition, and aligning spectrum policy with broader EU investment rules and goals (e.g. Digital Decade). The ability of the Commission to recommend binding authorisation conditions for private networks, support pro-security rules, and promote spectrum sharing strengthens the Union’s capacity to support innovative and secure connectivity models. Coordinated EU and national roadmaps for spectrum awards ensure better synchronisation of high-value bands. </w:t>
      </w:r>
      <w:r w:rsidRPr="00D86314">
        <w:rPr>
          <w:rFonts w:ascii="Times New Roman" w:hAnsi="Times New Roman"/>
          <w:b/>
          <w:noProof/>
        </w:rPr>
        <w:t>Option 3</w:t>
      </w:r>
      <w:r w:rsidRPr="00D86314">
        <w:rPr>
          <w:rFonts w:ascii="Times New Roman" w:hAnsi="Times New Roman"/>
          <w:noProof/>
        </w:rPr>
        <w:t xml:space="preserve"> provides the clearest added value</w:t>
      </w:r>
      <w:r w:rsidR="00CA5CE8" w:rsidRPr="00D86314">
        <w:rPr>
          <w:rFonts w:ascii="Times New Roman" w:hAnsi="Times New Roman"/>
          <w:noProof/>
        </w:rPr>
        <w:t xml:space="preserve"> in the long term</w:t>
      </w:r>
      <w:r w:rsidRPr="00D86314">
        <w:rPr>
          <w:rFonts w:ascii="Times New Roman" w:hAnsi="Times New Roman"/>
          <w:noProof/>
        </w:rPr>
        <w:t>, creating a harmonised investment environment that reduces transaction costs, increases cross-border consistency, and strengthens the EU’s collective ability to deliver on infrastructure goals through stable spectrum governance. It enables fully scalable and predictable rollout conditions across the Union, thus possibly fostering cross-border consolidation and telcos obtaining scale in a potentially wider market.</w:t>
      </w:r>
      <w:bookmarkStart w:id="305" w:name="_Hlk208416520"/>
      <w:r w:rsidR="00C27E1B" w:rsidRPr="00D86314">
        <w:rPr>
          <w:rFonts w:ascii="Times New Roman" w:hAnsi="Times New Roman"/>
          <w:noProof/>
        </w:rPr>
        <w:t xml:space="preserve"> </w:t>
      </w:r>
      <w:r w:rsidR="0058306F" w:rsidRPr="00D86314">
        <w:rPr>
          <w:rFonts w:ascii="Times New Roman" w:hAnsi="Times New Roman"/>
          <w:noProof/>
        </w:rPr>
        <w:t>The short and medium term</w:t>
      </w:r>
      <w:r w:rsidR="00C27E1B" w:rsidRPr="00D86314">
        <w:rPr>
          <w:rFonts w:ascii="Times New Roman" w:hAnsi="Times New Roman"/>
          <w:noProof/>
        </w:rPr>
        <w:t xml:space="preserve"> added value is instead less </w:t>
      </w:r>
      <w:r w:rsidR="00532D81" w:rsidRPr="00D86314">
        <w:rPr>
          <w:rFonts w:ascii="Times New Roman" w:hAnsi="Times New Roman"/>
          <w:noProof/>
        </w:rPr>
        <w:t>prominent due to the</w:t>
      </w:r>
      <w:r w:rsidR="00FC24C9" w:rsidRPr="00D86314">
        <w:rPr>
          <w:rFonts w:ascii="Times New Roman" w:hAnsi="Times New Roman"/>
          <w:noProof/>
        </w:rPr>
        <w:t xml:space="preserve"> needed to </w:t>
      </w:r>
      <w:r w:rsidR="30000BAD" w:rsidRPr="00D86314">
        <w:rPr>
          <w:rFonts w:ascii="Times New Roman" w:hAnsi="Times New Roman"/>
          <w:noProof/>
        </w:rPr>
        <w:t>very complex task</w:t>
      </w:r>
      <w:r w:rsidR="00FC24C9" w:rsidRPr="00D86314">
        <w:rPr>
          <w:rFonts w:ascii="Times New Roman" w:hAnsi="Times New Roman"/>
          <w:noProof/>
        </w:rPr>
        <w:t xml:space="preserve"> to synchronise licence expiry dates and band-specific conditions to enable centralised auctioning,</w:t>
      </w:r>
      <w:r w:rsidR="00532D81" w:rsidRPr="00D86314">
        <w:rPr>
          <w:rFonts w:ascii="Times New Roman" w:hAnsi="Times New Roman"/>
          <w:noProof/>
        </w:rPr>
        <w:t xml:space="preserve"> inefficiencies linked to the </w:t>
      </w:r>
      <w:r w:rsidR="00F30CEB" w:rsidRPr="00D86314">
        <w:rPr>
          <w:rFonts w:ascii="Times New Roman" w:hAnsi="Times New Roman"/>
          <w:noProof/>
        </w:rPr>
        <w:t xml:space="preserve">limited </w:t>
      </w:r>
      <w:r w:rsidR="00532D81" w:rsidRPr="00D86314">
        <w:rPr>
          <w:rFonts w:ascii="Times New Roman" w:hAnsi="Times New Roman"/>
          <w:noProof/>
        </w:rPr>
        <w:t>ability of operators to reallocate spectrum efficiently</w:t>
      </w:r>
      <w:r w:rsidR="00B80E6A" w:rsidRPr="00D86314">
        <w:rPr>
          <w:rFonts w:ascii="Times New Roman" w:hAnsi="Times New Roman"/>
          <w:noProof/>
        </w:rPr>
        <w:t xml:space="preserve">, slow change of market structure and related </w:t>
      </w:r>
      <w:r w:rsidR="00C45390" w:rsidRPr="00D86314">
        <w:rPr>
          <w:rFonts w:ascii="Times New Roman" w:hAnsi="Times New Roman"/>
          <w:noProof/>
        </w:rPr>
        <w:t>transition inefficiencies.</w:t>
      </w:r>
    </w:p>
    <w:p w14:paraId="508F4F53" w14:textId="6790DD41" w:rsidR="00415FF6" w:rsidRPr="00D86314" w:rsidRDefault="00415FF6" w:rsidP="004971FD">
      <w:pPr>
        <w:pStyle w:val="EYBodytextwithparaspace"/>
        <w:spacing w:before="240"/>
        <w:rPr>
          <w:rFonts w:ascii="Times New Roman" w:hAnsi="Times New Roman"/>
          <w:noProof/>
        </w:rPr>
      </w:pPr>
      <w:r w:rsidRPr="00D86314">
        <w:rPr>
          <w:rFonts w:ascii="Times New Roman" w:hAnsi="Times New Roman"/>
          <w:b/>
          <w:noProof/>
          <w:szCs w:val="20"/>
          <w:u w:val="single"/>
        </w:rPr>
        <w:t>Conclusion:</w:t>
      </w:r>
      <w:r w:rsidRPr="00D86314">
        <w:rPr>
          <w:rFonts w:ascii="Times New Roman" w:hAnsi="Times New Roman"/>
          <w:b/>
          <w:noProof/>
          <w:u w:val="single"/>
        </w:rPr>
        <w:t xml:space="preserve"> </w:t>
      </w:r>
      <w:r w:rsidRPr="00D86314">
        <w:rPr>
          <w:rFonts w:ascii="Times New Roman" w:hAnsi="Times New Roman"/>
          <w:noProof/>
        </w:rPr>
        <w:t>the options have the following main outcomes:</w:t>
      </w:r>
    </w:p>
    <w:bookmarkEnd w:id="305"/>
    <w:p w14:paraId="24E300D1" w14:textId="77777777" w:rsidR="00415FF6" w:rsidRPr="00D86314" w:rsidRDefault="00415FF6" w:rsidP="00A00C17">
      <w:pPr>
        <w:pStyle w:val="ListParagraph"/>
        <w:numPr>
          <w:ilvl w:val="0"/>
          <w:numId w:val="38"/>
        </w:numPr>
        <w:spacing w:after="40"/>
        <w:ind w:left="714" w:hanging="357"/>
        <w:contextualSpacing w:val="0"/>
        <w:rPr>
          <w:noProof/>
        </w:rPr>
      </w:pPr>
      <w:r w:rsidRPr="00D86314">
        <w:rPr>
          <w:noProof/>
        </w:rPr>
        <w:t>Option 1: Limited benefits due to non-binding measures.</w:t>
      </w:r>
    </w:p>
    <w:p w14:paraId="33A3075A" w14:textId="77777777" w:rsidR="00415FF6" w:rsidRPr="00D86314" w:rsidRDefault="00415FF6" w:rsidP="00A00C17">
      <w:pPr>
        <w:pStyle w:val="ListParagraph"/>
        <w:numPr>
          <w:ilvl w:val="0"/>
          <w:numId w:val="38"/>
        </w:numPr>
        <w:spacing w:after="40"/>
        <w:ind w:left="714" w:hanging="357"/>
        <w:contextualSpacing w:val="0"/>
        <w:rPr>
          <w:noProof/>
        </w:rPr>
      </w:pPr>
      <w:r w:rsidRPr="00D86314">
        <w:rPr>
          <w:noProof/>
        </w:rPr>
        <w:t>Option 2: Boosting 5G and future 6G deployment through increased predictability, pro-investment spectrum authorisation and efficient use in the Single Market, incentivising cross-border provision of services and scale.</w:t>
      </w:r>
    </w:p>
    <w:p w14:paraId="105DCEBB" w14:textId="77777777" w:rsidR="00415FF6" w:rsidRPr="00D86314" w:rsidRDefault="00415FF6" w:rsidP="00A00C17">
      <w:pPr>
        <w:pStyle w:val="ListParagraph"/>
        <w:numPr>
          <w:ilvl w:val="0"/>
          <w:numId w:val="38"/>
        </w:numPr>
        <w:spacing w:after="40"/>
        <w:ind w:left="714" w:hanging="357"/>
        <w:contextualSpacing w:val="0"/>
        <w:rPr>
          <w:noProof/>
        </w:rPr>
      </w:pPr>
      <w:r w:rsidRPr="00D86314">
        <w:rPr>
          <w:noProof/>
        </w:rPr>
        <w:t xml:space="preserve">Option 3: entails the highest costs with comparable outcomes. While it would have the benefit of facilitating cross-border consolidation it would represent a direct intervention in the market structure. </w:t>
      </w:r>
    </w:p>
    <w:p w14:paraId="3824751C" w14:textId="3CC2360E" w:rsidR="00DD30BD" w:rsidRPr="00D86314" w:rsidRDefault="00AA0457" w:rsidP="004B6FC1">
      <w:pPr>
        <w:pStyle w:val="Heading2"/>
        <w:numPr>
          <w:ilvl w:val="0"/>
          <w:numId w:val="0"/>
        </w:numPr>
        <w:spacing w:before="240"/>
        <w:ind w:left="576"/>
        <w:rPr>
          <w:noProof/>
        </w:rPr>
      </w:pPr>
      <w:bookmarkStart w:id="306" w:name="_Toc219718455"/>
      <w:r w:rsidRPr="00D86314">
        <w:rPr>
          <w:noProof/>
        </w:rPr>
        <w:t>1.</w:t>
      </w:r>
      <w:r w:rsidR="007D1242" w:rsidRPr="00D86314">
        <w:rPr>
          <w:noProof/>
        </w:rPr>
        <w:t>3</w:t>
      </w:r>
      <w:r w:rsidRPr="00D86314">
        <w:rPr>
          <w:noProof/>
        </w:rPr>
        <w:t xml:space="preserve"> </w:t>
      </w:r>
      <w:r w:rsidR="00783C2C" w:rsidRPr="00D86314">
        <w:rPr>
          <w:noProof/>
        </w:rPr>
        <w:t>A</w:t>
      </w:r>
      <w:r w:rsidR="00680575" w:rsidRPr="00D86314">
        <w:rPr>
          <w:noProof/>
        </w:rPr>
        <w:t>uthorisation</w:t>
      </w:r>
      <w:bookmarkEnd w:id="306"/>
    </w:p>
    <w:p w14:paraId="405395B1" w14:textId="77777777" w:rsidR="00DD30BD" w:rsidRPr="00D86314" w:rsidRDefault="00DD30BD" w:rsidP="004B6FC1">
      <w:pPr>
        <w:pStyle w:val="Heading3"/>
        <w:numPr>
          <w:ilvl w:val="0"/>
          <w:numId w:val="0"/>
        </w:numPr>
        <w:ind w:left="720"/>
        <w:rPr>
          <w:b/>
          <w:noProof/>
          <w:u w:val="single"/>
        </w:rPr>
      </w:pPr>
      <w:bookmarkStart w:id="307" w:name="_Toc209638034"/>
      <w:bookmarkStart w:id="308" w:name="_Toc219718456"/>
      <w:r w:rsidRPr="00D86314">
        <w:rPr>
          <w:b/>
          <w:i w:val="0"/>
          <w:noProof/>
          <w:u w:val="single"/>
        </w:rPr>
        <w:t>Relevance</w:t>
      </w:r>
      <w:bookmarkEnd w:id="307"/>
      <w:bookmarkEnd w:id="308"/>
    </w:p>
    <w:p w14:paraId="61A273E0" w14:textId="50FC18A7" w:rsidR="00DD30BD" w:rsidRPr="00D86314" w:rsidRDefault="00DD30BD" w:rsidP="004971FD">
      <w:pPr>
        <w:pStyle w:val="EYBodytextwithparaspace"/>
        <w:spacing w:before="0"/>
        <w:rPr>
          <w:noProof/>
        </w:rPr>
      </w:pPr>
      <w:r w:rsidRPr="00D86314">
        <w:rPr>
          <w:rFonts w:ascii="Times New Roman" w:hAnsi="Times New Roman"/>
          <w:noProof/>
        </w:rPr>
        <w:t xml:space="preserve">The relevance of the </w:t>
      </w:r>
      <w:r w:rsidRPr="00D86314">
        <w:rPr>
          <w:rFonts w:ascii="Times New Roman" w:hAnsi="Times New Roman"/>
          <w:b/>
          <w:bCs/>
          <w:noProof/>
        </w:rPr>
        <w:t>baseline scenario</w:t>
      </w:r>
      <w:r w:rsidRPr="00D86314">
        <w:rPr>
          <w:rFonts w:ascii="Times New Roman" w:hAnsi="Times New Roman"/>
          <w:noProof/>
        </w:rPr>
        <w:t xml:space="preserve"> for the current and future needs and the intervention objectives is low as it does not address the need to simplify rules and is not conducive to creation of more cross-border ECNs/ECSs. </w:t>
      </w:r>
      <w:r w:rsidRPr="00D86314">
        <w:rPr>
          <w:rFonts w:ascii="Times New Roman" w:hAnsi="Times New Roman"/>
          <w:b/>
          <w:bCs/>
          <w:noProof/>
        </w:rPr>
        <w:t>Option 1</w:t>
      </w:r>
      <w:r w:rsidRPr="00D86314">
        <w:rPr>
          <w:rFonts w:ascii="Times New Roman" w:hAnsi="Times New Roman"/>
          <w:noProof/>
        </w:rPr>
        <w:t xml:space="preserve"> is more relevant than the baseline since it addresses the need of simplification and defragmentation of rules related to general authorisation, supports the broader competitiveness of the sector and the creation of cross-border services and networks. However, it is unlikely to fully meet stakeholder needs and stops short of addressing the regulatory gaps in access conditions for new satellite constellations, limiting its relevance for future-focused strategic goals such as space competitiveness, sovereignty and secure connectivity. </w:t>
      </w:r>
      <w:r w:rsidRPr="00D86314">
        <w:rPr>
          <w:rFonts w:ascii="Times New Roman" w:hAnsi="Times New Roman"/>
          <w:b/>
          <w:bCs/>
          <w:noProof/>
        </w:rPr>
        <w:t>Option 2</w:t>
      </w:r>
      <w:r w:rsidRPr="00D86314">
        <w:rPr>
          <w:rFonts w:ascii="Times New Roman" w:hAnsi="Times New Roman"/>
          <w:noProof/>
        </w:rPr>
        <w:t xml:space="preserve"> is more relevant in addressing the need for simplification and full harmonisation and considers the emerging realities of more virtualised networks and more software-based innovative services. Problematic aspects from the point of view of stakeholders’ areas (e.g. data retention, lawful interception) are also addressed (cooperation mechanism </w:t>
      </w:r>
      <w:r w:rsidR="003D1178" w:rsidRPr="00D86314">
        <w:rPr>
          <w:rFonts w:ascii="Times New Roman" w:hAnsi="Times New Roman"/>
          <w:noProof/>
        </w:rPr>
        <w:t>to ensure compliance with applicable</w:t>
      </w:r>
      <w:r w:rsidRPr="00D86314">
        <w:rPr>
          <w:rFonts w:ascii="Times New Roman" w:hAnsi="Times New Roman"/>
          <w:noProof/>
        </w:rPr>
        <w:t xml:space="preserve"> conditions</w:t>
      </w:r>
      <w:r w:rsidR="003D1178" w:rsidRPr="00D86314">
        <w:rPr>
          <w:rFonts w:ascii="Times New Roman" w:hAnsi="Times New Roman"/>
          <w:noProof/>
        </w:rPr>
        <w:t>, including resulting from other acts than DNA, but still relevant for authorised DNA providers</w:t>
      </w:r>
      <w:r w:rsidRPr="00D86314">
        <w:rPr>
          <w:rFonts w:ascii="Times New Roman" w:hAnsi="Times New Roman"/>
          <w:noProof/>
        </w:rPr>
        <w:t>). EU satellite authorisation</w:t>
      </w:r>
      <w:r w:rsidRPr="00D86314">
        <w:rPr>
          <w:rFonts w:ascii="Times New Roman" w:hAnsi="Times New Roman"/>
          <w:b/>
          <w:bCs/>
          <w:noProof/>
        </w:rPr>
        <w:t xml:space="preserve"> </w:t>
      </w:r>
      <w:r w:rsidRPr="00D86314">
        <w:rPr>
          <w:rFonts w:ascii="Times New Roman" w:hAnsi="Times New Roman"/>
          <w:noProof/>
        </w:rPr>
        <w:t xml:space="preserve">is also the most relevant to the emerging realities of the satellite sector and EU strategic needs. It positions the EU as a prominent and influential actor in the rapidly evolving space industry, and provides the strongest basis for the development and operation of sovereign, pan-European satellite infrastructure, and facilitates the enforcement of security and competition-related safeguards. It supports scalable, secure, and investment-friendly access to spectrum, particularly important in the context of the Union Secure Connectivity Programme and deployment of multi-orbit satellite systems. </w:t>
      </w:r>
      <w:r w:rsidRPr="00D86314">
        <w:rPr>
          <w:rFonts w:ascii="Times New Roman" w:hAnsi="Times New Roman"/>
          <w:b/>
          <w:bCs/>
          <w:noProof/>
        </w:rPr>
        <w:t>Option 3</w:t>
      </w:r>
      <w:r w:rsidRPr="00D86314">
        <w:rPr>
          <w:rFonts w:ascii="Times New Roman" w:hAnsi="Times New Roman"/>
          <w:noProof/>
        </w:rPr>
        <w:t xml:space="preserve"> introducing the country of origin principle is the less relevant to current challenges, it requires mutual recognition and might incentivise forum shopping practices.</w:t>
      </w:r>
    </w:p>
    <w:p w14:paraId="30444AA4" w14:textId="77777777" w:rsidR="00DD30BD" w:rsidRPr="00D86314" w:rsidRDefault="00DD30BD" w:rsidP="004B6FC1">
      <w:pPr>
        <w:pStyle w:val="Heading3"/>
        <w:numPr>
          <w:ilvl w:val="0"/>
          <w:numId w:val="0"/>
        </w:numPr>
        <w:ind w:left="720"/>
        <w:rPr>
          <w:b/>
          <w:noProof/>
          <w:u w:val="single"/>
        </w:rPr>
      </w:pPr>
      <w:bookmarkStart w:id="309" w:name="_Toc209638035"/>
      <w:bookmarkStart w:id="310" w:name="_Toc219718457"/>
      <w:r w:rsidRPr="00D86314">
        <w:rPr>
          <w:b/>
          <w:i w:val="0"/>
          <w:noProof/>
          <w:u w:val="single"/>
        </w:rPr>
        <w:t>EU-added value</w:t>
      </w:r>
      <w:bookmarkEnd w:id="309"/>
      <w:bookmarkEnd w:id="310"/>
      <w:r w:rsidRPr="00D86314">
        <w:rPr>
          <w:b/>
          <w:i w:val="0"/>
          <w:noProof/>
          <w:u w:val="single"/>
        </w:rPr>
        <w:t xml:space="preserve"> </w:t>
      </w:r>
    </w:p>
    <w:p w14:paraId="46F04F7E" w14:textId="583192B1" w:rsidR="00DD30BD" w:rsidRPr="00D86314" w:rsidRDefault="00DD30BD" w:rsidP="004971FD">
      <w:pPr>
        <w:pStyle w:val="EYBodytextwithparaspace"/>
        <w:spacing w:before="0"/>
        <w:rPr>
          <w:rFonts w:ascii="Times New Roman" w:hAnsi="Times New Roman"/>
          <w:noProof/>
        </w:rPr>
      </w:pPr>
      <w:r w:rsidRPr="00D86314">
        <w:rPr>
          <w:rFonts w:ascii="Times New Roman" w:hAnsi="Times New Roman"/>
          <w:noProof/>
        </w:rPr>
        <w:t xml:space="preserve">EU added value of the </w:t>
      </w:r>
      <w:r w:rsidRPr="00D86314">
        <w:rPr>
          <w:rFonts w:ascii="Times New Roman" w:hAnsi="Times New Roman"/>
          <w:b/>
          <w:bCs/>
          <w:noProof/>
        </w:rPr>
        <w:t>baseline scenario</w:t>
      </w:r>
      <w:r w:rsidRPr="00D86314">
        <w:rPr>
          <w:rFonts w:ascii="Times New Roman" w:hAnsi="Times New Roman"/>
          <w:noProof/>
        </w:rPr>
        <w:t xml:space="preserve"> will continue as the current rules provide for reduced administrative burden for cross-border operators; however, for satellite authorisation, the fragmented approach undermines the EU’s capacity to support pan-European satellite networks, enforce common conditions, or ensure strategic autonomy in space. </w:t>
      </w:r>
      <w:r w:rsidRPr="00D86314">
        <w:rPr>
          <w:rFonts w:ascii="Times New Roman" w:hAnsi="Times New Roman"/>
          <w:b/>
          <w:bCs/>
          <w:noProof/>
        </w:rPr>
        <w:t>Option 1</w:t>
      </w:r>
      <w:r w:rsidRPr="00D86314">
        <w:rPr>
          <w:rFonts w:ascii="Times New Roman" w:hAnsi="Times New Roman"/>
          <w:noProof/>
        </w:rPr>
        <w:t xml:space="preserve"> produces a moderate EU added value for cross-border providers and new entrants, especially for SMEs, as it simplifies the relevant rules and procedures across all countries. However soft harmonisation will not fully address fragmentation, in all areas. Decision-making remains national and the role of the BEREC Office is limited to a limited one-stop-shop functionality, for the purposes of implementation and enforcement. </w:t>
      </w:r>
      <w:r w:rsidRPr="00D86314">
        <w:rPr>
          <w:rFonts w:ascii="Times New Roman" w:hAnsi="Times New Roman"/>
          <w:b/>
          <w:noProof/>
        </w:rPr>
        <w:t>Option 2</w:t>
      </w:r>
      <w:r w:rsidRPr="00D86314">
        <w:rPr>
          <w:rFonts w:ascii="Times New Roman" w:hAnsi="Times New Roman"/>
          <w:noProof/>
        </w:rPr>
        <w:t xml:space="preserve"> brings high EU added value as full harmonisation could not be achieved by Member States acting alone. Especially EU satellite authorisation significantly increases EU added value by reducing administrative burden for the industry and establishing a clear role for EU level governance (the Commission/Office/RSPG) in satellite spectrum selection, licensing and enforcement. It supports transparent market access and introduces a unified approach to handling scarcity and interference, protecting internal market integrity, promoting secure and competitive services, and ensure alignment with strategic objectives. It positions the EU as the primary actor for ensuring spectrum policies support secure, scalable, and strategically autonomous satellite communications.</w:t>
      </w:r>
      <w:r w:rsidRPr="00D86314">
        <w:rPr>
          <w:rFonts w:ascii="Times New Roman" w:hAnsi="Times New Roman"/>
          <w:b/>
          <w:bCs/>
          <w:noProof/>
        </w:rPr>
        <w:t xml:space="preserve"> Option 3</w:t>
      </w:r>
      <w:r w:rsidRPr="00D86314">
        <w:rPr>
          <w:rFonts w:ascii="Times New Roman" w:hAnsi="Times New Roman"/>
          <w:noProof/>
        </w:rPr>
        <w:t xml:space="preserve"> brings the lowest EU added value since it is based on a country-of-origin principle that increases national fragmentation and incentivises forum shopping practices, which are detrimental to the intervention objectives.</w:t>
      </w:r>
    </w:p>
    <w:p w14:paraId="5090F533" w14:textId="77777777" w:rsidR="00001963" w:rsidRPr="00D86314" w:rsidRDefault="00001963" w:rsidP="00001963">
      <w:pPr>
        <w:spacing w:after="120"/>
        <w:rPr>
          <w:noProof/>
        </w:rPr>
      </w:pPr>
      <w:r w:rsidRPr="00D86314">
        <w:rPr>
          <w:noProof/>
        </w:rPr>
        <w:t xml:space="preserve">In </w:t>
      </w:r>
      <w:r w:rsidRPr="00D86314">
        <w:rPr>
          <w:b/>
          <w:noProof/>
        </w:rPr>
        <w:t>conclusion</w:t>
      </w:r>
      <w:r w:rsidRPr="00D86314">
        <w:rPr>
          <w:noProof/>
        </w:rPr>
        <w:t xml:space="preserve">, the options have the following main outcomes: </w:t>
      </w:r>
    </w:p>
    <w:p w14:paraId="641B81FD" w14:textId="69C70B84" w:rsidR="00001963" w:rsidRPr="00D86314" w:rsidRDefault="00001963" w:rsidP="00A00C17">
      <w:pPr>
        <w:pStyle w:val="ListParagraph"/>
        <w:numPr>
          <w:ilvl w:val="0"/>
          <w:numId w:val="38"/>
        </w:numPr>
        <w:spacing w:after="40"/>
        <w:ind w:left="714" w:hanging="357"/>
        <w:contextualSpacing w:val="0"/>
        <w:rPr>
          <w:noProof/>
        </w:rPr>
      </w:pPr>
      <w:r w:rsidRPr="00D86314">
        <w:rPr>
          <w:noProof/>
        </w:rPr>
        <w:t>Option 1</w:t>
      </w:r>
      <w:r w:rsidR="00075A7F">
        <w:rPr>
          <w:noProof/>
        </w:rPr>
        <w:t xml:space="preserve"> </w:t>
      </w:r>
      <w:r w:rsidR="00075A7F" w:rsidRPr="00D86314">
        <w:rPr>
          <w:noProof/>
        </w:rPr>
        <w:t>–</w:t>
      </w:r>
      <w:r w:rsidRPr="00D86314">
        <w:rPr>
          <w:noProof/>
        </w:rPr>
        <w:t xml:space="preserve"> has limited benefits due to partial harmonisation. </w:t>
      </w:r>
    </w:p>
    <w:p w14:paraId="0E56A64C" w14:textId="77777777" w:rsidR="00001963" w:rsidRPr="00D86314" w:rsidRDefault="00001963" w:rsidP="00A00C17">
      <w:pPr>
        <w:pStyle w:val="ListParagraph"/>
        <w:numPr>
          <w:ilvl w:val="0"/>
          <w:numId w:val="38"/>
        </w:numPr>
        <w:spacing w:after="40"/>
        <w:ind w:left="714" w:hanging="357"/>
        <w:contextualSpacing w:val="0"/>
        <w:rPr>
          <w:noProof/>
        </w:rPr>
      </w:pPr>
      <w:r w:rsidRPr="00D86314">
        <w:rPr>
          <w:noProof/>
        </w:rPr>
        <w:t xml:space="preserve">Option 2 – facilitates compliance and removes excessive national requirements for general authorisation and offers the highest level of effectiveness considerably simplifying satellite authorisations. </w:t>
      </w:r>
    </w:p>
    <w:p w14:paraId="2D366DDA" w14:textId="3BADD31C" w:rsidR="00001963" w:rsidRPr="00D86314" w:rsidRDefault="00001963" w:rsidP="00A00C17">
      <w:pPr>
        <w:pStyle w:val="ListParagraph"/>
        <w:numPr>
          <w:ilvl w:val="0"/>
          <w:numId w:val="38"/>
        </w:numPr>
        <w:spacing w:after="40"/>
        <w:ind w:left="714" w:hanging="357"/>
        <w:contextualSpacing w:val="0"/>
        <w:rPr>
          <w:noProof/>
        </w:rPr>
      </w:pPr>
      <w:r w:rsidRPr="00D86314">
        <w:rPr>
          <w:noProof/>
        </w:rPr>
        <w:t>Option 3 – introduces the country-of-origin principle, but only for a subset of providers and risks/incentivise forum shopping practices in areas that cannot be fully harmonised such as national security</w:t>
      </w:r>
      <w:r w:rsidR="1FC07FBE" w:rsidRPr="00D86314">
        <w:rPr>
          <w:noProof/>
        </w:rPr>
        <w:t>.</w:t>
      </w:r>
    </w:p>
    <w:p w14:paraId="52365D46" w14:textId="1411B121" w:rsidR="00D651E1" w:rsidRPr="00D86314" w:rsidRDefault="0006178D" w:rsidP="00D9165F">
      <w:pPr>
        <w:pStyle w:val="EYBodytextwithparaspace"/>
        <w:tabs>
          <w:tab w:val="clear" w:pos="0"/>
        </w:tabs>
        <w:rPr>
          <w:rFonts w:ascii="Times New Roman" w:hAnsi="Times New Roman"/>
          <w:b/>
          <w:bCs/>
          <w:noProof/>
        </w:rPr>
      </w:pPr>
      <w:r w:rsidRPr="00D86314">
        <w:rPr>
          <w:rFonts w:ascii="Times New Roman" w:hAnsi="Times New Roman"/>
          <w:noProof/>
        </w:rPr>
        <w:t xml:space="preserve">Based on the above assessment </w:t>
      </w:r>
      <w:r w:rsidR="00680269">
        <w:rPr>
          <w:rFonts w:ascii="Times New Roman" w:hAnsi="Times New Roman"/>
          <w:noProof/>
        </w:rPr>
        <w:t>o</w:t>
      </w:r>
      <w:r w:rsidRPr="00D86314">
        <w:rPr>
          <w:rFonts w:ascii="Times New Roman" w:hAnsi="Times New Roman"/>
          <w:noProof/>
        </w:rPr>
        <w:t>ption 2 is considered the preferred option.</w:t>
      </w:r>
    </w:p>
    <w:p w14:paraId="314EA11E" w14:textId="7418FDEF" w:rsidR="005E1731" w:rsidRPr="00D86314" w:rsidRDefault="00410B02" w:rsidP="004B6FC1">
      <w:pPr>
        <w:pStyle w:val="Heading2"/>
        <w:numPr>
          <w:ilvl w:val="0"/>
          <w:numId w:val="0"/>
        </w:numPr>
        <w:ind w:left="576"/>
        <w:rPr>
          <w:noProof/>
        </w:rPr>
      </w:pPr>
      <w:bookmarkStart w:id="311" w:name="_Toc219718458"/>
      <w:r w:rsidRPr="00D86314">
        <w:rPr>
          <w:noProof/>
        </w:rPr>
        <w:t>1.</w:t>
      </w:r>
      <w:r w:rsidR="007D1242" w:rsidRPr="00D86314">
        <w:rPr>
          <w:noProof/>
        </w:rPr>
        <w:t>4</w:t>
      </w:r>
      <w:r w:rsidRPr="00D86314">
        <w:rPr>
          <w:noProof/>
        </w:rPr>
        <w:t xml:space="preserve"> </w:t>
      </w:r>
      <w:r w:rsidR="005E1731" w:rsidRPr="00D86314">
        <w:rPr>
          <w:noProof/>
        </w:rPr>
        <w:t>Governance</w:t>
      </w:r>
      <w:bookmarkEnd w:id="311"/>
    </w:p>
    <w:p w14:paraId="7D437BCE" w14:textId="3AA218C2" w:rsidR="008071A9" w:rsidRPr="00D86314" w:rsidRDefault="0001795A" w:rsidP="004971FD">
      <w:pPr>
        <w:pStyle w:val="Text1"/>
        <w:spacing w:after="120"/>
        <w:ind w:left="0"/>
        <w:rPr>
          <w:noProof/>
        </w:rPr>
      </w:pPr>
      <w:r w:rsidRPr="00D86314">
        <w:rPr>
          <w:noProof/>
        </w:rPr>
        <w:t>The comparison of the Governance options from the perspective of Relevance and EU added value:</w:t>
      </w:r>
    </w:p>
    <w:p w14:paraId="0013DEF3" w14:textId="77777777" w:rsidR="0001795A" w:rsidRPr="00D86314" w:rsidRDefault="0001795A" w:rsidP="004B6FC1">
      <w:pPr>
        <w:pStyle w:val="Heading3"/>
        <w:numPr>
          <w:ilvl w:val="0"/>
          <w:numId w:val="0"/>
        </w:numPr>
        <w:ind w:left="720"/>
        <w:rPr>
          <w:rFonts w:eastAsia="Calibri"/>
          <w:b/>
          <w:bCs/>
          <w:iCs/>
          <w:noProof/>
          <w:u w:val="single"/>
        </w:rPr>
      </w:pPr>
      <w:bookmarkStart w:id="312" w:name="_Toc209638037"/>
      <w:bookmarkStart w:id="313" w:name="_Toc219718459"/>
      <w:r w:rsidRPr="00D86314">
        <w:rPr>
          <w:rFonts w:eastAsia="Calibri"/>
          <w:b/>
          <w:i w:val="0"/>
          <w:noProof/>
          <w:u w:val="single"/>
        </w:rPr>
        <w:t>Relevance</w:t>
      </w:r>
      <w:bookmarkEnd w:id="312"/>
      <w:bookmarkEnd w:id="313"/>
      <w:r w:rsidRPr="00D86314">
        <w:rPr>
          <w:rFonts w:eastAsia="Calibri"/>
          <w:b/>
          <w:i w:val="0"/>
          <w:noProof/>
          <w:u w:val="single"/>
        </w:rPr>
        <w:t xml:space="preserve"> </w:t>
      </w:r>
    </w:p>
    <w:p w14:paraId="155CB106" w14:textId="4A72E4B3" w:rsidR="0001795A" w:rsidRPr="00D86314" w:rsidRDefault="0001795A" w:rsidP="004971FD">
      <w:pPr>
        <w:pStyle w:val="EYBodytextwithparaspace"/>
        <w:spacing w:before="0"/>
        <w:rPr>
          <w:rFonts w:ascii="Times New Roman" w:eastAsia="Calibri" w:hAnsi="Times New Roman"/>
          <w:noProof/>
        </w:rPr>
      </w:pPr>
      <w:r w:rsidRPr="00D86314">
        <w:rPr>
          <w:rFonts w:ascii="Times New Roman" w:hAnsi="Times New Roman"/>
          <w:noProof/>
        </w:rPr>
        <w:t xml:space="preserve">The relevance of the EECC regulatory structure is likely to increase under </w:t>
      </w:r>
      <w:r w:rsidR="00680269">
        <w:rPr>
          <w:rFonts w:ascii="Times New Roman" w:hAnsi="Times New Roman"/>
          <w:b/>
          <w:bCs/>
          <w:noProof/>
        </w:rPr>
        <w:t>o</w:t>
      </w:r>
      <w:r w:rsidRPr="00D86314">
        <w:rPr>
          <w:rFonts w:ascii="Times New Roman" w:hAnsi="Times New Roman"/>
          <w:b/>
          <w:bCs/>
          <w:noProof/>
        </w:rPr>
        <w:t>ption 1</w:t>
      </w:r>
      <w:r w:rsidRPr="00D86314">
        <w:rPr>
          <w:rFonts w:ascii="Times New Roman" w:hAnsi="Times New Roman"/>
          <w:noProof/>
        </w:rPr>
        <w:t xml:space="preserve"> due to the Commission empowerment to make decisions on certain cross-border (spectrum) tasks. The BEREC Office would likely increase in effectiveness and hence relevance if it is enhanced to support BEREC and the RSPG on substance and administrative matters. However, this is somewhat diminished in this option (compared to </w:t>
      </w:r>
      <w:r w:rsidR="00680269">
        <w:rPr>
          <w:rFonts w:ascii="Times New Roman" w:hAnsi="Times New Roman"/>
          <w:noProof/>
        </w:rPr>
        <w:t>o</w:t>
      </w:r>
      <w:r w:rsidRPr="00D86314">
        <w:rPr>
          <w:rFonts w:ascii="Times New Roman" w:hAnsi="Times New Roman"/>
          <w:noProof/>
        </w:rPr>
        <w:t xml:space="preserve">ption 2) as the RSPG and BEREC will remain without legal personality and cannot adopt binding decisions. Compared to the baseline and </w:t>
      </w:r>
      <w:r w:rsidR="00680269">
        <w:rPr>
          <w:rFonts w:ascii="Times New Roman" w:hAnsi="Times New Roman"/>
          <w:noProof/>
        </w:rPr>
        <w:t>o</w:t>
      </w:r>
      <w:r w:rsidRPr="00D86314">
        <w:rPr>
          <w:rFonts w:ascii="Times New Roman" w:hAnsi="Times New Roman"/>
          <w:noProof/>
        </w:rPr>
        <w:t xml:space="preserve">ption 1, the relevance of </w:t>
      </w:r>
      <w:r w:rsidR="00680269">
        <w:rPr>
          <w:rFonts w:ascii="Times New Roman" w:hAnsi="Times New Roman"/>
          <w:b/>
          <w:bCs/>
          <w:noProof/>
        </w:rPr>
        <w:t>o</w:t>
      </w:r>
      <w:r w:rsidRPr="00D86314">
        <w:rPr>
          <w:rFonts w:ascii="Times New Roman" w:hAnsi="Times New Roman"/>
          <w:b/>
          <w:bCs/>
          <w:noProof/>
        </w:rPr>
        <w:t>ption 2</w:t>
      </w:r>
      <w:r w:rsidRPr="00D86314">
        <w:rPr>
          <w:rFonts w:ascii="Times New Roman" w:hAnsi="Times New Roman"/>
          <w:noProof/>
        </w:rPr>
        <w:t xml:space="preserve"> is potentially higher as it positions the Commission and BEREC to respond more effectively to new challenges and opportunities in relation to spectrum and cross-border tasks. However, as in </w:t>
      </w:r>
      <w:r w:rsidR="006011C1">
        <w:rPr>
          <w:rFonts w:ascii="Times New Roman" w:hAnsi="Times New Roman"/>
          <w:noProof/>
        </w:rPr>
        <w:t>o</w:t>
      </w:r>
      <w:r w:rsidRPr="00D86314">
        <w:rPr>
          <w:rFonts w:ascii="Times New Roman" w:hAnsi="Times New Roman"/>
          <w:noProof/>
        </w:rPr>
        <w:t xml:space="preserve">ption 1, RPSG would retain an advisory role, potentially limited gains in relevance compared to the baseline. In </w:t>
      </w:r>
      <w:r w:rsidR="006011C1">
        <w:rPr>
          <w:rFonts w:ascii="Times New Roman" w:hAnsi="Times New Roman"/>
          <w:b/>
          <w:bCs/>
          <w:noProof/>
        </w:rPr>
        <w:t>o</w:t>
      </w:r>
      <w:r w:rsidRPr="00D86314">
        <w:rPr>
          <w:rFonts w:ascii="Times New Roman" w:hAnsi="Times New Roman"/>
          <w:b/>
          <w:bCs/>
          <w:noProof/>
        </w:rPr>
        <w:t>ption 3</w:t>
      </w:r>
      <w:r w:rsidRPr="00D86314">
        <w:rPr>
          <w:rFonts w:ascii="Times New Roman" w:hAnsi="Times New Roman"/>
          <w:noProof/>
        </w:rPr>
        <w:t xml:space="preserve">, empowering the Commission to monitor certain cross-border tasks and empowering BEREC and RSPG to take decisions in this area may lead to an increase in relevance in this area compared to the baseline (although the impact will be smaller compared to under </w:t>
      </w:r>
      <w:r w:rsidR="006011C1">
        <w:rPr>
          <w:rFonts w:ascii="Times New Roman" w:hAnsi="Times New Roman"/>
          <w:noProof/>
        </w:rPr>
        <w:t>o</w:t>
      </w:r>
      <w:r w:rsidRPr="00D86314">
        <w:rPr>
          <w:rFonts w:ascii="Times New Roman" w:hAnsi="Times New Roman"/>
          <w:noProof/>
        </w:rPr>
        <w:t>ption 2, given the more limited competences granted to the Commission). The creation of the RSPG as a fully-fledged agency may increase the relevance of the latter, but the creation of two separate agencies (BEREC and RSPG) may limit the ability to respond quickly to emerging issues.</w:t>
      </w:r>
    </w:p>
    <w:p w14:paraId="1FFFF51F" w14:textId="77777777" w:rsidR="0001795A" w:rsidRPr="00D86314" w:rsidRDefault="0001795A" w:rsidP="004B6FC1">
      <w:pPr>
        <w:pStyle w:val="Heading3"/>
        <w:numPr>
          <w:ilvl w:val="0"/>
          <w:numId w:val="0"/>
        </w:numPr>
        <w:spacing w:before="240"/>
        <w:ind w:left="720"/>
        <w:rPr>
          <w:rFonts w:eastAsia="Calibri"/>
          <w:b/>
          <w:bCs/>
          <w:iCs/>
          <w:noProof/>
          <w:u w:val="single"/>
        </w:rPr>
      </w:pPr>
      <w:bookmarkStart w:id="314" w:name="_Toc209638038"/>
      <w:bookmarkStart w:id="315" w:name="_Toc219718460"/>
      <w:r w:rsidRPr="00D86314">
        <w:rPr>
          <w:rFonts w:eastAsia="Calibri"/>
          <w:b/>
          <w:i w:val="0"/>
          <w:noProof/>
          <w:u w:val="single"/>
        </w:rPr>
        <w:t>EU added value</w:t>
      </w:r>
      <w:bookmarkEnd w:id="314"/>
      <w:bookmarkEnd w:id="315"/>
    </w:p>
    <w:p w14:paraId="4DCB1A8A" w14:textId="40EA3ABF" w:rsidR="0001795A" w:rsidRPr="00D86314" w:rsidRDefault="0001795A" w:rsidP="0001795A">
      <w:pPr>
        <w:pStyle w:val="Text1"/>
        <w:ind w:left="0"/>
        <w:rPr>
          <w:noProof/>
        </w:rPr>
      </w:pPr>
      <w:r w:rsidRPr="00D86314">
        <w:rPr>
          <w:rFonts w:eastAsia="Calibri"/>
          <w:noProof/>
        </w:rPr>
        <w:t xml:space="preserve">The increased administrative and on the merit support provided by the BEREC Office under </w:t>
      </w:r>
      <w:r w:rsidR="006011C1">
        <w:rPr>
          <w:rFonts w:eastAsia="Calibri"/>
          <w:b/>
          <w:noProof/>
        </w:rPr>
        <w:t>o</w:t>
      </w:r>
      <w:r w:rsidRPr="00D86314">
        <w:rPr>
          <w:rFonts w:eastAsia="Calibri"/>
          <w:b/>
          <w:noProof/>
        </w:rPr>
        <w:t xml:space="preserve">ption 1 </w:t>
      </w:r>
      <w:r w:rsidRPr="00D86314">
        <w:rPr>
          <w:rFonts w:eastAsia="Calibri"/>
          <w:noProof/>
        </w:rPr>
        <w:t xml:space="preserve">could lead to more consistent regulatory outcomes across Member States, thereby further contributing to the completion of the single market in electronic communications as compared with the baseline scenario, where currently the support from the BEREC office is limited to administrative tasks. In particular, by empowering the Commission to adopt decisions on spectrum, </w:t>
      </w:r>
      <w:r w:rsidR="006011C1">
        <w:rPr>
          <w:rFonts w:eastAsia="Calibri"/>
          <w:noProof/>
        </w:rPr>
        <w:t>o</w:t>
      </w:r>
      <w:r w:rsidRPr="00D86314">
        <w:rPr>
          <w:rFonts w:eastAsia="Calibri"/>
          <w:noProof/>
        </w:rPr>
        <w:t xml:space="preserve">ption 1 will contribute to the establishment of the Single market and facilitate pan-EU provision of wireless services, including satellite services. </w:t>
      </w:r>
      <w:r w:rsidRPr="00D86314">
        <w:rPr>
          <w:rFonts w:eastAsia="Calibri"/>
          <w:b/>
          <w:noProof/>
        </w:rPr>
        <w:t xml:space="preserve">Option 2 </w:t>
      </w:r>
      <w:r w:rsidRPr="00D86314">
        <w:rPr>
          <w:rFonts w:eastAsia="Calibri"/>
          <w:noProof/>
        </w:rPr>
        <w:t xml:space="preserve">would ensure that operators – in particular cross-border and satellite operators – benefit from centralised regulatory decisions that individual actions by Member States may not achieve. However, effectiveness and efficiency gains may be reduced by BEREC and the RSPG remaining separate entities, limiting also the EU added value of this option. Empowering the Commission to monitor certain cross-border tasks with BEREC and RSPG as independent agencies with decision-making powers in </w:t>
      </w:r>
      <w:r w:rsidR="006011C1">
        <w:rPr>
          <w:rFonts w:eastAsia="Calibri"/>
          <w:b/>
          <w:noProof/>
        </w:rPr>
        <w:t>o</w:t>
      </w:r>
      <w:r w:rsidRPr="00D86314">
        <w:rPr>
          <w:rFonts w:eastAsia="Calibri"/>
          <w:b/>
          <w:noProof/>
        </w:rPr>
        <w:t>ption 3</w:t>
      </w:r>
      <w:r w:rsidRPr="00D86314">
        <w:rPr>
          <w:rFonts w:eastAsia="Calibri"/>
          <w:noProof/>
        </w:rPr>
        <w:t xml:space="preserve"> could enhance EU added value by ensuring that spectrum policies are effectively implemented across Member States and cross-border issues are resolved in a consistent manner. However, the potential for duplication may limit the overall added value of this option.</w:t>
      </w:r>
    </w:p>
    <w:p w14:paraId="29FC63A3" w14:textId="77777777" w:rsidR="009B1503" w:rsidRPr="00D86314" w:rsidRDefault="009B1503" w:rsidP="009B1503">
      <w:pPr>
        <w:spacing w:before="120"/>
        <w:rPr>
          <w:noProof/>
        </w:rPr>
      </w:pPr>
      <w:r w:rsidRPr="00D86314">
        <w:rPr>
          <w:noProof/>
        </w:rPr>
        <w:t xml:space="preserve">In </w:t>
      </w:r>
      <w:r w:rsidRPr="00D86314">
        <w:rPr>
          <w:b/>
          <w:noProof/>
        </w:rPr>
        <w:t>conclusion</w:t>
      </w:r>
      <w:r w:rsidRPr="00D86314">
        <w:rPr>
          <w:noProof/>
        </w:rPr>
        <w:t>, the options have the following main outcomes:</w:t>
      </w:r>
    </w:p>
    <w:p w14:paraId="528724F4" w14:textId="0B0BD2DD" w:rsidR="009B1503" w:rsidRPr="00D86314" w:rsidRDefault="009B1503" w:rsidP="00A00C17">
      <w:pPr>
        <w:pStyle w:val="ListParagraph"/>
        <w:numPr>
          <w:ilvl w:val="0"/>
          <w:numId w:val="38"/>
        </w:numPr>
        <w:spacing w:after="40"/>
        <w:ind w:left="714" w:hanging="357"/>
        <w:contextualSpacing w:val="0"/>
        <w:rPr>
          <w:noProof/>
        </w:rPr>
      </w:pPr>
      <w:r w:rsidRPr="00D86314">
        <w:rPr>
          <w:noProof/>
        </w:rPr>
        <w:t>Option 1: ensures required outcomes with moderate cost increase while retaining the tested structure</w:t>
      </w:r>
      <w:r w:rsidR="002D57BF" w:rsidRPr="00D86314">
        <w:rPr>
          <w:noProof/>
        </w:rPr>
        <w:t>;</w:t>
      </w:r>
      <w:r w:rsidRPr="00D86314">
        <w:rPr>
          <w:noProof/>
        </w:rPr>
        <w:t xml:space="preserve"> </w:t>
      </w:r>
    </w:p>
    <w:p w14:paraId="25A17C15" w14:textId="5FA51B89" w:rsidR="009B1503" w:rsidRPr="00D86314" w:rsidRDefault="009B1503" w:rsidP="00A00C17">
      <w:pPr>
        <w:pStyle w:val="ListParagraph"/>
        <w:numPr>
          <w:ilvl w:val="0"/>
          <w:numId w:val="38"/>
        </w:numPr>
        <w:spacing w:after="40"/>
        <w:ind w:left="714" w:hanging="357"/>
        <w:contextualSpacing w:val="0"/>
        <w:rPr>
          <w:noProof/>
        </w:rPr>
      </w:pPr>
      <w:r w:rsidRPr="00D86314">
        <w:rPr>
          <w:noProof/>
        </w:rPr>
        <w:t>Option 2: provides slightly better outcomes with higher costs</w:t>
      </w:r>
      <w:r w:rsidR="002D57BF" w:rsidRPr="00D86314">
        <w:rPr>
          <w:noProof/>
        </w:rPr>
        <w:t>;</w:t>
      </w:r>
    </w:p>
    <w:p w14:paraId="3F220A7F" w14:textId="77777777" w:rsidR="009B1503" w:rsidRPr="00D86314" w:rsidRDefault="009B1503" w:rsidP="00A00C17">
      <w:pPr>
        <w:pStyle w:val="ListParagraph"/>
        <w:numPr>
          <w:ilvl w:val="0"/>
          <w:numId w:val="38"/>
        </w:numPr>
        <w:spacing w:after="40"/>
        <w:ind w:left="714" w:hanging="357"/>
        <w:contextualSpacing w:val="0"/>
        <w:rPr>
          <w:noProof/>
        </w:rPr>
      </w:pPr>
      <w:r w:rsidRPr="00D86314">
        <w:rPr>
          <w:noProof/>
        </w:rPr>
        <w:t>Option 3: entails the highest costs with lower outcomes.</w:t>
      </w:r>
    </w:p>
    <w:p w14:paraId="17F96DF3" w14:textId="636C0A95" w:rsidR="009B1503" w:rsidRPr="00D86314" w:rsidRDefault="009B1503" w:rsidP="009B1503">
      <w:pPr>
        <w:spacing w:before="120"/>
        <w:rPr>
          <w:noProof/>
        </w:rPr>
      </w:pPr>
      <w:r w:rsidRPr="00D86314">
        <w:rPr>
          <w:noProof/>
        </w:rPr>
        <w:t>Option 1 is considered to be the preferred option.</w:t>
      </w:r>
    </w:p>
    <w:p w14:paraId="5060E9D4" w14:textId="4C1F4346" w:rsidR="00313F0F" w:rsidRPr="00D86314" w:rsidRDefault="00CD7D9A" w:rsidP="00A00C17">
      <w:pPr>
        <w:pStyle w:val="Heading1"/>
        <w:numPr>
          <w:ilvl w:val="0"/>
          <w:numId w:val="27"/>
        </w:numPr>
        <w:rPr>
          <w:noProof/>
          <w:lang w:val="en-GB"/>
        </w:rPr>
      </w:pPr>
      <w:bookmarkStart w:id="316" w:name="_Toc219718461"/>
      <w:r w:rsidRPr="00D86314">
        <w:rPr>
          <w:noProof/>
          <w:lang w:val="en-GB"/>
        </w:rPr>
        <w:t>Further bac</w:t>
      </w:r>
      <w:r w:rsidR="004366F4" w:rsidRPr="00D86314">
        <w:rPr>
          <w:noProof/>
          <w:lang w:val="en-GB"/>
        </w:rPr>
        <w:t>k</w:t>
      </w:r>
      <w:r w:rsidRPr="00D86314">
        <w:rPr>
          <w:noProof/>
          <w:lang w:val="en-GB"/>
        </w:rPr>
        <w:t>ground how th</w:t>
      </w:r>
      <w:r w:rsidR="00F10448" w:rsidRPr="00D86314">
        <w:rPr>
          <w:noProof/>
          <w:lang w:val="en-GB"/>
        </w:rPr>
        <w:t>e actual impacts will be monitored and measured</w:t>
      </w:r>
      <w:bookmarkEnd w:id="316"/>
    </w:p>
    <w:p w14:paraId="59F741A9" w14:textId="5B25DDBC" w:rsidR="009F4F9B" w:rsidRPr="00D86314" w:rsidRDefault="003C3454" w:rsidP="004B6FC1">
      <w:pPr>
        <w:pStyle w:val="Heading2"/>
        <w:numPr>
          <w:ilvl w:val="0"/>
          <w:numId w:val="0"/>
        </w:numPr>
        <w:spacing w:before="240"/>
        <w:ind w:left="576"/>
        <w:rPr>
          <w:noProof/>
        </w:rPr>
      </w:pPr>
      <w:bookmarkStart w:id="317" w:name="_Toc209596127"/>
      <w:bookmarkStart w:id="318" w:name="_Toc219718462"/>
      <w:r w:rsidRPr="00D86314">
        <w:rPr>
          <w:noProof/>
        </w:rPr>
        <w:t xml:space="preserve">2.1 </w:t>
      </w:r>
      <w:r w:rsidR="00845D82" w:rsidRPr="00D86314">
        <w:rPr>
          <w:noProof/>
        </w:rPr>
        <w:t>Transition to fibre</w:t>
      </w:r>
      <w:r w:rsidR="009F4F9B" w:rsidRPr="00D86314">
        <w:rPr>
          <w:noProof/>
        </w:rPr>
        <w:t xml:space="preserve"> and access regulation</w:t>
      </w:r>
      <w:bookmarkEnd w:id="317"/>
      <w:bookmarkEnd w:id="318"/>
    </w:p>
    <w:p w14:paraId="7D9EE67A" w14:textId="56B86C0F" w:rsidR="009F4F9B" w:rsidRPr="00D86314" w:rsidRDefault="009F4F9B" w:rsidP="00A61FB0">
      <w:pPr>
        <w:spacing w:after="120"/>
        <w:rPr>
          <w:rFonts w:eastAsia="Times New Roman"/>
          <w:noProof/>
        </w:rPr>
      </w:pPr>
      <w:r w:rsidRPr="00D86314">
        <w:rPr>
          <w:rFonts w:eastAsia="Times New Roman"/>
          <w:b/>
          <w:bCs/>
          <w:noProof/>
        </w:rPr>
        <w:t xml:space="preserve">As regards </w:t>
      </w:r>
      <w:r w:rsidR="009D1501" w:rsidRPr="00D86314">
        <w:rPr>
          <w:rFonts w:eastAsia="Times New Roman"/>
          <w:b/>
          <w:bCs/>
          <w:noProof/>
        </w:rPr>
        <w:t>transition to fibre</w:t>
      </w:r>
      <w:r w:rsidRPr="00D86314">
        <w:rPr>
          <w:rFonts w:eastAsia="Times New Roman"/>
          <w:b/>
          <w:bCs/>
          <w:noProof/>
        </w:rPr>
        <w:t xml:space="preserve"> and access regulation,</w:t>
      </w:r>
      <w:r w:rsidRPr="00D86314">
        <w:rPr>
          <w:rFonts w:eastAsia="Times New Roman"/>
          <w:noProof/>
        </w:rPr>
        <w:t xml:space="preserve"> the specific objectives are to increase FTTH coverage and take-up. The actual impacts of the legislative act will be evaluated based on relevant monitoring indicators, assessing its effectiveness in achieving its intended objectives. The evaluation will inform future decision-making and potential revisions to the legislation, ensuring its continued relevance and impact. The specific objectives will be monitored through the following indicators:</w:t>
      </w:r>
    </w:p>
    <w:p w14:paraId="53FCE0B6" w14:textId="05A1D810" w:rsidR="009F4F9B" w:rsidRPr="00D86314" w:rsidRDefault="009F4F9B" w:rsidP="00A61FB0">
      <w:pPr>
        <w:spacing w:after="120"/>
        <w:rPr>
          <w:rFonts w:eastAsia="Times New Roman"/>
          <w:noProof/>
        </w:rPr>
      </w:pPr>
      <w:r w:rsidRPr="00D86314">
        <w:rPr>
          <w:rFonts w:eastAsia="Times New Roman"/>
          <w:noProof/>
        </w:rPr>
        <w:t>FTTH homes passed absolute and as % HH, FTTH homes connected, and take-up FTTH, with a target of 95% FTTH coverage by 2035 and 7</w:t>
      </w:r>
      <w:r w:rsidR="32BC435C" w:rsidRPr="00D86314">
        <w:rPr>
          <w:rFonts w:eastAsia="Times New Roman"/>
          <w:noProof/>
        </w:rPr>
        <w:t>8</w:t>
      </w:r>
      <w:r w:rsidRPr="00D86314">
        <w:rPr>
          <w:rFonts w:eastAsia="Times New Roman"/>
          <w:noProof/>
        </w:rPr>
        <w:t>% FTTH take-up as % HH by 2035, measured annually.</w:t>
      </w:r>
    </w:p>
    <w:p w14:paraId="274592D7" w14:textId="77777777" w:rsidR="009F4F9B" w:rsidRPr="00D86314" w:rsidRDefault="009F4F9B" w:rsidP="00A61FB0">
      <w:pPr>
        <w:spacing w:after="120"/>
        <w:rPr>
          <w:noProof/>
        </w:rPr>
      </w:pPr>
      <w:r w:rsidRPr="00D86314">
        <w:rPr>
          <w:noProof/>
        </w:rPr>
        <w:t>Prices for Gigabit broadband, take-up of Gigabit broadband as % total broadband, and HHI in Gigabit-capable broadband, with a target of 40% take-up of Gigabit broadband as % all BB by 2035, measured annually.</w:t>
      </w:r>
    </w:p>
    <w:p w14:paraId="35C11EDA" w14:textId="6202ED6E" w:rsidR="009F4F9B" w:rsidRPr="00D86314" w:rsidRDefault="009F4F9B" w:rsidP="17B36FC0">
      <w:pPr>
        <w:spacing w:after="120"/>
        <w:rPr>
          <w:noProof/>
        </w:rPr>
      </w:pPr>
      <w:r w:rsidRPr="00D86314">
        <w:rPr>
          <w:noProof/>
        </w:rPr>
        <w:t>The operational objectives are</w:t>
      </w:r>
      <w:r w:rsidR="27166130" w:rsidRPr="00D86314">
        <w:rPr>
          <w:noProof/>
        </w:rPr>
        <w:t>, and how they</w:t>
      </w:r>
      <w:r w:rsidR="5C69CEFA" w:rsidRPr="00D86314">
        <w:rPr>
          <w:noProof/>
        </w:rPr>
        <w:t xml:space="preserve"> </w:t>
      </w:r>
      <w:r w:rsidR="27166130" w:rsidRPr="00D86314">
        <w:rPr>
          <w:noProof/>
        </w:rPr>
        <w:t xml:space="preserve">will be monitored, are presented below. </w:t>
      </w:r>
    </w:p>
    <w:tbl>
      <w:tblPr>
        <w:tblStyle w:val="TableGrid"/>
        <w:tblW w:w="0" w:type="auto"/>
        <w:tblLayout w:type="fixed"/>
        <w:tblLook w:val="04A0" w:firstRow="1" w:lastRow="0" w:firstColumn="1" w:lastColumn="0" w:noHBand="0" w:noVBand="1"/>
      </w:tblPr>
      <w:tblGrid>
        <w:gridCol w:w="4389"/>
        <w:gridCol w:w="4390"/>
      </w:tblGrid>
      <w:tr w:rsidR="17B36FC0" w:rsidRPr="00D86314" w14:paraId="534501F9" w14:textId="77777777" w:rsidTr="00703057">
        <w:trPr>
          <w:trHeight w:val="300"/>
        </w:trPr>
        <w:tc>
          <w:tcPr>
            <w:tcW w:w="4389"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504CAB78" w14:textId="7C3665CA" w:rsidR="17B36FC0" w:rsidRPr="00D86314" w:rsidRDefault="17B36FC0" w:rsidP="00703057">
            <w:pPr>
              <w:spacing w:before="40" w:after="40"/>
              <w:rPr>
                <w:noProof/>
                <w:color w:val="FFFFFF" w:themeColor="background1"/>
                <w:sz w:val="20"/>
                <w:szCs w:val="20"/>
              </w:rPr>
            </w:pPr>
            <w:r w:rsidRPr="00D86314">
              <w:rPr>
                <w:rFonts w:eastAsia="Arial"/>
                <w:noProof/>
                <w:color w:val="FFFFFF" w:themeColor="background1"/>
                <w:sz w:val="20"/>
                <w:szCs w:val="20"/>
              </w:rPr>
              <w:t>Problem</w:t>
            </w:r>
          </w:p>
        </w:tc>
        <w:tc>
          <w:tcPr>
            <w:tcW w:w="4390"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03E89483" w14:textId="7C3A7227" w:rsidR="17B36FC0" w:rsidRPr="00D86314" w:rsidRDefault="17B36FC0" w:rsidP="00703057">
            <w:pPr>
              <w:spacing w:before="40" w:after="40"/>
              <w:rPr>
                <w:noProof/>
                <w:color w:val="FFFFFF" w:themeColor="background1"/>
                <w:sz w:val="20"/>
                <w:szCs w:val="20"/>
              </w:rPr>
            </w:pPr>
            <w:r w:rsidRPr="00D86314">
              <w:rPr>
                <w:rFonts w:eastAsia="Arial"/>
                <w:noProof/>
                <w:color w:val="FFFFFF" w:themeColor="background1"/>
                <w:sz w:val="20"/>
                <w:szCs w:val="20"/>
              </w:rPr>
              <w:t>Operational objective</w:t>
            </w:r>
          </w:p>
        </w:tc>
      </w:tr>
      <w:tr w:rsidR="17B36FC0" w:rsidRPr="00D86314" w14:paraId="37B03724" w14:textId="77777777" w:rsidTr="00703057">
        <w:trPr>
          <w:trHeight w:val="300"/>
        </w:trPr>
        <w:tc>
          <w:tcPr>
            <w:tcW w:w="4389"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50978651" w14:textId="6D4D7DA6" w:rsidR="17B36FC0" w:rsidRPr="00D86314" w:rsidRDefault="17B36FC0" w:rsidP="00703057">
            <w:pPr>
              <w:spacing w:before="40" w:after="40"/>
              <w:rPr>
                <w:noProof/>
                <w:sz w:val="20"/>
                <w:szCs w:val="20"/>
              </w:rPr>
            </w:pPr>
            <w:r w:rsidRPr="00D86314">
              <w:rPr>
                <w:rFonts w:eastAsia="Arial"/>
                <w:noProof/>
                <w:sz w:val="20"/>
                <w:szCs w:val="20"/>
              </w:rPr>
              <w:t>Coverage of fibre is limited in some countries due to the persistence of copper and threat of unviable overbuild</w:t>
            </w:r>
          </w:p>
        </w:tc>
        <w:tc>
          <w:tcPr>
            <w:tcW w:w="4390"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35004AEE" w14:textId="146216AB" w:rsidR="17B36FC0" w:rsidRPr="00D86314" w:rsidRDefault="17B36FC0" w:rsidP="00703057">
            <w:pPr>
              <w:spacing w:before="40" w:after="40"/>
              <w:rPr>
                <w:noProof/>
                <w:sz w:val="20"/>
                <w:szCs w:val="20"/>
              </w:rPr>
            </w:pPr>
            <w:r w:rsidRPr="00D86314">
              <w:rPr>
                <w:rFonts w:eastAsia="Arial"/>
                <w:noProof/>
                <w:sz w:val="20"/>
                <w:szCs w:val="20"/>
              </w:rPr>
              <w:t>Switch off copper networks by 2030 and no later than 2035</w:t>
            </w:r>
          </w:p>
        </w:tc>
      </w:tr>
      <w:tr w:rsidR="17B36FC0" w:rsidRPr="00D86314" w14:paraId="6D2862E2" w14:textId="77777777" w:rsidTr="00703057">
        <w:trPr>
          <w:trHeight w:val="300"/>
        </w:trPr>
        <w:tc>
          <w:tcPr>
            <w:tcW w:w="4389"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48BC42E6" w14:textId="6977A1B0" w:rsidR="17B36FC0" w:rsidRPr="00D86314" w:rsidRDefault="17B36FC0" w:rsidP="00703057">
            <w:pPr>
              <w:spacing w:before="40" w:after="40"/>
              <w:rPr>
                <w:noProof/>
                <w:sz w:val="20"/>
                <w:szCs w:val="20"/>
              </w:rPr>
            </w:pPr>
            <w:r w:rsidRPr="00D86314">
              <w:rPr>
                <w:rFonts w:eastAsia="Arial"/>
                <w:noProof/>
                <w:sz w:val="20"/>
                <w:szCs w:val="20"/>
              </w:rPr>
              <w:t>Some households passed by fibre are being refused connections</w:t>
            </w:r>
          </w:p>
        </w:tc>
        <w:tc>
          <w:tcPr>
            <w:tcW w:w="4390"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02CE9DCD" w14:textId="68E4181F" w:rsidR="17B36FC0" w:rsidRPr="00D86314" w:rsidRDefault="17B36FC0" w:rsidP="00703057">
            <w:pPr>
              <w:spacing w:before="40" w:after="40"/>
              <w:rPr>
                <w:noProof/>
                <w:sz w:val="20"/>
                <w:szCs w:val="20"/>
              </w:rPr>
            </w:pPr>
            <w:r w:rsidRPr="00D86314">
              <w:rPr>
                <w:rFonts w:eastAsia="Arial"/>
                <w:noProof/>
                <w:sz w:val="20"/>
                <w:szCs w:val="20"/>
              </w:rPr>
              <w:t>Provide a limited right to Gigabit connectivity for homes passed by fibre under specified conditions</w:t>
            </w:r>
          </w:p>
        </w:tc>
      </w:tr>
      <w:tr w:rsidR="17B36FC0" w:rsidRPr="00D86314" w14:paraId="17F4B89B" w14:textId="77777777" w:rsidTr="00703057">
        <w:trPr>
          <w:trHeight w:val="300"/>
        </w:trPr>
        <w:tc>
          <w:tcPr>
            <w:tcW w:w="4389"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0FEF051F" w14:textId="75F30309" w:rsidR="17B36FC0" w:rsidRPr="00D86314" w:rsidRDefault="17B36FC0" w:rsidP="00703057">
            <w:pPr>
              <w:spacing w:before="40" w:after="40"/>
              <w:rPr>
                <w:noProof/>
                <w:sz w:val="20"/>
                <w:szCs w:val="20"/>
              </w:rPr>
            </w:pPr>
            <w:r w:rsidRPr="00D86314">
              <w:rPr>
                <w:rFonts w:eastAsia="Arial"/>
                <w:noProof/>
                <w:sz w:val="20"/>
                <w:szCs w:val="20"/>
              </w:rPr>
              <w:t>Take-up of Gigabit broadband is lagging due to limits on competition in quality and price</w:t>
            </w:r>
          </w:p>
        </w:tc>
        <w:tc>
          <w:tcPr>
            <w:tcW w:w="4390" w:type="dxa"/>
            <w:vMerge w:val="restart"/>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32166BD0" w14:textId="0413CBF9" w:rsidR="17B36FC0" w:rsidRPr="00D86314" w:rsidRDefault="17B36FC0" w:rsidP="00703057">
            <w:pPr>
              <w:spacing w:before="40" w:after="40"/>
              <w:rPr>
                <w:noProof/>
                <w:sz w:val="20"/>
                <w:szCs w:val="20"/>
              </w:rPr>
            </w:pPr>
            <w:r w:rsidRPr="00D86314">
              <w:rPr>
                <w:rFonts w:eastAsia="Arial"/>
                <w:noProof/>
                <w:sz w:val="20"/>
                <w:szCs w:val="20"/>
              </w:rPr>
              <w:t>Harmonise wholesale product specifications so that they are consistent and enable competition on quality and price</w:t>
            </w:r>
          </w:p>
        </w:tc>
      </w:tr>
      <w:tr w:rsidR="00EF63B4" w:rsidRPr="00D86314" w14:paraId="01864E23" w14:textId="77777777" w:rsidTr="00E53597">
        <w:trPr>
          <w:trHeight w:val="300"/>
        </w:trPr>
        <w:tc>
          <w:tcPr>
            <w:tcW w:w="4389"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0558FDF1" w14:textId="64EE687E" w:rsidR="17B36FC0" w:rsidRPr="00D86314" w:rsidRDefault="17B36FC0" w:rsidP="00703057">
            <w:pPr>
              <w:spacing w:before="40" w:after="40"/>
              <w:rPr>
                <w:noProof/>
                <w:sz w:val="20"/>
                <w:szCs w:val="20"/>
              </w:rPr>
            </w:pPr>
            <w:r w:rsidRPr="00D86314">
              <w:rPr>
                <w:rFonts w:eastAsia="Arial"/>
                <w:noProof/>
                <w:sz w:val="20"/>
                <w:szCs w:val="20"/>
              </w:rPr>
              <w:t>Market fragmentation including the regionalisation of networks is creating challenges for nationwide and pan-EU service delivery</w:t>
            </w:r>
          </w:p>
        </w:tc>
        <w:tc>
          <w:tcPr>
            <w:tcW w:w="4390" w:type="dxa"/>
            <w:vMerge/>
            <w:vAlign w:val="center"/>
          </w:tcPr>
          <w:p w14:paraId="189AFE98" w14:textId="77777777" w:rsidR="00347D82" w:rsidRPr="00D86314" w:rsidRDefault="00347D82">
            <w:pPr>
              <w:rPr>
                <w:noProof/>
              </w:rPr>
            </w:pPr>
          </w:p>
        </w:tc>
      </w:tr>
      <w:tr w:rsidR="17B36FC0" w:rsidRPr="00D86314" w14:paraId="76E34A4B" w14:textId="77777777" w:rsidTr="00703057">
        <w:trPr>
          <w:trHeight w:val="300"/>
        </w:trPr>
        <w:tc>
          <w:tcPr>
            <w:tcW w:w="4389" w:type="dxa"/>
            <w:tcBorders>
              <w:top w:val="single" w:sz="8" w:space="0" w:color="auto"/>
              <w:left w:val="single" w:sz="8" w:space="0" w:color="auto"/>
              <w:bottom w:val="single" w:sz="8" w:space="0" w:color="auto"/>
              <w:right w:val="single" w:sz="8" w:space="0" w:color="auto"/>
            </w:tcBorders>
            <w:tcMar>
              <w:top w:w="17" w:type="dxa"/>
              <w:left w:w="85" w:type="dxa"/>
              <w:bottom w:w="17" w:type="dxa"/>
              <w:right w:w="85" w:type="dxa"/>
            </w:tcMar>
          </w:tcPr>
          <w:p w14:paraId="17C2EFB6" w14:textId="2E92927A" w:rsidR="17B36FC0" w:rsidRPr="00D86314" w:rsidRDefault="17B36FC0" w:rsidP="00703057">
            <w:pPr>
              <w:spacing w:before="40" w:after="40"/>
              <w:rPr>
                <w:noProof/>
                <w:sz w:val="20"/>
                <w:szCs w:val="20"/>
              </w:rPr>
            </w:pPr>
            <w:r w:rsidRPr="00D86314">
              <w:rPr>
                <w:rFonts w:eastAsia="Arial"/>
                <w:noProof/>
                <w:sz w:val="20"/>
                <w:szCs w:val="20"/>
              </w:rPr>
              <w:t xml:space="preserve">Wholesale access regulation is not always well targeted and granular data is not always available for mass-market and dedicated connections, </w:t>
            </w:r>
          </w:p>
          <w:p w14:paraId="5C1685B7" w14:textId="394AF8ED" w:rsidR="17B36FC0" w:rsidRPr="00D86314" w:rsidRDefault="17B36FC0" w:rsidP="00703057">
            <w:pPr>
              <w:spacing w:before="40" w:after="40"/>
              <w:rPr>
                <w:noProof/>
                <w:sz w:val="20"/>
                <w:szCs w:val="20"/>
              </w:rPr>
            </w:pPr>
            <w:r w:rsidRPr="00D86314">
              <w:rPr>
                <w:rFonts w:eastAsia="Arial"/>
                <w:noProof/>
                <w:sz w:val="20"/>
                <w:szCs w:val="20"/>
              </w:rPr>
              <w:t>There will be an even greater need for granular data gathering and associated market analyses during and following the switch-off of copper networks due to the reduced infrastructure competition that will arise in certain geographic areas and increased focus on fibre access.</w:t>
            </w:r>
          </w:p>
        </w:tc>
        <w:tc>
          <w:tcPr>
            <w:tcW w:w="4390" w:type="dxa"/>
            <w:tcBorders>
              <w:top w:val="nil"/>
              <w:left w:val="single" w:sz="8" w:space="0" w:color="auto"/>
              <w:bottom w:val="single" w:sz="8" w:space="0" w:color="auto"/>
              <w:right w:val="single" w:sz="8" w:space="0" w:color="auto"/>
            </w:tcBorders>
            <w:tcMar>
              <w:top w:w="17" w:type="dxa"/>
              <w:left w:w="85" w:type="dxa"/>
              <w:bottom w:w="17" w:type="dxa"/>
              <w:right w:w="85" w:type="dxa"/>
            </w:tcMar>
          </w:tcPr>
          <w:p w14:paraId="5DFBB6BF" w14:textId="79AACBA9" w:rsidR="17B36FC0" w:rsidRPr="00D86314" w:rsidRDefault="17B36FC0" w:rsidP="00703057">
            <w:pPr>
              <w:spacing w:before="40" w:after="40"/>
              <w:rPr>
                <w:noProof/>
                <w:sz w:val="20"/>
                <w:szCs w:val="20"/>
              </w:rPr>
            </w:pPr>
            <w:r w:rsidRPr="00D86314">
              <w:rPr>
                <w:rFonts w:eastAsia="Arial"/>
                <w:noProof/>
                <w:sz w:val="20"/>
                <w:szCs w:val="20"/>
              </w:rPr>
              <w:t>Require regular data gathering at regional level and mandate NRAs to take this into account when reviewing markets</w:t>
            </w:r>
          </w:p>
        </w:tc>
      </w:tr>
    </w:tbl>
    <w:p w14:paraId="3FB6922B" w14:textId="084F4F3F" w:rsidR="17B36FC0" w:rsidRPr="00D86314" w:rsidRDefault="17B36FC0" w:rsidP="17B36FC0">
      <w:pPr>
        <w:spacing w:after="120"/>
        <w:rPr>
          <w:noProof/>
        </w:rPr>
      </w:pPr>
    </w:p>
    <w:p w14:paraId="345FE440" w14:textId="7C165177" w:rsidR="00496738" w:rsidRPr="00D86314" w:rsidRDefault="00496738" w:rsidP="00A61FB0">
      <w:pPr>
        <w:spacing w:after="120"/>
        <w:rPr>
          <w:rFonts w:eastAsia="Times New Roman"/>
          <w:noProof/>
        </w:rPr>
      </w:pPr>
      <w:r w:rsidRPr="00D86314">
        <w:rPr>
          <w:rFonts w:eastAsia="Times New Roman"/>
          <w:noProof/>
        </w:rPr>
        <w:t xml:space="preserve">The table below shows how the specific and operational objectives will be monitored for </w:t>
      </w:r>
      <w:r w:rsidR="007B74BA" w:rsidRPr="00D86314">
        <w:rPr>
          <w:rFonts w:eastAsia="Times New Roman"/>
          <w:noProof/>
        </w:rPr>
        <w:t>transition to fibre</w:t>
      </w:r>
      <w:r w:rsidRPr="00D86314">
        <w:rPr>
          <w:rFonts w:eastAsia="Times New Roman"/>
          <w:noProof/>
        </w:rPr>
        <w:t>:</w:t>
      </w:r>
    </w:p>
    <w:tbl>
      <w:tblPr>
        <w:tblW w:w="0" w:type="auto"/>
        <w:tblLayout w:type="fixed"/>
        <w:tblLook w:val="04A0" w:firstRow="1" w:lastRow="0" w:firstColumn="1" w:lastColumn="0" w:noHBand="0" w:noVBand="1"/>
      </w:tblPr>
      <w:tblGrid>
        <w:gridCol w:w="477"/>
        <w:gridCol w:w="1162"/>
        <w:gridCol w:w="1588"/>
        <w:gridCol w:w="1076"/>
        <w:gridCol w:w="1076"/>
        <w:gridCol w:w="1076"/>
        <w:gridCol w:w="1076"/>
        <w:gridCol w:w="1215"/>
      </w:tblGrid>
      <w:tr w:rsidR="17B36FC0" w:rsidRPr="00D86314" w14:paraId="061FC42A" w14:textId="77777777" w:rsidTr="00E606AF">
        <w:trPr>
          <w:trHeight w:val="300"/>
        </w:trPr>
        <w:tc>
          <w:tcPr>
            <w:tcW w:w="477" w:type="dxa"/>
            <w:tcBorders>
              <w:top w:val="single" w:sz="4" w:space="0" w:color="auto"/>
              <w:left w:val="single" w:sz="4" w:space="0" w:color="auto"/>
              <w:bottom w:val="single" w:sz="4" w:space="0" w:color="auto"/>
              <w:right w:val="single" w:sz="4" w:space="0" w:color="auto"/>
            </w:tcBorders>
            <w:tcMar>
              <w:left w:w="57" w:type="dxa"/>
              <w:right w:w="57" w:type="dxa"/>
            </w:tcMar>
          </w:tcPr>
          <w:p w14:paraId="18EA903D" w14:textId="2BD2DE15" w:rsidR="17B36FC0" w:rsidRPr="00D86314" w:rsidRDefault="17B36FC0" w:rsidP="00703057">
            <w:pPr>
              <w:spacing w:after="160" w:line="257" w:lineRule="auto"/>
              <w:rPr>
                <w:rFonts w:eastAsia="Times New Roman"/>
                <w:noProof/>
                <w:sz w:val="20"/>
                <w:szCs w:val="20"/>
              </w:rPr>
            </w:pPr>
          </w:p>
        </w:tc>
        <w:tc>
          <w:tcPr>
            <w:tcW w:w="1162" w:type="dxa"/>
            <w:tcBorders>
              <w:top w:val="single" w:sz="4" w:space="0" w:color="auto"/>
              <w:left w:val="single" w:sz="4" w:space="0" w:color="auto"/>
              <w:bottom w:val="single" w:sz="4" w:space="0" w:color="auto"/>
              <w:right w:val="single" w:sz="4" w:space="0" w:color="auto"/>
            </w:tcBorders>
            <w:tcMar>
              <w:left w:w="57" w:type="dxa"/>
              <w:right w:w="57" w:type="dxa"/>
            </w:tcMar>
          </w:tcPr>
          <w:p w14:paraId="772C6147" w14:textId="48ED0152"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Objective</w:t>
            </w: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5F3F1EB3" w14:textId="7D7ABBFE"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Indicator</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48852350" w14:textId="70C398FF"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Unit of measurement</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63934AA5" w14:textId="4B54F795"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Data source</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33F7DABF" w14:textId="731C887E"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Frequency of measurement</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3DD65B17" w14:textId="5194F335"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Baseline</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314EE3B5" w14:textId="605C8976"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Target</w:t>
            </w:r>
          </w:p>
        </w:tc>
      </w:tr>
      <w:tr w:rsidR="17B36FC0" w:rsidRPr="00D86314" w14:paraId="25812B64" w14:textId="77777777" w:rsidTr="00E606AF">
        <w:trPr>
          <w:trHeight w:val="300"/>
        </w:trPr>
        <w:tc>
          <w:tcPr>
            <w:tcW w:w="477"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1AE8AAF" w14:textId="3DAB9CF0"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Specific objectives</w:t>
            </w:r>
          </w:p>
        </w:tc>
        <w:tc>
          <w:tcPr>
            <w:tcW w:w="1162" w:type="dxa"/>
            <w:tcBorders>
              <w:top w:val="single" w:sz="4" w:space="0" w:color="auto"/>
              <w:left w:val="single" w:sz="4" w:space="0" w:color="auto"/>
              <w:bottom w:val="single" w:sz="4" w:space="0" w:color="auto"/>
              <w:right w:val="single" w:sz="4" w:space="0" w:color="auto"/>
            </w:tcBorders>
            <w:tcMar>
              <w:left w:w="57" w:type="dxa"/>
              <w:right w:w="57" w:type="dxa"/>
            </w:tcMar>
          </w:tcPr>
          <w:p w14:paraId="2EFBAC03" w14:textId="3F09478B"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Foster FTTH coverage, connectivity and take-up</w:t>
            </w: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6B7A45EE" w14:textId="2FF4076C"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FTTH homes passed absolute and as % HH</w:t>
            </w:r>
          </w:p>
          <w:p w14:paraId="4E66B133" w14:textId="63E20F6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FTTH homes activated</w:t>
            </w:r>
          </w:p>
          <w:p w14:paraId="01A1983F" w14:textId="65D5DB67"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FTTH penetration</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36AC5B5F" w14:textId="065803F5"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No. and % HH</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034E2A0E" w14:textId="0DAE828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67282D4E" w14:textId="37C83DE7"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Annual</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3E1EF9C5" w14:textId="13E05A9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63% homes passed as % HH</w:t>
            </w:r>
          </w:p>
          <w:p w14:paraId="7866D605" w14:textId="138BC95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6B54CD25" w14:textId="441A6D9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37% FTTH penetration as % HH</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4CC8A6D6" w14:textId="7E4BC06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95% FTTH coverage by 2035</w:t>
            </w:r>
          </w:p>
          <w:p w14:paraId="686E5427" w14:textId="4888C1E0"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7CA358BF" w14:textId="2F7464E8"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78% FTTH penetration as % HH by 2035 </w:t>
            </w:r>
          </w:p>
        </w:tc>
      </w:tr>
      <w:tr w:rsidR="00EF63B4" w:rsidRPr="00D86314" w14:paraId="27D042FE" w14:textId="77777777" w:rsidTr="00E606AF">
        <w:trPr>
          <w:trHeight w:val="480"/>
        </w:trPr>
        <w:tc>
          <w:tcPr>
            <w:tcW w:w="477" w:type="dxa"/>
            <w:vMerge/>
            <w:tcBorders>
              <w:top w:val="single" w:sz="4" w:space="0" w:color="auto"/>
              <w:left w:val="single" w:sz="4" w:space="0" w:color="auto"/>
              <w:bottom w:val="single" w:sz="4" w:space="0" w:color="auto"/>
              <w:right w:val="single" w:sz="4" w:space="0" w:color="auto"/>
            </w:tcBorders>
            <w:vAlign w:val="center"/>
          </w:tcPr>
          <w:p w14:paraId="69B9ABF9" w14:textId="77777777" w:rsidR="00347D82" w:rsidRPr="00D86314" w:rsidRDefault="00347D82">
            <w:pPr>
              <w:rPr>
                <w:noProof/>
              </w:rPr>
            </w:pPr>
          </w:p>
        </w:tc>
        <w:tc>
          <w:tcPr>
            <w:tcW w:w="1162" w:type="dxa"/>
            <w:tcBorders>
              <w:top w:val="single" w:sz="4" w:space="0" w:color="auto"/>
              <w:left w:val="single" w:sz="4" w:space="0" w:color="auto"/>
              <w:bottom w:val="single" w:sz="4" w:space="0" w:color="auto"/>
              <w:right w:val="single" w:sz="4" w:space="0" w:color="auto"/>
            </w:tcBorders>
            <w:tcMar>
              <w:left w:w="57" w:type="dxa"/>
              <w:right w:w="57" w:type="dxa"/>
            </w:tcMar>
          </w:tcPr>
          <w:p w14:paraId="08304550" w14:textId="5DCDD7B6"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Boost Gigabit broadband take-up by promoting competition in very high speed services</w:t>
            </w: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15AC2442" w14:textId="7C94547C"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Prices for Gigabit broadband</w:t>
            </w:r>
          </w:p>
          <w:p w14:paraId="6B4990FE" w14:textId="1DF6320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Take-up of Gigabit broadband as % total broadband</w:t>
            </w:r>
          </w:p>
          <w:p w14:paraId="5FA5AD27" w14:textId="3530140B"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HHI in Gigabit-capable broadband</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4777B19B" w14:textId="54D1CFB5" w:rsidR="17B36FC0" w:rsidRPr="00D86314" w:rsidRDefault="00357B59" w:rsidP="00703057">
            <w:pPr>
              <w:spacing w:after="160" w:line="257" w:lineRule="auto"/>
              <w:rPr>
                <w:rFonts w:eastAsia="Times New Roman"/>
                <w:noProof/>
                <w:sz w:val="20"/>
                <w:szCs w:val="20"/>
              </w:rPr>
            </w:pPr>
            <w:r w:rsidRPr="00D86314">
              <w:rPr>
                <w:rFonts w:eastAsia="Times New Roman"/>
                <w:noProof/>
                <w:sz w:val="20"/>
                <w:szCs w:val="20"/>
              </w:rPr>
              <w:t xml:space="preserve">EUR </w:t>
            </w:r>
            <w:r w:rsidR="17B36FC0" w:rsidRPr="00D86314">
              <w:rPr>
                <w:rFonts w:eastAsia="Times New Roman"/>
                <w:noProof/>
                <w:sz w:val="20"/>
                <w:szCs w:val="20"/>
              </w:rPr>
              <w:t>(absolute and PPP)</w:t>
            </w:r>
          </w:p>
          <w:p w14:paraId="165BA756" w14:textId="3118A20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2D50E21F" w14:textId="667CBB67"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No. and % BB</w:t>
            </w:r>
          </w:p>
          <w:p w14:paraId="3073FBB1" w14:textId="2450DC2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1E49AA15" w14:textId="7FE1A2B8"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No.</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20004DC7" w14:textId="5C5FA33B"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4D716C74" w14:textId="0EF9BF7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Annual</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4E515F13" w14:textId="7D0929CA"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22% Gigabit as % fixed BB </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5C80FE42" w14:textId="662A90D0"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40% take-up of Gigabit broadband as % all BB by 2035</w:t>
            </w:r>
          </w:p>
        </w:tc>
      </w:tr>
      <w:tr w:rsidR="17B36FC0" w:rsidRPr="00D86314" w14:paraId="31229F5B" w14:textId="77777777" w:rsidTr="00E606AF">
        <w:trPr>
          <w:trHeight w:val="300"/>
        </w:trPr>
        <w:tc>
          <w:tcPr>
            <w:tcW w:w="477"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A388732" w14:textId="5F4EB98E" w:rsidR="17B36FC0" w:rsidRPr="00D86314" w:rsidRDefault="17B36FC0" w:rsidP="00703057">
            <w:pPr>
              <w:spacing w:after="160" w:line="257" w:lineRule="auto"/>
              <w:rPr>
                <w:rFonts w:eastAsia="Times New Roman"/>
                <w:b/>
                <w:bCs/>
                <w:noProof/>
                <w:sz w:val="20"/>
                <w:szCs w:val="20"/>
              </w:rPr>
            </w:pPr>
            <w:r w:rsidRPr="00D86314">
              <w:rPr>
                <w:rFonts w:eastAsia="Times New Roman"/>
                <w:b/>
                <w:bCs/>
                <w:noProof/>
                <w:sz w:val="20"/>
                <w:szCs w:val="20"/>
              </w:rPr>
              <w:t>Operational objectives</w:t>
            </w:r>
          </w:p>
        </w:tc>
        <w:tc>
          <w:tcPr>
            <w:tcW w:w="1162"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3DD9957" w14:textId="32B8A23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Switch off copper networks by 2030 and no later than 2035</w:t>
            </w: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408D651D" w14:textId="460331B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Penetration of copper-based broadband including FTTC / VDSL, FTTB / G.fast</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2F0AB55A" w14:textId="6902055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No. and % broadband </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277B5C4F" w14:textId="7FA8C96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NRAs, 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187927C5" w14:textId="57F6E348"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Annual</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33276FD6" w14:textId="021027B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24% as % total HH</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9146413" w14:textId="145F91E9"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7% of HH by 2030, 0% by 2035</w:t>
            </w:r>
          </w:p>
        </w:tc>
      </w:tr>
      <w:tr w:rsidR="00EF63B4" w:rsidRPr="00D86314" w14:paraId="48443F6A" w14:textId="77777777" w:rsidTr="00E606AF">
        <w:trPr>
          <w:trHeight w:val="300"/>
        </w:trPr>
        <w:tc>
          <w:tcPr>
            <w:tcW w:w="477" w:type="dxa"/>
            <w:vMerge/>
            <w:tcBorders>
              <w:top w:val="single" w:sz="4" w:space="0" w:color="auto"/>
              <w:left w:val="single" w:sz="4" w:space="0" w:color="auto"/>
              <w:bottom w:val="single" w:sz="4" w:space="0" w:color="auto"/>
              <w:right w:val="single" w:sz="4" w:space="0" w:color="auto"/>
            </w:tcBorders>
            <w:vAlign w:val="center"/>
          </w:tcPr>
          <w:p w14:paraId="00563CF1" w14:textId="77777777" w:rsidR="00347D82" w:rsidRPr="00D86314" w:rsidRDefault="00347D82">
            <w:pPr>
              <w:rPr>
                <w:noProof/>
              </w:rPr>
            </w:pPr>
          </w:p>
        </w:tc>
        <w:tc>
          <w:tcPr>
            <w:tcW w:w="1162" w:type="dxa"/>
            <w:vMerge/>
            <w:tcBorders>
              <w:top w:val="single" w:sz="4" w:space="0" w:color="auto"/>
              <w:left w:val="single" w:sz="4" w:space="0" w:color="auto"/>
              <w:bottom w:val="single" w:sz="4" w:space="0" w:color="auto"/>
              <w:right w:val="single" w:sz="4" w:space="0" w:color="auto"/>
            </w:tcBorders>
            <w:vAlign w:val="center"/>
          </w:tcPr>
          <w:p w14:paraId="1D3CDF73" w14:textId="77777777" w:rsidR="00347D82" w:rsidRPr="00D86314" w:rsidRDefault="00347D82">
            <w:pPr>
              <w:rPr>
                <w:noProof/>
              </w:rPr>
            </w:pP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358C3FC4" w14:textId="5124F97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Households served with copper based broadband including FTTC / VDSL, FTTB / G.fast</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3B6A76D7" w14:textId="7FF5E141"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No and % HH</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03C883D1" w14:textId="1D50793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NRAs, 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09A8BB1" w14:textId="38E91B81"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Annual</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0A35F1E" w14:textId="27049D6C"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74.5% ADSL coverage (2024)</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0E2F3A63" w14:textId="45145DCE"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0% by 2030</w:t>
            </w:r>
          </w:p>
        </w:tc>
      </w:tr>
      <w:tr w:rsidR="00EF63B4" w:rsidRPr="00D86314" w14:paraId="5BA192F3" w14:textId="77777777" w:rsidTr="00E606AF">
        <w:trPr>
          <w:trHeight w:val="300"/>
        </w:trPr>
        <w:tc>
          <w:tcPr>
            <w:tcW w:w="477" w:type="dxa"/>
            <w:vMerge/>
            <w:tcBorders>
              <w:top w:val="single" w:sz="4" w:space="0" w:color="auto"/>
              <w:left w:val="single" w:sz="4" w:space="0" w:color="auto"/>
              <w:bottom w:val="single" w:sz="4" w:space="0" w:color="auto"/>
              <w:right w:val="single" w:sz="4" w:space="0" w:color="auto"/>
            </w:tcBorders>
            <w:vAlign w:val="center"/>
          </w:tcPr>
          <w:p w14:paraId="3EB54262" w14:textId="77777777" w:rsidR="00347D82" w:rsidRPr="00D86314" w:rsidRDefault="00347D82">
            <w:pPr>
              <w:rPr>
                <w:noProof/>
              </w:rPr>
            </w:pPr>
          </w:p>
        </w:tc>
        <w:tc>
          <w:tcPr>
            <w:tcW w:w="1162"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29AEAC4" w14:textId="599DE8FB"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Harmonise wholesale product specifications so that they are consistent and enable competition on quality and price</w:t>
            </w: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245F0612" w14:textId="0E73C9A6"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Prices for and take-up of Gigabit broadband (as above)</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2D3F106E" w14:textId="013C1F5C"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73B7775" w14:textId="49EC4A17"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3E96DB9" w14:textId="5E3AC8E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136E1337" w14:textId="66DC797A"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1FEC6C72" w14:textId="22573261"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tc>
      </w:tr>
      <w:tr w:rsidR="009C3B48" w:rsidRPr="00D86314" w14:paraId="74C0260D" w14:textId="77777777" w:rsidTr="00E606AF">
        <w:trPr>
          <w:trHeight w:val="300"/>
        </w:trPr>
        <w:tc>
          <w:tcPr>
            <w:tcW w:w="477" w:type="dxa"/>
            <w:vMerge/>
            <w:tcBorders>
              <w:top w:val="single" w:sz="4" w:space="0" w:color="auto"/>
              <w:left w:val="single" w:sz="4" w:space="0" w:color="auto"/>
              <w:bottom w:val="single" w:sz="4" w:space="0" w:color="auto"/>
              <w:right w:val="single" w:sz="4" w:space="0" w:color="auto"/>
            </w:tcBorders>
            <w:vAlign w:val="center"/>
          </w:tcPr>
          <w:p w14:paraId="526497F1" w14:textId="77777777" w:rsidR="00347D82" w:rsidRPr="00D86314" w:rsidRDefault="00347D82">
            <w:pPr>
              <w:rPr>
                <w:noProof/>
              </w:rPr>
            </w:pPr>
          </w:p>
        </w:tc>
        <w:tc>
          <w:tcPr>
            <w:tcW w:w="1162" w:type="dxa"/>
            <w:vMerge/>
            <w:tcBorders>
              <w:top w:val="single" w:sz="4" w:space="0" w:color="auto"/>
              <w:left w:val="single" w:sz="4" w:space="0" w:color="auto"/>
              <w:bottom w:val="single" w:sz="4" w:space="0" w:color="auto"/>
              <w:right w:val="single" w:sz="4" w:space="0" w:color="auto"/>
            </w:tcBorders>
            <w:vAlign w:val="center"/>
          </w:tcPr>
          <w:p w14:paraId="4DE80B98" w14:textId="77777777" w:rsidR="00347D82" w:rsidRPr="00D86314" w:rsidRDefault="00347D82">
            <w:pPr>
              <w:rPr>
                <w:noProof/>
              </w:rPr>
            </w:pP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79D1D6CD" w14:textId="518AEAC5"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Take-up of FTTH unbundling as % total connections and as % wholesale BB connections</w:t>
            </w:r>
          </w:p>
          <w:p w14:paraId="6154C2F8" w14:textId="6716485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51D71588" w14:textId="1C17C6D1"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Take-up of FTTH VULA as % total connections and % total wholesale BB connections</w:t>
            </w:r>
          </w:p>
          <w:p w14:paraId="0DF5487A" w14:textId="616AE486"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6F48D3FB" w14:textId="39624F29"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Availability of dedicated connectivity as % business premises</w:t>
            </w:r>
          </w:p>
          <w:p w14:paraId="4CC0FC78" w14:textId="43F1D77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7ECB9714" w14:textId="10D1B1D0"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Availability of mass-market FTTH with business-grade QoS</w:t>
            </w:r>
          </w:p>
          <w:p w14:paraId="4D28901F" w14:textId="1B82A3F7"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7B5071B7" w14:textId="0024FA50"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328429D8" w14:textId="0305F36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No. and % total connections and % wholesale connections</w:t>
            </w:r>
          </w:p>
          <w:p w14:paraId="7F5A9194" w14:textId="510FF977"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619AB97C" w14:textId="7AEC570D"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04CE77B1" w14:textId="3C5BB2A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05876E70" w14:textId="0B260656"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Present in country</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4347A138" w14:textId="64B6475B"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NRAs, EC</w:t>
            </w:r>
          </w:p>
          <w:p w14:paraId="02C3D227" w14:textId="46ECEAFD"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3388463C" w14:textId="338D11B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5F124F1C" w14:textId="66F840A9"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5AA4AB76" w14:textId="3CD4FFA0"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7C1FFA51" w14:textId="65D22B76"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6CA5F219" w14:textId="0B4E4059"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69F1FDAA" w14:textId="6A0645D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44358B9C" w14:textId="398E734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NRAs</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522616C" w14:textId="5422049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Annual</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31BEEE45" w14:textId="2F393E16"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See </w:t>
            </w:r>
            <w:r w:rsidR="00805C1A" w:rsidRPr="00D86314">
              <w:rPr>
                <w:rFonts w:eastAsia="Times New Roman"/>
                <w:noProof/>
                <w:sz w:val="20"/>
                <w:szCs w:val="20"/>
              </w:rPr>
              <w:t>Study on Access Regulation</w:t>
            </w:r>
            <w:r w:rsidRPr="00D86314">
              <w:rPr>
                <w:rFonts w:eastAsia="Times New Roman"/>
                <w:noProof/>
                <w:sz w:val="20"/>
                <w:szCs w:val="20"/>
              </w:rPr>
              <w:t>. FTTH unbundling is 20% FTTH wholesale connections</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8A43B98" w14:textId="75F9B8E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30% by 2035</w:t>
            </w:r>
          </w:p>
          <w:p w14:paraId="531025AC" w14:textId="3A0D98B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3F8BFD75" w14:textId="544A80AC"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59F08AC7" w14:textId="5919D930"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2C49718D" w14:textId="4C34CDB1"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19CF0052" w14:textId="0FAB321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68570800" w14:textId="21A74FFE"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52EA42E8" w14:textId="70FD6A70"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1B581EEB" w14:textId="19BF4283"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Available in all MS by 2030</w:t>
            </w:r>
          </w:p>
        </w:tc>
      </w:tr>
      <w:tr w:rsidR="00EF63B4" w:rsidRPr="00D86314" w14:paraId="05EC7313" w14:textId="77777777" w:rsidTr="00E606AF">
        <w:trPr>
          <w:trHeight w:val="300"/>
        </w:trPr>
        <w:tc>
          <w:tcPr>
            <w:tcW w:w="477" w:type="dxa"/>
            <w:vMerge/>
            <w:tcBorders>
              <w:top w:val="single" w:sz="4" w:space="0" w:color="auto"/>
              <w:left w:val="single" w:sz="4" w:space="0" w:color="auto"/>
              <w:bottom w:val="single" w:sz="4" w:space="0" w:color="auto"/>
              <w:right w:val="single" w:sz="4" w:space="0" w:color="auto"/>
            </w:tcBorders>
            <w:vAlign w:val="center"/>
          </w:tcPr>
          <w:p w14:paraId="40848856" w14:textId="77777777" w:rsidR="00347D82" w:rsidRPr="00D86314" w:rsidRDefault="00347D82">
            <w:pPr>
              <w:rPr>
                <w:noProof/>
              </w:rPr>
            </w:pPr>
          </w:p>
        </w:tc>
        <w:tc>
          <w:tcPr>
            <w:tcW w:w="1162"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566AFF9" w14:textId="0130F6BB"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Require regular data gathering at regional level and mandate NRAs to take this into account when reviewing markets</w:t>
            </w: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50B6BB8F" w14:textId="780C0CE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Availability of data on FTTH, other Gigabit technologies, copper, dedicated connectivity, at retail level and regional level at the infrastructure layer</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0DDC2BEA" w14:textId="7D3E1B6D"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Present in country</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23294B5" w14:textId="3E363DEB"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NRA / competent authority</w:t>
            </w:r>
          </w:p>
          <w:p w14:paraId="6583FCCD" w14:textId="4A0944F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3781F95B" w14:textId="6AF54BBD"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Review by 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0D163A97" w14:textId="2F9E7551"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Annual</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4EF5288C" w14:textId="29C36609"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Variable. 15 MS did not provide data on enterprise connectivity to study team</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45BFBC1D" w14:textId="4A010DA5"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Present in EU 27</w:t>
            </w:r>
          </w:p>
        </w:tc>
      </w:tr>
      <w:tr w:rsidR="00EF63B4" w:rsidRPr="00D86314" w14:paraId="45A8C44B" w14:textId="77777777" w:rsidTr="00E606AF">
        <w:trPr>
          <w:trHeight w:val="300"/>
        </w:trPr>
        <w:tc>
          <w:tcPr>
            <w:tcW w:w="477" w:type="dxa"/>
            <w:vMerge/>
            <w:tcBorders>
              <w:top w:val="single" w:sz="4" w:space="0" w:color="auto"/>
              <w:right w:val="single" w:sz="4" w:space="0" w:color="auto"/>
            </w:tcBorders>
            <w:vAlign w:val="center"/>
          </w:tcPr>
          <w:p w14:paraId="23ECADBB" w14:textId="77777777" w:rsidR="00347D82" w:rsidRPr="00D86314" w:rsidRDefault="00347D82">
            <w:pPr>
              <w:rPr>
                <w:noProof/>
              </w:rPr>
            </w:pPr>
          </w:p>
        </w:tc>
        <w:tc>
          <w:tcPr>
            <w:tcW w:w="1162" w:type="dxa"/>
            <w:vMerge/>
            <w:tcBorders>
              <w:top w:val="single" w:sz="4" w:space="0" w:color="auto"/>
              <w:left w:val="single" w:sz="4" w:space="0" w:color="auto"/>
              <w:bottom w:val="single" w:sz="4" w:space="0" w:color="auto"/>
              <w:right w:val="single" w:sz="4" w:space="0" w:color="auto"/>
            </w:tcBorders>
            <w:vAlign w:val="center"/>
          </w:tcPr>
          <w:p w14:paraId="091911F6" w14:textId="77777777" w:rsidR="00347D82" w:rsidRPr="00D86314" w:rsidRDefault="00347D82">
            <w:pPr>
              <w:rPr>
                <w:noProof/>
              </w:rPr>
            </w:pPr>
          </w:p>
        </w:tc>
        <w:tc>
          <w:tcPr>
            <w:tcW w:w="1588" w:type="dxa"/>
            <w:tcBorders>
              <w:top w:val="single" w:sz="4" w:space="0" w:color="auto"/>
              <w:left w:val="single" w:sz="4" w:space="0" w:color="auto"/>
              <w:bottom w:val="single" w:sz="4" w:space="0" w:color="auto"/>
              <w:right w:val="single" w:sz="4" w:space="0" w:color="auto"/>
            </w:tcBorders>
            <w:tcMar>
              <w:left w:w="57" w:type="dxa"/>
              <w:right w:w="57" w:type="dxa"/>
            </w:tcMar>
          </w:tcPr>
          <w:p w14:paraId="561430C4" w14:textId="601063FA"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Reviews conducted of retail markets for mass-market and enterprise connectivity based on data gathered</w:t>
            </w:r>
          </w:p>
        </w:tc>
        <w:tc>
          <w:tcPr>
            <w:tcW w:w="1076" w:type="dxa"/>
            <w:tcBorders>
              <w:top w:val="single" w:sz="8" w:space="0" w:color="A6A6A6" w:themeColor="background1" w:themeShade="A6"/>
              <w:left w:val="single" w:sz="4" w:space="0" w:color="auto"/>
              <w:bottom w:val="single" w:sz="8" w:space="0" w:color="A6A6A6" w:themeColor="background1" w:themeShade="A6"/>
              <w:right w:val="single" w:sz="8" w:space="0" w:color="A6A6A6" w:themeColor="background1" w:themeShade="A6"/>
            </w:tcBorders>
            <w:tcMar>
              <w:left w:w="57" w:type="dxa"/>
              <w:right w:w="57" w:type="dxa"/>
            </w:tcMar>
          </w:tcPr>
          <w:p w14:paraId="7F0B904C" w14:textId="2D164DB4"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Present in country / notification to 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4956DF1A" w14:textId="6407ED72"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NRA </w:t>
            </w:r>
          </w:p>
          <w:p w14:paraId="4E5493F1" w14:textId="402FA08C"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p w14:paraId="2AAA1BC8" w14:textId="7438F50A"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Review by 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03E0DA66" w14:textId="289A287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5 yearly (but rolling collection of number of reviews by EC)</w:t>
            </w:r>
          </w:p>
        </w:tc>
        <w:tc>
          <w:tcPr>
            <w:tcW w:w="107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7D7CA9A0" w14:textId="1A59B15F"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 xml:space="preserve"> </w:t>
            </w:r>
          </w:p>
        </w:tc>
        <w:tc>
          <w:tcPr>
            <w:tcW w:w="12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57" w:type="dxa"/>
              <w:right w:w="57" w:type="dxa"/>
            </w:tcMar>
          </w:tcPr>
          <w:p w14:paraId="1011FD44" w14:textId="2E312037" w:rsidR="17B36FC0" w:rsidRPr="00D86314" w:rsidRDefault="17B36FC0" w:rsidP="00703057">
            <w:pPr>
              <w:spacing w:after="160" w:line="257" w:lineRule="auto"/>
              <w:rPr>
                <w:rFonts w:eastAsia="Times New Roman"/>
                <w:noProof/>
                <w:sz w:val="20"/>
                <w:szCs w:val="20"/>
              </w:rPr>
            </w:pPr>
            <w:r w:rsidRPr="00D86314">
              <w:rPr>
                <w:rFonts w:eastAsia="Times New Roman"/>
                <w:noProof/>
                <w:sz w:val="20"/>
                <w:szCs w:val="20"/>
              </w:rPr>
              <w:t>Present in EU 27</w:t>
            </w:r>
          </w:p>
        </w:tc>
      </w:tr>
    </w:tbl>
    <w:p w14:paraId="5849BE18" w14:textId="4D86FD20" w:rsidR="009F4F9B" w:rsidRPr="00D86314" w:rsidRDefault="003C3454" w:rsidP="00425F72">
      <w:pPr>
        <w:pStyle w:val="Heading2"/>
        <w:numPr>
          <w:ilvl w:val="0"/>
          <w:numId w:val="0"/>
        </w:numPr>
        <w:spacing w:before="360"/>
        <w:ind w:left="578" w:hanging="578"/>
        <w:rPr>
          <w:noProof/>
        </w:rPr>
      </w:pPr>
      <w:bookmarkStart w:id="319" w:name="_Toc209596128"/>
      <w:bookmarkStart w:id="320" w:name="_Toc219718463"/>
      <w:r w:rsidRPr="00D86314">
        <w:rPr>
          <w:noProof/>
        </w:rPr>
        <w:t xml:space="preserve">2.2 </w:t>
      </w:r>
      <w:r w:rsidR="009F4F9B" w:rsidRPr="00D86314">
        <w:rPr>
          <w:noProof/>
        </w:rPr>
        <w:t>Spectrum</w:t>
      </w:r>
      <w:bookmarkEnd w:id="319"/>
      <w:bookmarkEnd w:id="320"/>
    </w:p>
    <w:p w14:paraId="200E8021" w14:textId="32BA3A9B" w:rsidR="009F4F9B" w:rsidRPr="00D86314" w:rsidRDefault="009F4F9B" w:rsidP="009F4F9B">
      <w:pPr>
        <w:spacing w:after="120"/>
        <w:rPr>
          <w:noProof/>
        </w:rPr>
      </w:pPr>
      <w:r w:rsidRPr="00D86314">
        <w:rPr>
          <w:noProof/>
        </w:rPr>
        <w:t>Objective: Monitoring</w:t>
      </w:r>
      <w:r w:rsidRPr="00D86314">
        <w:rPr>
          <w:rStyle w:val="FootnoteReference"/>
          <w:noProof/>
        </w:rPr>
        <w:footnoteReference w:id="245"/>
      </w:r>
      <w:r w:rsidRPr="00D86314">
        <w:rPr>
          <w:noProof/>
        </w:rPr>
        <w:t xml:space="preserve"> the impact of spectrum measures</w:t>
      </w:r>
      <w:r w:rsidR="006369B5" w:rsidRPr="00D86314">
        <w:rPr>
          <w:noProof/>
        </w:rPr>
        <w:t xml:space="preserve"> in ensuring high quality </w:t>
      </w:r>
      <w:r w:rsidR="001114F0" w:rsidRPr="00D86314">
        <w:rPr>
          <w:noProof/>
        </w:rPr>
        <w:t xml:space="preserve">mobile </w:t>
      </w:r>
      <w:r w:rsidR="006369B5" w:rsidRPr="00D86314">
        <w:rPr>
          <w:noProof/>
        </w:rPr>
        <w:t>networks to better serve end-users and enable quality-assured services</w:t>
      </w:r>
      <w:r w:rsidRPr="00D86314">
        <w:rPr>
          <w:noProof/>
        </w:rPr>
        <w:t xml:space="preserve"> requires a focus on the evolution towards “</w:t>
      </w:r>
      <w:r w:rsidRPr="00D86314">
        <w:rPr>
          <w:b/>
          <w:bCs/>
          <w:noProof/>
        </w:rPr>
        <w:t>real 5G”,</w:t>
      </w:r>
      <w:r w:rsidRPr="00D86314">
        <w:rPr>
          <w:noProof/>
        </w:rPr>
        <w:t xml:space="preserve"> i.e. networks operating in </w:t>
      </w:r>
      <w:r w:rsidRPr="00D86314">
        <w:rPr>
          <w:b/>
          <w:bCs/>
          <w:noProof/>
        </w:rPr>
        <w:t>Standalone (SA) mode</w:t>
      </w:r>
      <w:r w:rsidRPr="00D86314">
        <w:rPr>
          <w:noProof/>
        </w:rPr>
        <w:t xml:space="preserve"> with a native 5G Core</w:t>
      </w:r>
      <w:r w:rsidR="00E63BDC" w:rsidRPr="00D86314">
        <w:rPr>
          <w:noProof/>
        </w:rPr>
        <w:t xml:space="preserve"> (6G in the future)</w:t>
      </w:r>
      <w:r w:rsidR="00AA60C7" w:rsidRPr="00D86314">
        <w:rPr>
          <w:noProof/>
        </w:rPr>
        <w:t xml:space="preserve"> </w:t>
      </w:r>
      <w:r w:rsidRPr="00D86314">
        <w:rPr>
          <w:noProof/>
        </w:rPr>
        <w:t xml:space="preserve">and sufficient spectrum resources. </w:t>
      </w:r>
      <w:r w:rsidRPr="00D86314">
        <w:rPr>
          <w:b/>
          <w:bCs/>
          <w:noProof/>
        </w:rPr>
        <w:t>SA coverage and availability</w:t>
      </w:r>
      <w:r w:rsidRPr="00D86314">
        <w:rPr>
          <w:noProof/>
        </w:rPr>
        <w:t xml:space="preserve"> </w:t>
      </w:r>
      <w:r w:rsidR="00CC3834" w:rsidRPr="00D86314">
        <w:rPr>
          <w:b/>
          <w:bCs/>
          <w:noProof/>
        </w:rPr>
        <w:t>and quality of service</w:t>
      </w:r>
      <w:r w:rsidR="007965D1" w:rsidRPr="00D86314">
        <w:rPr>
          <w:b/>
          <w:bCs/>
          <w:noProof/>
        </w:rPr>
        <w:t>-quality of experience</w:t>
      </w:r>
      <w:r w:rsidR="007965D1" w:rsidRPr="00D86314">
        <w:rPr>
          <w:noProof/>
        </w:rPr>
        <w:t xml:space="preserve"> </w:t>
      </w:r>
      <w:r w:rsidRPr="00D86314">
        <w:rPr>
          <w:noProof/>
        </w:rPr>
        <w:t xml:space="preserve">are the defining step beyond NSA, unlocking the advanced performance and service capabilities expected from 5G and forming the foundation for 6G. </w:t>
      </w:r>
    </w:p>
    <w:p w14:paraId="65F168F3" w14:textId="21261004" w:rsidR="00AA60C7" w:rsidRPr="00D86314" w:rsidRDefault="009F4F9B" w:rsidP="007965D1">
      <w:pPr>
        <w:numPr>
          <w:ilvl w:val="0"/>
          <w:numId w:val="37"/>
        </w:numPr>
        <w:spacing w:after="120"/>
        <w:ind w:left="357" w:hanging="357"/>
        <w:rPr>
          <w:noProof/>
        </w:rPr>
      </w:pPr>
      <w:r w:rsidRPr="00D86314">
        <w:rPr>
          <w:b/>
          <w:noProof/>
        </w:rPr>
        <w:t>KPI 1:</w:t>
      </w:r>
      <w:r w:rsidRPr="00D86314">
        <w:rPr>
          <w:noProof/>
        </w:rPr>
        <w:t xml:space="preserve"> The </w:t>
      </w:r>
      <w:r w:rsidRPr="00D86314">
        <w:rPr>
          <w:b/>
          <w:noProof/>
        </w:rPr>
        <w:t>core indicator</w:t>
      </w:r>
      <w:r w:rsidRPr="00D86314">
        <w:rPr>
          <w:noProof/>
        </w:rPr>
        <w:t xml:space="preserve"> to measure this progress should be </w:t>
      </w:r>
      <w:r w:rsidR="00AA60C7" w:rsidRPr="00D86314">
        <w:rPr>
          <w:b/>
          <w:noProof/>
        </w:rPr>
        <w:t>Quality of Service and Quality of Experience</w:t>
      </w:r>
      <w:r w:rsidR="00AA60C7" w:rsidRPr="00D86314">
        <w:rPr>
          <w:noProof/>
        </w:rPr>
        <w:t>, measured through key metrics such as speed, latency, jitter, traffic share on mid-band and comparative SA vs. NSA performance.</w:t>
      </w:r>
    </w:p>
    <w:p w14:paraId="33B17658" w14:textId="06705978" w:rsidR="007965D1" w:rsidRPr="00D86314" w:rsidRDefault="009F4F9B" w:rsidP="00425F72">
      <w:pPr>
        <w:numPr>
          <w:ilvl w:val="0"/>
          <w:numId w:val="37"/>
        </w:numPr>
        <w:ind w:left="357" w:hanging="357"/>
        <w:rPr>
          <w:noProof/>
        </w:rPr>
      </w:pPr>
      <w:r w:rsidRPr="00D86314" w:rsidDel="00AA60C7">
        <w:rPr>
          <w:b/>
          <w:noProof/>
        </w:rPr>
        <w:t>5G SA coverage and availability</w:t>
      </w:r>
      <w:r w:rsidRPr="00D86314" w:rsidDel="00AA60C7">
        <w:rPr>
          <w:noProof/>
        </w:rPr>
        <w:t xml:space="preserve">, expressed as the share of total 5G radio coverage and the measure of how often end-users get 5G SA. </w:t>
      </w:r>
    </w:p>
    <w:p w14:paraId="239DF2E0" w14:textId="77777777" w:rsidR="009F4F9B" w:rsidRPr="00D86314" w:rsidRDefault="009F4F9B" w:rsidP="009F4F9B">
      <w:pPr>
        <w:rPr>
          <w:noProof/>
        </w:rPr>
      </w:pPr>
      <w:r w:rsidRPr="00D86314">
        <w:rPr>
          <w:noProof/>
        </w:rPr>
        <w:t xml:space="preserve">Objective: Ensure a comprehensive assessment of spectrum measures and related investments, </w:t>
      </w:r>
      <w:r w:rsidRPr="00D86314">
        <w:rPr>
          <w:b/>
          <w:noProof/>
        </w:rPr>
        <w:t>additional supporting indicators</w:t>
      </w:r>
      <w:r w:rsidRPr="00D86314">
        <w:rPr>
          <w:noProof/>
        </w:rPr>
        <w:t xml:space="preserve"> should be tracked. </w:t>
      </w:r>
    </w:p>
    <w:p w14:paraId="7D7B3CC9" w14:textId="77777777" w:rsidR="009F4F9B" w:rsidRPr="00D86314" w:rsidRDefault="009F4F9B" w:rsidP="009F4F9B">
      <w:pPr>
        <w:spacing w:after="120"/>
        <w:rPr>
          <w:noProof/>
        </w:rPr>
      </w:pPr>
      <w:r w:rsidRPr="00D86314">
        <w:rPr>
          <w:noProof/>
        </w:rPr>
        <w:t>These include:</w:t>
      </w:r>
    </w:p>
    <w:p w14:paraId="68C67C0F" w14:textId="77777777" w:rsidR="009D7642" w:rsidRPr="00D86314" w:rsidRDefault="009F4F9B" w:rsidP="00A00C17">
      <w:pPr>
        <w:numPr>
          <w:ilvl w:val="0"/>
          <w:numId w:val="37"/>
        </w:numPr>
        <w:spacing w:after="120"/>
        <w:ind w:left="357" w:hanging="357"/>
        <w:rPr>
          <w:noProof/>
        </w:rPr>
      </w:pPr>
      <w:r w:rsidRPr="00D86314">
        <w:rPr>
          <w:b/>
          <w:noProof/>
        </w:rPr>
        <w:t xml:space="preserve">KPI 1.1. 5G </w:t>
      </w:r>
      <w:r w:rsidR="00D6709E" w:rsidRPr="00D86314">
        <w:rPr>
          <w:b/>
          <w:noProof/>
        </w:rPr>
        <w:t>SA coverage and availability</w:t>
      </w:r>
      <w:r w:rsidR="00D6709E" w:rsidRPr="00D86314">
        <w:rPr>
          <w:noProof/>
        </w:rPr>
        <w:t xml:space="preserve">, expressed as the share of total 5G radio coverage and the measure of how often end-users </w:t>
      </w:r>
      <w:r w:rsidR="009D7642" w:rsidRPr="00D86314">
        <w:rPr>
          <w:noProof/>
        </w:rPr>
        <w:t xml:space="preserve">really </w:t>
      </w:r>
      <w:r w:rsidR="00D6709E" w:rsidRPr="00D86314">
        <w:rPr>
          <w:noProof/>
        </w:rPr>
        <w:t>get 5G SA</w:t>
      </w:r>
      <w:r w:rsidR="009D7642" w:rsidRPr="00D86314">
        <w:rPr>
          <w:noProof/>
        </w:rPr>
        <w:t xml:space="preserve"> in a daily usage</w:t>
      </w:r>
    </w:p>
    <w:p w14:paraId="7BD7DACF" w14:textId="5C840DA0" w:rsidR="009F4F9B" w:rsidRPr="00D86314" w:rsidRDefault="00D6709E" w:rsidP="00A00C17">
      <w:pPr>
        <w:numPr>
          <w:ilvl w:val="0"/>
          <w:numId w:val="37"/>
        </w:numPr>
        <w:spacing w:after="120"/>
        <w:ind w:left="357" w:hanging="357"/>
        <w:rPr>
          <w:noProof/>
        </w:rPr>
      </w:pPr>
      <w:r w:rsidRPr="00D86314">
        <w:rPr>
          <w:b/>
          <w:noProof/>
        </w:rPr>
        <w:t xml:space="preserve"> </w:t>
      </w:r>
      <w:r w:rsidR="009D7642" w:rsidRPr="00D86314">
        <w:rPr>
          <w:b/>
          <w:noProof/>
        </w:rPr>
        <w:t>KPI 1.2.</w:t>
      </w:r>
      <w:r w:rsidRPr="00D86314">
        <w:rPr>
          <w:b/>
          <w:noProof/>
        </w:rPr>
        <w:t xml:space="preserve"> </w:t>
      </w:r>
      <w:r w:rsidR="007B582D" w:rsidRPr="00D86314">
        <w:rPr>
          <w:b/>
          <w:noProof/>
        </w:rPr>
        <w:t>M</w:t>
      </w:r>
      <w:r w:rsidR="009F4F9B" w:rsidRPr="00D86314">
        <w:rPr>
          <w:b/>
          <w:noProof/>
        </w:rPr>
        <w:t>id-band population coverage</w:t>
      </w:r>
      <w:r w:rsidR="009F4F9B" w:rsidRPr="00D86314">
        <w:rPr>
          <w:noProof/>
        </w:rPr>
        <w:t xml:space="preserve"> (percentage of population covered in the 3.4–3.8 GHz band), ensuring that deployment is measured where capacity and performance are meaningful.</w:t>
      </w:r>
    </w:p>
    <w:p w14:paraId="22F237B4" w14:textId="77777777" w:rsidR="009F4F9B" w:rsidRPr="00D86314" w:rsidRDefault="009F4F9B" w:rsidP="00A00C17">
      <w:pPr>
        <w:numPr>
          <w:ilvl w:val="0"/>
          <w:numId w:val="37"/>
        </w:numPr>
        <w:spacing w:after="120"/>
        <w:ind w:left="357" w:hanging="357"/>
        <w:rPr>
          <w:noProof/>
        </w:rPr>
      </w:pPr>
      <w:r w:rsidRPr="00D86314">
        <w:rPr>
          <w:b/>
          <w:noProof/>
        </w:rPr>
        <w:t>KPI 1.2 Spectrum readiness</w:t>
      </w:r>
      <w:r w:rsidRPr="00D86314">
        <w:rPr>
          <w:noProof/>
        </w:rPr>
        <w:t xml:space="preserve"> (MHz/pop, assigned in 5G mid-band and future 6G pioneer bands), directly reflecting impact of spectrum measures, regulatory preparedness and efficient spectrum use.</w:t>
      </w:r>
    </w:p>
    <w:p w14:paraId="2ADE9F2E" w14:textId="39B36EE1" w:rsidR="009F4F9B" w:rsidRPr="00D86314" w:rsidDel="007965D1" w:rsidRDefault="009F4F9B" w:rsidP="00A00C17">
      <w:pPr>
        <w:numPr>
          <w:ilvl w:val="0"/>
          <w:numId w:val="37"/>
        </w:numPr>
        <w:spacing w:after="120"/>
        <w:ind w:left="357" w:hanging="357"/>
        <w:rPr>
          <w:noProof/>
        </w:rPr>
      </w:pPr>
      <w:r w:rsidRPr="00D86314" w:rsidDel="007965D1">
        <w:rPr>
          <w:b/>
          <w:noProof/>
        </w:rPr>
        <w:t>KPI 1.4 Quality of Service and Quality of Experience</w:t>
      </w:r>
      <w:r w:rsidRPr="00D86314" w:rsidDel="007965D1">
        <w:rPr>
          <w:noProof/>
        </w:rPr>
        <w:t xml:space="preserve">, measured through key metrics such as speed, latency, jitter, traffic share on mid-band and comparative SA vs. NSA performance. </w:t>
      </w:r>
    </w:p>
    <w:p w14:paraId="398D7350" w14:textId="77777777" w:rsidR="009F4F9B" w:rsidRPr="00D86314" w:rsidRDefault="009F4F9B" w:rsidP="009F4F9B">
      <w:pPr>
        <w:spacing w:after="120"/>
        <w:rPr>
          <w:noProof/>
        </w:rPr>
      </w:pPr>
      <w:r w:rsidRPr="00D86314">
        <w:rPr>
          <w:noProof/>
        </w:rPr>
        <w:t xml:space="preserve">Objective: simplify access to spectrum and efficient use </w:t>
      </w:r>
    </w:p>
    <w:p w14:paraId="028DA878" w14:textId="77777777" w:rsidR="009F4F9B" w:rsidRPr="00D86314" w:rsidRDefault="009F4F9B" w:rsidP="009F4F9B">
      <w:pPr>
        <w:spacing w:before="120" w:after="120"/>
        <w:rPr>
          <w:noProof/>
        </w:rPr>
      </w:pPr>
      <w:r w:rsidRPr="00D86314">
        <w:rPr>
          <w:b/>
          <w:noProof/>
        </w:rPr>
        <w:t>KPI</w:t>
      </w:r>
      <w:r w:rsidRPr="00D86314">
        <w:rPr>
          <w:noProof/>
        </w:rPr>
        <w:t xml:space="preserve">: Time to obtain spectrum authorisation: This indicator will evaluate if simplification measures reduce timing to access spectrum </w:t>
      </w:r>
    </w:p>
    <w:p w14:paraId="0F84C65C" w14:textId="77777777" w:rsidR="009F4F9B" w:rsidRPr="00D86314" w:rsidRDefault="009F4F9B" w:rsidP="009F4F9B">
      <w:pPr>
        <w:spacing w:before="120" w:after="120"/>
        <w:rPr>
          <w:noProof/>
        </w:rPr>
      </w:pPr>
      <w:r w:rsidRPr="00D86314">
        <w:rPr>
          <w:b/>
          <w:noProof/>
        </w:rPr>
        <w:t>KPI</w:t>
      </w:r>
      <w:r w:rsidRPr="00D86314">
        <w:rPr>
          <w:noProof/>
        </w:rPr>
        <w:t xml:space="preserve"> Number of Licenses with sharing conditions. This indicator will measure if spectrum rights promote a flexible and simplified use of spectrum.</w:t>
      </w:r>
    </w:p>
    <w:p w14:paraId="73BA64D4" w14:textId="77777777" w:rsidR="009F4F9B" w:rsidRPr="00D86314" w:rsidRDefault="009F4F9B" w:rsidP="009F4F9B">
      <w:pPr>
        <w:spacing w:before="120" w:after="120"/>
        <w:rPr>
          <w:noProof/>
        </w:rPr>
      </w:pPr>
      <w:r w:rsidRPr="00D86314">
        <w:rPr>
          <w:b/>
          <w:noProof/>
        </w:rPr>
        <w:t>KPI</w:t>
      </w:r>
      <w:r w:rsidRPr="00D86314">
        <w:rPr>
          <w:noProof/>
        </w:rPr>
        <w:t xml:space="preserve"> Amount of spectrum used by more than one user/category of user. The indicator will report if simplified measures facilitate access to spectrum e.g. by other actors.</w:t>
      </w:r>
    </w:p>
    <w:p w14:paraId="180E9E25" w14:textId="1E639DF9" w:rsidR="009F4F9B" w:rsidRPr="00D86314" w:rsidRDefault="003C3454" w:rsidP="4E7154A6">
      <w:pPr>
        <w:pStyle w:val="Heading2"/>
        <w:numPr>
          <w:ilvl w:val="0"/>
          <w:numId w:val="0"/>
        </w:numPr>
        <w:spacing w:before="240"/>
        <w:ind w:left="576" w:hanging="576"/>
        <w:rPr>
          <w:bCs/>
          <w:noProof/>
        </w:rPr>
      </w:pPr>
      <w:bookmarkStart w:id="321" w:name="_Toc219718464"/>
      <w:bookmarkStart w:id="322" w:name="_Toc209596129"/>
      <w:r w:rsidRPr="00D86314">
        <w:rPr>
          <w:noProof/>
        </w:rPr>
        <w:t xml:space="preserve">2.3 </w:t>
      </w:r>
      <w:r w:rsidR="795D5554" w:rsidRPr="00D86314">
        <w:rPr>
          <w:noProof/>
        </w:rPr>
        <w:t>Authorisation</w:t>
      </w:r>
      <w:bookmarkEnd w:id="321"/>
      <w:r w:rsidR="795D5554" w:rsidRPr="00D86314">
        <w:rPr>
          <w:noProof/>
        </w:rPr>
        <w:t xml:space="preserve"> </w:t>
      </w:r>
      <w:bookmarkEnd w:id="322"/>
    </w:p>
    <w:p w14:paraId="32E3409D" w14:textId="41D60E7E" w:rsidR="009F4F9B" w:rsidRPr="00D86314" w:rsidRDefault="009F4F9B" w:rsidP="00BE3015">
      <w:pPr>
        <w:rPr>
          <w:noProof/>
        </w:rPr>
      </w:pPr>
      <w:r w:rsidRPr="00D86314">
        <w:rPr>
          <w:b/>
          <w:noProof/>
        </w:rPr>
        <w:t xml:space="preserve">General Authorisation – single ‘passport’ </w:t>
      </w:r>
    </w:p>
    <w:tbl>
      <w:tblPr>
        <w:tblW w:w="0" w:type="auto"/>
        <w:tblLayout w:type="fixed"/>
        <w:tblLook w:val="04A0" w:firstRow="1" w:lastRow="0" w:firstColumn="1" w:lastColumn="0" w:noHBand="0" w:noVBand="1"/>
      </w:tblPr>
      <w:tblGrid>
        <w:gridCol w:w="1668"/>
        <w:gridCol w:w="1275"/>
        <w:gridCol w:w="1865"/>
        <w:gridCol w:w="1821"/>
        <w:gridCol w:w="1066"/>
        <w:gridCol w:w="851"/>
        <w:gridCol w:w="1275"/>
      </w:tblGrid>
      <w:tr w:rsidR="009F4F9B" w:rsidRPr="00D86314" w14:paraId="784803A2" w14:textId="77777777">
        <w:trPr>
          <w:trHeight w:val="300"/>
        </w:trPr>
        <w:tc>
          <w:tcPr>
            <w:tcW w:w="1668" w:type="dxa"/>
            <w:tcBorders>
              <w:top w:val="single" w:sz="8" w:space="0" w:color="auto"/>
              <w:left w:val="single" w:sz="8" w:space="0" w:color="auto"/>
              <w:bottom w:val="single" w:sz="8" w:space="0" w:color="auto"/>
              <w:right w:val="single" w:sz="8" w:space="0" w:color="auto"/>
            </w:tcBorders>
            <w:tcMar>
              <w:left w:w="108" w:type="dxa"/>
              <w:right w:w="108" w:type="dxa"/>
            </w:tcMar>
          </w:tcPr>
          <w:p w14:paraId="53329E1A" w14:textId="77777777" w:rsidR="009F4F9B" w:rsidRPr="00D86314" w:rsidRDefault="009F4F9B">
            <w:pPr>
              <w:rPr>
                <w:noProof/>
                <w:sz w:val="20"/>
                <w:szCs w:val="20"/>
              </w:rPr>
            </w:pPr>
            <w:r w:rsidRPr="00D86314">
              <w:rPr>
                <w:noProof/>
                <w:sz w:val="20"/>
                <w:szCs w:val="20"/>
              </w:rPr>
              <w:t>Objective</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57E827D5" w14:textId="77777777" w:rsidR="009F4F9B" w:rsidRPr="00D86314" w:rsidRDefault="009F4F9B">
            <w:pPr>
              <w:rPr>
                <w:noProof/>
                <w:sz w:val="20"/>
                <w:szCs w:val="20"/>
              </w:rPr>
            </w:pPr>
            <w:r w:rsidRPr="00D86314">
              <w:rPr>
                <w:noProof/>
                <w:sz w:val="20"/>
                <w:szCs w:val="20"/>
              </w:rPr>
              <w:t>Indicator</w:t>
            </w:r>
          </w:p>
        </w:tc>
        <w:tc>
          <w:tcPr>
            <w:tcW w:w="1865" w:type="dxa"/>
            <w:tcBorders>
              <w:top w:val="single" w:sz="8" w:space="0" w:color="auto"/>
              <w:left w:val="single" w:sz="8" w:space="0" w:color="auto"/>
              <w:bottom w:val="single" w:sz="8" w:space="0" w:color="auto"/>
              <w:right w:val="single" w:sz="8" w:space="0" w:color="auto"/>
            </w:tcBorders>
            <w:tcMar>
              <w:left w:w="108" w:type="dxa"/>
              <w:right w:w="108" w:type="dxa"/>
            </w:tcMar>
          </w:tcPr>
          <w:p w14:paraId="004CEECC" w14:textId="77777777" w:rsidR="009F4F9B" w:rsidRPr="00D86314" w:rsidRDefault="009F4F9B">
            <w:pPr>
              <w:jc w:val="left"/>
              <w:rPr>
                <w:noProof/>
                <w:sz w:val="20"/>
                <w:szCs w:val="20"/>
              </w:rPr>
            </w:pPr>
            <w:r w:rsidRPr="00D86314">
              <w:rPr>
                <w:noProof/>
                <w:sz w:val="20"/>
                <w:szCs w:val="20"/>
              </w:rPr>
              <w:t>Unit of measurement</w:t>
            </w:r>
          </w:p>
        </w:tc>
        <w:tc>
          <w:tcPr>
            <w:tcW w:w="1821" w:type="dxa"/>
            <w:tcBorders>
              <w:top w:val="single" w:sz="8" w:space="0" w:color="auto"/>
              <w:left w:val="single" w:sz="8" w:space="0" w:color="auto"/>
              <w:bottom w:val="single" w:sz="8" w:space="0" w:color="auto"/>
              <w:right w:val="single" w:sz="8" w:space="0" w:color="auto"/>
            </w:tcBorders>
            <w:tcMar>
              <w:left w:w="108" w:type="dxa"/>
              <w:right w:w="108" w:type="dxa"/>
            </w:tcMar>
          </w:tcPr>
          <w:p w14:paraId="2271C87A" w14:textId="77777777" w:rsidR="009F4F9B" w:rsidRPr="00D86314" w:rsidRDefault="009F4F9B">
            <w:pPr>
              <w:rPr>
                <w:noProof/>
                <w:sz w:val="20"/>
                <w:szCs w:val="20"/>
              </w:rPr>
            </w:pPr>
            <w:r w:rsidRPr="00D86314">
              <w:rPr>
                <w:noProof/>
                <w:sz w:val="20"/>
                <w:szCs w:val="20"/>
              </w:rPr>
              <w:t>Data source</w:t>
            </w:r>
          </w:p>
        </w:tc>
        <w:tc>
          <w:tcPr>
            <w:tcW w:w="1066" w:type="dxa"/>
            <w:tcBorders>
              <w:top w:val="single" w:sz="8" w:space="0" w:color="auto"/>
              <w:left w:val="single" w:sz="8" w:space="0" w:color="auto"/>
              <w:bottom w:val="single" w:sz="8" w:space="0" w:color="auto"/>
              <w:right w:val="single" w:sz="8" w:space="0" w:color="auto"/>
            </w:tcBorders>
            <w:tcMar>
              <w:left w:w="108" w:type="dxa"/>
              <w:right w:w="108" w:type="dxa"/>
            </w:tcMar>
          </w:tcPr>
          <w:p w14:paraId="0224A4ED" w14:textId="77777777" w:rsidR="009F4F9B" w:rsidRPr="00D86314" w:rsidRDefault="009F4F9B">
            <w:pPr>
              <w:jc w:val="left"/>
              <w:rPr>
                <w:noProof/>
                <w:sz w:val="20"/>
                <w:szCs w:val="20"/>
              </w:rPr>
            </w:pPr>
            <w:r w:rsidRPr="00D86314">
              <w:rPr>
                <w:noProof/>
                <w:sz w:val="20"/>
                <w:szCs w:val="20"/>
              </w:rPr>
              <w:t>Frequency of measurement</w:t>
            </w:r>
          </w:p>
        </w:tc>
        <w:tc>
          <w:tcPr>
            <w:tcW w:w="851" w:type="dxa"/>
            <w:tcBorders>
              <w:top w:val="single" w:sz="8" w:space="0" w:color="auto"/>
              <w:left w:val="single" w:sz="8" w:space="0" w:color="auto"/>
              <w:bottom w:val="single" w:sz="8" w:space="0" w:color="auto"/>
              <w:right w:val="single" w:sz="8" w:space="0" w:color="auto"/>
            </w:tcBorders>
            <w:tcMar>
              <w:left w:w="108" w:type="dxa"/>
              <w:right w:w="108" w:type="dxa"/>
            </w:tcMar>
          </w:tcPr>
          <w:p w14:paraId="52D7C73A" w14:textId="77777777" w:rsidR="009F4F9B" w:rsidRPr="00D86314" w:rsidRDefault="009F4F9B">
            <w:pPr>
              <w:rPr>
                <w:noProof/>
                <w:sz w:val="20"/>
                <w:szCs w:val="20"/>
              </w:rPr>
            </w:pPr>
            <w:r w:rsidRPr="00D86314">
              <w:rPr>
                <w:noProof/>
                <w:sz w:val="20"/>
                <w:szCs w:val="20"/>
              </w:rPr>
              <w:t>Baseline</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3B02DF94" w14:textId="77777777" w:rsidR="009F4F9B" w:rsidRPr="00D86314" w:rsidRDefault="009F4F9B">
            <w:pPr>
              <w:rPr>
                <w:noProof/>
                <w:sz w:val="20"/>
                <w:szCs w:val="20"/>
              </w:rPr>
            </w:pPr>
            <w:r w:rsidRPr="00D86314">
              <w:rPr>
                <w:noProof/>
                <w:sz w:val="20"/>
                <w:szCs w:val="20"/>
              </w:rPr>
              <w:t>Target</w:t>
            </w:r>
          </w:p>
        </w:tc>
      </w:tr>
      <w:tr w:rsidR="009F4F9B" w:rsidRPr="00D86314" w14:paraId="293129A9" w14:textId="77777777">
        <w:trPr>
          <w:trHeight w:val="300"/>
        </w:trPr>
        <w:tc>
          <w:tcPr>
            <w:tcW w:w="1668" w:type="dxa"/>
            <w:tcBorders>
              <w:top w:val="single" w:sz="8" w:space="0" w:color="auto"/>
              <w:left w:val="single" w:sz="8" w:space="0" w:color="auto"/>
              <w:bottom w:val="single" w:sz="8" w:space="0" w:color="auto"/>
              <w:right w:val="single" w:sz="8" w:space="0" w:color="auto"/>
            </w:tcBorders>
            <w:tcMar>
              <w:left w:w="108" w:type="dxa"/>
              <w:right w:w="108" w:type="dxa"/>
            </w:tcMar>
          </w:tcPr>
          <w:p w14:paraId="7DC05A01" w14:textId="77777777" w:rsidR="009F4F9B" w:rsidRPr="00D86314" w:rsidRDefault="009F4F9B">
            <w:pPr>
              <w:jc w:val="left"/>
              <w:rPr>
                <w:noProof/>
                <w:sz w:val="20"/>
                <w:szCs w:val="20"/>
              </w:rPr>
            </w:pPr>
            <w:r w:rsidRPr="00D86314">
              <w:rPr>
                <w:noProof/>
                <w:sz w:val="20"/>
                <w:szCs w:val="20"/>
              </w:rPr>
              <w:t>To monitor the adoption and effectiveness of the simplified, fully harmonised general authorisation framework across the EU, by tracking how many providers utilize the cross-border notification system.</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5749D7D1" w14:textId="77777777" w:rsidR="009F4F9B" w:rsidRPr="00D86314" w:rsidRDefault="009F4F9B">
            <w:pPr>
              <w:jc w:val="left"/>
              <w:rPr>
                <w:noProof/>
                <w:sz w:val="20"/>
                <w:szCs w:val="20"/>
              </w:rPr>
            </w:pPr>
            <w:r w:rsidRPr="00D86314">
              <w:rPr>
                <w:noProof/>
                <w:sz w:val="20"/>
                <w:szCs w:val="20"/>
              </w:rPr>
              <w:t>Number of providers using the cross-border general authorisation regime</w:t>
            </w:r>
          </w:p>
        </w:tc>
        <w:tc>
          <w:tcPr>
            <w:tcW w:w="1865" w:type="dxa"/>
            <w:tcBorders>
              <w:top w:val="single" w:sz="8" w:space="0" w:color="auto"/>
              <w:left w:val="single" w:sz="8" w:space="0" w:color="auto"/>
              <w:bottom w:val="single" w:sz="8" w:space="0" w:color="auto"/>
              <w:right w:val="single" w:sz="8" w:space="0" w:color="auto"/>
            </w:tcBorders>
            <w:tcMar>
              <w:left w:w="108" w:type="dxa"/>
              <w:right w:w="108" w:type="dxa"/>
            </w:tcMar>
          </w:tcPr>
          <w:p w14:paraId="46E945B7" w14:textId="33B4BB7A" w:rsidR="009F4F9B" w:rsidRPr="00D86314" w:rsidRDefault="009F4F9B">
            <w:pPr>
              <w:jc w:val="left"/>
              <w:rPr>
                <w:noProof/>
                <w:sz w:val="20"/>
                <w:szCs w:val="20"/>
              </w:rPr>
            </w:pPr>
            <w:r w:rsidRPr="00D86314">
              <w:rPr>
                <w:noProof/>
                <w:sz w:val="20"/>
                <w:szCs w:val="20"/>
              </w:rPr>
              <w:t xml:space="preserve">The KPI counts the number of new </w:t>
            </w:r>
            <w:r w:rsidR="51CE32A5" w:rsidRPr="00D86314">
              <w:rPr>
                <w:noProof/>
                <w:sz w:val="20"/>
                <w:szCs w:val="20"/>
              </w:rPr>
              <w:t>cross-border</w:t>
            </w:r>
            <w:r w:rsidRPr="00D86314">
              <w:rPr>
                <w:noProof/>
                <w:sz w:val="20"/>
                <w:szCs w:val="20"/>
              </w:rPr>
              <w:t xml:space="preserve"> providers </w:t>
            </w:r>
            <w:r w:rsidR="76AEA662" w:rsidRPr="00D86314">
              <w:rPr>
                <w:noProof/>
                <w:sz w:val="20"/>
                <w:szCs w:val="20"/>
              </w:rPr>
              <w:t>(</w:t>
            </w:r>
            <w:r w:rsidR="615CBAA5" w:rsidRPr="00D86314">
              <w:rPr>
                <w:noProof/>
                <w:sz w:val="20"/>
                <w:szCs w:val="20"/>
              </w:rPr>
              <w:t>including</w:t>
            </w:r>
            <w:r w:rsidR="76AEA662" w:rsidRPr="00D86314">
              <w:rPr>
                <w:noProof/>
                <w:sz w:val="20"/>
                <w:szCs w:val="20"/>
              </w:rPr>
              <w:t xml:space="preserve"> those who want to expand </w:t>
            </w:r>
            <w:r w:rsidR="5404FE2D" w:rsidRPr="00D86314">
              <w:rPr>
                <w:noProof/>
                <w:sz w:val="20"/>
                <w:szCs w:val="20"/>
              </w:rPr>
              <w:t>their operations</w:t>
            </w:r>
            <w:r w:rsidR="76AEA662" w:rsidRPr="00D86314">
              <w:rPr>
                <w:noProof/>
                <w:sz w:val="20"/>
                <w:szCs w:val="20"/>
              </w:rPr>
              <w:t>)</w:t>
            </w:r>
            <w:r w:rsidRPr="00D86314">
              <w:rPr>
                <w:noProof/>
                <w:sz w:val="20"/>
                <w:szCs w:val="20"/>
              </w:rPr>
              <w:t xml:space="preserve"> that have successfully notified under the harmonised general authorisation regime in a Member State and are authorized to provide services in at least one additional Member State. </w:t>
            </w:r>
          </w:p>
        </w:tc>
        <w:tc>
          <w:tcPr>
            <w:tcW w:w="1821" w:type="dxa"/>
            <w:tcBorders>
              <w:top w:val="single" w:sz="8" w:space="0" w:color="auto"/>
              <w:left w:val="single" w:sz="8" w:space="0" w:color="auto"/>
              <w:bottom w:val="single" w:sz="8" w:space="0" w:color="auto"/>
              <w:right w:val="single" w:sz="8" w:space="0" w:color="auto"/>
            </w:tcBorders>
            <w:tcMar>
              <w:left w:w="108" w:type="dxa"/>
              <w:right w:w="108" w:type="dxa"/>
            </w:tcMar>
          </w:tcPr>
          <w:p w14:paraId="7E2460AF" w14:textId="08E6455D" w:rsidR="009F4F9B" w:rsidRPr="00D86314" w:rsidRDefault="009F4F9B">
            <w:pPr>
              <w:jc w:val="left"/>
              <w:rPr>
                <w:noProof/>
                <w:sz w:val="20"/>
                <w:szCs w:val="20"/>
              </w:rPr>
            </w:pPr>
            <w:r w:rsidRPr="00D86314">
              <w:rPr>
                <w:noProof/>
                <w:sz w:val="20"/>
                <w:szCs w:val="20"/>
              </w:rPr>
              <w:t>notifications database of the Member State of notification, coordination logs with other Member States, BEREC Office reports</w:t>
            </w:r>
            <w:r w:rsidR="24816754" w:rsidRPr="00D86314">
              <w:rPr>
                <w:noProof/>
                <w:sz w:val="20"/>
                <w:szCs w:val="20"/>
              </w:rPr>
              <w:t xml:space="preserve"> and GA Data Base</w:t>
            </w:r>
            <w:r w:rsidRPr="00D86314">
              <w:rPr>
                <w:noProof/>
                <w:sz w:val="20"/>
                <w:szCs w:val="20"/>
              </w:rPr>
              <w:t>.</w:t>
            </w:r>
          </w:p>
        </w:tc>
        <w:tc>
          <w:tcPr>
            <w:tcW w:w="1066" w:type="dxa"/>
            <w:tcBorders>
              <w:top w:val="single" w:sz="8" w:space="0" w:color="auto"/>
              <w:left w:val="single" w:sz="8" w:space="0" w:color="auto"/>
              <w:bottom w:val="single" w:sz="8" w:space="0" w:color="auto"/>
              <w:right w:val="single" w:sz="8" w:space="0" w:color="auto"/>
            </w:tcBorders>
            <w:tcMar>
              <w:left w:w="108" w:type="dxa"/>
              <w:right w:w="108" w:type="dxa"/>
            </w:tcMar>
          </w:tcPr>
          <w:p w14:paraId="549E064B" w14:textId="77777777" w:rsidR="009F4F9B" w:rsidRPr="00D86314" w:rsidRDefault="009F4F9B">
            <w:pPr>
              <w:rPr>
                <w:noProof/>
                <w:sz w:val="20"/>
                <w:szCs w:val="20"/>
              </w:rPr>
            </w:pPr>
            <w:r w:rsidRPr="00D86314">
              <w:rPr>
                <w:noProof/>
                <w:sz w:val="20"/>
                <w:szCs w:val="20"/>
              </w:rPr>
              <w:t xml:space="preserve">Annual </w:t>
            </w:r>
          </w:p>
        </w:tc>
        <w:tc>
          <w:tcPr>
            <w:tcW w:w="851" w:type="dxa"/>
            <w:tcBorders>
              <w:top w:val="single" w:sz="8" w:space="0" w:color="auto"/>
              <w:left w:val="single" w:sz="8" w:space="0" w:color="auto"/>
              <w:bottom w:val="single" w:sz="8" w:space="0" w:color="auto"/>
              <w:right w:val="single" w:sz="8" w:space="0" w:color="auto"/>
            </w:tcBorders>
            <w:tcMar>
              <w:left w:w="108" w:type="dxa"/>
              <w:right w:w="108" w:type="dxa"/>
            </w:tcMar>
          </w:tcPr>
          <w:p w14:paraId="4D645AAA" w14:textId="77777777" w:rsidR="009F4F9B" w:rsidRPr="00D86314" w:rsidRDefault="009F4F9B">
            <w:pPr>
              <w:rPr>
                <w:noProof/>
                <w:sz w:val="20"/>
                <w:szCs w:val="20"/>
              </w:rPr>
            </w:pPr>
            <w:r w:rsidRPr="00D86314">
              <w:rPr>
                <w:noProof/>
                <w:sz w:val="20"/>
                <w:szCs w:val="20"/>
              </w:rPr>
              <w:t>0</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1DF7096C" w14:textId="77777777" w:rsidR="009F4F9B" w:rsidRPr="00D86314" w:rsidRDefault="009F4F9B">
            <w:pPr>
              <w:rPr>
                <w:noProof/>
                <w:sz w:val="20"/>
                <w:szCs w:val="20"/>
              </w:rPr>
            </w:pPr>
            <w:r w:rsidRPr="00D86314">
              <w:rPr>
                <w:noProof/>
                <w:sz w:val="20"/>
                <w:szCs w:val="20"/>
              </w:rPr>
              <w:t>Not quantified</w:t>
            </w:r>
          </w:p>
        </w:tc>
      </w:tr>
    </w:tbl>
    <w:p w14:paraId="5E17FF6D" w14:textId="77777777" w:rsidR="009F4F9B" w:rsidRPr="00D86314" w:rsidRDefault="009F4F9B" w:rsidP="009F4F9B">
      <w:pPr>
        <w:rPr>
          <w:b/>
          <w:bCs/>
          <w:noProof/>
        </w:rPr>
      </w:pPr>
    </w:p>
    <w:p w14:paraId="59AED9EE" w14:textId="7761C125" w:rsidR="009F4F9B" w:rsidRPr="00D86314" w:rsidRDefault="009F4F9B" w:rsidP="009F4F9B">
      <w:pPr>
        <w:rPr>
          <w:b/>
          <w:noProof/>
        </w:rPr>
      </w:pPr>
      <w:r w:rsidRPr="00D86314">
        <w:rPr>
          <w:b/>
          <w:noProof/>
        </w:rPr>
        <w:t>Satellite authorisation</w:t>
      </w:r>
    </w:p>
    <w:p w14:paraId="079A6CA7" w14:textId="293AD7DA" w:rsidR="00465342" w:rsidRPr="00D86314" w:rsidRDefault="009F4F9B" w:rsidP="00465342">
      <w:pPr>
        <w:spacing w:after="120"/>
        <w:rPr>
          <w:noProof/>
        </w:rPr>
      </w:pPr>
      <w:r w:rsidRPr="00D86314">
        <w:rPr>
          <w:noProof/>
        </w:rPr>
        <w:t xml:space="preserve">Objective: </w:t>
      </w:r>
      <w:r w:rsidR="00465342" w:rsidRPr="00D86314">
        <w:rPr>
          <w:noProof/>
        </w:rPr>
        <w:t>increase pan-European network operation and service provision</w:t>
      </w:r>
      <w:r w:rsidR="007941CD" w:rsidRPr="00D86314">
        <w:rPr>
          <w:noProof/>
        </w:rPr>
        <w:t xml:space="preserve">, </w:t>
      </w:r>
    </w:p>
    <w:p w14:paraId="7BDBD794" w14:textId="10BB00D1" w:rsidR="00E47EE0" w:rsidRPr="00D86314" w:rsidRDefault="00E47EE0" w:rsidP="00E47EE0">
      <w:pPr>
        <w:spacing w:after="120"/>
        <w:rPr>
          <w:noProof/>
        </w:rPr>
      </w:pPr>
      <w:r w:rsidRPr="00D86314">
        <w:rPr>
          <w:noProof/>
        </w:rPr>
        <w:t xml:space="preserve">KPI. Number of pan-European satellite licensees </w:t>
      </w:r>
    </w:p>
    <w:p w14:paraId="0FB545AC" w14:textId="1A01B9A9" w:rsidR="00D84062" w:rsidRPr="00D86314" w:rsidRDefault="00021AB8" w:rsidP="00D84062">
      <w:pPr>
        <w:rPr>
          <w:noProof/>
        </w:rPr>
      </w:pPr>
      <w:r w:rsidRPr="00D86314">
        <w:rPr>
          <w:noProof/>
        </w:rPr>
        <w:t xml:space="preserve">KPI </w:t>
      </w:r>
      <w:r w:rsidR="00D84062" w:rsidRPr="00D86314">
        <w:rPr>
          <w:noProof/>
        </w:rPr>
        <w:t>Number of operators selected through a centralised selection procedure for satellite harmonised bands</w:t>
      </w:r>
    </w:p>
    <w:p w14:paraId="383E9048" w14:textId="42793087" w:rsidR="00D84062" w:rsidRPr="00D86314" w:rsidRDefault="00E47EE0" w:rsidP="00D84062">
      <w:pPr>
        <w:rPr>
          <w:noProof/>
        </w:rPr>
      </w:pPr>
      <w:r w:rsidRPr="00D86314">
        <w:rPr>
          <w:noProof/>
        </w:rPr>
        <w:t xml:space="preserve">KPI </w:t>
      </w:r>
      <w:r w:rsidR="00D84062" w:rsidRPr="00D86314">
        <w:rPr>
          <w:noProof/>
        </w:rPr>
        <w:t>Time to complete satellite authorisation requirements</w:t>
      </w:r>
    </w:p>
    <w:p w14:paraId="3C83DE77" w14:textId="58AE32AC" w:rsidR="00D84062" w:rsidRPr="00D86314" w:rsidRDefault="00E47EE0" w:rsidP="00D84062">
      <w:pPr>
        <w:spacing w:after="120"/>
        <w:rPr>
          <w:noProof/>
        </w:rPr>
      </w:pPr>
      <w:r w:rsidRPr="00D86314">
        <w:rPr>
          <w:noProof/>
        </w:rPr>
        <w:t xml:space="preserve">KPI </w:t>
      </w:r>
      <w:r w:rsidR="00D84062" w:rsidRPr="00D86314">
        <w:rPr>
          <w:noProof/>
        </w:rPr>
        <w:t>Number of interference issues in the EU which have been timely and effectively addressed</w:t>
      </w:r>
    </w:p>
    <w:p w14:paraId="1685D3E1" w14:textId="429C28F3" w:rsidR="009F4F9B" w:rsidRPr="00D86314" w:rsidDel="00E47EE0" w:rsidRDefault="009F4F9B" w:rsidP="009F4F9B">
      <w:pPr>
        <w:spacing w:after="120"/>
        <w:rPr>
          <w:noProof/>
        </w:rPr>
      </w:pPr>
      <w:r w:rsidRPr="00D86314" w:rsidDel="00E47EE0">
        <w:rPr>
          <w:noProof/>
        </w:rPr>
        <w:t>KPI. Number of pan-European satellite licensees providing innovative services (e.g. D2D)</w:t>
      </w:r>
    </w:p>
    <w:p w14:paraId="212BA4A2" w14:textId="77777777" w:rsidR="009F4F9B" w:rsidRPr="00D86314" w:rsidRDefault="009F4F9B" w:rsidP="009F4F9B">
      <w:pPr>
        <w:spacing w:before="120" w:after="120"/>
        <w:rPr>
          <w:noProof/>
        </w:rPr>
      </w:pPr>
      <w:r w:rsidRPr="00D86314">
        <w:rPr>
          <w:noProof/>
        </w:rPr>
        <w:t xml:space="preserve">Objective: Alignment with ITU Radio Regulations to prevent and solve in a timely manner EU satellite interference </w:t>
      </w:r>
    </w:p>
    <w:p w14:paraId="22578CE8" w14:textId="5E9F8370" w:rsidR="009F4F9B" w:rsidRPr="00D86314" w:rsidRDefault="009F4F9B" w:rsidP="009F4F9B">
      <w:pPr>
        <w:spacing w:after="120"/>
        <w:rPr>
          <w:noProof/>
        </w:rPr>
      </w:pPr>
      <w:r w:rsidRPr="00D86314">
        <w:rPr>
          <w:noProof/>
        </w:rPr>
        <w:t xml:space="preserve">KPI: Average length of solving space interference complains in the EU </w:t>
      </w:r>
    </w:p>
    <w:p w14:paraId="13C560A6" w14:textId="77777777" w:rsidR="009F4F9B" w:rsidRPr="00D86314" w:rsidRDefault="009F4F9B" w:rsidP="009F4F9B">
      <w:pPr>
        <w:spacing w:after="120"/>
        <w:rPr>
          <w:noProof/>
        </w:rPr>
      </w:pPr>
      <w:r w:rsidRPr="00D86314">
        <w:rPr>
          <w:noProof/>
        </w:rPr>
        <w:t>KPI number of enforcement procedures successful in ending interference issues</w:t>
      </w:r>
    </w:p>
    <w:p w14:paraId="69A6AF63" w14:textId="3118F40C" w:rsidR="009F4F9B" w:rsidRPr="00D86314" w:rsidRDefault="003C3454" w:rsidP="004B6FC1">
      <w:pPr>
        <w:pStyle w:val="Heading2"/>
        <w:numPr>
          <w:ilvl w:val="0"/>
          <w:numId w:val="0"/>
        </w:numPr>
        <w:spacing w:before="240"/>
        <w:ind w:left="576" w:hanging="576"/>
        <w:rPr>
          <w:noProof/>
        </w:rPr>
      </w:pPr>
      <w:bookmarkStart w:id="323" w:name="_Toc209535125"/>
      <w:bookmarkStart w:id="324" w:name="_Toc209535222"/>
      <w:bookmarkStart w:id="325" w:name="_Toc209596130"/>
      <w:bookmarkStart w:id="326" w:name="_Toc209596131"/>
      <w:bookmarkStart w:id="327" w:name="_Toc219718465"/>
      <w:bookmarkEnd w:id="323"/>
      <w:bookmarkEnd w:id="324"/>
      <w:bookmarkEnd w:id="325"/>
      <w:r w:rsidRPr="00D86314">
        <w:rPr>
          <w:noProof/>
        </w:rPr>
        <w:t xml:space="preserve">2.4 </w:t>
      </w:r>
      <w:r w:rsidR="009F4F9B" w:rsidRPr="00D86314">
        <w:rPr>
          <w:noProof/>
        </w:rPr>
        <w:t>Governance</w:t>
      </w:r>
      <w:bookmarkEnd w:id="326"/>
      <w:bookmarkEnd w:id="327"/>
      <w:r w:rsidR="009F4F9B" w:rsidRPr="00D86314">
        <w:rPr>
          <w:noProof/>
        </w:rPr>
        <w:t xml:space="preserve"> </w:t>
      </w:r>
    </w:p>
    <w:p w14:paraId="2D3EF6EE" w14:textId="5C1E39E6" w:rsidR="009F4F9B" w:rsidRPr="00D86314" w:rsidRDefault="009F4F9B" w:rsidP="009F4F9B">
      <w:pPr>
        <w:rPr>
          <w:noProof/>
        </w:rPr>
      </w:pPr>
      <w:r w:rsidRPr="00D86314">
        <w:rPr>
          <w:noProof/>
        </w:rPr>
        <w:t>Currently BEREC is reporting annually on the key developments and market trends in the EU’s electronic communications sector, putting focus on market dynamics and the development of EU public policies and regulatory practices. The report presents BEREC perspectives based on the collective expertise and knowledge of its members, and describes BEREC’s own contribution to the development of the electronic communications sector in Europe. This report is submitted to the European Parliament, the Council, the Commission and the European Economic and Social Committee by 15 June each year.</w:t>
      </w:r>
    </w:p>
    <w:p w14:paraId="259BFD74" w14:textId="77777777" w:rsidR="00406B78" w:rsidRPr="00D86314" w:rsidRDefault="009F4F9B" w:rsidP="009F4F9B">
      <w:pPr>
        <w:rPr>
          <w:noProof/>
        </w:rPr>
      </w:pPr>
      <w:r w:rsidRPr="00D86314">
        <w:rPr>
          <w:noProof/>
        </w:rPr>
        <w:t>The BEREC Office is also subject to annual reporting, preparing consolidated annual activity reports in accordance with Article 47 of Delegated Regulation (EU) No 1271/2013</w:t>
      </w:r>
      <w:r w:rsidRPr="00D86314">
        <w:rPr>
          <w:rStyle w:val="FootnoteReference"/>
          <w:noProof/>
        </w:rPr>
        <w:footnoteReference w:id="246"/>
      </w:r>
      <w:r w:rsidRPr="00D86314">
        <w:rPr>
          <w:noProof/>
        </w:rPr>
        <w:t>, taking into account guidelines set by the Commission. The report and its assessment are submitted to the European Parliament, the Council, the Commission and the Court of Auditors by 1 July each.</w:t>
      </w:r>
      <w:r w:rsidR="1D1F8B03" w:rsidRPr="00D86314">
        <w:rPr>
          <w:noProof/>
        </w:rPr>
        <w:t xml:space="preserve"> </w:t>
      </w:r>
    </w:p>
    <w:p w14:paraId="5312575C" w14:textId="77777777" w:rsidR="00EC59DB" w:rsidRPr="00D86314" w:rsidRDefault="00406B78" w:rsidP="50F0A807">
      <w:pPr>
        <w:rPr>
          <w:noProof/>
        </w:rPr>
      </w:pPr>
      <w:r w:rsidRPr="00D86314">
        <w:rPr>
          <w:noProof/>
        </w:rPr>
        <w:t>The reporting obligations should be kept for both BEREC and BEREC Office. In line with the preferred option, the BEREC Office will be providing expert and administrative support to the RSPG and consequently, this part of its activities will be covered in the relevant reporting. In addition, RSPG should also be subject to reporting obligations</w:t>
      </w:r>
      <w:r w:rsidR="00EB35FF" w:rsidRPr="00D86314">
        <w:rPr>
          <w:noProof/>
        </w:rPr>
        <w:t xml:space="preserve">. </w:t>
      </w:r>
    </w:p>
    <w:p w14:paraId="4AD1F31A" w14:textId="6D222C82" w:rsidR="1C3A8A71" w:rsidRPr="00D86314" w:rsidRDefault="26849917" w:rsidP="50F0A807">
      <w:pPr>
        <w:rPr>
          <w:rFonts w:eastAsia="Times New Roman"/>
          <w:noProof/>
        </w:rPr>
      </w:pPr>
      <w:r w:rsidRPr="00D86314">
        <w:rPr>
          <w:noProof/>
        </w:rPr>
        <w:t>Moreover</w:t>
      </w:r>
      <w:r w:rsidR="6A892BE2" w:rsidRPr="00D86314">
        <w:rPr>
          <w:noProof/>
        </w:rPr>
        <w:t>,</w:t>
      </w:r>
      <w:r w:rsidRPr="00D86314">
        <w:rPr>
          <w:noProof/>
        </w:rPr>
        <w:t xml:space="preserve"> both BEREC and BEREC Office are subject to periodic evaluation. In particular, </w:t>
      </w:r>
      <w:r w:rsidRPr="00D86314">
        <w:rPr>
          <w:rFonts w:eastAsia="Times New Roman"/>
          <w:noProof/>
        </w:rPr>
        <w:t xml:space="preserve">every five years the Commission shall carry out an evaluation </w:t>
      </w:r>
      <w:r w:rsidR="677D88B1" w:rsidRPr="00D86314">
        <w:rPr>
          <w:rFonts w:eastAsia="Times New Roman"/>
          <w:noProof/>
        </w:rPr>
        <w:t>to</w:t>
      </w:r>
      <w:r w:rsidRPr="00D86314">
        <w:rPr>
          <w:rFonts w:eastAsia="Times New Roman"/>
          <w:noProof/>
        </w:rPr>
        <w:t xml:space="preserve"> assess BEREC’s and the BEREC Office’s performance in relation to their objectives, mandate, tasks and location. The evaluation </w:t>
      </w:r>
      <w:r w:rsidR="30F6954C" w:rsidRPr="00D86314">
        <w:rPr>
          <w:rFonts w:eastAsia="Times New Roman"/>
          <w:noProof/>
        </w:rPr>
        <w:t>addresses</w:t>
      </w:r>
      <w:r w:rsidRPr="00D86314">
        <w:rPr>
          <w:rFonts w:eastAsia="Times New Roman"/>
          <w:noProof/>
        </w:rPr>
        <w:t xml:space="preserve"> the possible need to modify the structure or mandate of BEREC and the BEREC Office, and </w:t>
      </w:r>
      <w:r w:rsidR="70F23EF4" w:rsidRPr="00D86314">
        <w:rPr>
          <w:rFonts w:eastAsia="Times New Roman"/>
          <w:noProof/>
        </w:rPr>
        <w:t xml:space="preserve">its </w:t>
      </w:r>
      <w:r w:rsidRPr="00D86314">
        <w:rPr>
          <w:rFonts w:eastAsia="Times New Roman"/>
          <w:noProof/>
        </w:rPr>
        <w:t>financial implications.</w:t>
      </w:r>
    </w:p>
    <w:p w14:paraId="4C62BAF3" w14:textId="28EE8241" w:rsidR="1C3A8A71" w:rsidRPr="00D86314" w:rsidRDefault="20DEE742" w:rsidP="0074299D">
      <w:pPr>
        <w:spacing w:before="240"/>
        <w:rPr>
          <w:rFonts w:eastAsia="Times New Roman"/>
          <w:noProof/>
        </w:rPr>
      </w:pPr>
      <w:r w:rsidRPr="00D86314">
        <w:rPr>
          <w:rFonts w:eastAsia="Times New Roman"/>
          <w:noProof/>
        </w:rPr>
        <w:t>Th</w:t>
      </w:r>
      <w:r w:rsidR="341A9979" w:rsidRPr="00D86314">
        <w:rPr>
          <w:rFonts w:eastAsia="Times New Roman"/>
          <w:noProof/>
        </w:rPr>
        <w:t>e proposed</w:t>
      </w:r>
      <w:r w:rsidR="1C3A8A71" w:rsidRPr="00D86314">
        <w:rPr>
          <w:rFonts w:eastAsia="Times New Roman"/>
          <w:noProof/>
        </w:rPr>
        <w:t xml:space="preserve"> KPI measures the </w:t>
      </w:r>
      <w:r w:rsidR="1C3A8A71" w:rsidRPr="00D86314">
        <w:rPr>
          <w:rFonts w:eastAsia="Times New Roman"/>
          <w:b/>
          <w:noProof/>
        </w:rPr>
        <w:t>number and quality</w:t>
      </w:r>
      <w:r w:rsidR="1C3A8A71" w:rsidRPr="00D86314">
        <w:rPr>
          <w:rFonts w:eastAsia="Times New Roman"/>
          <w:noProof/>
        </w:rPr>
        <w:t xml:space="preserve"> </w:t>
      </w:r>
      <w:r w:rsidR="1C3A8A71" w:rsidRPr="00D86314">
        <w:rPr>
          <w:rFonts w:eastAsia="Times New Roman"/>
          <w:b/>
          <w:noProof/>
        </w:rPr>
        <w:t>of BEREC</w:t>
      </w:r>
      <w:r w:rsidR="00733740" w:rsidRPr="00D86314">
        <w:rPr>
          <w:rFonts w:eastAsia="Times New Roman"/>
          <w:b/>
          <w:bCs/>
          <w:noProof/>
        </w:rPr>
        <w:t xml:space="preserve">, RSPG and </w:t>
      </w:r>
      <w:r w:rsidRPr="00D86314">
        <w:rPr>
          <w:rFonts w:eastAsia="Times New Roman"/>
          <w:b/>
          <w:bCs/>
          <w:noProof/>
        </w:rPr>
        <w:t>BEREC</w:t>
      </w:r>
      <w:r w:rsidR="1C3A8A71" w:rsidRPr="00D86314">
        <w:rPr>
          <w:rFonts w:eastAsia="Times New Roman"/>
          <w:b/>
          <w:noProof/>
        </w:rPr>
        <w:t xml:space="preserve"> Office outputs that directly contribute to single-market objectives. </w:t>
      </w:r>
      <w:r w:rsidR="1C3A8A71" w:rsidRPr="00D86314">
        <w:rPr>
          <w:rFonts w:eastAsia="Times New Roman"/>
          <w:noProof/>
        </w:rPr>
        <w:t>These include deliverables that:</w:t>
      </w:r>
    </w:p>
    <w:p w14:paraId="44BA1F82" w14:textId="7401CA12" w:rsidR="1C3A8A71" w:rsidRPr="00D86314" w:rsidRDefault="1C3A8A71" w:rsidP="0074299D">
      <w:pPr>
        <w:pStyle w:val="ListParagraph"/>
        <w:numPr>
          <w:ilvl w:val="0"/>
          <w:numId w:val="110"/>
        </w:numPr>
        <w:spacing w:before="240"/>
        <w:rPr>
          <w:rFonts w:eastAsia="Times New Roman"/>
          <w:noProof/>
        </w:rPr>
      </w:pPr>
      <w:r w:rsidRPr="00D86314">
        <w:rPr>
          <w:rFonts w:eastAsia="Times New Roman"/>
          <w:noProof/>
        </w:rPr>
        <w:t>Enhance harmonisation across Member States</w:t>
      </w:r>
      <w:r w:rsidR="00733740" w:rsidRPr="00D86314">
        <w:rPr>
          <w:rFonts w:eastAsia="Times New Roman"/>
          <w:noProof/>
        </w:rPr>
        <w:t>,</w:t>
      </w:r>
    </w:p>
    <w:p w14:paraId="4F795109" w14:textId="52631FF3" w:rsidR="1C3A8A71" w:rsidRPr="00D86314" w:rsidRDefault="1C3A8A71" w:rsidP="0074299D">
      <w:pPr>
        <w:pStyle w:val="ListParagraph"/>
        <w:numPr>
          <w:ilvl w:val="0"/>
          <w:numId w:val="110"/>
        </w:numPr>
        <w:spacing w:before="240"/>
        <w:rPr>
          <w:rFonts w:eastAsia="Times New Roman"/>
          <w:noProof/>
        </w:rPr>
      </w:pPr>
      <w:r w:rsidRPr="00D86314">
        <w:rPr>
          <w:rFonts w:eastAsia="Times New Roman"/>
          <w:noProof/>
        </w:rPr>
        <w:t>Support consistent regulatory practices</w:t>
      </w:r>
      <w:r w:rsidR="00733740" w:rsidRPr="00D86314">
        <w:rPr>
          <w:rFonts w:eastAsia="Times New Roman"/>
          <w:noProof/>
        </w:rPr>
        <w:t>,</w:t>
      </w:r>
    </w:p>
    <w:p w14:paraId="47EF73D9" w14:textId="7D61D217" w:rsidR="1C3A8A71" w:rsidRPr="00D86314" w:rsidRDefault="1C3A8A71" w:rsidP="0074299D">
      <w:pPr>
        <w:pStyle w:val="ListParagraph"/>
        <w:numPr>
          <w:ilvl w:val="0"/>
          <w:numId w:val="110"/>
        </w:numPr>
        <w:spacing w:before="240"/>
        <w:rPr>
          <w:rFonts w:eastAsia="Times New Roman"/>
          <w:noProof/>
        </w:rPr>
      </w:pPr>
      <w:r w:rsidRPr="00D86314">
        <w:rPr>
          <w:rFonts w:eastAsia="Times New Roman"/>
          <w:noProof/>
        </w:rPr>
        <w:t>Facilitate the effective functioning of the single market for connectivity</w:t>
      </w:r>
      <w:r w:rsidR="00733740" w:rsidRPr="00D86314">
        <w:rPr>
          <w:rFonts w:eastAsia="Times New Roman"/>
          <w:noProof/>
        </w:rPr>
        <w:t>,</w:t>
      </w:r>
    </w:p>
    <w:p w14:paraId="0AD740D1" w14:textId="385F5D6D" w:rsidR="1C3A8A71" w:rsidRPr="00D86314" w:rsidRDefault="1C3A8A71" w:rsidP="0074299D">
      <w:pPr>
        <w:pStyle w:val="ListParagraph"/>
        <w:numPr>
          <w:ilvl w:val="0"/>
          <w:numId w:val="110"/>
        </w:numPr>
        <w:spacing w:before="240"/>
        <w:rPr>
          <w:rFonts w:eastAsia="Times New Roman"/>
          <w:noProof/>
        </w:rPr>
      </w:pPr>
      <w:r w:rsidRPr="00D86314">
        <w:rPr>
          <w:rFonts w:eastAsia="Times New Roman"/>
          <w:noProof/>
        </w:rPr>
        <w:t>Implement or support EU-level procedures (e.g., satellite authorisation, spectrum coordination)</w:t>
      </w:r>
      <w:r w:rsidR="2773D5CB" w:rsidRPr="00D86314">
        <w:rPr>
          <w:rFonts w:eastAsia="Times New Roman"/>
          <w:noProof/>
        </w:rPr>
        <w:t>.</w:t>
      </w:r>
    </w:p>
    <w:p w14:paraId="46ED9AB4" w14:textId="64AC420B" w:rsidR="1C3A8A71" w:rsidRPr="00D86314" w:rsidRDefault="1C3A8A71" w:rsidP="0074299D">
      <w:pPr>
        <w:spacing w:before="240"/>
        <w:rPr>
          <w:rFonts w:eastAsia="Times New Roman"/>
          <w:noProof/>
        </w:rPr>
      </w:pPr>
      <w:r w:rsidRPr="00D86314">
        <w:rPr>
          <w:rFonts w:eastAsia="Times New Roman"/>
          <w:noProof/>
        </w:rPr>
        <w:t xml:space="preserve">The </w:t>
      </w:r>
      <w:r w:rsidR="7289B811" w:rsidRPr="00D86314">
        <w:rPr>
          <w:rFonts w:eastAsia="Times New Roman"/>
          <w:noProof/>
        </w:rPr>
        <w:t>proposed</w:t>
      </w:r>
      <w:r w:rsidRPr="00D86314">
        <w:rPr>
          <w:rFonts w:eastAsia="Times New Roman"/>
          <w:noProof/>
        </w:rPr>
        <w:t xml:space="preserve"> KPI has two components:</w:t>
      </w:r>
      <w:r w:rsidR="0488C364" w:rsidRPr="00D86314">
        <w:rPr>
          <w:rFonts w:eastAsia="Times New Roman"/>
          <w:noProof/>
        </w:rPr>
        <w:t xml:space="preserve"> quality and quantity of outputs.</w:t>
      </w:r>
    </w:p>
    <w:p w14:paraId="10365ED1" w14:textId="436BF0FC" w:rsidR="1C3A8A71" w:rsidRPr="00D86314" w:rsidRDefault="1C3A8A71" w:rsidP="0074299D">
      <w:pPr>
        <w:spacing w:before="240"/>
        <w:rPr>
          <w:rFonts w:eastAsia="Times New Roman"/>
          <w:noProof/>
        </w:rPr>
      </w:pPr>
      <w:r w:rsidRPr="00D86314">
        <w:rPr>
          <w:noProof/>
        </w:rPr>
        <w:t xml:space="preserve">Quality of </w:t>
      </w:r>
      <w:r w:rsidR="7273EDEE" w:rsidRPr="00D86314">
        <w:rPr>
          <w:noProof/>
        </w:rPr>
        <w:t>o</w:t>
      </w:r>
      <w:r w:rsidRPr="00D86314">
        <w:rPr>
          <w:noProof/>
        </w:rPr>
        <w:t>utputs</w:t>
      </w:r>
      <w:r w:rsidR="301742E1" w:rsidRPr="00D86314">
        <w:rPr>
          <w:noProof/>
        </w:rPr>
        <w:t xml:space="preserve"> </w:t>
      </w:r>
      <w:r w:rsidRPr="00D86314">
        <w:rPr>
          <w:rFonts w:eastAsia="Times New Roman"/>
          <w:noProof/>
        </w:rPr>
        <w:t>is assessed through:</w:t>
      </w:r>
    </w:p>
    <w:p w14:paraId="7A3BB8B8" w14:textId="4061C7E9" w:rsidR="1C3A8A71" w:rsidRPr="00D86314" w:rsidRDefault="1C3A8A71" w:rsidP="0074299D">
      <w:pPr>
        <w:pStyle w:val="ListParagraph"/>
        <w:numPr>
          <w:ilvl w:val="0"/>
          <w:numId w:val="114"/>
        </w:numPr>
        <w:spacing w:before="240"/>
        <w:rPr>
          <w:rFonts w:eastAsia="Times New Roman"/>
          <w:noProof/>
        </w:rPr>
      </w:pPr>
      <w:r w:rsidRPr="00D86314">
        <w:rPr>
          <w:rFonts w:eastAsia="Times New Roman"/>
          <w:noProof/>
        </w:rPr>
        <w:t>Impact (e.g., contribution to harmonisation or regulatory convergence)</w:t>
      </w:r>
      <w:r w:rsidR="00733740" w:rsidRPr="00D86314">
        <w:rPr>
          <w:rFonts w:eastAsia="Times New Roman"/>
          <w:noProof/>
        </w:rPr>
        <w:t>,</w:t>
      </w:r>
    </w:p>
    <w:p w14:paraId="5745966A" w14:textId="5BCC4833" w:rsidR="1C3A8A71" w:rsidRPr="00D86314" w:rsidRDefault="1C3A8A71" w:rsidP="0074299D">
      <w:pPr>
        <w:pStyle w:val="ListParagraph"/>
        <w:numPr>
          <w:ilvl w:val="0"/>
          <w:numId w:val="114"/>
        </w:numPr>
        <w:spacing w:before="240"/>
        <w:rPr>
          <w:rFonts w:eastAsia="Times New Roman"/>
          <w:noProof/>
        </w:rPr>
      </w:pPr>
      <w:r w:rsidRPr="00D86314">
        <w:rPr>
          <w:rFonts w:eastAsia="Times New Roman"/>
          <w:noProof/>
        </w:rPr>
        <w:t>Uptake (e.g., extent to which NRAs rely on or implement the outputs)</w:t>
      </w:r>
      <w:r w:rsidR="00733740" w:rsidRPr="00D86314">
        <w:rPr>
          <w:rFonts w:eastAsia="Times New Roman"/>
          <w:noProof/>
        </w:rPr>
        <w:t>,</w:t>
      </w:r>
    </w:p>
    <w:p w14:paraId="51C594F4" w14:textId="5987377E" w:rsidR="1C3A8A71" w:rsidRPr="00D86314" w:rsidRDefault="1C3A8A71" w:rsidP="0074299D">
      <w:pPr>
        <w:pStyle w:val="ListParagraph"/>
        <w:numPr>
          <w:ilvl w:val="0"/>
          <w:numId w:val="114"/>
        </w:numPr>
        <w:spacing w:before="240"/>
        <w:rPr>
          <w:rFonts w:eastAsia="Times New Roman"/>
          <w:noProof/>
        </w:rPr>
      </w:pPr>
      <w:r w:rsidRPr="00D86314">
        <w:rPr>
          <w:rFonts w:eastAsia="Times New Roman"/>
          <w:noProof/>
        </w:rPr>
        <w:t>Regulatory relevance (e.g., alignment with evolving EU policy priorities)</w:t>
      </w:r>
      <w:r w:rsidR="00733740" w:rsidRPr="00D86314">
        <w:rPr>
          <w:rFonts w:eastAsia="Times New Roman"/>
          <w:noProof/>
        </w:rPr>
        <w:t>,</w:t>
      </w:r>
    </w:p>
    <w:p w14:paraId="190FFFEF" w14:textId="49D818F2" w:rsidR="1C3A8A71" w:rsidRPr="00D86314" w:rsidRDefault="1C3A8A71" w:rsidP="0074299D">
      <w:pPr>
        <w:pStyle w:val="ListParagraph"/>
        <w:numPr>
          <w:ilvl w:val="0"/>
          <w:numId w:val="118"/>
        </w:numPr>
        <w:spacing w:before="240"/>
        <w:rPr>
          <w:rFonts w:eastAsia="Times New Roman"/>
          <w:noProof/>
        </w:rPr>
      </w:pPr>
      <w:r w:rsidRPr="00D86314">
        <w:rPr>
          <w:noProof/>
        </w:rPr>
        <w:t xml:space="preserve">Quantity of </w:t>
      </w:r>
      <w:r w:rsidR="28C69F92" w:rsidRPr="00D86314">
        <w:rPr>
          <w:noProof/>
        </w:rPr>
        <w:t>r</w:t>
      </w:r>
      <w:r w:rsidRPr="00D86314">
        <w:rPr>
          <w:noProof/>
        </w:rPr>
        <w:t xml:space="preserve">elevant </w:t>
      </w:r>
      <w:r w:rsidR="39B5CC24" w:rsidRPr="00D86314">
        <w:rPr>
          <w:noProof/>
        </w:rPr>
        <w:t>o</w:t>
      </w:r>
      <w:r w:rsidRPr="00D86314">
        <w:rPr>
          <w:noProof/>
        </w:rPr>
        <w:t>utputs</w:t>
      </w:r>
      <w:r w:rsidR="434A9F46" w:rsidRPr="00D86314">
        <w:rPr>
          <w:noProof/>
        </w:rPr>
        <w:t xml:space="preserve"> is assessed by t</w:t>
      </w:r>
      <w:r w:rsidRPr="00D86314">
        <w:rPr>
          <w:rFonts w:eastAsia="Times New Roman"/>
          <w:noProof/>
        </w:rPr>
        <w:t xml:space="preserve">racking the </w:t>
      </w:r>
      <w:r w:rsidRPr="00D86314">
        <w:rPr>
          <w:rFonts w:eastAsia="Times New Roman"/>
          <w:b/>
          <w:noProof/>
        </w:rPr>
        <w:t>volume</w:t>
      </w:r>
      <w:r w:rsidRPr="00D86314">
        <w:rPr>
          <w:rFonts w:eastAsia="Times New Roman"/>
          <w:noProof/>
        </w:rPr>
        <w:t xml:space="preserve"> of outputs directly related to single-market completion, such as:</w:t>
      </w:r>
      <w:r w:rsidR="007951C3" w:rsidRPr="00D86314">
        <w:rPr>
          <w:rFonts w:eastAsia="Times New Roman"/>
          <w:noProof/>
        </w:rPr>
        <w:t xml:space="preserve"> </w:t>
      </w:r>
      <w:r w:rsidRPr="00D86314">
        <w:rPr>
          <w:rFonts w:eastAsia="Times New Roman"/>
          <w:noProof/>
        </w:rPr>
        <w:t xml:space="preserve">BEREC </w:t>
      </w:r>
      <w:r w:rsidR="00331080" w:rsidRPr="00D86314">
        <w:rPr>
          <w:rFonts w:eastAsia="Times New Roman"/>
          <w:noProof/>
        </w:rPr>
        <w:t>g</w:t>
      </w:r>
      <w:r w:rsidRPr="00D86314">
        <w:rPr>
          <w:rFonts w:eastAsia="Times New Roman"/>
          <w:noProof/>
        </w:rPr>
        <w:t>uidelines</w:t>
      </w:r>
      <w:r w:rsidR="00331080" w:rsidRPr="00D86314">
        <w:rPr>
          <w:rFonts w:eastAsia="Times New Roman"/>
          <w:noProof/>
        </w:rPr>
        <w:t>,</w:t>
      </w:r>
    </w:p>
    <w:p w14:paraId="09FE142A" w14:textId="520C02E4" w:rsidR="1C3A8A71" w:rsidRPr="00D86314" w:rsidRDefault="1C3A8A71" w:rsidP="0074299D">
      <w:pPr>
        <w:pStyle w:val="ListParagraph"/>
        <w:numPr>
          <w:ilvl w:val="0"/>
          <w:numId w:val="113"/>
        </w:numPr>
        <w:spacing w:before="240"/>
        <w:rPr>
          <w:rFonts w:eastAsia="Times New Roman"/>
          <w:noProof/>
        </w:rPr>
      </w:pPr>
      <w:r w:rsidRPr="00D86314">
        <w:rPr>
          <w:rFonts w:eastAsia="Times New Roman"/>
          <w:noProof/>
        </w:rPr>
        <w:t xml:space="preserve">BEREC and RSPG </w:t>
      </w:r>
      <w:r w:rsidR="00331080" w:rsidRPr="00D86314">
        <w:rPr>
          <w:rFonts w:eastAsia="Times New Roman"/>
          <w:noProof/>
        </w:rPr>
        <w:t>o</w:t>
      </w:r>
      <w:r w:rsidRPr="00D86314">
        <w:rPr>
          <w:rFonts w:eastAsia="Times New Roman"/>
          <w:noProof/>
        </w:rPr>
        <w:t>pinions and consultations</w:t>
      </w:r>
      <w:r w:rsidR="00331080" w:rsidRPr="00D86314">
        <w:rPr>
          <w:rFonts w:eastAsia="Times New Roman"/>
          <w:noProof/>
        </w:rPr>
        <w:t>,</w:t>
      </w:r>
    </w:p>
    <w:p w14:paraId="11130EDE" w14:textId="1154564C" w:rsidR="1C3A8A71" w:rsidRPr="00D86314" w:rsidRDefault="1C3A8A71" w:rsidP="0074299D">
      <w:pPr>
        <w:pStyle w:val="ListParagraph"/>
        <w:numPr>
          <w:ilvl w:val="0"/>
          <w:numId w:val="113"/>
        </w:numPr>
        <w:spacing w:before="240"/>
        <w:rPr>
          <w:rFonts w:eastAsia="Times New Roman"/>
          <w:noProof/>
        </w:rPr>
      </w:pPr>
      <w:r w:rsidRPr="00D86314">
        <w:rPr>
          <w:rFonts w:eastAsia="Times New Roman"/>
          <w:noProof/>
        </w:rPr>
        <w:t>Ex ante scrutiny of spectrum award procedures and market analyses</w:t>
      </w:r>
      <w:r w:rsidR="00331080" w:rsidRPr="00D86314">
        <w:rPr>
          <w:rFonts w:eastAsia="Times New Roman"/>
          <w:noProof/>
        </w:rPr>
        <w:t>,</w:t>
      </w:r>
    </w:p>
    <w:p w14:paraId="28F2D0A5" w14:textId="46E11E50" w:rsidR="1C3A8A71" w:rsidRPr="00D86314" w:rsidRDefault="1C3A8A71" w:rsidP="0074299D">
      <w:pPr>
        <w:pStyle w:val="ListParagraph"/>
        <w:numPr>
          <w:ilvl w:val="0"/>
          <w:numId w:val="113"/>
        </w:numPr>
        <w:spacing w:before="240"/>
        <w:rPr>
          <w:rFonts w:eastAsia="Times New Roman"/>
          <w:noProof/>
        </w:rPr>
      </w:pPr>
      <w:r w:rsidRPr="00D86314">
        <w:rPr>
          <w:rFonts w:eastAsia="Times New Roman"/>
          <w:noProof/>
        </w:rPr>
        <w:t>EU satellite authorisation procedures</w:t>
      </w:r>
      <w:r w:rsidR="00331080" w:rsidRPr="00D86314">
        <w:rPr>
          <w:rFonts w:eastAsia="Times New Roman"/>
          <w:noProof/>
        </w:rPr>
        <w:t>,</w:t>
      </w:r>
    </w:p>
    <w:p w14:paraId="4070EB2E" w14:textId="2146CCC2" w:rsidR="1C3A8A71" w:rsidRPr="00D86314" w:rsidRDefault="1C3A8A71" w:rsidP="0074299D">
      <w:pPr>
        <w:pStyle w:val="ListParagraph"/>
        <w:numPr>
          <w:ilvl w:val="0"/>
          <w:numId w:val="113"/>
        </w:numPr>
        <w:spacing w:before="240"/>
        <w:rPr>
          <w:rFonts w:eastAsia="Times New Roman"/>
          <w:noProof/>
        </w:rPr>
      </w:pPr>
      <w:r w:rsidRPr="00D86314">
        <w:rPr>
          <w:rFonts w:eastAsia="Times New Roman"/>
          <w:noProof/>
        </w:rPr>
        <w:t>Centralised selection procedures for harmonised satellite bands</w:t>
      </w:r>
      <w:r w:rsidR="21BD4574" w:rsidRPr="00D86314">
        <w:rPr>
          <w:rFonts w:eastAsia="Times New Roman"/>
          <w:noProof/>
        </w:rPr>
        <w:t>.</w:t>
      </w:r>
    </w:p>
    <w:p w14:paraId="1FE527E9" w14:textId="1D441688" w:rsidR="1C3A8A71" w:rsidRPr="00D86314" w:rsidRDefault="30B0B5F0" w:rsidP="0074299D">
      <w:pPr>
        <w:spacing w:before="240"/>
        <w:rPr>
          <w:rFonts w:eastAsia="Times New Roman"/>
          <w:noProof/>
        </w:rPr>
      </w:pPr>
      <w:r w:rsidRPr="00D86314">
        <w:rPr>
          <w:rFonts w:eastAsia="Times New Roman"/>
          <w:b/>
          <w:noProof/>
        </w:rPr>
        <w:t xml:space="preserve">The proposed KPI is measured </w:t>
      </w:r>
      <w:r w:rsidR="007B15FE" w:rsidRPr="00D86314">
        <w:rPr>
          <w:rFonts w:eastAsia="Times New Roman"/>
          <w:b/>
          <w:noProof/>
        </w:rPr>
        <w:t xml:space="preserve">in intervals aligned with </w:t>
      </w:r>
      <w:r w:rsidR="00C934C5" w:rsidRPr="00D86314">
        <w:rPr>
          <w:rFonts w:eastAsia="Times New Roman"/>
          <w:b/>
          <w:noProof/>
        </w:rPr>
        <w:t>work programme and reporting cycles</w:t>
      </w:r>
      <w:r w:rsidR="1C3A8A71" w:rsidRPr="00D86314">
        <w:rPr>
          <w:rFonts w:eastAsia="Times New Roman"/>
          <w:noProof/>
        </w:rPr>
        <w:t xml:space="preserve">, with progress reviewed </w:t>
      </w:r>
      <w:r w:rsidR="00C934C5" w:rsidRPr="00D86314">
        <w:rPr>
          <w:rFonts w:eastAsia="Times New Roman"/>
          <w:noProof/>
        </w:rPr>
        <w:t xml:space="preserve">regularly </w:t>
      </w:r>
      <w:r w:rsidR="1C3A8A71" w:rsidRPr="00D86314">
        <w:rPr>
          <w:rFonts w:eastAsia="Times New Roman"/>
          <w:noProof/>
        </w:rPr>
        <w:t>by the BEREC Office</w:t>
      </w:r>
      <w:r w:rsidR="6F17E025" w:rsidRPr="00D86314">
        <w:rPr>
          <w:rFonts w:eastAsia="Times New Roman"/>
          <w:noProof/>
        </w:rPr>
        <w:t>, based on the d</w:t>
      </w:r>
      <w:r w:rsidR="1C3A8A71" w:rsidRPr="00D86314">
        <w:rPr>
          <w:rFonts w:eastAsia="Times New Roman"/>
          <w:noProof/>
        </w:rPr>
        <w:t>ata drawn from the Work Programme, internal monitoring, and post-adoption assessments.</w:t>
      </w:r>
      <w:r w:rsidR="58479456" w:rsidRPr="00D86314">
        <w:rPr>
          <w:rFonts w:eastAsia="Times New Roman"/>
          <w:noProof/>
        </w:rPr>
        <w:t xml:space="preserve"> Examples of output indicators could be the following:</w:t>
      </w:r>
    </w:p>
    <w:p w14:paraId="7ABAC422" w14:textId="72F59DE7" w:rsidR="1C3A8A71" w:rsidRPr="00D86314" w:rsidRDefault="1C3A8A71" w:rsidP="0074299D">
      <w:pPr>
        <w:pStyle w:val="ListParagraph"/>
        <w:numPr>
          <w:ilvl w:val="0"/>
          <w:numId w:val="117"/>
        </w:numPr>
        <w:spacing w:before="240"/>
        <w:rPr>
          <w:rFonts w:eastAsia="Times New Roman"/>
          <w:noProof/>
        </w:rPr>
      </w:pPr>
      <w:r w:rsidRPr="00D86314">
        <w:rPr>
          <w:rFonts w:eastAsia="Times New Roman"/>
          <w:noProof/>
        </w:rPr>
        <w:t xml:space="preserve">Number of ex ante </w:t>
      </w:r>
      <w:r w:rsidR="008D71C2" w:rsidRPr="00D86314">
        <w:rPr>
          <w:rFonts w:eastAsia="Times New Roman"/>
          <w:noProof/>
        </w:rPr>
        <w:t xml:space="preserve">single market spectrum </w:t>
      </w:r>
      <w:r w:rsidRPr="00D86314">
        <w:rPr>
          <w:rFonts w:eastAsia="Times New Roman"/>
          <w:noProof/>
        </w:rPr>
        <w:t>procedures and market analyses</w:t>
      </w:r>
      <w:r w:rsidR="00FD73C7" w:rsidRPr="00D86314">
        <w:rPr>
          <w:rFonts w:eastAsia="Times New Roman"/>
          <w:noProof/>
        </w:rPr>
        <w:t>,</w:t>
      </w:r>
    </w:p>
    <w:p w14:paraId="42D2901E" w14:textId="4B3E2A38" w:rsidR="1C3A8A71" w:rsidRPr="00D86314" w:rsidRDefault="1C3A8A71" w:rsidP="0074299D">
      <w:pPr>
        <w:pStyle w:val="ListParagraph"/>
        <w:numPr>
          <w:ilvl w:val="0"/>
          <w:numId w:val="117"/>
        </w:numPr>
        <w:spacing w:before="240"/>
        <w:rPr>
          <w:rFonts w:eastAsia="Times New Roman"/>
          <w:noProof/>
        </w:rPr>
      </w:pPr>
      <w:r w:rsidRPr="00D86314">
        <w:rPr>
          <w:rFonts w:eastAsia="Times New Roman"/>
          <w:noProof/>
        </w:rPr>
        <w:t>Number of new EU satellite authorisation procedures</w:t>
      </w:r>
      <w:r w:rsidR="00FD73C7" w:rsidRPr="00D86314">
        <w:rPr>
          <w:rFonts w:eastAsia="Times New Roman"/>
          <w:noProof/>
        </w:rPr>
        <w:t>,</w:t>
      </w:r>
    </w:p>
    <w:p w14:paraId="2B4A4192" w14:textId="67306645" w:rsidR="1C3A8A71" w:rsidRPr="00D86314" w:rsidRDefault="1C3A8A71" w:rsidP="0074299D">
      <w:pPr>
        <w:pStyle w:val="ListParagraph"/>
        <w:numPr>
          <w:ilvl w:val="0"/>
          <w:numId w:val="117"/>
        </w:numPr>
        <w:spacing w:before="240"/>
        <w:rPr>
          <w:rFonts w:eastAsia="Times New Roman"/>
          <w:noProof/>
        </w:rPr>
      </w:pPr>
      <w:r w:rsidRPr="00D86314">
        <w:rPr>
          <w:rFonts w:eastAsia="Times New Roman"/>
          <w:noProof/>
        </w:rPr>
        <w:t>Number of centralised selection procedures for harmonised satellite bands</w:t>
      </w:r>
      <w:r w:rsidR="00FD73C7" w:rsidRPr="00D86314">
        <w:rPr>
          <w:rFonts w:eastAsia="Times New Roman"/>
          <w:noProof/>
        </w:rPr>
        <w:t>,</w:t>
      </w:r>
    </w:p>
    <w:p w14:paraId="67C407A1" w14:textId="0C1EDFAC" w:rsidR="1C3A8A71" w:rsidRPr="00D86314" w:rsidRDefault="1C3A8A71" w:rsidP="0074299D">
      <w:pPr>
        <w:pStyle w:val="ListParagraph"/>
        <w:numPr>
          <w:ilvl w:val="0"/>
          <w:numId w:val="117"/>
        </w:numPr>
        <w:spacing w:before="240"/>
        <w:rPr>
          <w:rFonts w:eastAsia="Times New Roman"/>
          <w:noProof/>
        </w:rPr>
      </w:pPr>
      <w:r w:rsidRPr="00D86314">
        <w:rPr>
          <w:rFonts w:eastAsia="Times New Roman"/>
          <w:noProof/>
        </w:rPr>
        <w:t>Number of BEREC/RSPG opinions and public consultations</w:t>
      </w:r>
      <w:r w:rsidR="00436945" w:rsidRPr="00D86314">
        <w:rPr>
          <w:rFonts w:eastAsia="Times New Roman"/>
          <w:noProof/>
        </w:rPr>
        <w:t xml:space="preserve"> and their impact measured by </w:t>
      </w:r>
      <w:r w:rsidR="008D73C5" w:rsidRPr="00D86314">
        <w:rPr>
          <w:rFonts w:eastAsia="Times New Roman"/>
          <w:noProof/>
        </w:rPr>
        <w:t>stakeholders participation in the consultation process</w:t>
      </w:r>
      <w:r w:rsidR="00FD73C7" w:rsidRPr="00D86314">
        <w:rPr>
          <w:rFonts w:eastAsia="Times New Roman"/>
          <w:noProof/>
        </w:rPr>
        <w:t>,</w:t>
      </w:r>
    </w:p>
    <w:p w14:paraId="7D03CFB0" w14:textId="7B4E7224" w:rsidR="1C3A8A71" w:rsidRPr="00D86314" w:rsidRDefault="1C3A8A71" w:rsidP="0074299D">
      <w:pPr>
        <w:pStyle w:val="ListParagraph"/>
        <w:numPr>
          <w:ilvl w:val="0"/>
          <w:numId w:val="117"/>
        </w:numPr>
        <w:spacing w:before="240"/>
        <w:rPr>
          <w:rFonts w:eastAsia="Times New Roman"/>
          <w:noProof/>
        </w:rPr>
      </w:pPr>
      <w:r w:rsidRPr="00D86314">
        <w:rPr>
          <w:rFonts w:eastAsia="Times New Roman"/>
          <w:noProof/>
        </w:rPr>
        <w:t xml:space="preserve">Number of BEREC </w:t>
      </w:r>
      <w:r w:rsidR="00FD73C7" w:rsidRPr="00D86314">
        <w:rPr>
          <w:rFonts w:eastAsia="Times New Roman"/>
          <w:noProof/>
        </w:rPr>
        <w:t>g</w:t>
      </w:r>
      <w:r w:rsidRPr="00D86314">
        <w:rPr>
          <w:rFonts w:eastAsia="Times New Roman"/>
          <w:noProof/>
        </w:rPr>
        <w:t>uidelines adopted</w:t>
      </w:r>
      <w:r w:rsidR="00493C6C" w:rsidRPr="00D86314">
        <w:rPr>
          <w:rFonts w:eastAsia="Times New Roman"/>
          <w:noProof/>
        </w:rPr>
        <w:t xml:space="preserve"> and their up</w:t>
      </w:r>
      <w:r w:rsidR="18C76B4A" w:rsidRPr="00D86314">
        <w:rPr>
          <w:rFonts w:eastAsia="Times New Roman"/>
          <w:noProof/>
        </w:rPr>
        <w:t xml:space="preserve"> </w:t>
      </w:r>
      <w:r w:rsidR="00493C6C" w:rsidRPr="00D86314">
        <w:rPr>
          <w:rFonts w:eastAsia="Times New Roman"/>
          <w:noProof/>
        </w:rPr>
        <w:t>take measured by number of references in the decisions of the NRAs</w:t>
      </w:r>
      <w:r w:rsidR="00FD73C7" w:rsidRPr="00D86314">
        <w:rPr>
          <w:rFonts w:eastAsia="Times New Roman"/>
          <w:noProof/>
        </w:rPr>
        <w:t>,</w:t>
      </w:r>
    </w:p>
    <w:p w14:paraId="42D534C3" w14:textId="464B7116" w:rsidR="1C3A8A71" w:rsidRPr="00D86314" w:rsidRDefault="1C3A8A71" w:rsidP="0074299D">
      <w:pPr>
        <w:pStyle w:val="ListParagraph"/>
        <w:numPr>
          <w:ilvl w:val="0"/>
          <w:numId w:val="117"/>
        </w:numPr>
        <w:spacing w:before="240"/>
        <w:rPr>
          <w:rFonts w:eastAsia="Times New Roman"/>
          <w:noProof/>
        </w:rPr>
      </w:pPr>
      <w:r w:rsidRPr="00D86314">
        <w:rPr>
          <w:rFonts w:eastAsia="Times New Roman"/>
          <w:noProof/>
        </w:rPr>
        <w:t>Average case-handling time for resolving non-compliance with EU satellite authorisation or space-interference requirements</w:t>
      </w:r>
      <w:r w:rsidR="00E45A73" w:rsidRPr="00D86314">
        <w:rPr>
          <w:rFonts w:eastAsia="Times New Roman"/>
          <w:noProof/>
        </w:rPr>
        <w:t>,</w:t>
      </w:r>
    </w:p>
    <w:p w14:paraId="683FA082" w14:textId="19B68A04" w:rsidR="1C3A8A71" w:rsidRPr="00D86314" w:rsidRDefault="1C3A8A71" w:rsidP="0074299D">
      <w:pPr>
        <w:pStyle w:val="ListParagraph"/>
        <w:numPr>
          <w:ilvl w:val="0"/>
          <w:numId w:val="117"/>
        </w:numPr>
        <w:spacing w:before="240"/>
        <w:rPr>
          <w:rFonts w:eastAsia="Times New Roman"/>
          <w:noProof/>
        </w:rPr>
      </w:pPr>
      <w:r w:rsidRPr="00D86314">
        <w:rPr>
          <w:rFonts w:eastAsia="Times New Roman"/>
          <w:noProof/>
        </w:rPr>
        <w:t>Number of successful enforcement actions resolving intra-EU interference issues</w:t>
      </w:r>
      <w:r w:rsidR="5AEA9151" w:rsidRPr="00D86314">
        <w:rPr>
          <w:rFonts w:eastAsia="Times New Roman"/>
          <w:noProof/>
        </w:rPr>
        <w:t>.</w:t>
      </w:r>
    </w:p>
    <w:p w14:paraId="07ED57E2" w14:textId="339759E8" w:rsidR="00D75102" w:rsidRPr="00D86314" w:rsidRDefault="00C401DE" w:rsidP="00A00C17">
      <w:pPr>
        <w:pStyle w:val="Heading1"/>
        <w:numPr>
          <w:ilvl w:val="0"/>
          <w:numId w:val="27"/>
        </w:numPr>
        <w:spacing w:before="360"/>
        <w:ind w:left="482" w:hanging="482"/>
        <w:rPr>
          <w:noProof/>
          <w:lang w:val="en-GB"/>
        </w:rPr>
      </w:pPr>
      <w:bookmarkStart w:id="328" w:name="_Toc219718466"/>
      <w:r w:rsidRPr="00D86314">
        <w:rPr>
          <w:noProof/>
          <w:lang w:val="en-GB"/>
        </w:rPr>
        <w:t>B</w:t>
      </w:r>
      <w:r w:rsidR="007747BC" w:rsidRPr="00D86314">
        <w:rPr>
          <w:noProof/>
          <w:lang w:val="en-GB"/>
        </w:rPr>
        <w:t xml:space="preserve">ackground on </w:t>
      </w:r>
      <w:r w:rsidRPr="00D86314">
        <w:rPr>
          <w:noProof/>
          <w:lang w:val="en-GB"/>
        </w:rPr>
        <w:t>I</w:t>
      </w:r>
      <w:r w:rsidR="007747BC" w:rsidRPr="00D86314">
        <w:rPr>
          <w:noProof/>
          <w:lang w:val="en-GB"/>
        </w:rPr>
        <w:t xml:space="preserve">mpacts on </w:t>
      </w:r>
      <w:r w:rsidR="00A67AFB" w:rsidRPr="00D86314">
        <w:rPr>
          <w:noProof/>
          <w:lang w:val="en-GB"/>
        </w:rPr>
        <w:t xml:space="preserve">Spectrum </w:t>
      </w:r>
      <w:r w:rsidRPr="00D86314">
        <w:rPr>
          <w:noProof/>
          <w:lang w:val="en-GB"/>
        </w:rPr>
        <w:t>In</w:t>
      </w:r>
      <w:r w:rsidR="00A67AFB" w:rsidRPr="00D86314">
        <w:rPr>
          <w:noProof/>
          <w:lang w:val="en-GB"/>
        </w:rPr>
        <w:t>cluding for Satellite</w:t>
      </w:r>
      <w:bookmarkEnd w:id="328"/>
    </w:p>
    <w:p w14:paraId="7BFFB5CF" w14:textId="5BB8C42E" w:rsidR="004A41B7" w:rsidRPr="00D86314" w:rsidRDefault="004A41B7" w:rsidP="004A41B7">
      <w:pPr>
        <w:pStyle w:val="Text1"/>
        <w:ind w:left="0"/>
        <w:rPr>
          <w:noProof/>
        </w:rPr>
      </w:pPr>
      <w:r w:rsidRPr="00D86314">
        <w:rPr>
          <w:noProof/>
        </w:rPr>
        <w:t xml:space="preserve">This section </w:t>
      </w:r>
      <w:r w:rsidR="00C271D2" w:rsidRPr="00D86314">
        <w:rPr>
          <w:noProof/>
        </w:rPr>
        <w:t>draws from and</w:t>
      </w:r>
      <w:r w:rsidRPr="00D86314">
        <w:rPr>
          <w:noProof/>
        </w:rPr>
        <w:t xml:space="preserve"> includes excerpts of the study supporting this impact assessment which </w:t>
      </w:r>
      <w:r w:rsidR="006D32E1" w:rsidRPr="00D86314">
        <w:rPr>
          <w:noProof/>
        </w:rPr>
        <w:t xml:space="preserve">are relevant for understanding the </w:t>
      </w:r>
      <w:r w:rsidR="00C271D2" w:rsidRPr="00D86314">
        <w:rPr>
          <w:noProof/>
        </w:rPr>
        <w:t>impacts of the policy options.</w:t>
      </w:r>
    </w:p>
    <w:p w14:paraId="079725DA" w14:textId="7291059D" w:rsidR="009246C0" w:rsidRPr="00D86314" w:rsidRDefault="009246C0" w:rsidP="00A00C17">
      <w:pPr>
        <w:pStyle w:val="Heading2"/>
        <w:numPr>
          <w:ilvl w:val="1"/>
          <w:numId w:val="27"/>
        </w:numPr>
        <w:rPr>
          <w:noProof/>
        </w:rPr>
      </w:pPr>
      <w:bookmarkStart w:id="329" w:name="_Toc219718467"/>
      <w:r w:rsidRPr="00D86314">
        <w:rPr>
          <w:noProof/>
        </w:rPr>
        <w:t>Spectrum measures impact based on economic, environmental and societal benefits of 5G</w:t>
      </w:r>
      <w:bookmarkEnd w:id="329"/>
      <w:r w:rsidRPr="00D86314">
        <w:rPr>
          <w:noProof/>
        </w:rPr>
        <w:t xml:space="preserve"> </w:t>
      </w:r>
    </w:p>
    <w:p w14:paraId="4C93C328" w14:textId="4B13634A" w:rsidR="009246C0" w:rsidRPr="00D86314" w:rsidRDefault="00313F0F" w:rsidP="00C77BEC">
      <w:pPr>
        <w:pStyle w:val="Heading3"/>
        <w:numPr>
          <w:ilvl w:val="0"/>
          <w:numId w:val="0"/>
        </w:numPr>
        <w:ind w:left="720" w:hanging="720"/>
        <w:rPr>
          <w:bCs/>
          <w:noProof/>
        </w:rPr>
      </w:pPr>
      <w:bookmarkStart w:id="330" w:name="_Toc219718468"/>
      <w:r w:rsidRPr="00D86314">
        <w:rPr>
          <w:bCs/>
          <w:noProof/>
        </w:rPr>
        <w:t>3</w:t>
      </w:r>
      <w:r w:rsidR="00633214" w:rsidRPr="00D86314">
        <w:rPr>
          <w:bCs/>
          <w:noProof/>
        </w:rPr>
        <w:t xml:space="preserve">.1.1. </w:t>
      </w:r>
      <w:r w:rsidR="009246C0" w:rsidRPr="00D86314">
        <w:rPr>
          <w:bCs/>
          <w:noProof/>
        </w:rPr>
        <w:t>Economic and sectorial impacts of 5G</w:t>
      </w:r>
      <w:bookmarkEnd w:id="330"/>
    </w:p>
    <w:p w14:paraId="3908F440" w14:textId="7C65DF3F" w:rsidR="00CE7E62" w:rsidRPr="00D86314" w:rsidRDefault="00CE7E62" w:rsidP="00CE7E62">
      <w:pPr>
        <w:pStyle w:val="EYBodytextwithparaspace"/>
        <w:rPr>
          <w:rFonts w:ascii="Times New Roman" w:hAnsi="Times New Roman"/>
          <w:noProof/>
        </w:rPr>
      </w:pPr>
      <w:r w:rsidRPr="00D86314">
        <w:rPr>
          <w:rFonts w:ascii="Times New Roman" w:hAnsi="Times New Roman"/>
          <w:noProof/>
        </w:rPr>
        <w:t>In addition to boosting mobile broadband speeds for consumers, a key driver of economic benefits from 5G is expected to come from knock-on effects in other sectors resulting from 5G IoT applications. The text box below provides some illustrations of use cases which could benefit from the ultrafast speeds and low latency offered by 5G technology.</w:t>
      </w:r>
    </w:p>
    <w:p w14:paraId="2BCEE762" w14:textId="74DC8AB3" w:rsidR="007747BC" w:rsidRPr="00D86314" w:rsidRDefault="00CE7E62" w:rsidP="001108CE">
      <w:pPr>
        <w:pStyle w:val="Caption"/>
        <w:keepNext/>
        <w:rPr>
          <w:noProof/>
          <w:sz w:val="24"/>
          <w:szCs w:val="24"/>
        </w:rPr>
      </w:pPr>
      <w:r w:rsidRPr="00D86314">
        <w:rPr>
          <w:noProof/>
          <w:color w:val="auto"/>
          <w:sz w:val="24"/>
          <w:szCs w:val="24"/>
        </w:rPr>
        <w:t xml:space="preserve">Table </w:t>
      </w:r>
      <w:r w:rsidR="005D384F">
        <w:rPr>
          <w:noProof/>
          <w:color w:val="auto"/>
          <w:sz w:val="24"/>
          <w:szCs w:val="24"/>
        </w:rPr>
        <w:t xml:space="preserve">A9 </w:t>
      </w:r>
      <w:r w:rsidR="00D55A91">
        <w:rPr>
          <w:noProof/>
          <w:color w:val="auto"/>
          <w:sz w:val="24"/>
          <w:szCs w:val="24"/>
        </w:rPr>
        <w:t>3</w:t>
      </w:r>
      <w:r w:rsidR="008C08AB">
        <w:rPr>
          <w:noProof/>
          <w:color w:val="auto"/>
          <w:sz w:val="24"/>
          <w:szCs w:val="24"/>
        </w:rPr>
        <w:t>-1</w:t>
      </w:r>
      <w:r w:rsidRPr="00D86314">
        <w:rPr>
          <w:noProof/>
          <w:color w:val="auto"/>
          <w:sz w:val="24"/>
          <w:szCs w:val="24"/>
        </w:rPr>
        <w:t>: Anticipated impacts of 5G by sector</w:t>
      </w:r>
      <w:r w:rsidRPr="00D86314">
        <w:rPr>
          <w:noProof/>
          <w:sz w:val="24"/>
          <w:szCs w:val="24"/>
        </w:rPr>
        <w:t>:</w:t>
      </w:r>
    </w:p>
    <w:tbl>
      <w:tblPr>
        <w:tblW w:w="0" w:type="auto"/>
        <w:tblLook w:val="04A0" w:firstRow="1" w:lastRow="0" w:firstColumn="1" w:lastColumn="0" w:noHBand="0" w:noVBand="1"/>
      </w:tblPr>
      <w:tblGrid>
        <w:gridCol w:w="8608"/>
      </w:tblGrid>
      <w:tr w:rsidR="005576AE" w:rsidRPr="00D86314" w14:paraId="3C06E199" w14:textId="77777777" w:rsidTr="0194B2BB">
        <w:tc>
          <w:tcPr>
            <w:tcW w:w="90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B782DD" w14:textId="56418F9D" w:rsidR="005576AE" w:rsidRPr="00D86314" w:rsidRDefault="03DE0A76" w:rsidP="00543A9E">
            <w:pPr>
              <w:pStyle w:val="EYBodytextwithparaspace"/>
              <w:rPr>
                <w:rFonts w:ascii="Times New Roman" w:hAnsi="Times New Roman"/>
                <w:noProof/>
                <w:sz w:val="20"/>
                <w:szCs w:val="20"/>
              </w:rPr>
            </w:pPr>
            <w:r w:rsidRPr="00D86314">
              <w:rPr>
                <w:rFonts w:ascii="Times New Roman" w:hAnsi="Times New Roman"/>
                <w:b/>
                <w:bCs/>
                <w:noProof/>
              </w:rPr>
              <w:t>Healthcare</w:t>
            </w:r>
            <w:r w:rsidRPr="00D86314">
              <w:rPr>
                <w:rFonts w:ascii="Times New Roman" w:hAnsi="Times New Roman"/>
                <w:noProof/>
              </w:rPr>
              <w:t xml:space="preserve">. Both mobile and fixed ultrafast connectivity and minimum latency (&lt;1ms) will critically enable instantaneous </w:t>
            </w:r>
            <w:r w:rsidRPr="00D86314" w:rsidDel="00A77B7A">
              <w:rPr>
                <w:rFonts w:ascii="Times New Roman" w:hAnsi="Times New Roman"/>
                <w:noProof/>
              </w:rPr>
              <w:t>high</w:t>
            </w:r>
            <w:r w:rsidRPr="00D86314">
              <w:rPr>
                <w:rFonts w:ascii="Times New Roman" w:hAnsi="Times New Roman"/>
                <w:noProof/>
              </w:rPr>
              <w:t>-quality data transmission and processing. It will therefore increase the number of multi-sensors, biometric wearables</w:t>
            </w:r>
            <w:r w:rsidR="005576AE" w:rsidRPr="00D86314">
              <w:rPr>
                <w:rFonts w:ascii="Times New Roman" w:hAnsi="Times New Roman"/>
                <w:noProof/>
                <w:vertAlign w:val="superscript"/>
              </w:rPr>
              <w:footnoteReference w:id="247"/>
            </w:r>
            <w:r w:rsidRPr="00D86314">
              <w:rPr>
                <w:rFonts w:ascii="Times New Roman" w:hAnsi="Times New Roman"/>
                <w:noProof/>
              </w:rPr>
              <w:t>, and remote treatment opportunities and operations enhanced via AR/VR and automation.</w:t>
            </w:r>
            <w:r w:rsidR="005576AE" w:rsidRPr="00D86314">
              <w:rPr>
                <w:rFonts w:ascii="Times New Roman" w:hAnsi="Times New Roman"/>
                <w:noProof/>
                <w:vertAlign w:val="superscript"/>
              </w:rPr>
              <w:footnoteReference w:id="248"/>
            </w:r>
            <w:r w:rsidRPr="00D86314">
              <w:rPr>
                <w:rFonts w:ascii="Times New Roman" w:hAnsi="Times New Roman"/>
                <w:noProof/>
              </w:rPr>
              <w:t xml:space="preserve"> The latter might drastically improve resource management, drug reliability and treatment care</w:t>
            </w:r>
            <w:r w:rsidR="005576AE" w:rsidRPr="00D86314">
              <w:rPr>
                <w:rFonts w:ascii="Times New Roman" w:hAnsi="Times New Roman"/>
                <w:noProof/>
                <w:vertAlign w:val="superscript"/>
              </w:rPr>
              <w:footnoteReference w:id="249"/>
            </w:r>
            <w:r w:rsidRPr="00D86314">
              <w:rPr>
                <w:rFonts w:ascii="Times New Roman" w:hAnsi="Times New Roman"/>
                <w:noProof/>
              </w:rPr>
              <w:t>. 5G wearables can decrease cost by remote diagnosis and monitoring of patients.</w:t>
            </w:r>
            <w:r w:rsidR="005576AE" w:rsidRPr="00D86314">
              <w:rPr>
                <w:rFonts w:ascii="Times New Roman" w:hAnsi="Times New Roman"/>
                <w:noProof/>
                <w:vertAlign w:val="superscript"/>
              </w:rPr>
              <w:footnoteReference w:id="250"/>
            </w:r>
            <w:r w:rsidRPr="00D86314">
              <w:rPr>
                <w:rFonts w:ascii="Times New Roman" w:hAnsi="Times New Roman"/>
                <w:noProof/>
              </w:rPr>
              <w:t xml:space="preserve"> Healthcare applications using 5G are estimated to add </w:t>
            </w:r>
            <w:r w:rsidR="008A74E4" w:rsidRPr="00D86314">
              <w:rPr>
                <w:rFonts w:ascii="Times New Roman" w:hAnsi="Times New Roman"/>
                <w:noProof/>
              </w:rPr>
              <w:t>USD </w:t>
            </w:r>
            <w:r w:rsidRPr="00D86314">
              <w:rPr>
                <w:rFonts w:ascii="Times New Roman" w:hAnsi="Times New Roman"/>
                <w:noProof/>
              </w:rPr>
              <w:t>530 billion to global GDP by 2030.</w:t>
            </w:r>
            <w:r w:rsidR="005576AE" w:rsidRPr="00D86314">
              <w:rPr>
                <w:rFonts w:ascii="Times New Roman" w:hAnsi="Times New Roman"/>
                <w:noProof/>
                <w:vertAlign w:val="superscript"/>
              </w:rPr>
              <w:footnoteReference w:id="251"/>
            </w:r>
          </w:p>
          <w:p w14:paraId="61245484" w14:textId="002C1C37" w:rsidR="005576AE" w:rsidRPr="00D86314" w:rsidRDefault="03DE0A76" w:rsidP="00822B16">
            <w:pPr>
              <w:pStyle w:val="EYBodytextwithparaspace"/>
              <w:spacing w:before="0"/>
              <w:rPr>
                <w:rFonts w:ascii="Times New Roman" w:hAnsi="Times New Roman"/>
                <w:noProof/>
              </w:rPr>
            </w:pPr>
            <w:r w:rsidRPr="00D86314">
              <w:rPr>
                <w:rFonts w:ascii="Times New Roman" w:hAnsi="Times New Roman"/>
                <w:b/>
                <w:bCs/>
                <w:noProof/>
              </w:rPr>
              <w:t>Manufacturing</w:t>
            </w:r>
            <w:r w:rsidRPr="00D86314">
              <w:rPr>
                <w:rFonts w:ascii="Times New Roman" w:hAnsi="Times New Roman"/>
                <w:noProof/>
              </w:rPr>
              <w:t>. This sector is expected to be highly affected by the 5G revolution and massive internet of things (IoT). Three main benefits expected are a) remote and automated quality control; b) higher working safety; c) productivity and operational effectiveness</w:t>
            </w:r>
            <w:r w:rsidR="005576AE" w:rsidRPr="00D86314">
              <w:rPr>
                <w:rFonts w:ascii="Times New Roman" w:hAnsi="Times New Roman"/>
                <w:noProof/>
                <w:vertAlign w:val="superscript"/>
              </w:rPr>
              <w:footnoteReference w:id="252"/>
            </w:r>
            <w:r w:rsidRPr="00D86314">
              <w:rPr>
                <w:rFonts w:ascii="Times New Roman" w:hAnsi="Times New Roman"/>
                <w:noProof/>
                <w:vertAlign w:val="superscript"/>
              </w:rPr>
              <w:t>.</w:t>
            </w:r>
            <w:r w:rsidRPr="00D86314">
              <w:rPr>
                <w:rFonts w:ascii="Times New Roman" w:hAnsi="Times New Roman"/>
                <w:noProof/>
              </w:rPr>
              <w:t xml:space="preserve"> The latter specifically benefits from Machine Learning applied to quality checks to prevent faults and reduce scrap costs</w:t>
            </w:r>
            <w:r w:rsidR="005576AE" w:rsidRPr="00D86314">
              <w:rPr>
                <w:rFonts w:ascii="Times New Roman" w:hAnsi="Times New Roman"/>
                <w:noProof/>
                <w:vertAlign w:val="superscript"/>
              </w:rPr>
              <w:footnoteReference w:id="253"/>
            </w:r>
            <w:r w:rsidRPr="00D86314">
              <w:rPr>
                <w:rFonts w:ascii="Times New Roman" w:hAnsi="Times New Roman"/>
                <w:noProof/>
              </w:rPr>
              <w:t>. With a massive 5G deployment –it will be possible to achieve automated factory floors, human-to-robot collaboration and high skilled remote support through drones and AR/VR. Additionally, remote control and low latency will prevent a human worker from operating in dangerous situations as well as provide new tools for first aid</w:t>
            </w:r>
            <w:r w:rsidR="005576AE" w:rsidRPr="00D86314">
              <w:rPr>
                <w:rFonts w:ascii="Times New Roman" w:hAnsi="Times New Roman"/>
                <w:noProof/>
                <w:vertAlign w:val="superscript"/>
              </w:rPr>
              <w:footnoteReference w:id="254"/>
            </w:r>
            <w:r w:rsidRPr="00D86314">
              <w:rPr>
                <w:rFonts w:ascii="Times New Roman" w:hAnsi="Times New Roman"/>
                <w:noProof/>
              </w:rPr>
              <w:t>. It is forecasted that the number of connected IoT devices will reach 29.4 billion until 2030.</w:t>
            </w:r>
            <w:r w:rsidR="005576AE" w:rsidRPr="00D86314">
              <w:rPr>
                <w:rFonts w:ascii="Times New Roman" w:hAnsi="Times New Roman"/>
                <w:noProof/>
                <w:vertAlign w:val="superscript"/>
              </w:rPr>
              <w:footnoteReference w:id="255"/>
            </w:r>
            <w:r w:rsidRPr="00D86314">
              <w:rPr>
                <w:rFonts w:ascii="Times New Roman" w:hAnsi="Times New Roman"/>
                <w:noProof/>
              </w:rPr>
              <w:t xml:space="preserve"> McKinsey forecasted in 2020 that the manufacturing sector could generate between </w:t>
            </w:r>
            <w:r w:rsidR="00D61A06" w:rsidRPr="00D86314">
              <w:rPr>
                <w:rFonts w:ascii="Times New Roman" w:hAnsi="Times New Roman"/>
                <w:noProof/>
              </w:rPr>
              <w:t>USD </w:t>
            </w:r>
            <w:r w:rsidRPr="00D86314">
              <w:rPr>
                <w:rFonts w:ascii="Times New Roman" w:hAnsi="Times New Roman"/>
                <w:noProof/>
              </w:rPr>
              <w:t xml:space="preserve">400 to </w:t>
            </w:r>
            <w:r w:rsidR="00AD234E" w:rsidRPr="00D86314">
              <w:rPr>
                <w:rFonts w:ascii="Times New Roman" w:hAnsi="Times New Roman"/>
                <w:noProof/>
              </w:rPr>
              <w:t>USD </w:t>
            </w:r>
            <w:r w:rsidRPr="00D86314">
              <w:rPr>
                <w:rFonts w:ascii="Times New Roman" w:hAnsi="Times New Roman"/>
                <w:noProof/>
              </w:rPr>
              <w:t>650 billion of additional global GDP due to smart manufacturing based on 5G technologies.</w:t>
            </w:r>
            <w:r w:rsidR="005576AE" w:rsidRPr="00D86314">
              <w:rPr>
                <w:rFonts w:ascii="Times New Roman" w:hAnsi="Times New Roman"/>
                <w:noProof/>
                <w:vertAlign w:val="superscript"/>
              </w:rPr>
              <w:footnoteReference w:id="256"/>
            </w:r>
            <w:r w:rsidRPr="00D86314">
              <w:rPr>
                <w:rFonts w:ascii="Times New Roman" w:hAnsi="Times New Roman"/>
                <w:noProof/>
              </w:rPr>
              <w:t xml:space="preserve"> Other estimates by PwC state contributions of </w:t>
            </w:r>
            <w:r w:rsidR="00AD234E" w:rsidRPr="00D86314">
              <w:rPr>
                <w:rFonts w:ascii="Times New Roman" w:hAnsi="Times New Roman"/>
                <w:noProof/>
              </w:rPr>
              <w:t>USD </w:t>
            </w:r>
            <w:r w:rsidRPr="00D86314">
              <w:rPr>
                <w:rFonts w:ascii="Times New Roman" w:hAnsi="Times New Roman"/>
                <w:noProof/>
              </w:rPr>
              <w:t>134 billion until 2030.</w:t>
            </w:r>
            <w:r w:rsidR="005576AE" w:rsidRPr="00D86314">
              <w:rPr>
                <w:rFonts w:ascii="Times New Roman" w:hAnsi="Times New Roman"/>
                <w:noProof/>
                <w:vertAlign w:val="superscript"/>
              </w:rPr>
              <w:footnoteReference w:id="257"/>
            </w:r>
          </w:p>
          <w:p w14:paraId="49CB2C16" w14:textId="07511184" w:rsidR="005576AE" w:rsidRPr="00D86314" w:rsidRDefault="03DE0A76" w:rsidP="00822B16">
            <w:pPr>
              <w:pStyle w:val="EYBodytextwithparaspace"/>
              <w:spacing w:before="0"/>
              <w:rPr>
                <w:rFonts w:ascii="Times New Roman" w:hAnsi="Times New Roman"/>
                <w:noProof/>
              </w:rPr>
            </w:pPr>
            <w:r w:rsidRPr="00D86314">
              <w:rPr>
                <w:rFonts w:ascii="Times New Roman" w:hAnsi="Times New Roman"/>
                <w:b/>
                <w:bCs/>
                <w:noProof/>
              </w:rPr>
              <w:t>Automotive and transport</w:t>
            </w:r>
            <w:r w:rsidRPr="00D86314">
              <w:rPr>
                <w:rFonts w:ascii="Times New Roman" w:hAnsi="Times New Roman"/>
                <w:noProof/>
              </w:rPr>
              <w:t>. IoT ultrafast mobile data collection and elaboration might finally enhance autonomous driving at all levels – from exit-to-exit highway remote driving to self-driving cars. It would boost supply chain efficiency, increase elderly and mobility for people with disabilities, improve road safety, and transform public infrastructure. Connected vehicles could improve commute times and reduce pollution by optimizing routes</w:t>
            </w:r>
            <w:r w:rsidR="005576AE" w:rsidRPr="00D86314">
              <w:rPr>
                <w:rFonts w:ascii="Times New Roman" w:hAnsi="Times New Roman"/>
                <w:noProof/>
                <w:vertAlign w:val="superscript"/>
              </w:rPr>
              <w:footnoteReference w:id="258"/>
            </w:r>
            <w:r w:rsidRPr="00D86314">
              <w:rPr>
                <w:rFonts w:ascii="Times New Roman" w:hAnsi="Times New Roman"/>
                <w:noProof/>
              </w:rPr>
              <w:t>. Support devices like stolen vehicle tracking, massive media car infotainment, remote vehicle monitoring would become possible, enhancing vehicles life spans and their efficiency</w:t>
            </w:r>
            <w:r w:rsidR="005576AE" w:rsidRPr="00D86314">
              <w:rPr>
                <w:rFonts w:ascii="Times New Roman" w:hAnsi="Times New Roman"/>
                <w:noProof/>
                <w:vertAlign w:val="superscript"/>
              </w:rPr>
              <w:footnoteReference w:id="259"/>
            </w:r>
            <w:r w:rsidRPr="00D86314">
              <w:rPr>
                <w:rFonts w:ascii="Times New Roman" w:hAnsi="Times New Roman"/>
                <w:noProof/>
              </w:rPr>
              <w:t xml:space="preserve">. Until 2030, the total value stemming from connected-car business cases is estimated to be </w:t>
            </w:r>
            <w:r w:rsidR="00AD234E" w:rsidRPr="00D86314">
              <w:rPr>
                <w:rFonts w:ascii="Times New Roman" w:hAnsi="Times New Roman"/>
                <w:noProof/>
              </w:rPr>
              <w:t>USD </w:t>
            </w:r>
            <w:r w:rsidRPr="00D86314">
              <w:rPr>
                <w:rFonts w:ascii="Times New Roman" w:hAnsi="Times New Roman"/>
                <w:noProof/>
              </w:rPr>
              <w:t xml:space="preserve">550 billion starting from </w:t>
            </w:r>
            <w:r w:rsidR="00AD234E" w:rsidRPr="00D86314">
              <w:rPr>
                <w:rFonts w:ascii="Times New Roman" w:hAnsi="Times New Roman"/>
                <w:noProof/>
              </w:rPr>
              <w:t>USD</w:t>
            </w:r>
            <w:r w:rsidR="007473B0" w:rsidRPr="00D86314">
              <w:rPr>
                <w:rFonts w:ascii="Times New Roman" w:hAnsi="Times New Roman"/>
                <w:noProof/>
              </w:rPr>
              <w:t> </w:t>
            </w:r>
            <w:r w:rsidRPr="00D86314">
              <w:rPr>
                <w:rFonts w:ascii="Times New Roman" w:hAnsi="Times New Roman"/>
                <w:noProof/>
              </w:rPr>
              <w:t>64 billion in 2020. This equals a growth rate of 25 % per year.</w:t>
            </w:r>
            <w:r w:rsidR="005576AE" w:rsidRPr="00D86314">
              <w:rPr>
                <w:rFonts w:ascii="Times New Roman" w:hAnsi="Times New Roman"/>
                <w:noProof/>
                <w:vertAlign w:val="superscript"/>
              </w:rPr>
              <w:footnoteReference w:id="260"/>
            </w:r>
          </w:p>
          <w:p w14:paraId="1267238F" w14:textId="54CC7E51" w:rsidR="005576AE" w:rsidRPr="00D86314" w:rsidRDefault="03DE0A76" w:rsidP="00822B16">
            <w:pPr>
              <w:pStyle w:val="EYBodytextwithparaspace"/>
              <w:spacing w:before="0"/>
              <w:rPr>
                <w:rFonts w:ascii="Times New Roman" w:hAnsi="Times New Roman"/>
                <w:noProof/>
              </w:rPr>
            </w:pPr>
            <w:r w:rsidRPr="00D86314">
              <w:rPr>
                <w:rFonts w:ascii="Times New Roman" w:hAnsi="Times New Roman"/>
                <w:b/>
                <w:bCs/>
                <w:noProof/>
              </w:rPr>
              <w:t>Energy and environment</w:t>
            </w:r>
            <w:r w:rsidRPr="00D86314">
              <w:rPr>
                <w:rFonts w:ascii="Times New Roman" w:hAnsi="Times New Roman"/>
                <w:noProof/>
              </w:rPr>
              <w:t>. Instant connectivity would enable smart grid implementation, significantly reducing energy consumption, operational costs via real-time remote monitoring and energy wastes. Smart grids might be applied to smart street lighting and residential smart meters</w:t>
            </w:r>
            <w:r w:rsidR="005576AE" w:rsidRPr="00D86314">
              <w:rPr>
                <w:rFonts w:ascii="Times New Roman" w:hAnsi="Times New Roman"/>
                <w:noProof/>
                <w:vertAlign w:val="superscript"/>
              </w:rPr>
              <w:footnoteReference w:id="261"/>
            </w:r>
            <w:r w:rsidRPr="00D86314">
              <w:rPr>
                <w:rFonts w:ascii="Times New Roman" w:hAnsi="Times New Roman"/>
                <w:noProof/>
                <w:vertAlign w:val="superscript"/>
              </w:rPr>
              <w:t>.</w:t>
            </w:r>
            <w:r w:rsidRPr="00D86314">
              <w:rPr>
                <w:rFonts w:ascii="Times New Roman" w:hAnsi="Times New Roman"/>
                <w:noProof/>
              </w:rPr>
              <w:t xml:space="preserve"> Ultimately, IoT enhanced by applying monitoring drones, AR/VR tools and automated support would increase the reliability of the infrastructure and increase workers’ safety</w:t>
            </w:r>
            <w:r w:rsidR="005576AE" w:rsidRPr="00D86314">
              <w:rPr>
                <w:rFonts w:ascii="Times New Roman" w:hAnsi="Times New Roman"/>
                <w:noProof/>
                <w:vertAlign w:val="superscript"/>
              </w:rPr>
              <w:footnoteReference w:id="262"/>
            </w:r>
            <w:r w:rsidRPr="00D86314">
              <w:rPr>
                <w:rFonts w:ascii="Times New Roman" w:hAnsi="Times New Roman"/>
                <w:noProof/>
              </w:rPr>
              <w:t xml:space="preserve">. Smart utilities depending on 5G are predicted to add </w:t>
            </w:r>
            <w:r w:rsidR="007473B0" w:rsidRPr="00D86314">
              <w:rPr>
                <w:rFonts w:ascii="Times New Roman" w:hAnsi="Times New Roman"/>
                <w:noProof/>
              </w:rPr>
              <w:t>USD </w:t>
            </w:r>
            <w:r w:rsidRPr="00D86314">
              <w:rPr>
                <w:rFonts w:ascii="Times New Roman" w:hAnsi="Times New Roman"/>
                <w:noProof/>
              </w:rPr>
              <w:t>330 billion to global GDP until 2030.</w:t>
            </w:r>
            <w:r w:rsidR="005576AE" w:rsidRPr="00D86314">
              <w:rPr>
                <w:rFonts w:ascii="Times New Roman" w:hAnsi="Times New Roman"/>
                <w:noProof/>
                <w:vertAlign w:val="superscript"/>
              </w:rPr>
              <w:footnoteReference w:id="263"/>
            </w:r>
            <w:r w:rsidRPr="00D86314">
              <w:rPr>
                <w:rFonts w:ascii="Times New Roman" w:hAnsi="Times New Roman"/>
                <w:noProof/>
              </w:rPr>
              <w:t xml:space="preserve"> Ericsson estimates that the use of ICT can reduce interruption durations in the power grid, yielding a yearly increase in revenue of up to </w:t>
            </w:r>
            <w:r w:rsidR="007473B0" w:rsidRPr="00D86314">
              <w:rPr>
                <w:rFonts w:ascii="Times New Roman" w:hAnsi="Times New Roman"/>
                <w:noProof/>
              </w:rPr>
              <w:t>EUR </w:t>
            </w:r>
            <w:r w:rsidRPr="00D86314">
              <w:rPr>
                <w:rFonts w:ascii="Times New Roman" w:hAnsi="Times New Roman"/>
                <w:noProof/>
              </w:rPr>
              <w:t>40 million for one Swedish operator.</w:t>
            </w:r>
            <w:r w:rsidR="005576AE" w:rsidRPr="00D86314">
              <w:rPr>
                <w:rFonts w:ascii="Times New Roman" w:hAnsi="Times New Roman"/>
                <w:noProof/>
                <w:vertAlign w:val="superscript"/>
              </w:rPr>
              <w:footnoteReference w:id="264"/>
            </w:r>
          </w:p>
          <w:p w14:paraId="19CBD714" w14:textId="77777777" w:rsidR="005576AE" w:rsidRPr="00D86314" w:rsidRDefault="03DE0A76" w:rsidP="00822B16">
            <w:pPr>
              <w:pStyle w:val="EYBodytextwithparaspace"/>
              <w:spacing w:before="0"/>
              <w:rPr>
                <w:rFonts w:ascii="Times New Roman" w:hAnsi="Times New Roman"/>
                <w:noProof/>
              </w:rPr>
            </w:pPr>
            <w:r w:rsidRPr="00D86314">
              <w:rPr>
                <w:rFonts w:ascii="Times New Roman" w:hAnsi="Times New Roman"/>
                <w:b/>
                <w:bCs/>
                <w:noProof/>
              </w:rPr>
              <w:t>Agriculture</w:t>
            </w:r>
            <w:r w:rsidRPr="00D86314">
              <w:rPr>
                <w:rFonts w:ascii="Times New Roman" w:hAnsi="Times New Roman"/>
                <w:noProof/>
              </w:rPr>
              <w:t>. Accenture explored the application of 5G connectivity and highlighted three trajectories: a) pest and weed remote individuation and eradication using drones and AI, allowing targeted pesticides usage b) crops and livestock welfare and monitoring through sensors and drones c) connected and remotely</w:t>
            </w:r>
            <w:r w:rsidRPr="00D86314">
              <w:rPr>
                <w:rFonts w:ascii="Times New Roman" w:hAnsi="Times New Roman"/>
                <w:noProof/>
                <w:sz w:val="20"/>
                <w:szCs w:val="20"/>
              </w:rPr>
              <w:t xml:space="preserve"> </w:t>
            </w:r>
            <w:r w:rsidRPr="00D86314">
              <w:rPr>
                <w:rFonts w:ascii="Times New Roman" w:hAnsi="Times New Roman"/>
                <w:noProof/>
              </w:rPr>
              <w:t>controlled/automated equipment able to reduce human employment and increase sector’s efficiency</w:t>
            </w:r>
            <w:r w:rsidR="005576AE" w:rsidRPr="00D86314">
              <w:rPr>
                <w:rFonts w:ascii="Times New Roman" w:hAnsi="Times New Roman"/>
                <w:noProof/>
                <w:sz w:val="16"/>
                <w:szCs w:val="16"/>
              </w:rPr>
              <w:footnoteReference w:id="265"/>
            </w:r>
            <w:r w:rsidRPr="00D86314">
              <w:rPr>
                <w:rFonts w:ascii="Times New Roman" w:hAnsi="Times New Roman"/>
                <w:noProof/>
                <w:sz w:val="20"/>
                <w:szCs w:val="20"/>
              </w:rPr>
              <w:t xml:space="preserve">. </w:t>
            </w:r>
            <w:r w:rsidRPr="00D86314">
              <w:rPr>
                <w:rFonts w:ascii="Times New Roman" w:hAnsi="Times New Roman"/>
                <w:noProof/>
              </w:rPr>
              <w:t>The GSMA estimates that 5G automated agricultural solutions could decrease water usage and needed human resources by 40 %</w:t>
            </w:r>
            <w:r w:rsidRPr="00D86314">
              <w:rPr>
                <w:rFonts w:ascii="Times New Roman" w:hAnsi="Times New Roman"/>
                <w:noProof/>
                <w:sz w:val="20"/>
                <w:szCs w:val="20"/>
              </w:rPr>
              <w:t>.</w:t>
            </w:r>
            <w:r w:rsidR="005576AE" w:rsidRPr="00D86314">
              <w:rPr>
                <w:rFonts w:ascii="Times New Roman" w:hAnsi="Times New Roman"/>
                <w:noProof/>
                <w:sz w:val="20"/>
                <w:szCs w:val="20"/>
                <w:vertAlign w:val="superscript"/>
              </w:rPr>
              <w:footnoteReference w:id="266"/>
            </w:r>
          </w:p>
        </w:tc>
      </w:tr>
    </w:tbl>
    <w:p w14:paraId="2C231CB0" w14:textId="25112F97" w:rsidR="00822056" w:rsidRPr="00D86314" w:rsidRDefault="00313F0F" w:rsidP="00C77BEC">
      <w:pPr>
        <w:pStyle w:val="Heading3"/>
        <w:numPr>
          <w:ilvl w:val="0"/>
          <w:numId w:val="0"/>
        </w:numPr>
        <w:ind w:left="720" w:hanging="720"/>
        <w:rPr>
          <w:noProof/>
        </w:rPr>
      </w:pPr>
      <w:bookmarkStart w:id="331" w:name="_Toc219718469"/>
      <w:bookmarkEnd w:id="250"/>
      <w:r w:rsidRPr="00D86314">
        <w:rPr>
          <w:noProof/>
        </w:rPr>
        <w:t>3</w:t>
      </w:r>
      <w:r w:rsidR="00633214" w:rsidRPr="00D86314">
        <w:rPr>
          <w:b/>
          <w:noProof/>
        </w:rPr>
        <w:t>.</w:t>
      </w:r>
      <w:r w:rsidR="00633214" w:rsidRPr="00D86314">
        <w:rPr>
          <w:bCs/>
          <w:noProof/>
        </w:rPr>
        <w:t xml:space="preserve">1.2. </w:t>
      </w:r>
      <w:r w:rsidR="00A67AFB" w:rsidRPr="00D86314">
        <w:rPr>
          <w:bCs/>
          <w:noProof/>
        </w:rPr>
        <w:t>E</w:t>
      </w:r>
      <w:r w:rsidR="00D35D24" w:rsidRPr="00D86314">
        <w:rPr>
          <w:bCs/>
          <w:noProof/>
        </w:rPr>
        <w:t>conomic</w:t>
      </w:r>
      <w:r w:rsidR="00D35D24" w:rsidRPr="00D86314">
        <w:rPr>
          <w:noProof/>
        </w:rPr>
        <w:t xml:space="preserve"> impacts </w:t>
      </w:r>
      <w:r w:rsidR="00210C27" w:rsidRPr="00D86314">
        <w:rPr>
          <w:noProof/>
        </w:rPr>
        <w:t xml:space="preserve">of </w:t>
      </w:r>
      <w:r w:rsidR="00D35D24" w:rsidRPr="00D86314">
        <w:rPr>
          <w:noProof/>
        </w:rPr>
        <w:t>6G deployment</w:t>
      </w:r>
      <w:bookmarkEnd w:id="331"/>
    </w:p>
    <w:p w14:paraId="278EFC11" w14:textId="77777777" w:rsidR="00D35D24" w:rsidRPr="00D86314" w:rsidRDefault="00D35D24" w:rsidP="00CB67C3">
      <w:pPr>
        <w:pStyle w:val="EYBodytextwithparaspace"/>
        <w:spacing w:before="0"/>
        <w:rPr>
          <w:rFonts w:ascii="Times New Roman" w:hAnsi="Times New Roman"/>
          <w:noProof/>
        </w:rPr>
      </w:pPr>
      <w:r w:rsidRPr="00D86314">
        <w:rPr>
          <w:rFonts w:ascii="Times New Roman" w:hAnsi="Times New Roman"/>
          <w:noProof/>
        </w:rPr>
        <w:t>While quantification of economic effects has been possible for 4G and 5G technologies due to their commercial maturity and measurable deployment, it is not yet feasible to reliably quantify the potential impacts of 6G. The technology is still under development and has not been deployed at scale, meaning real-world data on adoption, performance, and impact on productivity or GDP is not available. As such, any forward-looking assessment of 6G’s economic contribution must remain qualitative. Nonetheless, early standardisation efforts and research roadmaps indicate that 6G is expected to enable enhanced capabilities such as real-time distributed intelligence, ultra-low latency, integrated sensing and communication, and improved energy efficiency—all of which may generate cross-sectoral economic benefits similar or even superior to those observed for 5G.</w:t>
      </w:r>
    </w:p>
    <w:p w14:paraId="03AB6066" w14:textId="23DC4198" w:rsidR="003261EC" w:rsidRPr="00D86314" w:rsidRDefault="003261EC" w:rsidP="00CB67C3">
      <w:pPr>
        <w:pStyle w:val="EYBodytextwithparaspace"/>
        <w:spacing w:before="0"/>
        <w:rPr>
          <w:rFonts w:ascii="Times New Roman" w:hAnsi="Times New Roman"/>
          <w:noProof/>
        </w:rPr>
      </w:pPr>
      <w:r w:rsidRPr="00D86314">
        <w:rPr>
          <w:rFonts w:ascii="Times New Roman" w:hAnsi="Times New Roman"/>
          <w:noProof/>
        </w:rPr>
        <w:t>In this context, spectrum-related measures such as early planning, timely authorisation, and cross-border coordination for 6G bands (particularly in the upper mid-band and sub-THz ranges) will be key to avoid delays in commercial rollout.</w:t>
      </w:r>
      <w:r w:rsidRPr="00D86314">
        <w:rPr>
          <w:rFonts w:ascii="Times New Roman" w:hAnsi="Times New Roman"/>
          <w:noProof/>
          <w:vertAlign w:val="superscript"/>
        </w:rPr>
        <w:footnoteReference w:id="267"/>
      </w:r>
      <w:r w:rsidRPr="00D86314">
        <w:rPr>
          <w:rFonts w:ascii="Times New Roman" w:hAnsi="Times New Roman"/>
          <w:noProof/>
        </w:rPr>
        <w:t xml:space="preserve"> The success of 6G spectrum awards will depend not only on the amount and quality of spectrum made available, but also on how auction conditions—such as duration, licen</w:t>
      </w:r>
      <w:r w:rsidR="00466704" w:rsidRPr="00D86314">
        <w:rPr>
          <w:rFonts w:ascii="Times New Roman" w:hAnsi="Times New Roman"/>
          <w:noProof/>
        </w:rPr>
        <w:t>s</w:t>
      </w:r>
      <w:r w:rsidRPr="00D86314">
        <w:rPr>
          <w:rFonts w:ascii="Times New Roman" w:hAnsi="Times New Roman"/>
          <w:noProof/>
        </w:rPr>
        <w:t>e flexibility, reserve prices, and obligations—are designed to support investment in a context of technological and commercial uncertainty</w:t>
      </w:r>
      <w:r w:rsidRPr="00D86314">
        <w:rPr>
          <w:rFonts w:ascii="Times New Roman" w:hAnsi="Times New Roman"/>
          <w:noProof/>
          <w:vertAlign w:val="superscript"/>
        </w:rPr>
        <w:footnoteReference w:id="268"/>
      </w:r>
      <w:r w:rsidR="001E680E" w:rsidRPr="00D86314">
        <w:rPr>
          <w:rFonts w:ascii="Times New Roman" w:hAnsi="Times New Roman"/>
          <w:noProof/>
        </w:rPr>
        <w:t xml:space="preserve">. </w:t>
      </w:r>
      <w:r w:rsidRPr="00D86314">
        <w:rPr>
          <w:rFonts w:ascii="Times New Roman" w:hAnsi="Times New Roman"/>
          <w:noProof/>
        </w:rPr>
        <w:t>Building on the lessons of 5G rollout, ensuring predictability and affordability in 6G spectrum awards will be critical to incentivise timely infrastructure deployment and long-term R&amp;D commitments. Conversely, fragmented or misaligned spectrum strategies across Member States could hinder the creation of a harmonised EU-wide 6G market and delay the delivery of anticipated economic and societal benefits.</w:t>
      </w:r>
    </w:p>
    <w:p w14:paraId="6393C7B3" w14:textId="77777777" w:rsidR="003261EC" w:rsidRPr="00D86314" w:rsidRDefault="003261EC" w:rsidP="00CB67C3">
      <w:pPr>
        <w:pStyle w:val="EYBodytextwithparaspace"/>
        <w:spacing w:before="0"/>
        <w:rPr>
          <w:rFonts w:ascii="Times New Roman" w:hAnsi="Times New Roman"/>
          <w:noProof/>
        </w:rPr>
      </w:pPr>
      <w:r w:rsidRPr="00D86314">
        <w:rPr>
          <w:rFonts w:ascii="Times New Roman" w:hAnsi="Times New Roman"/>
          <w:noProof/>
        </w:rPr>
        <w:t>The first complete 6G standard (3GPP Release 21) is expected by 2028, with early commercial deployments starting around 2030</w:t>
      </w:r>
      <w:r w:rsidRPr="00D86314">
        <w:rPr>
          <w:rFonts w:ascii="Times New Roman" w:hAnsi="Times New Roman"/>
          <w:noProof/>
          <w:vertAlign w:val="superscript"/>
        </w:rPr>
        <w:footnoteReference w:id="269"/>
      </w:r>
      <w:r w:rsidR="007951D4" w:rsidRPr="00D86314">
        <w:rPr>
          <w:rFonts w:ascii="Times New Roman" w:hAnsi="Times New Roman"/>
          <w:noProof/>
        </w:rPr>
        <w:t xml:space="preserve">. </w:t>
      </w:r>
      <w:r w:rsidRPr="00D86314">
        <w:rPr>
          <w:rFonts w:ascii="Times New Roman" w:hAnsi="Times New Roman"/>
          <w:noProof/>
        </w:rPr>
        <w:t>EU-level spectrum decisions made between 2025–2028 will thus be crucial in shaping the conditions for early trials, industrial uptake, and large-scale 6G infrastructure investment.</w:t>
      </w:r>
      <w:r w:rsidRPr="00D86314">
        <w:rPr>
          <w:rFonts w:ascii="Times New Roman" w:hAnsi="Times New Roman"/>
          <w:noProof/>
          <w:vertAlign w:val="superscript"/>
        </w:rPr>
        <w:footnoteReference w:id="270"/>
      </w:r>
      <w:r w:rsidRPr="00D86314">
        <w:rPr>
          <w:rFonts w:ascii="Times New Roman" w:hAnsi="Times New Roman"/>
          <w:noProof/>
        </w:rPr>
        <w:t xml:space="preserve"> Timely and coordinated spectrum allocation will be necessary to support industrial research and early network planning, particularly for high-value vertical use cases. Without such preparation, there is a risk the EU could lag behind countries such as the US, China, South Korea and Japan, which have already launched national 6G strategies and spectrum planning initiative. A strategic and investment-friendly spectrum policy will therefore be indispensable to secure Europe’s global competitiveness in next-generation mobile communications.</w:t>
      </w:r>
    </w:p>
    <w:p w14:paraId="76E8E61F" w14:textId="16DB5263" w:rsidR="003261EC" w:rsidRPr="00D86314" w:rsidRDefault="000A3CA1" w:rsidP="00A00C17">
      <w:pPr>
        <w:pStyle w:val="Heading2"/>
        <w:numPr>
          <w:ilvl w:val="1"/>
          <w:numId w:val="27"/>
        </w:numPr>
        <w:spacing w:before="360"/>
        <w:ind w:left="1202"/>
        <w:rPr>
          <w:noProof/>
        </w:rPr>
      </w:pPr>
      <w:bookmarkStart w:id="332" w:name="_Toc219718470"/>
      <w:r w:rsidRPr="00D86314">
        <w:rPr>
          <w:noProof/>
        </w:rPr>
        <w:t xml:space="preserve">Satellite: </w:t>
      </w:r>
      <w:r w:rsidR="003261EC" w:rsidRPr="00D86314">
        <w:rPr>
          <w:noProof/>
        </w:rPr>
        <w:t xml:space="preserve">The cost of legal and regulatory fragmentation of authorisation and </w:t>
      </w:r>
      <w:r w:rsidR="003261EC" w:rsidRPr="00D86314">
        <w:rPr>
          <w:bCs/>
          <w:noProof/>
        </w:rPr>
        <w:t xml:space="preserve">spectrum </w:t>
      </w:r>
      <w:r w:rsidR="003261EC" w:rsidRPr="00D86314">
        <w:rPr>
          <w:noProof/>
        </w:rPr>
        <w:t>assignment</w:t>
      </w:r>
      <w:bookmarkEnd w:id="332"/>
    </w:p>
    <w:p w14:paraId="0D31317A" w14:textId="714DA5B0" w:rsidR="004C4657" w:rsidRPr="00D86314" w:rsidRDefault="004A01CE" w:rsidP="003261EC">
      <w:pPr>
        <w:pStyle w:val="EYBodytextwithparaspace"/>
        <w:rPr>
          <w:noProof/>
        </w:rPr>
      </w:pPr>
      <w:r w:rsidRPr="00D86314">
        <w:rPr>
          <w:rFonts w:ascii="Times New Roman" w:hAnsi="Times New Roman"/>
          <w:noProof/>
        </w:rPr>
        <w:t xml:space="preserve">This section will </w:t>
      </w:r>
      <w:r w:rsidR="00143B38" w:rsidRPr="00D86314">
        <w:rPr>
          <w:rFonts w:ascii="Times New Roman" w:hAnsi="Times New Roman"/>
          <w:noProof/>
        </w:rPr>
        <w:t>examine</w:t>
      </w:r>
      <w:r w:rsidRPr="00D86314">
        <w:rPr>
          <w:rFonts w:ascii="Times New Roman" w:hAnsi="Times New Roman"/>
          <w:noProof/>
        </w:rPr>
        <w:t xml:space="preserve"> </w:t>
      </w:r>
      <w:r w:rsidR="005A60A5" w:rsidRPr="00D86314">
        <w:rPr>
          <w:rFonts w:ascii="Times New Roman" w:hAnsi="Times New Roman"/>
          <w:noProof/>
        </w:rPr>
        <w:t xml:space="preserve">the </w:t>
      </w:r>
      <w:r w:rsidR="00E6235F" w:rsidRPr="00D86314">
        <w:rPr>
          <w:rFonts w:ascii="Times New Roman" w:hAnsi="Times New Roman"/>
          <w:noProof/>
        </w:rPr>
        <w:t xml:space="preserve">key </w:t>
      </w:r>
      <w:r w:rsidR="00143B38" w:rsidRPr="00D86314">
        <w:rPr>
          <w:rFonts w:ascii="Times New Roman" w:hAnsi="Times New Roman"/>
          <w:noProof/>
        </w:rPr>
        <w:t>aspects</w:t>
      </w:r>
      <w:r w:rsidR="00E6235F" w:rsidRPr="00D86314">
        <w:rPr>
          <w:rFonts w:ascii="Times New Roman" w:hAnsi="Times New Roman"/>
          <w:noProof/>
        </w:rPr>
        <w:t xml:space="preserve"> </w:t>
      </w:r>
      <w:r w:rsidR="00F91103" w:rsidRPr="00D86314">
        <w:rPr>
          <w:rFonts w:ascii="Times New Roman" w:hAnsi="Times New Roman"/>
          <w:noProof/>
        </w:rPr>
        <w:t xml:space="preserve">of fragmentation </w:t>
      </w:r>
      <w:r w:rsidR="00143B38" w:rsidRPr="00D86314">
        <w:rPr>
          <w:rFonts w:ascii="Times New Roman" w:hAnsi="Times New Roman"/>
          <w:noProof/>
        </w:rPr>
        <w:t xml:space="preserve">within </w:t>
      </w:r>
      <w:r w:rsidR="00F91103" w:rsidRPr="00D86314">
        <w:rPr>
          <w:rFonts w:ascii="Times New Roman" w:hAnsi="Times New Roman"/>
          <w:noProof/>
        </w:rPr>
        <w:t xml:space="preserve">the satellite </w:t>
      </w:r>
      <w:r w:rsidR="00143B38" w:rsidRPr="00D86314">
        <w:rPr>
          <w:rFonts w:ascii="Times New Roman" w:hAnsi="Times New Roman"/>
          <w:noProof/>
        </w:rPr>
        <w:t>authorization</w:t>
      </w:r>
      <w:r w:rsidR="00F91103" w:rsidRPr="00D86314">
        <w:rPr>
          <w:rFonts w:ascii="Times New Roman" w:hAnsi="Times New Roman"/>
          <w:noProof/>
        </w:rPr>
        <w:t xml:space="preserve"> domain.</w:t>
      </w:r>
      <w:r w:rsidR="00143B38" w:rsidRPr="00D86314">
        <w:rPr>
          <w:rFonts w:ascii="Times New Roman" w:hAnsi="Times New Roman"/>
          <w:noProof/>
        </w:rPr>
        <w:t xml:space="preserve"> It will cover the fragmentation of satellite authorization itself, the </w:t>
      </w:r>
      <w:r w:rsidR="001C1481" w:rsidRPr="00D86314">
        <w:rPr>
          <w:rFonts w:ascii="Times New Roman" w:hAnsi="Times New Roman"/>
          <w:noProof/>
        </w:rPr>
        <w:t xml:space="preserve">regulatory </w:t>
      </w:r>
      <w:r w:rsidR="00143B38" w:rsidRPr="00D86314">
        <w:rPr>
          <w:rFonts w:ascii="Times New Roman" w:hAnsi="Times New Roman"/>
          <w:noProof/>
        </w:rPr>
        <w:t>efforts involved in satellite authorization, licensing, and monitoring, and, finally, the effects of delays in satellite authorizations</w:t>
      </w:r>
    </w:p>
    <w:p w14:paraId="6E424E0C" w14:textId="0FF1C255" w:rsidR="005A0E2F" w:rsidRPr="00D86314" w:rsidRDefault="00313F0F" w:rsidP="00E8019E">
      <w:pPr>
        <w:pStyle w:val="Heading3"/>
        <w:numPr>
          <w:ilvl w:val="0"/>
          <w:numId w:val="0"/>
        </w:numPr>
        <w:ind w:left="720"/>
        <w:rPr>
          <w:noProof/>
        </w:rPr>
      </w:pPr>
      <w:bookmarkStart w:id="333" w:name="_Toc219718471"/>
      <w:r w:rsidRPr="00D86314">
        <w:rPr>
          <w:noProof/>
        </w:rPr>
        <w:t>3</w:t>
      </w:r>
      <w:r w:rsidR="00DE472E" w:rsidRPr="00D86314">
        <w:rPr>
          <w:noProof/>
        </w:rPr>
        <w:t>.2.</w:t>
      </w:r>
      <w:r w:rsidR="007318BB" w:rsidRPr="00D86314">
        <w:rPr>
          <w:noProof/>
        </w:rPr>
        <w:t>1</w:t>
      </w:r>
      <w:r w:rsidR="00DE472E" w:rsidRPr="00D86314">
        <w:rPr>
          <w:noProof/>
        </w:rPr>
        <w:t xml:space="preserve">. </w:t>
      </w:r>
      <w:r w:rsidR="00BB6C68" w:rsidRPr="00D86314">
        <w:rPr>
          <w:noProof/>
        </w:rPr>
        <w:t>Satellite authorisation</w:t>
      </w:r>
      <w:r w:rsidR="00D22EC7" w:rsidRPr="00D86314">
        <w:rPr>
          <w:noProof/>
        </w:rPr>
        <w:t>,</w:t>
      </w:r>
      <w:r w:rsidR="00BB6C68" w:rsidRPr="00D86314">
        <w:rPr>
          <w:noProof/>
        </w:rPr>
        <w:t xml:space="preserve"> licencing and monitoring efforts</w:t>
      </w:r>
      <w:bookmarkEnd w:id="333"/>
      <w:r w:rsidR="00C73608" w:rsidRPr="00D86314">
        <w:rPr>
          <w:noProof/>
        </w:rPr>
        <w:t xml:space="preserve"> </w:t>
      </w:r>
    </w:p>
    <w:p w14:paraId="31C1AB1A" w14:textId="5B72A0B8" w:rsidR="00445E52" w:rsidRPr="00D86314" w:rsidRDefault="004B0A44" w:rsidP="00445E52">
      <w:pPr>
        <w:pStyle w:val="EYBodytextwithparaspace"/>
        <w:rPr>
          <w:rFonts w:ascii="Times New Roman" w:hAnsi="Times New Roman"/>
          <w:noProof/>
        </w:rPr>
      </w:pPr>
      <w:r w:rsidRPr="00D86314">
        <w:rPr>
          <w:rFonts w:ascii="Times New Roman" w:hAnsi="Times New Roman"/>
          <w:noProof/>
        </w:rPr>
        <w:t>T</w:t>
      </w:r>
      <w:r w:rsidR="00445E52" w:rsidRPr="00D86314">
        <w:rPr>
          <w:rFonts w:ascii="Times New Roman" w:hAnsi="Times New Roman"/>
          <w:noProof/>
        </w:rPr>
        <w:t xml:space="preserve">here is significant and multi‑layered fragmentation across EU Member States </w:t>
      </w:r>
      <w:r w:rsidRPr="00D86314">
        <w:rPr>
          <w:rFonts w:ascii="Times New Roman" w:hAnsi="Times New Roman"/>
          <w:noProof/>
        </w:rPr>
        <w:t xml:space="preserve">either for satellite spectrum and </w:t>
      </w:r>
      <w:r w:rsidR="00445E52" w:rsidRPr="00D86314">
        <w:rPr>
          <w:rFonts w:ascii="Times New Roman" w:hAnsi="Times New Roman"/>
          <w:noProof/>
        </w:rPr>
        <w:t>for ground</w:t>
      </w:r>
      <w:r w:rsidR="00C776C6" w:rsidRPr="00D86314">
        <w:rPr>
          <w:rFonts w:ascii="Times New Roman" w:hAnsi="Times New Roman"/>
          <w:noProof/>
        </w:rPr>
        <w:t xml:space="preserve"> </w:t>
      </w:r>
      <w:r w:rsidR="00445E52" w:rsidRPr="00D86314">
        <w:rPr>
          <w:rFonts w:ascii="Times New Roman" w:hAnsi="Times New Roman"/>
          <w:noProof/>
        </w:rPr>
        <w:t>s</w:t>
      </w:r>
      <w:r w:rsidR="00C65750" w:rsidRPr="00D86314">
        <w:rPr>
          <w:rFonts w:ascii="Times New Roman" w:hAnsi="Times New Roman"/>
          <w:noProof/>
        </w:rPr>
        <w:t>tations</w:t>
      </w:r>
      <w:r w:rsidR="00445E52" w:rsidRPr="00D86314">
        <w:rPr>
          <w:rFonts w:ascii="Times New Roman" w:hAnsi="Times New Roman"/>
          <w:noProof/>
        </w:rPr>
        <w:t xml:space="preserve"> licensing</w:t>
      </w:r>
      <w:r w:rsidR="00323450" w:rsidRPr="00D86314">
        <w:rPr>
          <w:rFonts w:ascii="Times New Roman" w:hAnsi="Times New Roman"/>
          <w:noProof/>
        </w:rPr>
        <w:t xml:space="preserve"> which include </w:t>
      </w:r>
      <w:r w:rsidR="00445E52" w:rsidRPr="00D86314">
        <w:rPr>
          <w:rFonts w:ascii="Times New Roman" w:hAnsi="Times New Roman"/>
          <w:noProof/>
        </w:rPr>
        <w:t xml:space="preserve">four main areas: the authorisation model, the procedural steps and decision time, the fees calculation and application, and the ancillary national obligations that are bundled with ground operations (security, lawful interception, data routing, emergency services, EMF and planning). In practice this means that the same earth/ground station can be subject to very different costs, lead times and compliance artefacts depending on where it is deployed, with the slowest or most onerous jurisdiction often dictating the overall rollout schedule and eroding the programme’s Net Present Value, especially where services depend on a minimal set of operational sites, and a delay of one to three months in one jurisdiction can postpone revenue across multiple markets. </w:t>
      </w:r>
    </w:p>
    <w:p w14:paraId="6DCDD704" w14:textId="75B3A07E" w:rsidR="00445E52" w:rsidRPr="00D86314" w:rsidRDefault="00445E52" w:rsidP="00445E52">
      <w:pPr>
        <w:pStyle w:val="EYBodytextwithparaspace"/>
        <w:rPr>
          <w:rFonts w:ascii="Times New Roman" w:hAnsi="Times New Roman"/>
          <w:noProof/>
        </w:rPr>
      </w:pPr>
      <w:r w:rsidRPr="00D86314">
        <w:rPr>
          <w:rFonts w:ascii="Times New Roman" w:hAnsi="Times New Roman"/>
          <w:noProof/>
        </w:rPr>
        <w:t>Fee structures and categories show great dispersion across Member States</w:t>
      </w:r>
      <w:r w:rsidR="00184DED" w:rsidRPr="00D86314">
        <w:rPr>
          <w:rFonts w:ascii="Times New Roman" w:hAnsi="Times New Roman"/>
          <w:noProof/>
        </w:rPr>
        <w:t xml:space="preserve"> also</w:t>
      </w:r>
      <w:r w:rsidRPr="00D86314">
        <w:rPr>
          <w:rFonts w:ascii="Times New Roman" w:hAnsi="Times New Roman"/>
          <w:noProof/>
        </w:rPr>
        <w:t>. For pan-European provision of satellite D2D broadband services, according to some operators reporting Member States could impose on average one-off administrative cost for satellite authorisation (general and individual) reaching up from few thousands to EUR</w:t>
      </w:r>
      <w:r w:rsidR="00010A7B" w:rsidRPr="00D86314">
        <w:rPr>
          <w:rFonts w:ascii="Times New Roman" w:hAnsi="Times New Roman"/>
          <w:noProof/>
        </w:rPr>
        <w:t> </w:t>
      </w:r>
      <w:r w:rsidRPr="00D86314">
        <w:rPr>
          <w:rFonts w:ascii="Times New Roman" w:hAnsi="Times New Roman"/>
          <w:noProof/>
        </w:rPr>
        <w:t>110 000, plus annual administrative cost often between EUR</w:t>
      </w:r>
      <w:r w:rsidR="00010A7B" w:rsidRPr="00D86314">
        <w:rPr>
          <w:rFonts w:ascii="Times New Roman" w:hAnsi="Times New Roman"/>
          <w:noProof/>
        </w:rPr>
        <w:t> </w:t>
      </w:r>
      <w:r w:rsidRPr="00D86314">
        <w:rPr>
          <w:rFonts w:ascii="Times New Roman" w:hAnsi="Times New Roman"/>
          <w:noProof/>
        </w:rPr>
        <w:t>10 000 and EUR</w:t>
      </w:r>
      <w:r w:rsidR="00010A7B" w:rsidRPr="00D86314">
        <w:rPr>
          <w:rFonts w:ascii="Times New Roman" w:hAnsi="Times New Roman"/>
          <w:noProof/>
        </w:rPr>
        <w:t> </w:t>
      </w:r>
      <w:r w:rsidRPr="00D86314">
        <w:rPr>
          <w:rFonts w:ascii="Times New Roman" w:hAnsi="Times New Roman"/>
          <w:noProof/>
        </w:rPr>
        <w:t>50 000. In addition, the site authorisation for satellite ground stations could incur a one-off permit cost up to EUR</w:t>
      </w:r>
      <w:r w:rsidR="00010A7B" w:rsidRPr="00D86314">
        <w:rPr>
          <w:rFonts w:ascii="Times New Roman" w:hAnsi="Times New Roman"/>
          <w:noProof/>
        </w:rPr>
        <w:t> </w:t>
      </w:r>
      <w:r w:rsidRPr="00D86314">
        <w:rPr>
          <w:rFonts w:ascii="Times New Roman" w:hAnsi="Times New Roman"/>
          <w:noProof/>
        </w:rPr>
        <w:t>130 000, plus, annual administrative costs between EUR</w:t>
      </w:r>
      <w:r w:rsidR="00010A7B" w:rsidRPr="00D86314">
        <w:rPr>
          <w:rFonts w:ascii="Times New Roman" w:hAnsi="Times New Roman"/>
          <w:noProof/>
        </w:rPr>
        <w:t> </w:t>
      </w:r>
      <w:r w:rsidRPr="00D86314">
        <w:rPr>
          <w:rFonts w:ascii="Times New Roman" w:hAnsi="Times New Roman"/>
          <w:noProof/>
        </w:rPr>
        <w:t>5 000 and EUR</w:t>
      </w:r>
      <w:r w:rsidR="00010A7B" w:rsidRPr="00D86314">
        <w:rPr>
          <w:rFonts w:ascii="Times New Roman" w:hAnsi="Times New Roman"/>
          <w:noProof/>
        </w:rPr>
        <w:t> </w:t>
      </w:r>
      <w:r w:rsidRPr="00D86314">
        <w:rPr>
          <w:rFonts w:ascii="Times New Roman" w:hAnsi="Times New Roman"/>
          <w:noProof/>
        </w:rPr>
        <w:t>30 000. Further, some Member States also apply spectrum usage charges of EUR</w:t>
      </w:r>
      <w:r w:rsidR="00010A7B" w:rsidRPr="00D86314">
        <w:rPr>
          <w:rFonts w:ascii="Times New Roman" w:hAnsi="Times New Roman"/>
          <w:noProof/>
        </w:rPr>
        <w:t> </w:t>
      </w:r>
      <w:r w:rsidRPr="00D86314">
        <w:rPr>
          <w:rFonts w:ascii="Times New Roman" w:hAnsi="Times New Roman"/>
          <w:noProof/>
        </w:rPr>
        <w:t>1 000 to EUR</w:t>
      </w:r>
      <w:r w:rsidR="00010A7B" w:rsidRPr="00D86314">
        <w:rPr>
          <w:rFonts w:ascii="Times New Roman" w:hAnsi="Times New Roman"/>
          <w:noProof/>
        </w:rPr>
        <w:t> </w:t>
      </w:r>
      <w:r w:rsidRPr="00D86314">
        <w:rPr>
          <w:rFonts w:ascii="Times New Roman" w:hAnsi="Times New Roman"/>
          <w:noProof/>
        </w:rPr>
        <w:t>10</w:t>
      </w:r>
      <w:r w:rsidR="005B4B6D">
        <w:rPr>
          <w:rFonts w:ascii="Times New Roman" w:hAnsi="Times New Roman"/>
          <w:noProof/>
        </w:rPr>
        <w:t> </w:t>
      </w:r>
      <w:r w:rsidRPr="00D86314">
        <w:rPr>
          <w:rFonts w:ascii="Times New Roman" w:hAnsi="Times New Roman"/>
          <w:noProof/>
        </w:rPr>
        <w:t>000 per site annually. Therefore, there is a considerable potential for reduction of administrative fees linked to the EU licencing procedure; however, the amount is difficult to assess as it depends on relevant projects and the location of ground components, for which annual costs can differ by tens of thousands of euros depending on the MS of location</w:t>
      </w:r>
      <w:r w:rsidR="002C17E1" w:rsidRPr="00D86314">
        <w:rPr>
          <w:rFonts w:ascii="Times New Roman" w:hAnsi="Times New Roman"/>
          <w:noProof/>
        </w:rPr>
        <w:t xml:space="preserve">. Further, as part of the authorisation process, operators are required to conduct in-country testing in each Member State. This would necessitate at least </w:t>
      </w:r>
      <w:r w:rsidR="007B21E1" w:rsidRPr="00D86314">
        <w:rPr>
          <w:rFonts w:ascii="Times New Roman" w:hAnsi="Times New Roman"/>
          <w:noProof/>
        </w:rPr>
        <w:t xml:space="preserve">6 FTE </w:t>
      </w:r>
      <w:r w:rsidR="002C17E1" w:rsidRPr="00D86314">
        <w:rPr>
          <w:rFonts w:ascii="Times New Roman" w:hAnsi="Times New Roman"/>
          <w:noProof/>
        </w:rPr>
        <w:t xml:space="preserve">dedicated to regulatory testing, the deployment of a temporary ground station/gateway (incurring CAPEX costs), approximately </w:t>
      </w:r>
      <w:r w:rsidR="007B21E1" w:rsidRPr="00D86314">
        <w:rPr>
          <w:rFonts w:ascii="Times New Roman" w:hAnsi="Times New Roman"/>
          <w:noProof/>
        </w:rPr>
        <w:t>EUR</w:t>
      </w:r>
      <w:r w:rsidR="00D4369E" w:rsidRPr="00D86314">
        <w:rPr>
          <w:rFonts w:ascii="Times New Roman" w:hAnsi="Times New Roman"/>
          <w:noProof/>
        </w:rPr>
        <w:t> </w:t>
      </w:r>
      <w:r w:rsidR="002C17E1" w:rsidRPr="00D86314">
        <w:rPr>
          <w:rFonts w:ascii="Times New Roman" w:hAnsi="Times New Roman"/>
          <w:noProof/>
        </w:rPr>
        <w:t>120</w:t>
      </w:r>
      <w:r w:rsidR="00406978" w:rsidRPr="00D86314">
        <w:rPr>
          <w:rFonts w:ascii="Times New Roman" w:hAnsi="Times New Roman"/>
          <w:noProof/>
        </w:rPr>
        <w:t xml:space="preserve"> </w:t>
      </w:r>
      <w:r w:rsidR="002C17E1" w:rsidRPr="00D86314">
        <w:rPr>
          <w:rFonts w:ascii="Times New Roman" w:hAnsi="Times New Roman"/>
          <w:noProof/>
        </w:rPr>
        <w:t>000 for gateway relocation, and the engineering resources needed for its movement and installation. In total, the indicative cost of meeting these requirements across all Member States is estimated at around EUR</w:t>
      </w:r>
      <w:r w:rsidR="00D4369E" w:rsidRPr="00D86314">
        <w:rPr>
          <w:rFonts w:ascii="Times New Roman" w:hAnsi="Times New Roman"/>
          <w:noProof/>
        </w:rPr>
        <w:t> </w:t>
      </w:r>
      <w:r w:rsidR="002C17E1" w:rsidRPr="00D86314">
        <w:rPr>
          <w:rFonts w:ascii="Times New Roman" w:hAnsi="Times New Roman"/>
          <w:noProof/>
        </w:rPr>
        <w:t>3.2 million.</w:t>
      </w:r>
    </w:p>
    <w:p w14:paraId="0CD6F954" w14:textId="77777777" w:rsidR="00445E52" w:rsidRPr="00D86314" w:rsidRDefault="00445E52" w:rsidP="00445E52">
      <w:pPr>
        <w:pStyle w:val="EYBodytextwithparaspace"/>
        <w:rPr>
          <w:rFonts w:ascii="Times New Roman" w:hAnsi="Times New Roman"/>
          <w:noProof/>
        </w:rPr>
      </w:pPr>
      <w:r w:rsidRPr="00D86314">
        <w:rPr>
          <w:rFonts w:ascii="Times New Roman" w:hAnsi="Times New Roman"/>
          <w:noProof/>
        </w:rPr>
        <w:t>Regarding operator’s staff it is involved in many activities, needed for licencing, testing, launch and operation of constellation. It is estimated that for securing spectrum authorisations (general authorisations, individual licensing and ground components) for a satellite constellation covering entire EU an operator needs 6 FTE centrally for assessing the scope and requirements to launch services across each Member States, including working on spectrum assignments and additional further resources (approx. 1-2 FTE) per Member State to apply for spectrum authorisation. An operator needs to have technical teams in Member States tasked with carrying out the technical requirements necessary to demonstrate compliance with licensing requirements. These estimates may also include a minimum of additional 6 FTEs if Member States request in-country testing before the launch of satellite services</w:t>
      </w:r>
    </w:p>
    <w:p w14:paraId="597F6917" w14:textId="3EE07BCE" w:rsidR="009D0E09" w:rsidRPr="00D86314" w:rsidRDefault="004C75DB" w:rsidP="00311FA7">
      <w:pPr>
        <w:pStyle w:val="EYBodytextwithparaspace"/>
        <w:rPr>
          <w:rFonts w:ascii="Times New Roman" w:hAnsi="Times New Roman"/>
          <w:noProof/>
        </w:rPr>
      </w:pPr>
      <w:r w:rsidRPr="00D86314">
        <w:rPr>
          <w:rFonts w:ascii="Times New Roman" w:hAnsi="Times New Roman"/>
          <w:noProof/>
        </w:rPr>
        <w:t xml:space="preserve">In order to </w:t>
      </w:r>
      <w:r w:rsidR="00B366E2" w:rsidRPr="00D86314">
        <w:rPr>
          <w:rFonts w:ascii="Times New Roman" w:hAnsi="Times New Roman"/>
          <w:noProof/>
        </w:rPr>
        <w:t>gain</w:t>
      </w:r>
      <w:r w:rsidRPr="00D86314">
        <w:rPr>
          <w:rFonts w:ascii="Times New Roman" w:hAnsi="Times New Roman"/>
          <w:noProof/>
        </w:rPr>
        <w:t xml:space="preserve"> a </w:t>
      </w:r>
      <w:r w:rsidR="00B366E2" w:rsidRPr="00D86314">
        <w:rPr>
          <w:rFonts w:ascii="Times New Roman" w:hAnsi="Times New Roman"/>
          <w:noProof/>
        </w:rPr>
        <w:t>comprehensive</w:t>
      </w:r>
      <w:r w:rsidR="008124D6" w:rsidRPr="00D86314">
        <w:rPr>
          <w:rFonts w:ascii="Times New Roman" w:hAnsi="Times New Roman"/>
          <w:noProof/>
        </w:rPr>
        <w:t xml:space="preserve"> </w:t>
      </w:r>
      <w:r w:rsidR="00EB32AD" w:rsidRPr="00D86314">
        <w:rPr>
          <w:rFonts w:ascii="Times New Roman" w:hAnsi="Times New Roman"/>
          <w:noProof/>
        </w:rPr>
        <w:t xml:space="preserve">understanding of </w:t>
      </w:r>
      <w:r w:rsidRPr="00D86314">
        <w:rPr>
          <w:rFonts w:ascii="Times New Roman" w:hAnsi="Times New Roman"/>
          <w:noProof/>
        </w:rPr>
        <w:t xml:space="preserve">the </w:t>
      </w:r>
      <w:r w:rsidR="00B366E2" w:rsidRPr="00D86314">
        <w:rPr>
          <w:rFonts w:ascii="Times New Roman" w:hAnsi="Times New Roman"/>
          <w:noProof/>
        </w:rPr>
        <w:t>challenges associated with licensing</w:t>
      </w:r>
      <w:r w:rsidR="008124D6" w:rsidRPr="00D86314">
        <w:rPr>
          <w:rFonts w:ascii="Times New Roman" w:hAnsi="Times New Roman"/>
          <w:noProof/>
        </w:rPr>
        <w:t xml:space="preserve"> and</w:t>
      </w:r>
      <w:r w:rsidR="00EB32AD" w:rsidRPr="00D86314">
        <w:rPr>
          <w:rFonts w:ascii="Times New Roman" w:hAnsi="Times New Roman"/>
          <w:noProof/>
        </w:rPr>
        <w:t xml:space="preserve"> </w:t>
      </w:r>
      <w:r w:rsidR="00B366E2" w:rsidRPr="00D86314">
        <w:rPr>
          <w:rFonts w:ascii="Times New Roman" w:hAnsi="Times New Roman"/>
          <w:noProof/>
        </w:rPr>
        <w:t>monitoring</w:t>
      </w:r>
      <w:r w:rsidR="00EB32AD" w:rsidRPr="00D86314">
        <w:rPr>
          <w:rFonts w:ascii="Times New Roman" w:hAnsi="Times New Roman"/>
          <w:noProof/>
        </w:rPr>
        <w:t xml:space="preserve"> satellite </w:t>
      </w:r>
      <w:r w:rsidR="00B366E2" w:rsidRPr="00D86314">
        <w:rPr>
          <w:rFonts w:ascii="Times New Roman" w:hAnsi="Times New Roman"/>
          <w:noProof/>
        </w:rPr>
        <w:t xml:space="preserve">authorizations, </w:t>
      </w:r>
      <w:r w:rsidR="00EB32AD" w:rsidRPr="00D86314">
        <w:rPr>
          <w:rFonts w:ascii="Times New Roman" w:hAnsi="Times New Roman"/>
          <w:noProof/>
        </w:rPr>
        <w:t>the Commission conducted</w:t>
      </w:r>
      <w:r w:rsidR="00D7052E" w:rsidRPr="00D86314">
        <w:rPr>
          <w:rFonts w:ascii="Times New Roman" w:hAnsi="Times New Roman"/>
          <w:noProof/>
        </w:rPr>
        <w:t xml:space="preserve"> a brief survey of NRAs and SMAs in support of this study. The 16 NRAs or SMAs that responded to date have all provided useful quantitative data on the number of Full Time Equivalent (FTE) staff working on these satellite aspects (see</w:t>
      </w:r>
      <w:r w:rsidR="00256CA2">
        <w:rPr>
          <w:rFonts w:ascii="Times New Roman" w:hAnsi="Times New Roman"/>
          <w:noProof/>
        </w:rPr>
        <w:t xml:space="preserve"> Figure A9 3-1)</w:t>
      </w:r>
      <w:r w:rsidR="00D7052E" w:rsidRPr="00D86314">
        <w:rPr>
          <w:rFonts w:ascii="Times New Roman" w:hAnsi="Times New Roman"/>
          <w:noProof/>
        </w:rPr>
        <w:t>.</w:t>
      </w:r>
    </w:p>
    <w:p w14:paraId="5E2C6B3C" w14:textId="58FAE400" w:rsidR="002E3432" w:rsidRPr="00D86314" w:rsidRDefault="009F46F6" w:rsidP="00623C8D">
      <w:pPr>
        <w:pStyle w:val="Caption"/>
        <w:keepNext/>
        <w:keepLines/>
        <w:spacing w:before="240"/>
        <w:ind w:left="1418" w:hanging="1418"/>
        <w:rPr>
          <w:noProof/>
          <w:color w:val="auto"/>
          <w:sz w:val="22"/>
          <w:szCs w:val="22"/>
        </w:rPr>
      </w:pPr>
      <w:bookmarkStart w:id="334" w:name="_Toc208340653"/>
      <w:r w:rsidRPr="00D86314">
        <w:rPr>
          <w:noProof/>
          <w:color w:val="auto"/>
          <w:sz w:val="22"/>
          <w:szCs w:val="22"/>
        </w:rPr>
        <w:t>Figure A9</w:t>
      </w:r>
      <w:r w:rsidR="00D14602" w:rsidRPr="00D86314">
        <w:rPr>
          <w:noProof/>
          <w:color w:val="auto"/>
          <w:sz w:val="22"/>
          <w:szCs w:val="22"/>
        </w:rPr>
        <w:t xml:space="preserve"> </w:t>
      </w:r>
      <w:r w:rsidR="00C8470D" w:rsidRPr="00D86314">
        <w:rPr>
          <w:noProof/>
          <w:color w:val="auto"/>
          <w:sz w:val="22"/>
          <w:szCs w:val="22"/>
        </w:rPr>
        <w:t>3-</w:t>
      </w:r>
      <w:r w:rsidRPr="00D86314">
        <w:rPr>
          <w:noProof/>
          <w:color w:val="auto"/>
          <w:sz w:val="22"/>
          <w:szCs w:val="22"/>
        </w:rPr>
        <w:t>1</w:t>
      </w:r>
      <w:r w:rsidR="00D14602" w:rsidRPr="00D86314">
        <w:rPr>
          <w:noProof/>
          <w:color w:val="auto"/>
          <w:sz w:val="22"/>
          <w:szCs w:val="22"/>
        </w:rPr>
        <w:t xml:space="preserve">: </w:t>
      </w:r>
      <w:r w:rsidR="00717277" w:rsidRPr="00D86314">
        <w:rPr>
          <w:noProof/>
          <w:color w:val="auto"/>
          <w:sz w:val="22"/>
          <w:szCs w:val="22"/>
        </w:rPr>
        <w:t>NRA / SMA staff performing satellite authorisation, spectrum management, and enforcement (2025)</w:t>
      </w:r>
      <w:bookmarkEnd w:id="334"/>
    </w:p>
    <w:p w14:paraId="498EC5A2" w14:textId="12B73560" w:rsidR="00E55EB2" w:rsidRPr="00D86314" w:rsidRDefault="00A03B72" w:rsidP="009742CB">
      <w:pPr>
        <w:jc w:val="right"/>
        <w:rPr>
          <w:noProof/>
        </w:rPr>
      </w:pPr>
      <w:r w:rsidRPr="00CA2C0B">
        <w:rPr>
          <w:noProof/>
          <w:lang w:eastAsia="en-GB"/>
        </w:rPr>
        <w:drawing>
          <wp:inline distT="0" distB="0" distL="0" distR="0" wp14:anchorId="19877088" wp14:editId="2755611B">
            <wp:extent cx="5472430" cy="448310"/>
            <wp:effectExtent l="0" t="0" r="0" b="8890"/>
            <wp:docPr id="914437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37144" name=""/>
                    <pic:cNvPicPr/>
                  </pic:nvPicPr>
                  <pic:blipFill>
                    <a:blip r:embed="rId163"/>
                    <a:stretch>
                      <a:fillRect/>
                    </a:stretch>
                  </pic:blipFill>
                  <pic:spPr>
                    <a:xfrm>
                      <a:off x="0" y="0"/>
                      <a:ext cx="5472430" cy="448310"/>
                    </a:xfrm>
                    <a:prstGeom prst="rect">
                      <a:avLst/>
                    </a:prstGeom>
                  </pic:spPr>
                </pic:pic>
              </a:graphicData>
            </a:graphic>
          </wp:inline>
        </w:drawing>
      </w:r>
      <w:r w:rsidR="009742CB" w:rsidRPr="00CA2C0B">
        <w:rPr>
          <w:noProof/>
          <w:lang w:eastAsia="en-GB"/>
        </w:rPr>
        <w:drawing>
          <wp:inline distT="0" distB="0" distL="0" distR="0" wp14:anchorId="452492A6" wp14:editId="271ABDA0">
            <wp:extent cx="853440" cy="142899"/>
            <wp:effectExtent l="0" t="0" r="3810" b="9525"/>
            <wp:docPr id="1994297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97790" name=""/>
                    <pic:cNvPicPr/>
                  </pic:nvPicPr>
                  <pic:blipFill>
                    <a:blip r:embed="rId164"/>
                    <a:stretch>
                      <a:fillRect/>
                    </a:stretch>
                  </pic:blipFill>
                  <pic:spPr>
                    <a:xfrm>
                      <a:off x="0" y="0"/>
                      <a:ext cx="921040" cy="154218"/>
                    </a:xfrm>
                    <a:prstGeom prst="rect">
                      <a:avLst/>
                    </a:prstGeom>
                  </pic:spPr>
                </pic:pic>
              </a:graphicData>
            </a:graphic>
          </wp:inline>
        </w:drawing>
      </w:r>
    </w:p>
    <w:p w14:paraId="2365BD54" w14:textId="672CAC62" w:rsidR="00717277" w:rsidRPr="00D86314" w:rsidRDefault="00717277" w:rsidP="00717277">
      <w:pPr>
        <w:pStyle w:val="EYBodytextwithparaspace"/>
        <w:rPr>
          <w:rFonts w:ascii="Times New Roman" w:hAnsi="Times New Roman"/>
          <w:i/>
          <w:noProof/>
          <w:sz w:val="20"/>
          <w:szCs w:val="20"/>
        </w:rPr>
      </w:pPr>
      <w:r w:rsidRPr="00D86314">
        <w:rPr>
          <w:rFonts w:ascii="Times New Roman" w:hAnsi="Times New Roman"/>
          <w:i/>
          <w:noProof/>
          <w:sz w:val="20"/>
          <w:szCs w:val="20"/>
        </w:rPr>
        <w:t>Source: Authors’ elaboration of the results of a survey conducted by the Commission in support of this study.</w:t>
      </w:r>
    </w:p>
    <w:p w14:paraId="2E27CA3B" w14:textId="05F35B6E" w:rsidR="00895DF6" w:rsidRPr="00D86314" w:rsidRDefault="009D0E09" w:rsidP="00895DF6">
      <w:pPr>
        <w:pStyle w:val="EYBodytextwithparaspace"/>
        <w:spacing w:before="240"/>
        <w:rPr>
          <w:rFonts w:ascii="Times New Roman" w:hAnsi="Times New Roman"/>
          <w:noProof/>
        </w:rPr>
      </w:pPr>
      <w:r w:rsidRPr="00D86314">
        <w:rPr>
          <w:rFonts w:ascii="Times New Roman" w:hAnsi="Times New Roman"/>
          <w:noProof/>
        </w:rPr>
        <w:t xml:space="preserve">Based on the information </w:t>
      </w:r>
      <w:r w:rsidR="009903BA" w:rsidRPr="00D86314">
        <w:rPr>
          <w:rFonts w:ascii="Times New Roman" w:hAnsi="Times New Roman"/>
          <w:noProof/>
        </w:rPr>
        <w:t>provided and</w:t>
      </w:r>
      <w:r w:rsidR="00895DF6" w:rsidRPr="00D86314">
        <w:rPr>
          <w:rFonts w:ascii="Times New Roman" w:hAnsi="Times New Roman"/>
          <w:noProof/>
        </w:rPr>
        <w:t xml:space="preserve"> </w:t>
      </w:r>
      <w:r w:rsidR="009903BA" w:rsidRPr="00D86314">
        <w:rPr>
          <w:rFonts w:ascii="Times New Roman" w:hAnsi="Times New Roman"/>
          <w:noProof/>
        </w:rPr>
        <w:t xml:space="preserve">on </w:t>
      </w:r>
      <w:r w:rsidR="00895DF6" w:rsidRPr="00D86314">
        <w:rPr>
          <w:rFonts w:ascii="Times New Roman" w:hAnsi="Times New Roman"/>
          <w:noProof/>
        </w:rPr>
        <w:t>an imperfect assumption that the number of FTEs needed is somewhat proportional to population,</w:t>
      </w:r>
      <w:r w:rsidR="00895DF6" w:rsidRPr="00D86314" w:rsidDel="00427BE4">
        <w:rPr>
          <w:rFonts w:ascii="Times New Roman" w:hAnsi="Times New Roman"/>
          <w:noProof/>
        </w:rPr>
        <w:t xml:space="preserve"> </w:t>
      </w:r>
      <w:r w:rsidR="00EF5A2E" w:rsidRPr="00D86314">
        <w:rPr>
          <w:rFonts w:ascii="Times New Roman" w:hAnsi="Times New Roman"/>
          <w:noProof/>
        </w:rPr>
        <w:t>it was estimated that</w:t>
      </w:r>
      <w:r w:rsidR="002411C8" w:rsidRPr="00D86314">
        <w:rPr>
          <w:rFonts w:ascii="Times New Roman" w:hAnsi="Times New Roman"/>
          <w:noProof/>
        </w:rPr>
        <w:t xml:space="preserve"> </w:t>
      </w:r>
      <w:r w:rsidR="00895DF6" w:rsidRPr="00D86314">
        <w:rPr>
          <w:rFonts w:ascii="Times New Roman" w:hAnsi="Times New Roman"/>
          <w:noProof/>
        </w:rPr>
        <w:t>EU-wide 63,5 NRA/SMA FTEs</w:t>
      </w:r>
      <w:r w:rsidR="006F5E6D" w:rsidRPr="00D86314">
        <w:rPr>
          <w:rFonts w:ascii="Times New Roman" w:hAnsi="Times New Roman"/>
          <w:noProof/>
        </w:rPr>
        <w:t xml:space="preserve"> are </w:t>
      </w:r>
      <w:r w:rsidR="00895DF6" w:rsidRPr="00D86314">
        <w:rPr>
          <w:rFonts w:ascii="Times New Roman" w:hAnsi="Times New Roman"/>
          <w:noProof/>
        </w:rPr>
        <w:t xml:space="preserve">dealing with satellite authorisation and spectrum assignment today, and an additional 34,2 </w:t>
      </w:r>
      <w:r w:rsidR="00F73A62" w:rsidRPr="00D86314">
        <w:rPr>
          <w:rFonts w:ascii="Times New Roman" w:hAnsi="Times New Roman"/>
          <w:noProof/>
        </w:rPr>
        <w:t>FTEs</w:t>
      </w:r>
      <w:r w:rsidR="00895DF6" w:rsidRPr="00D86314">
        <w:rPr>
          <w:rFonts w:ascii="Times New Roman" w:hAnsi="Times New Roman"/>
          <w:noProof/>
        </w:rPr>
        <w:t xml:space="preserve"> </w:t>
      </w:r>
      <w:r w:rsidR="006F5E6D" w:rsidRPr="00D86314">
        <w:rPr>
          <w:rFonts w:ascii="Times New Roman" w:hAnsi="Times New Roman"/>
          <w:noProof/>
        </w:rPr>
        <w:t xml:space="preserve">are </w:t>
      </w:r>
      <w:r w:rsidR="00895DF6" w:rsidRPr="00D86314">
        <w:rPr>
          <w:rFonts w:ascii="Times New Roman" w:hAnsi="Times New Roman"/>
          <w:noProof/>
        </w:rPr>
        <w:t xml:space="preserve">dealing with enforcement, for a total of approximately 98 FTEs. </w:t>
      </w:r>
      <w:r w:rsidR="00E23A7E" w:rsidRPr="00D86314">
        <w:rPr>
          <w:rFonts w:ascii="Times New Roman" w:hAnsi="Times New Roman"/>
          <w:noProof/>
        </w:rPr>
        <w:t>This</w:t>
      </w:r>
      <w:r w:rsidR="00895DF6" w:rsidRPr="00D86314">
        <w:rPr>
          <w:rFonts w:ascii="Times New Roman" w:hAnsi="Times New Roman"/>
          <w:noProof/>
        </w:rPr>
        <w:t xml:space="preserve"> is </w:t>
      </w:r>
      <w:r w:rsidR="00E23A7E" w:rsidRPr="00D86314">
        <w:rPr>
          <w:rFonts w:ascii="Times New Roman" w:hAnsi="Times New Roman"/>
          <w:noProof/>
        </w:rPr>
        <w:t xml:space="preserve">however </w:t>
      </w:r>
      <w:r w:rsidR="00895DF6" w:rsidRPr="00D86314">
        <w:rPr>
          <w:rFonts w:ascii="Times New Roman" w:hAnsi="Times New Roman"/>
          <w:noProof/>
        </w:rPr>
        <w:t>a rough estimate, first because the division of responsibilities between different Member State agencies and in some cases Ministries differ, and second because it was necessary to interpret the data (for instance where the NRA or SMA expressed the number of FTEs as a range).</w:t>
      </w:r>
    </w:p>
    <w:p w14:paraId="18503EB4" w14:textId="71A6D607" w:rsidR="009903BA" w:rsidRPr="00D86314" w:rsidRDefault="00895DF6" w:rsidP="00895DF6">
      <w:pPr>
        <w:pStyle w:val="EYBodytextwithparaspace"/>
        <w:spacing w:before="240"/>
        <w:rPr>
          <w:rFonts w:ascii="Times New Roman" w:hAnsi="Times New Roman"/>
          <w:noProof/>
        </w:rPr>
      </w:pPr>
      <w:r w:rsidRPr="00D86314">
        <w:rPr>
          <w:rFonts w:ascii="Times New Roman" w:hAnsi="Times New Roman"/>
          <w:noProof/>
        </w:rPr>
        <w:t xml:space="preserve">Moreover, </w:t>
      </w:r>
      <w:r w:rsidR="00E23A7E" w:rsidRPr="00D86314">
        <w:rPr>
          <w:rFonts w:ascii="Times New Roman" w:hAnsi="Times New Roman"/>
          <w:noProof/>
        </w:rPr>
        <w:t>it is</w:t>
      </w:r>
      <w:r w:rsidRPr="00D86314">
        <w:rPr>
          <w:rFonts w:ascii="Times New Roman" w:hAnsi="Times New Roman"/>
          <w:noProof/>
        </w:rPr>
        <w:t xml:space="preserve"> </w:t>
      </w:r>
      <w:r w:rsidR="00E23A7E" w:rsidRPr="00D86314">
        <w:rPr>
          <w:rFonts w:ascii="Times New Roman" w:hAnsi="Times New Roman"/>
          <w:noProof/>
        </w:rPr>
        <w:t xml:space="preserve">reasonable to </w:t>
      </w:r>
      <w:r w:rsidRPr="00D86314">
        <w:rPr>
          <w:rFonts w:ascii="Times New Roman" w:hAnsi="Times New Roman"/>
          <w:noProof/>
        </w:rPr>
        <w:t xml:space="preserve">expect </w:t>
      </w:r>
      <w:r w:rsidR="005D3B4E" w:rsidRPr="00D86314">
        <w:rPr>
          <w:rFonts w:ascii="Times New Roman" w:hAnsi="Times New Roman"/>
          <w:noProof/>
        </w:rPr>
        <w:t>an increasing</w:t>
      </w:r>
      <w:r w:rsidRPr="00D86314">
        <w:rPr>
          <w:rFonts w:ascii="Times New Roman" w:hAnsi="Times New Roman"/>
          <w:noProof/>
        </w:rPr>
        <w:t xml:space="preserve"> number of satellite authorisation requests in the future, in particular for LEO constellations. According to the Detecon MSS Study (2025), around 9 000 LEO satellites were in operation worldwide at the beginning of 2025, and this number is expected to grow by at least a factor of six over the next decade, equivalent to roughly 60 000 operational LEO satellites by 2035 globally. This study also identifies around 25 global operators/LEO constellations with launched, planned or announced LEO satellites relevant in the coming years. These numbers will surely impact the FTEs needed to address these requests and ensure enforcement, monitoring and dealing with increasing harmful interferences.</w:t>
      </w:r>
    </w:p>
    <w:p w14:paraId="55FBD391" w14:textId="44FA6BDF" w:rsidR="002141DA" w:rsidRPr="00D86314" w:rsidRDefault="004A0902" w:rsidP="00234DCC">
      <w:pPr>
        <w:pStyle w:val="EYBodytextwithparaspace"/>
        <w:spacing w:before="240"/>
        <w:rPr>
          <w:rFonts w:ascii="Times New Roman" w:hAnsi="Times New Roman"/>
          <w:noProof/>
        </w:rPr>
      </w:pPr>
      <w:r w:rsidRPr="00D86314">
        <w:rPr>
          <w:rFonts w:ascii="Times New Roman" w:hAnsi="Times New Roman"/>
          <w:noProof/>
        </w:rPr>
        <w:t xml:space="preserve">Taking the staff size of the EU Member States dealing with satellite spectrum to be roughly 98 FTEs and adding 1.5 FTEs for the European Commission’s current role, there are currently about 100 FTEs engaged in satellite authorisation and spectrum management across the EU. Under option 2, this number would be expected to decrease in NRA / SMA staffing needs, as much of the administrative work related to the assessment and issuance of authorisations would be centralised at EU level. However, Member States will still be responsible for monitoring, interference management and inspection tasks related to the ground components. At the same time, a </w:t>
      </w:r>
      <w:r w:rsidR="006841BA" w:rsidRPr="00D86314">
        <w:rPr>
          <w:rFonts w:ascii="Times New Roman" w:hAnsi="Times New Roman"/>
          <w:noProof/>
        </w:rPr>
        <w:t>progressive and</w:t>
      </w:r>
      <w:r w:rsidRPr="00D86314">
        <w:rPr>
          <w:rFonts w:ascii="Times New Roman" w:hAnsi="Times New Roman"/>
          <w:noProof/>
        </w:rPr>
        <w:t xml:space="preserve"> moderate increase in resources would be required at the BEREC Office (up to 1</w:t>
      </w:r>
      <w:r w:rsidR="00B744C3" w:rsidRPr="00D86314">
        <w:rPr>
          <w:rFonts w:ascii="Times New Roman" w:hAnsi="Times New Roman"/>
          <w:noProof/>
        </w:rPr>
        <w:t>5</w:t>
      </w:r>
      <w:r w:rsidRPr="00D86314">
        <w:rPr>
          <w:rFonts w:ascii="Times New Roman" w:hAnsi="Times New Roman"/>
          <w:noProof/>
        </w:rPr>
        <w:t xml:space="preserve"> FTEs</w:t>
      </w:r>
      <w:r w:rsidR="008B37A6" w:rsidRPr="00D86314">
        <w:rPr>
          <w:rFonts w:ascii="Times New Roman" w:hAnsi="Times New Roman"/>
          <w:noProof/>
        </w:rPr>
        <w:t>,</w:t>
      </w:r>
      <w:r w:rsidR="008B37A6" w:rsidRPr="00D86314">
        <w:rPr>
          <w:rFonts w:ascii="Times New Roman" w:eastAsiaTheme="minorHAnsi" w:hAnsi="Times New Roman"/>
          <w:noProof/>
        </w:rPr>
        <w:t xml:space="preserve"> ap</w:t>
      </w:r>
      <w:r w:rsidR="008D7991" w:rsidRPr="00D86314">
        <w:rPr>
          <w:rFonts w:ascii="Times New Roman" w:eastAsiaTheme="minorHAnsi" w:hAnsi="Times New Roman"/>
          <w:noProof/>
        </w:rPr>
        <w:t>p</w:t>
      </w:r>
      <w:r w:rsidR="008B37A6" w:rsidRPr="00D86314">
        <w:rPr>
          <w:rFonts w:ascii="Times New Roman" w:eastAsiaTheme="minorHAnsi" w:hAnsi="Times New Roman"/>
          <w:noProof/>
        </w:rPr>
        <w:t xml:space="preserve">rox. </w:t>
      </w:r>
      <w:r w:rsidR="008B37A6" w:rsidRPr="00D86314">
        <w:rPr>
          <w:rFonts w:ascii="Times New Roman" w:hAnsi="Times New Roman"/>
          <w:noProof/>
        </w:rPr>
        <w:t>EUR</w:t>
      </w:r>
      <w:r w:rsidR="00427BE4" w:rsidRPr="00D86314">
        <w:rPr>
          <w:rFonts w:ascii="Times New Roman" w:hAnsi="Times New Roman"/>
          <w:noProof/>
        </w:rPr>
        <w:t> </w:t>
      </w:r>
      <w:r w:rsidR="008B37A6" w:rsidRPr="00D86314">
        <w:rPr>
          <w:rFonts w:ascii="Times New Roman" w:hAnsi="Times New Roman"/>
          <w:noProof/>
        </w:rPr>
        <w:t>3.4</w:t>
      </w:r>
      <w:r w:rsidR="00427BE4" w:rsidRPr="00D86314">
        <w:rPr>
          <w:rFonts w:ascii="Times New Roman" w:hAnsi="Times New Roman"/>
          <w:noProof/>
        </w:rPr>
        <w:t xml:space="preserve"> </w:t>
      </w:r>
      <w:r w:rsidR="008B37A6" w:rsidRPr="00D86314">
        <w:rPr>
          <w:rFonts w:ascii="Times New Roman" w:hAnsi="Times New Roman"/>
          <w:noProof/>
        </w:rPr>
        <w:t>m</w:t>
      </w:r>
      <w:r w:rsidR="00427BE4" w:rsidRPr="00D86314">
        <w:rPr>
          <w:rFonts w:ascii="Times New Roman" w:hAnsi="Times New Roman"/>
          <w:noProof/>
        </w:rPr>
        <w:t>illio</w:t>
      </w:r>
      <w:r w:rsidR="008B37A6" w:rsidRPr="00D86314">
        <w:rPr>
          <w:rFonts w:ascii="Times New Roman" w:hAnsi="Times New Roman"/>
          <w:noProof/>
        </w:rPr>
        <w:t>n</w:t>
      </w:r>
      <w:r w:rsidR="00E877E3" w:rsidRPr="00D86314">
        <w:rPr>
          <w:rFonts w:ascii="Times New Roman" w:hAnsi="Times New Roman"/>
          <w:noProof/>
        </w:rPr>
        <w:t xml:space="preserve"> annually</w:t>
      </w:r>
      <w:r w:rsidR="008B37A6" w:rsidRPr="00D86314">
        <w:rPr>
          <w:rFonts w:ascii="Times New Roman" w:hAnsi="Times New Roman"/>
          <w:noProof/>
        </w:rPr>
        <w:t>,</w:t>
      </w:r>
      <w:r w:rsidRPr="00D86314">
        <w:rPr>
          <w:rFonts w:ascii="Times New Roman" w:hAnsi="Times New Roman"/>
          <w:noProof/>
        </w:rPr>
        <w:t xml:space="preserve"> for satellite authorisations depending on </w:t>
      </w:r>
      <w:r w:rsidR="0092407E" w:rsidRPr="00D86314">
        <w:rPr>
          <w:rFonts w:ascii="Times New Roman" w:hAnsi="Times New Roman"/>
          <w:noProof/>
        </w:rPr>
        <w:t xml:space="preserve">the </w:t>
      </w:r>
      <w:r w:rsidRPr="00D86314">
        <w:rPr>
          <w:rFonts w:ascii="Times New Roman" w:hAnsi="Times New Roman"/>
          <w:noProof/>
        </w:rPr>
        <w:t>number of requests)</w:t>
      </w:r>
      <w:r w:rsidRPr="00D86314">
        <w:rPr>
          <w:rFonts w:ascii="Times New Roman" w:eastAsiaTheme="minorHAnsi" w:hAnsi="Times New Roman"/>
          <w:noProof/>
          <w:sz w:val="20"/>
          <w:szCs w:val="20"/>
        </w:rPr>
        <w:t xml:space="preserve"> </w:t>
      </w:r>
      <w:r w:rsidRPr="00D86314">
        <w:rPr>
          <w:rFonts w:ascii="Times New Roman" w:hAnsi="Times New Roman"/>
          <w:noProof/>
        </w:rPr>
        <w:t xml:space="preserve">to handle the operational functions transferred from national authorities, and at the Commission, where staff would progressively grow from around 1.5 to 5 FTEs </w:t>
      </w:r>
      <w:r w:rsidR="00541448" w:rsidRPr="00D86314">
        <w:rPr>
          <w:rFonts w:ascii="Times New Roman" w:hAnsi="Times New Roman"/>
          <w:noProof/>
        </w:rPr>
        <w:t xml:space="preserve">(approx. </w:t>
      </w:r>
      <w:r w:rsidR="00427BE4" w:rsidRPr="00D86314">
        <w:rPr>
          <w:rFonts w:ascii="Times New Roman" w:hAnsi="Times New Roman"/>
          <w:noProof/>
        </w:rPr>
        <w:t>EUR </w:t>
      </w:r>
      <w:r w:rsidR="00541448" w:rsidRPr="00D86314">
        <w:rPr>
          <w:rFonts w:ascii="Times New Roman" w:hAnsi="Times New Roman"/>
          <w:noProof/>
        </w:rPr>
        <w:t>768</w:t>
      </w:r>
      <w:r w:rsidR="00C22CBD">
        <w:rPr>
          <w:rFonts w:ascii="Times New Roman" w:hAnsi="Times New Roman"/>
          <w:noProof/>
        </w:rPr>
        <w:t> </w:t>
      </w:r>
      <w:r w:rsidR="00541448" w:rsidRPr="00D86314">
        <w:rPr>
          <w:rFonts w:ascii="Times New Roman" w:hAnsi="Times New Roman"/>
          <w:noProof/>
        </w:rPr>
        <w:t xml:space="preserve">000 </w:t>
      </w:r>
      <w:r w:rsidR="00E877E3" w:rsidRPr="00D86314">
        <w:rPr>
          <w:rFonts w:ascii="Times New Roman" w:hAnsi="Times New Roman"/>
          <w:noProof/>
        </w:rPr>
        <w:t xml:space="preserve"> annually</w:t>
      </w:r>
      <w:r w:rsidR="00541448" w:rsidRPr="00D86314">
        <w:rPr>
          <w:rFonts w:ascii="Times New Roman" w:hAnsi="Times New Roman"/>
          <w:noProof/>
        </w:rPr>
        <w:t xml:space="preserve">) </w:t>
      </w:r>
      <w:r w:rsidRPr="00D86314">
        <w:rPr>
          <w:rFonts w:ascii="Times New Roman" w:hAnsi="Times New Roman"/>
          <w:noProof/>
        </w:rPr>
        <w:t>to oversee and coordinate implementation. Overall, the net reduction can be assumed to amount to roughly 20% to 30%, corresponding to total staffing of about 70 to 80 FTEs. Assuming a burdened labour cost of EUR</w:t>
      </w:r>
      <w:r w:rsidR="00722509" w:rsidRPr="00D86314">
        <w:rPr>
          <w:rFonts w:ascii="Times New Roman" w:hAnsi="Times New Roman"/>
          <w:noProof/>
        </w:rPr>
        <w:t> </w:t>
      </w:r>
      <w:r w:rsidRPr="00D86314">
        <w:rPr>
          <w:rFonts w:ascii="Times New Roman" w:hAnsi="Times New Roman"/>
          <w:noProof/>
        </w:rPr>
        <w:t xml:space="preserve">95 400 </w:t>
      </w:r>
      <w:r w:rsidR="00E877E3" w:rsidRPr="00D86314">
        <w:rPr>
          <w:rFonts w:ascii="Times New Roman" w:hAnsi="Times New Roman"/>
          <w:noProof/>
        </w:rPr>
        <w:t>annually</w:t>
      </w:r>
      <w:r w:rsidRPr="00D86314">
        <w:rPr>
          <w:rFonts w:ascii="Times New Roman" w:hAnsi="Times New Roman"/>
          <w:noProof/>
        </w:rPr>
        <w:t>, this would result in annual savings of approximately EUR</w:t>
      </w:r>
      <w:r w:rsidR="00144166" w:rsidRPr="00D86314">
        <w:rPr>
          <w:rFonts w:ascii="Times New Roman" w:hAnsi="Times New Roman"/>
          <w:noProof/>
        </w:rPr>
        <w:t> </w:t>
      </w:r>
      <w:r w:rsidRPr="00D86314">
        <w:rPr>
          <w:rFonts w:ascii="Times New Roman" w:hAnsi="Times New Roman"/>
          <w:noProof/>
        </w:rPr>
        <w:t>2 to 3 million annually. While such an adjustment would not occur instantaneously, it represents a realistic order of magnitude for the efficiency gains expectable over time once the system is established.</w:t>
      </w:r>
    </w:p>
    <w:p w14:paraId="23F2DB9C" w14:textId="69BBAA50" w:rsidR="002141DA" w:rsidRPr="00D86314" w:rsidRDefault="002141DA" w:rsidP="00234DCC">
      <w:pPr>
        <w:pStyle w:val="EYBodytextwithparaspace"/>
        <w:spacing w:before="240"/>
        <w:rPr>
          <w:rFonts w:ascii="Times New Roman" w:hAnsi="Times New Roman"/>
          <w:noProof/>
        </w:rPr>
      </w:pPr>
      <w:r w:rsidRPr="00D86314">
        <w:rPr>
          <w:rFonts w:ascii="Times New Roman" w:hAnsi="Times New Roman"/>
          <w:noProof/>
        </w:rPr>
        <w:t>As regard the expected workload, lacking concrete data from the EU, data from the United States indicate that applications for space and earth stations have risen by factors of four and three respectively between 2015 and 2023, corresponding to compound annual growth rates of 19% and 15%. Since this growth in the EU is driven by similar factors as in the United States, mainly by the sharp rise in Low Earth Orbit constellation deployments, similar increases could occur in the EU. If such growth were to continue over the next five years, applications for ground stations could double and those for satellites increase by a factor of 2.4, while the labour required, and the associated budget increase would remain below this rate due to scale economies and progressive efficiency gains. Under business-as-usual conditions, a rough estimate suggests a potential increase in staffing of about one-third, but with the expected efficiency gains in staffing use resulting from the reform introducing EU level authorisation, overall staffing would likely remain close to today’s level. The proposed EU-level authorisation regime could thus ensure that, at least over the next years, workload increases are absorbed without requiring additional administrative resources.</w:t>
      </w:r>
    </w:p>
    <w:p w14:paraId="7C05E853" w14:textId="4FD06A92" w:rsidR="00717277" w:rsidRPr="00D86314" w:rsidRDefault="00417B94" w:rsidP="00234DCC">
      <w:pPr>
        <w:pStyle w:val="EYBodytextwithparaspace"/>
        <w:spacing w:before="240"/>
        <w:rPr>
          <w:rFonts w:ascii="Times New Roman" w:hAnsi="Times New Roman"/>
          <w:noProof/>
        </w:rPr>
      </w:pPr>
      <w:r w:rsidRPr="00D86314">
        <w:rPr>
          <w:rFonts w:ascii="Times New Roman" w:hAnsi="Times New Roman"/>
          <w:noProof/>
        </w:rPr>
        <w:t>Probably t</w:t>
      </w:r>
      <w:r w:rsidR="00DA0DF5" w:rsidRPr="00D86314">
        <w:rPr>
          <w:rFonts w:ascii="Times New Roman" w:hAnsi="Times New Roman"/>
          <w:noProof/>
        </w:rPr>
        <w:t xml:space="preserve">o better address the growing volume and </w:t>
      </w:r>
      <w:r w:rsidR="00825115" w:rsidRPr="00D86314">
        <w:rPr>
          <w:rFonts w:ascii="Times New Roman" w:hAnsi="Times New Roman"/>
          <w:noProof/>
        </w:rPr>
        <w:t xml:space="preserve">complexity of requests </w:t>
      </w:r>
      <w:r w:rsidRPr="00D86314">
        <w:rPr>
          <w:rFonts w:ascii="Times New Roman" w:hAnsi="Times New Roman"/>
          <w:noProof/>
        </w:rPr>
        <w:t xml:space="preserve">from New Space </w:t>
      </w:r>
      <w:r w:rsidR="0021647A" w:rsidRPr="00D86314">
        <w:rPr>
          <w:rFonts w:ascii="Times New Roman" w:hAnsi="Times New Roman"/>
          <w:noProof/>
        </w:rPr>
        <w:t xml:space="preserve">activities, </w:t>
      </w:r>
      <w:r w:rsidRPr="00D86314">
        <w:rPr>
          <w:rFonts w:ascii="Times New Roman" w:hAnsi="Times New Roman"/>
          <w:noProof/>
        </w:rPr>
        <w:t xml:space="preserve">the </w:t>
      </w:r>
      <w:r w:rsidR="00717277" w:rsidRPr="00D86314">
        <w:rPr>
          <w:rFonts w:ascii="Times New Roman" w:hAnsi="Times New Roman"/>
          <w:noProof/>
        </w:rPr>
        <w:t>FCC created a distinct Space Bureau in 2023</w:t>
      </w:r>
      <w:r w:rsidR="003A593A" w:rsidRPr="00D86314">
        <w:rPr>
          <w:rStyle w:val="FootnoteReference"/>
          <w:rFonts w:ascii="Times New Roman" w:hAnsi="Times New Roman"/>
          <w:noProof/>
        </w:rPr>
        <w:footnoteReference w:id="271"/>
      </w:r>
      <w:r w:rsidR="00717277" w:rsidRPr="00D86314">
        <w:rPr>
          <w:rFonts w:ascii="Times New Roman" w:hAnsi="Times New Roman"/>
          <w:noProof/>
        </w:rPr>
        <w:t xml:space="preserve">. </w:t>
      </w:r>
    </w:p>
    <w:p w14:paraId="73326631" w14:textId="3774D695" w:rsidR="00F51B96" w:rsidRPr="00DC58F9" w:rsidRDefault="00717277" w:rsidP="0088355D">
      <w:pPr>
        <w:pStyle w:val="EYBodytextwithparaspace"/>
        <w:spacing w:before="0"/>
        <w:rPr>
          <w:rFonts w:ascii="Times New Roman" w:hAnsi="Times New Roman"/>
          <w:noProof/>
        </w:rPr>
      </w:pPr>
      <w:r w:rsidRPr="00D86314">
        <w:rPr>
          <w:rFonts w:ascii="Times New Roman" w:hAnsi="Times New Roman"/>
          <w:noProof/>
        </w:rPr>
        <w:t>The FCC has published an organisation chart for the 16 middle managers of the Space Bureau</w:t>
      </w:r>
      <w:r w:rsidR="00014768" w:rsidRPr="00D86314">
        <w:rPr>
          <w:rStyle w:val="FootnoteReference"/>
          <w:rFonts w:ascii="Times New Roman" w:hAnsi="Times New Roman"/>
          <w:noProof/>
        </w:rPr>
        <w:footnoteReference w:id="272"/>
      </w:r>
      <w:r w:rsidR="00144CD5" w:rsidRPr="00D86314">
        <w:rPr>
          <w:rFonts w:ascii="Times New Roman" w:hAnsi="Times New Roman"/>
          <w:noProof/>
        </w:rPr>
        <w:t xml:space="preserve">, a newly </w:t>
      </w:r>
      <w:r w:rsidR="00BD5168" w:rsidRPr="00D86314">
        <w:rPr>
          <w:rFonts w:ascii="Times New Roman" w:hAnsi="Times New Roman"/>
          <w:noProof/>
        </w:rPr>
        <w:t>distinct team created in 2023</w:t>
      </w:r>
      <w:r w:rsidR="009A4716" w:rsidRPr="00D86314">
        <w:rPr>
          <w:rStyle w:val="FootnoteReference"/>
          <w:rFonts w:ascii="Times New Roman" w:hAnsi="Times New Roman"/>
          <w:noProof/>
        </w:rPr>
        <w:footnoteReference w:id="273"/>
      </w:r>
      <w:r w:rsidR="00BD5168" w:rsidRPr="00D86314">
        <w:rPr>
          <w:rFonts w:ascii="Times New Roman" w:hAnsi="Times New Roman"/>
          <w:noProof/>
        </w:rPr>
        <w:t>,</w:t>
      </w:r>
      <w:r w:rsidRPr="00D86314">
        <w:rPr>
          <w:rFonts w:ascii="Times New Roman" w:hAnsi="Times New Roman"/>
          <w:noProof/>
        </w:rPr>
        <w:t xml:space="preserve"> and there are 9 staff in satellite licensing division and 9 staff in earth station licensing division.</w:t>
      </w:r>
      <w:r w:rsidRPr="00D86314">
        <w:rPr>
          <w:rStyle w:val="FootnoteReference"/>
          <w:rFonts w:ascii="Times New Roman" w:hAnsi="Times New Roman"/>
          <w:noProof/>
        </w:rPr>
        <w:footnoteReference w:id="274"/>
      </w:r>
      <w:r w:rsidRPr="00D86314">
        <w:rPr>
          <w:rFonts w:ascii="Times New Roman" w:hAnsi="Times New Roman"/>
          <w:noProof/>
        </w:rPr>
        <w:t xml:space="preserve"> The overall budget for the FCC shows a actual headcount for the Space Bureau just above 50 FTEs (</w:t>
      </w:r>
      <w:r w:rsidRPr="00DC58F9">
        <w:rPr>
          <w:rFonts w:ascii="Times New Roman" w:hAnsi="Times New Roman"/>
          <w:noProof/>
        </w:rPr>
        <w:t xml:space="preserve">see </w:t>
      </w:r>
      <w:r w:rsidR="00DC58F9" w:rsidRPr="00C20A01">
        <w:rPr>
          <w:rFonts w:ascii="Times New Roman" w:hAnsi="Times New Roman"/>
          <w:noProof/>
        </w:rPr>
        <w:t xml:space="preserve">Table A9 3-1 </w:t>
      </w:r>
      <w:r w:rsidRPr="00DC58F9">
        <w:rPr>
          <w:rFonts w:ascii="Times New Roman" w:hAnsi="Times New Roman"/>
          <w:noProof/>
        </w:rPr>
        <w:t>below).</w:t>
      </w:r>
    </w:p>
    <w:p w14:paraId="4C85CE71" w14:textId="1858F556" w:rsidR="00E14D28" w:rsidRPr="00D86314" w:rsidRDefault="00E14D28" w:rsidP="00D4446A">
      <w:pPr>
        <w:pStyle w:val="EYBodytextwithparaspace"/>
        <w:keepNext/>
        <w:rPr>
          <w:rFonts w:ascii="Times New Roman" w:hAnsi="Times New Roman"/>
          <w:noProof/>
          <w:sz w:val="22"/>
          <w:szCs w:val="22"/>
        </w:rPr>
      </w:pPr>
      <w:r w:rsidRPr="00D86314">
        <w:rPr>
          <w:rFonts w:ascii="Times New Roman" w:hAnsi="Times New Roman"/>
          <w:noProof/>
          <w:sz w:val="22"/>
          <w:szCs w:val="22"/>
        </w:rPr>
        <w:t>Table</w:t>
      </w:r>
      <w:r w:rsidR="00D4446A" w:rsidRPr="00D86314">
        <w:rPr>
          <w:rFonts w:ascii="Times New Roman" w:hAnsi="Times New Roman"/>
          <w:noProof/>
          <w:sz w:val="22"/>
          <w:szCs w:val="22"/>
        </w:rPr>
        <w:t xml:space="preserve"> A9</w:t>
      </w:r>
      <w:r w:rsidRPr="00D86314">
        <w:rPr>
          <w:rFonts w:ascii="Times New Roman" w:hAnsi="Times New Roman"/>
          <w:noProof/>
          <w:sz w:val="22"/>
          <w:szCs w:val="22"/>
        </w:rPr>
        <w:t xml:space="preserve"> </w:t>
      </w:r>
      <w:r w:rsidR="00496CEF" w:rsidRPr="00D86314">
        <w:rPr>
          <w:rFonts w:ascii="Times New Roman" w:hAnsi="Times New Roman"/>
          <w:noProof/>
          <w:sz w:val="22"/>
          <w:szCs w:val="22"/>
        </w:rPr>
        <w:t>3</w:t>
      </w:r>
      <w:r w:rsidR="00D4446A" w:rsidRPr="00D86314">
        <w:rPr>
          <w:rFonts w:ascii="Times New Roman" w:hAnsi="Times New Roman"/>
          <w:noProof/>
          <w:sz w:val="22"/>
          <w:szCs w:val="22"/>
        </w:rPr>
        <w:t>-</w:t>
      </w:r>
      <w:r w:rsidR="008C08AB">
        <w:rPr>
          <w:rFonts w:ascii="Times New Roman" w:hAnsi="Times New Roman"/>
          <w:noProof/>
          <w:sz w:val="22"/>
          <w:szCs w:val="22"/>
        </w:rPr>
        <w:t>2</w:t>
      </w:r>
      <w:r w:rsidRPr="00D86314">
        <w:rPr>
          <w:rFonts w:ascii="Times New Roman" w:hAnsi="Times New Roman"/>
          <w:noProof/>
          <w:sz w:val="22"/>
          <w:szCs w:val="22"/>
        </w:rPr>
        <w:t xml:space="preserve"> FCC Space Bureau staff (2023-2026)</w:t>
      </w:r>
    </w:p>
    <w:tbl>
      <w:tblPr>
        <w:tblStyle w:val="Table-standar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2316"/>
        <w:gridCol w:w="3033"/>
      </w:tblGrid>
      <w:tr w:rsidR="00851967" w:rsidRPr="00D86314" w14:paraId="76922069" w14:textId="77777777" w:rsidTr="00112994">
        <w:trPr>
          <w:cnfStyle w:val="100000000000" w:firstRow="1" w:lastRow="0" w:firstColumn="0" w:lastColumn="0" w:oddVBand="0" w:evenVBand="0" w:oddHBand="0" w:evenHBand="0" w:firstRowFirstColumn="0" w:firstRowLastColumn="0" w:lastRowFirstColumn="0" w:lastRowLastColumn="0"/>
        </w:trPr>
        <w:tc>
          <w:tcPr>
            <w:tcW w:w="3402" w:type="dxa"/>
          </w:tcPr>
          <w:p w14:paraId="78EF5409" w14:textId="77777777" w:rsidR="0087785B" w:rsidRPr="00D86314" w:rsidRDefault="0087785B" w:rsidP="5A1FD836">
            <w:pPr>
              <w:pStyle w:val="EYBodytextwithparaspace"/>
              <w:keepNext/>
              <w:keepLines/>
              <w:rPr>
                <w:rFonts w:ascii="Times New Roman" w:hAnsi="Times New Roman"/>
                <w:noProof/>
                <w:sz w:val="20"/>
                <w:szCs w:val="20"/>
                <w:lang w:val="en-GB"/>
              </w:rPr>
            </w:pPr>
            <w:bookmarkStart w:id="335" w:name="_Hlk209517896"/>
            <w:r w:rsidRPr="00A36024">
              <w:rPr>
                <w:rFonts w:ascii="Times New Roman" w:hAnsi="Times New Roman"/>
                <w:noProof/>
                <w:sz w:val="20"/>
                <w:szCs w:val="20"/>
              </w:rPr>
              <w:t>Year</w:t>
            </w:r>
          </w:p>
        </w:tc>
        <w:tc>
          <w:tcPr>
            <w:tcW w:w="2444" w:type="dxa"/>
          </w:tcPr>
          <w:p w14:paraId="1077D4B5" w14:textId="77777777"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FTEs</w:t>
            </w:r>
          </w:p>
        </w:tc>
        <w:tc>
          <w:tcPr>
            <w:tcW w:w="3183" w:type="dxa"/>
          </w:tcPr>
          <w:p w14:paraId="6027EBE9" w14:textId="77777777"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Budget (USD, thousands)</w:t>
            </w:r>
          </w:p>
        </w:tc>
      </w:tr>
      <w:tr w:rsidR="00051A09" w:rsidRPr="00D86314" w14:paraId="65EE16B1" w14:textId="77777777" w:rsidTr="00112994">
        <w:tc>
          <w:tcPr>
            <w:tcW w:w="3402" w:type="dxa"/>
          </w:tcPr>
          <w:p w14:paraId="5EF24305" w14:textId="77777777" w:rsidR="0087785B" w:rsidRPr="00D86314" w:rsidRDefault="0087785B" w:rsidP="5A1FD836">
            <w:pPr>
              <w:pStyle w:val="EYBodytextwithparaspace"/>
              <w:keepNext/>
              <w:keepLines/>
              <w:jc w:val="left"/>
              <w:rPr>
                <w:rFonts w:ascii="Times New Roman" w:hAnsi="Times New Roman"/>
                <w:noProof/>
                <w:sz w:val="20"/>
                <w:szCs w:val="20"/>
                <w:lang w:val="en-GB"/>
              </w:rPr>
            </w:pPr>
            <w:r w:rsidRPr="00A36024">
              <w:rPr>
                <w:rFonts w:ascii="Times New Roman" w:hAnsi="Times New Roman"/>
                <w:noProof/>
                <w:sz w:val="20"/>
                <w:szCs w:val="20"/>
              </w:rPr>
              <w:t>2023 (establishment year)</w:t>
            </w:r>
          </w:p>
        </w:tc>
        <w:tc>
          <w:tcPr>
            <w:tcW w:w="2444" w:type="dxa"/>
          </w:tcPr>
          <w:p w14:paraId="0F01FFCB" w14:textId="77777777"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20</w:t>
            </w:r>
          </w:p>
        </w:tc>
        <w:tc>
          <w:tcPr>
            <w:tcW w:w="3183" w:type="dxa"/>
          </w:tcPr>
          <w:p w14:paraId="5ABED494" w14:textId="4337A56A"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4</w:t>
            </w:r>
            <w:r w:rsidR="00541727" w:rsidRPr="00A36024">
              <w:rPr>
                <w:rFonts w:ascii="Times New Roman" w:hAnsi="Times New Roman"/>
                <w:noProof/>
                <w:sz w:val="20"/>
                <w:szCs w:val="20"/>
              </w:rPr>
              <w:t xml:space="preserve"> </w:t>
            </w:r>
            <w:r w:rsidRPr="00A36024">
              <w:rPr>
                <w:rFonts w:ascii="Times New Roman" w:hAnsi="Times New Roman"/>
                <w:noProof/>
                <w:sz w:val="20"/>
                <w:szCs w:val="20"/>
              </w:rPr>
              <w:t>896</w:t>
            </w:r>
          </w:p>
        </w:tc>
      </w:tr>
      <w:tr w:rsidR="00051A09" w:rsidRPr="00D86314" w14:paraId="3C3687B9" w14:textId="77777777" w:rsidTr="00112994">
        <w:tc>
          <w:tcPr>
            <w:tcW w:w="3402" w:type="dxa"/>
          </w:tcPr>
          <w:p w14:paraId="79E977D6" w14:textId="77777777" w:rsidR="0087785B" w:rsidRPr="00D86314" w:rsidRDefault="0087785B" w:rsidP="5A1FD836">
            <w:pPr>
              <w:pStyle w:val="EYBodytextwithparaspace"/>
              <w:keepNext/>
              <w:keepLines/>
              <w:jc w:val="left"/>
              <w:rPr>
                <w:rFonts w:ascii="Times New Roman" w:hAnsi="Times New Roman"/>
                <w:noProof/>
                <w:sz w:val="20"/>
                <w:szCs w:val="20"/>
                <w:lang w:val="en-GB"/>
              </w:rPr>
            </w:pPr>
            <w:r w:rsidRPr="00A36024">
              <w:rPr>
                <w:rFonts w:ascii="Times New Roman" w:hAnsi="Times New Roman"/>
                <w:noProof/>
                <w:sz w:val="20"/>
                <w:szCs w:val="20"/>
              </w:rPr>
              <w:t>2024</w:t>
            </w:r>
          </w:p>
        </w:tc>
        <w:tc>
          <w:tcPr>
            <w:tcW w:w="2444" w:type="dxa"/>
          </w:tcPr>
          <w:p w14:paraId="0CA75065" w14:textId="77777777"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56</w:t>
            </w:r>
          </w:p>
        </w:tc>
        <w:tc>
          <w:tcPr>
            <w:tcW w:w="3183" w:type="dxa"/>
          </w:tcPr>
          <w:p w14:paraId="09C3EBB7" w14:textId="03A64FDE"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12</w:t>
            </w:r>
            <w:r w:rsidR="00541727" w:rsidRPr="00A36024">
              <w:rPr>
                <w:rFonts w:ascii="Times New Roman" w:hAnsi="Times New Roman"/>
                <w:noProof/>
                <w:sz w:val="20"/>
                <w:szCs w:val="20"/>
              </w:rPr>
              <w:t xml:space="preserve"> </w:t>
            </w:r>
            <w:r w:rsidRPr="00A36024">
              <w:rPr>
                <w:rFonts w:ascii="Times New Roman" w:hAnsi="Times New Roman"/>
                <w:noProof/>
                <w:sz w:val="20"/>
                <w:szCs w:val="20"/>
              </w:rPr>
              <w:t>780</w:t>
            </w:r>
          </w:p>
        </w:tc>
      </w:tr>
      <w:tr w:rsidR="00051A09" w:rsidRPr="00D86314" w14:paraId="0E88F5E5" w14:textId="77777777" w:rsidTr="00112994">
        <w:tc>
          <w:tcPr>
            <w:tcW w:w="3402" w:type="dxa"/>
          </w:tcPr>
          <w:p w14:paraId="13019F8C" w14:textId="77777777" w:rsidR="0087785B" w:rsidRPr="00D86314" w:rsidRDefault="0087785B" w:rsidP="5A1FD836">
            <w:pPr>
              <w:pStyle w:val="EYBodytextwithparaspace"/>
              <w:keepNext/>
              <w:keepLines/>
              <w:jc w:val="left"/>
              <w:rPr>
                <w:rFonts w:ascii="Times New Roman" w:hAnsi="Times New Roman"/>
                <w:noProof/>
                <w:sz w:val="20"/>
                <w:szCs w:val="20"/>
                <w:lang w:val="en-GB"/>
              </w:rPr>
            </w:pPr>
            <w:r w:rsidRPr="00A36024">
              <w:rPr>
                <w:rFonts w:ascii="Times New Roman" w:hAnsi="Times New Roman"/>
                <w:noProof/>
                <w:sz w:val="20"/>
                <w:szCs w:val="20"/>
              </w:rPr>
              <w:t>2025 (requested from Congress)</w:t>
            </w:r>
          </w:p>
        </w:tc>
        <w:tc>
          <w:tcPr>
            <w:tcW w:w="2444" w:type="dxa"/>
          </w:tcPr>
          <w:p w14:paraId="40528172" w14:textId="77777777"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54</w:t>
            </w:r>
          </w:p>
        </w:tc>
        <w:tc>
          <w:tcPr>
            <w:tcW w:w="3183" w:type="dxa"/>
          </w:tcPr>
          <w:p w14:paraId="383CC61C" w14:textId="30D3366F"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12</w:t>
            </w:r>
            <w:r w:rsidR="00541727" w:rsidRPr="00A36024">
              <w:rPr>
                <w:rFonts w:ascii="Times New Roman" w:hAnsi="Times New Roman"/>
                <w:noProof/>
                <w:sz w:val="20"/>
                <w:szCs w:val="20"/>
              </w:rPr>
              <w:t xml:space="preserve"> </w:t>
            </w:r>
            <w:r w:rsidRPr="00A36024">
              <w:rPr>
                <w:rFonts w:ascii="Times New Roman" w:hAnsi="Times New Roman"/>
                <w:noProof/>
                <w:sz w:val="20"/>
                <w:szCs w:val="20"/>
              </w:rPr>
              <w:t>696</w:t>
            </w:r>
          </w:p>
        </w:tc>
      </w:tr>
      <w:tr w:rsidR="00051A09" w:rsidRPr="00D86314" w14:paraId="38115ADA" w14:textId="77777777" w:rsidTr="00112994">
        <w:tc>
          <w:tcPr>
            <w:tcW w:w="3402" w:type="dxa"/>
          </w:tcPr>
          <w:p w14:paraId="374DFDE0" w14:textId="77777777" w:rsidR="0087785B" w:rsidRPr="00D86314" w:rsidRDefault="0087785B" w:rsidP="5A1FD836">
            <w:pPr>
              <w:pStyle w:val="EYBodytextwithparaspace"/>
              <w:keepNext/>
              <w:keepLines/>
              <w:jc w:val="left"/>
              <w:rPr>
                <w:rFonts w:ascii="Times New Roman" w:hAnsi="Times New Roman"/>
                <w:noProof/>
                <w:sz w:val="20"/>
                <w:szCs w:val="20"/>
                <w:lang w:val="en-GB"/>
              </w:rPr>
            </w:pPr>
            <w:r w:rsidRPr="00A36024">
              <w:rPr>
                <w:rFonts w:ascii="Times New Roman" w:hAnsi="Times New Roman"/>
                <w:noProof/>
                <w:sz w:val="20"/>
                <w:szCs w:val="20"/>
              </w:rPr>
              <w:t>2026 (requested from Congress)</w:t>
            </w:r>
          </w:p>
        </w:tc>
        <w:tc>
          <w:tcPr>
            <w:tcW w:w="2444" w:type="dxa"/>
          </w:tcPr>
          <w:p w14:paraId="4611503E" w14:textId="77777777"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51</w:t>
            </w:r>
          </w:p>
        </w:tc>
        <w:tc>
          <w:tcPr>
            <w:tcW w:w="3183" w:type="dxa"/>
          </w:tcPr>
          <w:p w14:paraId="21403A82" w14:textId="56A5197E" w:rsidR="0087785B" w:rsidRPr="00D86314" w:rsidRDefault="0087785B" w:rsidP="5A1FD836">
            <w:pPr>
              <w:pStyle w:val="EYBodytextwithparaspace"/>
              <w:keepNext/>
              <w:keepLines/>
              <w:rPr>
                <w:rFonts w:ascii="Times New Roman" w:hAnsi="Times New Roman"/>
                <w:noProof/>
                <w:sz w:val="20"/>
                <w:szCs w:val="20"/>
                <w:lang w:val="en-GB"/>
              </w:rPr>
            </w:pPr>
            <w:r w:rsidRPr="00A36024">
              <w:rPr>
                <w:rFonts w:ascii="Times New Roman" w:hAnsi="Times New Roman"/>
                <w:noProof/>
                <w:sz w:val="20"/>
                <w:szCs w:val="20"/>
              </w:rPr>
              <w:t>12</w:t>
            </w:r>
            <w:r w:rsidR="00DE5A62" w:rsidRPr="00A36024">
              <w:rPr>
                <w:rFonts w:ascii="Times New Roman" w:hAnsi="Times New Roman"/>
                <w:noProof/>
                <w:sz w:val="20"/>
                <w:szCs w:val="20"/>
              </w:rPr>
              <w:t xml:space="preserve"> </w:t>
            </w:r>
            <w:r w:rsidRPr="00A36024">
              <w:rPr>
                <w:rFonts w:ascii="Times New Roman" w:hAnsi="Times New Roman"/>
                <w:noProof/>
                <w:sz w:val="20"/>
                <w:szCs w:val="20"/>
              </w:rPr>
              <w:t>705</w:t>
            </w:r>
          </w:p>
        </w:tc>
      </w:tr>
    </w:tbl>
    <w:bookmarkEnd w:id="335"/>
    <w:p w14:paraId="74E49013" w14:textId="6E13D45E" w:rsidR="00416BB7" w:rsidRPr="00D86314" w:rsidRDefault="00E14D28" w:rsidP="00E14D28">
      <w:pPr>
        <w:pStyle w:val="EYBodytextwithparaspace"/>
        <w:rPr>
          <w:rFonts w:ascii="Times New Roman" w:hAnsi="Times New Roman"/>
          <w:noProof/>
          <w:sz w:val="18"/>
          <w:szCs w:val="18"/>
        </w:rPr>
      </w:pPr>
      <w:r w:rsidRPr="00D86314">
        <w:rPr>
          <w:rFonts w:ascii="Times New Roman" w:hAnsi="Times New Roman"/>
          <w:noProof/>
          <w:sz w:val="18"/>
          <w:szCs w:val="18"/>
        </w:rPr>
        <w:t xml:space="preserve">Source: FCC (2024). 2025 Budget-in-Brief, DOC-401129A1, p. 11: </w:t>
      </w:r>
      <w:hyperlink r:id="rId165" w:history="1">
        <w:r w:rsidRPr="00D86314">
          <w:rPr>
            <w:rStyle w:val="Hyperlink"/>
            <w:rFonts w:ascii="Times New Roman" w:hAnsi="Times New Roman"/>
            <w:noProof/>
            <w:sz w:val="18"/>
            <w:szCs w:val="18"/>
          </w:rPr>
          <w:t>https://docs.fcc.gov/public/attachments/DOC-401129A1.pdf?ref=broadbandbreakfast.com;</w:t>
        </w:r>
      </w:hyperlink>
      <w:r w:rsidRPr="00D86314">
        <w:rPr>
          <w:rFonts w:ascii="Times New Roman" w:hAnsi="Times New Roman"/>
          <w:noProof/>
          <w:sz w:val="18"/>
          <w:szCs w:val="18"/>
        </w:rPr>
        <w:t xml:space="preserve"> FCC (2025). 2026 Budget Estimates to Congress, DOC-411718A1, p. 14: </w:t>
      </w:r>
      <w:hyperlink r:id="rId166" w:history="1">
        <w:r w:rsidR="00AA60DA" w:rsidRPr="00D86314">
          <w:rPr>
            <w:rStyle w:val="Hyperlink"/>
            <w:rFonts w:ascii="Times New Roman" w:hAnsi="Times New Roman"/>
            <w:noProof/>
            <w:sz w:val="18"/>
            <w:szCs w:val="18"/>
          </w:rPr>
          <w:t>https://docs.fcc.gov/public/attachments/DOC-411718A1.pdf</w:t>
        </w:r>
      </w:hyperlink>
      <w:r w:rsidRPr="00D86314">
        <w:rPr>
          <w:rFonts w:ascii="Times New Roman" w:hAnsi="Times New Roman"/>
          <w:noProof/>
          <w:sz w:val="18"/>
          <w:szCs w:val="18"/>
        </w:rPr>
        <w:t>.</w:t>
      </w:r>
      <w:r w:rsidR="00AA60DA" w:rsidRPr="00D86314">
        <w:rPr>
          <w:rFonts w:ascii="Times New Roman" w:hAnsi="Times New Roman"/>
          <w:noProof/>
          <w:sz w:val="18"/>
          <w:szCs w:val="18"/>
        </w:rPr>
        <w:t xml:space="preserve"> </w:t>
      </w:r>
      <w:r w:rsidRPr="00D86314">
        <w:rPr>
          <w:rFonts w:ascii="Times New Roman" w:hAnsi="Times New Roman"/>
          <w:noProof/>
          <w:sz w:val="18"/>
          <w:szCs w:val="18"/>
        </w:rPr>
        <w:t xml:space="preserve"> </w:t>
      </w:r>
    </w:p>
    <w:p w14:paraId="1B1575E0" w14:textId="3F66E54B" w:rsidR="00E14D28" w:rsidRPr="00D86314" w:rsidRDefault="00E14D28" w:rsidP="0088355D">
      <w:pPr>
        <w:pStyle w:val="EYBodytextwithparaspace"/>
        <w:spacing w:before="240"/>
        <w:rPr>
          <w:rFonts w:ascii="Times New Roman" w:hAnsi="Times New Roman"/>
          <w:noProof/>
        </w:rPr>
      </w:pPr>
      <w:r w:rsidRPr="00D86314">
        <w:rPr>
          <w:rFonts w:ascii="Times New Roman" w:hAnsi="Times New Roman"/>
          <w:noProof/>
        </w:rPr>
        <w:t>To put this in comparative context, the FCC has a total headcount of some 1</w:t>
      </w:r>
      <w:r w:rsidR="004E5F6A">
        <w:rPr>
          <w:rFonts w:ascii="Times New Roman" w:hAnsi="Times New Roman"/>
          <w:noProof/>
        </w:rPr>
        <w:t>,</w:t>
      </w:r>
      <w:r w:rsidRPr="00D86314">
        <w:rPr>
          <w:rFonts w:ascii="Times New Roman" w:hAnsi="Times New Roman"/>
          <w:noProof/>
        </w:rPr>
        <w:t>523 in 2024. At the same time, the FCC has a significantly greater burden than the typical EU NRA or SMA. The USA has more than 6</w:t>
      </w:r>
      <w:r w:rsidR="004E5F6A">
        <w:rPr>
          <w:rFonts w:ascii="Times New Roman" w:hAnsi="Times New Roman"/>
          <w:noProof/>
        </w:rPr>
        <w:t>,</w:t>
      </w:r>
      <w:r w:rsidRPr="00D86314">
        <w:rPr>
          <w:rFonts w:ascii="Times New Roman" w:hAnsi="Times New Roman"/>
          <w:noProof/>
        </w:rPr>
        <w:t xml:space="preserve">000 civilian satellites of all sizes, orbits and services, and almost 114,000 earth stations. By contrast, France (the EU Member State with the largest number of satellites) has only some 600 to 700 satellites – an order of magnitude less.  </w:t>
      </w:r>
    </w:p>
    <w:p w14:paraId="7DCF13E6" w14:textId="77777777" w:rsidR="00E14D28" w:rsidRPr="00D86314" w:rsidRDefault="00E14D28" w:rsidP="0088355D">
      <w:pPr>
        <w:pStyle w:val="EYBodytextwithparaspace"/>
        <w:spacing w:before="0"/>
        <w:rPr>
          <w:rFonts w:ascii="Times New Roman" w:hAnsi="Times New Roman"/>
          <w:noProof/>
        </w:rPr>
      </w:pPr>
      <w:r w:rsidRPr="00D86314">
        <w:rPr>
          <w:rFonts w:ascii="Times New Roman" w:hAnsi="Times New Roman"/>
          <w:noProof/>
        </w:rPr>
        <w:t xml:space="preserve">It is also important to bear in mind that the burden on a regulatory agency is driven not only by who performs the tasks, and which overall functions must be fulfilled, but also by how the tasks are to be accomplished. This is continuously evolving. For example, the FCC implemented new rules in August 2025 that seek to reduce the regulatory burden for satellite service providers and for the FCC itself. They simplify the process for Ground-Station-as-a-Service (GSaaS) operators to receive a baseline licence with a simple notification, without having to first identify a specific satellite point of communication. The FCC estimates that this change will eliminate half of all earth station modification applications. “The new rules streamline and expedite processes for space stations and earth stations, including removing many requirements to file license modification applications. The reforms expand the list of license modifications that do not require prior authorization, adopt a 30-day shot clock for most earth station renewal applications, and eliminate repetitive requests for special temporary authority for geostationary orbit satellites.” </w:t>
      </w:r>
    </w:p>
    <w:p w14:paraId="3F9A8C4E" w14:textId="3B3236E9" w:rsidR="00762216" w:rsidRPr="00D86314" w:rsidRDefault="00313F0F" w:rsidP="00E8019E">
      <w:pPr>
        <w:pStyle w:val="Heading3"/>
        <w:numPr>
          <w:ilvl w:val="0"/>
          <w:numId w:val="0"/>
        </w:numPr>
        <w:ind w:left="720"/>
        <w:rPr>
          <w:noProof/>
        </w:rPr>
      </w:pPr>
      <w:bookmarkStart w:id="336" w:name="_Toc219718472"/>
      <w:r w:rsidRPr="00D86314">
        <w:rPr>
          <w:noProof/>
        </w:rPr>
        <w:t>3</w:t>
      </w:r>
      <w:r w:rsidR="00047414" w:rsidRPr="00D86314">
        <w:rPr>
          <w:noProof/>
        </w:rPr>
        <w:t>.</w:t>
      </w:r>
      <w:r w:rsidR="00047414" w:rsidRPr="00D86314" w:rsidDel="00313F0F">
        <w:rPr>
          <w:noProof/>
        </w:rPr>
        <w:t>2</w:t>
      </w:r>
      <w:r w:rsidR="00047414" w:rsidRPr="00D86314">
        <w:rPr>
          <w:noProof/>
        </w:rPr>
        <w:t xml:space="preserve">.2. </w:t>
      </w:r>
      <w:r w:rsidR="00E057D6" w:rsidRPr="00D86314">
        <w:rPr>
          <w:noProof/>
        </w:rPr>
        <w:t>Effects of Delays in Satellite Authorizations</w:t>
      </w:r>
      <w:bookmarkEnd w:id="336"/>
    </w:p>
    <w:p w14:paraId="5F4D7947" w14:textId="143985DF" w:rsidR="00C00F20" w:rsidRPr="00D86314" w:rsidRDefault="00FB5F02" w:rsidP="0088355D">
      <w:pPr>
        <w:tabs>
          <w:tab w:val="num" w:pos="0"/>
        </w:tabs>
        <w:spacing w:after="120"/>
        <w:rPr>
          <w:rFonts w:eastAsia="Times New Roman"/>
          <w:noProof/>
        </w:rPr>
      </w:pPr>
      <w:r w:rsidRPr="00D86314">
        <w:rPr>
          <w:noProof/>
        </w:rPr>
        <w:t>This section evaluates the impacts of authorization</w:t>
      </w:r>
      <w:r w:rsidR="00DA43C2" w:rsidRPr="00D86314">
        <w:rPr>
          <w:rFonts w:eastAsia="Times New Roman"/>
          <w:noProof/>
        </w:rPr>
        <w:t xml:space="preserve"> delays</w:t>
      </w:r>
      <w:r w:rsidRPr="00D86314">
        <w:rPr>
          <w:noProof/>
        </w:rPr>
        <w:t xml:space="preserve">. </w:t>
      </w:r>
      <w:r w:rsidR="000C4476" w:rsidRPr="00D86314">
        <w:rPr>
          <w:noProof/>
        </w:rPr>
        <w:t>When</w:t>
      </w:r>
      <w:r w:rsidRPr="00D86314">
        <w:rPr>
          <w:noProof/>
        </w:rPr>
        <w:t xml:space="preserve"> the delay occurs at the point</w:t>
      </w:r>
      <w:r w:rsidR="00C00F20" w:rsidRPr="00D86314">
        <w:rPr>
          <w:noProof/>
        </w:rPr>
        <w:t xml:space="preserve"> when the satellite communication service provider is first able to deliver </w:t>
      </w:r>
      <w:r w:rsidRPr="00D86314">
        <w:rPr>
          <w:noProof/>
        </w:rPr>
        <w:t xml:space="preserve">the </w:t>
      </w:r>
      <w:r w:rsidR="00C00F20" w:rsidRPr="00D86314">
        <w:rPr>
          <w:noProof/>
        </w:rPr>
        <w:t xml:space="preserve">service, the immediate financial impact </w:t>
      </w:r>
      <w:r w:rsidRPr="00D86314">
        <w:rPr>
          <w:noProof/>
        </w:rPr>
        <w:t>may be limited, since the customer base at that stage</w:t>
      </w:r>
      <w:r w:rsidR="00C00F20" w:rsidRPr="00D86314">
        <w:rPr>
          <w:noProof/>
        </w:rPr>
        <w:t xml:space="preserve"> is small</w:t>
      </w:r>
      <w:r w:rsidRPr="00D86314">
        <w:rPr>
          <w:noProof/>
        </w:rPr>
        <w:t xml:space="preserve"> or</w:t>
      </w:r>
      <w:r w:rsidR="00C00F20" w:rsidRPr="00D86314">
        <w:rPr>
          <w:noProof/>
        </w:rPr>
        <w:t xml:space="preserve"> possibly zero. </w:t>
      </w:r>
      <w:r w:rsidRPr="00D86314">
        <w:rPr>
          <w:noProof/>
        </w:rPr>
        <w:t>However, this</w:t>
      </w:r>
      <w:r w:rsidR="00C00F20" w:rsidRPr="00D86314">
        <w:rPr>
          <w:noProof/>
        </w:rPr>
        <w:t xml:space="preserve"> does not </w:t>
      </w:r>
      <w:r w:rsidRPr="00D86314">
        <w:rPr>
          <w:noProof/>
        </w:rPr>
        <w:t>imply</w:t>
      </w:r>
      <w:r w:rsidR="00C00F20" w:rsidRPr="00D86314">
        <w:rPr>
          <w:noProof/>
        </w:rPr>
        <w:t xml:space="preserve"> that the medium-term </w:t>
      </w:r>
      <w:r w:rsidRPr="00D86314">
        <w:rPr>
          <w:noProof/>
        </w:rPr>
        <w:t>consequences</w:t>
      </w:r>
      <w:r w:rsidR="00DA43C2" w:rsidRPr="00D86314">
        <w:rPr>
          <w:rFonts w:eastAsia="Times New Roman"/>
          <w:noProof/>
        </w:rPr>
        <w:t xml:space="preserve"> are </w:t>
      </w:r>
      <w:r w:rsidRPr="00D86314">
        <w:rPr>
          <w:noProof/>
        </w:rPr>
        <w:t xml:space="preserve">insignificant. When </w:t>
      </w:r>
      <w:r w:rsidR="00FF5FD2" w:rsidRPr="00D86314">
        <w:rPr>
          <w:noProof/>
        </w:rPr>
        <w:t>modelling</w:t>
      </w:r>
      <w:r w:rsidRPr="00D86314">
        <w:rPr>
          <w:noProof/>
        </w:rPr>
        <w:t xml:space="preserve"> the </w:t>
      </w:r>
      <w:r w:rsidR="00C00F20" w:rsidRPr="00D86314">
        <w:rPr>
          <w:noProof/>
        </w:rPr>
        <w:t xml:space="preserve">deployment of a new service, </w:t>
      </w:r>
      <w:r w:rsidRPr="00D86314">
        <w:rPr>
          <w:noProof/>
        </w:rPr>
        <w:t xml:space="preserve">it is common to assume that customer adoption </w:t>
      </w:r>
      <w:r w:rsidR="00C00F20" w:rsidRPr="00D86314">
        <w:rPr>
          <w:noProof/>
        </w:rPr>
        <w:t xml:space="preserve">follows a sigmoid </w:t>
      </w:r>
      <w:r w:rsidRPr="00D86314">
        <w:rPr>
          <w:noProof/>
        </w:rPr>
        <w:t>(logistic)</w:t>
      </w:r>
      <w:r w:rsidR="00C00F20" w:rsidRPr="00D86314">
        <w:rPr>
          <w:noProof/>
        </w:rPr>
        <w:t xml:space="preserve"> curve (see</w:t>
      </w:r>
      <w:r w:rsidR="00BE3863">
        <w:rPr>
          <w:noProof/>
        </w:rPr>
        <w:t xml:space="preserve"> Figure </w:t>
      </w:r>
      <w:r w:rsidR="00954203" w:rsidRPr="00D86314">
        <w:rPr>
          <w:noProof/>
        </w:rPr>
        <w:t>A9 3-2</w:t>
      </w:r>
      <w:r w:rsidR="00C00F20" w:rsidRPr="00D86314">
        <w:rPr>
          <w:noProof/>
        </w:rPr>
        <w:t xml:space="preserve">), which </w:t>
      </w:r>
      <w:r w:rsidRPr="00D86314">
        <w:rPr>
          <w:noProof/>
        </w:rPr>
        <w:t>closely resembles</w:t>
      </w:r>
      <w:r w:rsidR="00C00F20" w:rsidRPr="00D86314">
        <w:rPr>
          <w:noProof/>
        </w:rPr>
        <w:t xml:space="preserve"> exponential growth </w:t>
      </w:r>
      <w:r w:rsidR="00C00F20" w:rsidRPr="00D86314">
        <w:rPr>
          <w:rFonts w:eastAsia="Times New Roman"/>
          <w:noProof/>
        </w:rPr>
        <w:t xml:space="preserve">in </w:t>
      </w:r>
      <w:r w:rsidR="00C00F20" w:rsidRPr="00D86314">
        <w:rPr>
          <w:noProof/>
        </w:rPr>
        <w:t xml:space="preserve">the </w:t>
      </w:r>
      <w:r w:rsidRPr="00D86314">
        <w:rPr>
          <w:noProof/>
        </w:rPr>
        <w:t>initial</w:t>
      </w:r>
      <w:r w:rsidR="00C00F20" w:rsidRPr="00D86314">
        <w:rPr>
          <w:noProof/>
        </w:rPr>
        <w:t xml:space="preserve"> phases</w:t>
      </w:r>
      <w:r w:rsidRPr="00D86314">
        <w:rPr>
          <w:noProof/>
        </w:rPr>
        <w:t>—</w:t>
      </w:r>
      <w:r w:rsidR="00C00F20" w:rsidRPr="00D86314">
        <w:rPr>
          <w:noProof/>
        </w:rPr>
        <w:t xml:space="preserve">before </w:t>
      </w:r>
      <w:r w:rsidRPr="00D86314">
        <w:rPr>
          <w:noProof/>
        </w:rPr>
        <w:t xml:space="preserve">reaching </w:t>
      </w:r>
      <w:r w:rsidR="00C00F20" w:rsidRPr="00D86314">
        <w:rPr>
          <w:noProof/>
        </w:rPr>
        <w:t xml:space="preserve">the inflection point where market </w:t>
      </w:r>
      <w:r w:rsidRPr="00D86314">
        <w:rPr>
          <w:noProof/>
        </w:rPr>
        <w:t xml:space="preserve">saturation </w:t>
      </w:r>
      <w:r w:rsidR="00C00F20" w:rsidRPr="00D86314">
        <w:rPr>
          <w:noProof/>
        </w:rPr>
        <w:t>begins</w:t>
      </w:r>
      <w:r w:rsidR="000C4476" w:rsidRPr="00D86314">
        <w:rPr>
          <w:rFonts w:eastAsia="Times New Roman"/>
          <w:noProof/>
          <w:vertAlign w:val="superscript"/>
        </w:rPr>
        <w:footnoteReference w:id="275"/>
      </w:r>
      <w:r w:rsidRPr="00D86314">
        <w:rPr>
          <w:noProof/>
        </w:rPr>
        <w:t>.</w:t>
      </w:r>
      <w:r w:rsidR="00C00F20" w:rsidRPr="00D86314">
        <w:rPr>
          <w:noProof/>
        </w:rPr>
        <w:t xml:space="preserve"> The firm’s </w:t>
      </w:r>
      <w:r w:rsidRPr="00D86314">
        <w:rPr>
          <w:noProof/>
        </w:rPr>
        <w:t>total revenue is roughly proportional</w:t>
      </w:r>
      <w:r w:rsidR="00C00F20" w:rsidRPr="00D86314">
        <w:rPr>
          <w:noProof/>
        </w:rPr>
        <w:t xml:space="preserve"> to the area under </w:t>
      </w:r>
      <w:r w:rsidRPr="00D86314">
        <w:rPr>
          <w:noProof/>
        </w:rPr>
        <w:t>this adoption</w:t>
      </w:r>
      <w:r w:rsidR="00C00F20" w:rsidRPr="00D86314">
        <w:rPr>
          <w:noProof/>
        </w:rPr>
        <w:t xml:space="preserve"> curve, representing the </w:t>
      </w:r>
      <w:r w:rsidRPr="00D86314">
        <w:rPr>
          <w:noProof/>
        </w:rPr>
        <w:t xml:space="preserve">cumulative </w:t>
      </w:r>
      <w:r w:rsidR="00C00F20" w:rsidRPr="00D86314">
        <w:rPr>
          <w:noProof/>
        </w:rPr>
        <w:t xml:space="preserve">number of users multiplied by the </w:t>
      </w:r>
      <w:r w:rsidRPr="00D86314">
        <w:rPr>
          <w:noProof/>
        </w:rPr>
        <w:t>duration of their usage. Therefore, if the delay in securing authorization</w:t>
      </w:r>
      <w:r w:rsidR="00C00F20" w:rsidRPr="00D86314">
        <w:rPr>
          <w:noProof/>
        </w:rPr>
        <w:t xml:space="preserve"> and spectrum </w:t>
      </w:r>
      <w:r w:rsidRPr="00D86314">
        <w:rPr>
          <w:noProof/>
        </w:rPr>
        <w:t>allocation causes</w:t>
      </w:r>
      <w:r w:rsidR="00C00F20" w:rsidRPr="00D86314">
        <w:rPr>
          <w:noProof/>
        </w:rPr>
        <w:t xml:space="preserve"> the entire adoption curve to </w:t>
      </w:r>
      <w:r w:rsidRPr="00D86314">
        <w:rPr>
          <w:noProof/>
        </w:rPr>
        <w:t xml:space="preserve">shift to </w:t>
      </w:r>
      <w:r w:rsidR="00C00F20" w:rsidRPr="00D86314">
        <w:rPr>
          <w:noProof/>
        </w:rPr>
        <w:t xml:space="preserve">the right, the </w:t>
      </w:r>
      <w:r w:rsidRPr="00D86314">
        <w:rPr>
          <w:noProof/>
        </w:rPr>
        <w:t>negative</w:t>
      </w:r>
      <w:r w:rsidR="00C00F20" w:rsidRPr="00D86314">
        <w:rPr>
          <w:noProof/>
        </w:rPr>
        <w:t xml:space="preserve"> effects could </w:t>
      </w:r>
      <w:r w:rsidRPr="00D86314">
        <w:rPr>
          <w:noProof/>
        </w:rPr>
        <w:t>extend</w:t>
      </w:r>
      <w:r w:rsidR="00C00F20" w:rsidRPr="00D86314">
        <w:rPr>
          <w:noProof/>
        </w:rPr>
        <w:t xml:space="preserve"> over many years</w:t>
      </w:r>
      <w:r w:rsidRPr="00D86314">
        <w:rPr>
          <w:noProof/>
        </w:rPr>
        <w:t xml:space="preserve">, resulting in a </w:t>
      </w:r>
      <w:r w:rsidR="00C00F20" w:rsidRPr="00D86314">
        <w:rPr>
          <w:noProof/>
        </w:rPr>
        <w:t>substantial loss of potential revenue</w:t>
      </w:r>
      <w:r w:rsidRPr="00D86314">
        <w:rPr>
          <w:noProof/>
        </w:rPr>
        <w:t>. In some cases, this revenue loss can be decisive, determining whether the business case is viable or no</w:t>
      </w:r>
      <w:r w:rsidR="000C4476" w:rsidRPr="00D86314">
        <w:rPr>
          <w:noProof/>
        </w:rPr>
        <w:t>.</w:t>
      </w:r>
      <w:r w:rsidR="008E71F8" w:rsidRPr="00D86314">
        <w:rPr>
          <w:noProof/>
        </w:rPr>
        <w:t xml:space="preserve"> </w:t>
      </w:r>
    </w:p>
    <w:p w14:paraId="3A3286F0" w14:textId="2849DC7B" w:rsidR="00C00F20" w:rsidRPr="00D86314" w:rsidRDefault="00FF60A2" w:rsidP="00623C8D">
      <w:pPr>
        <w:keepNext/>
        <w:spacing w:before="240" w:after="200"/>
        <w:ind w:left="1361" w:hanging="1361"/>
        <w:rPr>
          <w:i/>
          <w:iCs/>
          <w:noProof/>
          <w:sz w:val="22"/>
          <w:szCs w:val="22"/>
        </w:rPr>
      </w:pPr>
      <w:r w:rsidRPr="00D86314">
        <w:rPr>
          <w:i/>
          <w:noProof/>
          <w:sz w:val="22"/>
          <w:szCs w:val="22"/>
        </w:rPr>
        <w:t xml:space="preserve">Figure A9 </w:t>
      </w:r>
      <w:r w:rsidR="00954203" w:rsidRPr="00D86314">
        <w:rPr>
          <w:i/>
          <w:iCs/>
          <w:noProof/>
          <w:sz w:val="22"/>
          <w:szCs w:val="22"/>
        </w:rPr>
        <w:t>3-2</w:t>
      </w:r>
      <w:r w:rsidR="00C00F20" w:rsidRPr="00D86314">
        <w:rPr>
          <w:i/>
          <w:noProof/>
          <w:sz w:val="22"/>
          <w:szCs w:val="22"/>
        </w:rPr>
        <w:t>: Adoption of new technologies and services is often modelled as a sigmoid logistics curve</w:t>
      </w:r>
      <w:r w:rsidR="00C00F20" w:rsidRPr="00D86314">
        <w:rPr>
          <w:i/>
          <w:iCs/>
          <w:noProof/>
          <w:sz w:val="22"/>
          <w:szCs w:val="22"/>
        </w:rPr>
        <w:t>.</w:t>
      </w:r>
    </w:p>
    <w:p w14:paraId="3F6F7F7A" w14:textId="77777777" w:rsidR="00C00F20" w:rsidRPr="00D86314" w:rsidRDefault="00C00F20" w:rsidP="00C00F20">
      <w:pPr>
        <w:keepNext/>
        <w:keepLines/>
        <w:tabs>
          <w:tab w:val="num" w:pos="0"/>
        </w:tabs>
        <w:spacing w:before="120" w:after="120"/>
        <w:jc w:val="center"/>
        <w:rPr>
          <w:rFonts w:asciiTheme="minorHAnsi" w:eastAsia="Times New Roman" w:hAnsiTheme="minorHAnsi"/>
          <w:noProof/>
        </w:rPr>
      </w:pPr>
      <w:r w:rsidRPr="00CA2C0B">
        <w:rPr>
          <w:rFonts w:asciiTheme="minorHAnsi" w:eastAsia="Times New Roman" w:hAnsiTheme="minorHAnsi"/>
          <w:noProof/>
          <w:lang w:eastAsia="en-GB"/>
        </w:rPr>
        <w:drawing>
          <wp:inline distT="0" distB="0" distL="0" distR="0" wp14:anchorId="7A9BE0C6" wp14:editId="490B03AA">
            <wp:extent cx="2390775" cy="2455005"/>
            <wp:effectExtent l="0" t="0" r="0" b="2540"/>
            <wp:docPr id="1067766888" name="Picture 1" descr="A diagram of an inflection po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7110" name="Picture 1" descr="A diagram of an inflection point&#10;&#10;AI-generated content may be incorrect."/>
                    <pic:cNvPicPr/>
                  </pic:nvPicPr>
                  <pic:blipFill>
                    <a:blip r:embed="rId167"/>
                    <a:stretch>
                      <a:fillRect/>
                    </a:stretch>
                  </pic:blipFill>
                  <pic:spPr>
                    <a:xfrm>
                      <a:off x="0" y="0"/>
                      <a:ext cx="2395343" cy="2459696"/>
                    </a:xfrm>
                    <a:prstGeom prst="rect">
                      <a:avLst/>
                    </a:prstGeom>
                  </pic:spPr>
                </pic:pic>
              </a:graphicData>
            </a:graphic>
          </wp:inline>
        </w:drawing>
      </w:r>
    </w:p>
    <w:p w14:paraId="337A4071" w14:textId="17D7CE14" w:rsidR="00C00F20" w:rsidRPr="00D86314" w:rsidRDefault="00C00F20" w:rsidP="00C00F20">
      <w:pPr>
        <w:tabs>
          <w:tab w:val="num" w:pos="0"/>
        </w:tabs>
        <w:spacing w:before="120" w:after="120"/>
        <w:rPr>
          <w:rFonts w:asciiTheme="minorHAnsi" w:eastAsia="Times New Roman" w:hAnsiTheme="minorHAnsi"/>
          <w:i/>
          <w:noProof/>
          <w:sz w:val="16"/>
          <w:szCs w:val="16"/>
        </w:rPr>
      </w:pPr>
      <w:r w:rsidRPr="00D86314">
        <w:rPr>
          <w:rFonts w:eastAsia="Times New Roman"/>
          <w:i/>
          <w:noProof/>
          <w:sz w:val="20"/>
          <w:szCs w:val="20"/>
        </w:rPr>
        <w:t>Source: Gregory Nemet, Jenna Greene, Finn M</w:t>
      </w:r>
      <w:r w:rsidRPr="00D86314">
        <w:rPr>
          <w:rFonts w:eastAsia="Times New Roman" w:hint="eastAsia"/>
          <w:i/>
          <w:noProof/>
          <w:sz w:val="20"/>
          <w:szCs w:val="20"/>
        </w:rPr>
        <w:t>ü</w:t>
      </w:r>
      <w:r w:rsidRPr="00D86314">
        <w:rPr>
          <w:rFonts w:eastAsia="Times New Roman"/>
          <w:i/>
          <w:noProof/>
          <w:sz w:val="20"/>
          <w:szCs w:val="20"/>
        </w:rPr>
        <w:t xml:space="preserve">ller-Hansen, Jan C. Minx (2023). Dataset on the adoption of historical technologies informs the scale-up of emerging carbon dioxide removal measures, Communications Earth &amp; Environment: </w:t>
      </w:r>
      <w:hyperlink r:id="rId168">
        <w:r w:rsidRPr="00D86314">
          <w:rPr>
            <w:rStyle w:val="Hyperlink"/>
            <w:rFonts w:eastAsia="Times New Roman"/>
            <w:i/>
            <w:iCs/>
            <w:noProof/>
            <w:sz w:val="20"/>
            <w:szCs w:val="20"/>
          </w:rPr>
          <w:t>https://www.nature.com/articles/s43247-023-01056-1</w:t>
        </w:r>
      </w:hyperlink>
      <w:r w:rsidRPr="00D86314">
        <w:rPr>
          <w:rFonts w:asciiTheme="minorHAnsi" w:eastAsia="Times New Roman" w:hAnsiTheme="minorHAnsi"/>
          <w:i/>
          <w:iCs/>
          <w:noProof/>
          <w:sz w:val="16"/>
          <w:szCs w:val="16"/>
        </w:rPr>
        <w:t>.</w:t>
      </w:r>
    </w:p>
    <w:p w14:paraId="0C3B64FB" w14:textId="77777777" w:rsidR="00C00F20" w:rsidRPr="00D86314" w:rsidRDefault="00C00F20" w:rsidP="004A05F4">
      <w:pPr>
        <w:tabs>
          <w:tab w:val="num" w:pos="0"/>
        </w:tabs>
        <w:spacing w:before="240" w:after="120"/>
        <w:rPr>
          <w:rFonts w:eastAsia="Times New Roman"/>
          <w:noProof/>
        </w:rPr>
      </w:pPr>
      <w:r w:rsidRPr="00D86314">
        <w:rPr>
          <w:rFonts w:eastAsia="Times New Roman"/>
          <w:noProof/>
        </w:rPr>
        <w:t>Consumers also lose out if a satellite communication service provider lacks authorisation to deliver a service that it would otherwise be able to offer. If the satellite communication service provider is prohibited from offering the service, consumers cannot purchase or use it. This constitutes a different way of looking at the impact of a missing or delayed authorisation. The normal economic insight is that the gross loss of consumer surplus is at least as great as the price that the user would have otherwise paid for the service – if this were not the case, the service would not have been purchased.</w:t>
      </w:r>
    </w:p>
    <w:p w14:paraId="599D0225" w14:textId="15248669" w:rsidR="00AC59D6" w:rsidRPr="00D86314" w:rsidRDefault="00C00F20" w:rsidP="00C00F20">
      <w:pPr>
        <w:tabs>
          <w:tab w:val="num" w:pos="0"/>
        </w:tabs>
        <w:spacing w:before="120" w:after="120"/>
        <w:rPr>
          <w:rFonts w:eastAsia="Times New Roman"/>
          <w:noProof/>
        </w:rPr>
      </w:pPr>
      <w:r w:rsidRPr="00D86314">
        <w:rPr>
          <w:rFonts w:eastAsia="Times New Roman"/>
          <w:noProof/>
        </w:rPr>
        <w:t>The net loss of consumer surplus may be less in practice because a substitute service may, or may not, be available. The substitute service will generally be less attractive in terms of price/performance, otherwise it would have been preferred in the first place. So one should expect that there will always be a loss of surplus when a satellite communication service provider lacks authorisation to deliver its service, but the net loss of consumer surplus might be either more or less than the loss of revenue to the satellite communication service provider.</w:t>
      </w:r>
    </w:p>
    <w:p w14:paraId="0F63AD19" w14:textId="32BB679A" w:rsidR="00762216" w:rsidRPr="00D86314" w:rsidRDefault="00AC59D6" w:rsidP="00703057">
      <w:pPr>
        <w:tabs>
          <w:tab w:val="num" w:pos="0"/>
        </w:tabs>
        <w:spacing w:before="120" w:after="120"/>
        <w:rPr>
          <w:noProof/>
        </w:rPr>
      </w:pPr>
      <w:r w:rsidRPr="00D86314">
        <w:rPr>
          <w:rFonts w:eastAsia="Times New Roman"/>
          <w:noProof/>
        </w:rPr>
        <w:t>As a</w:t>
      </w:r>
      <w:r w:rsidR="0062184E" w:rsidRPr="00D86314">
        <w:rPr>
          <w:rFonts w:eastAsia="Times New Roman"/>
          <w:noProof/>
        </w:rPr>
        <w:t>n example one of the two EU Mobile Satellite Services provider in the 2GHz, faced considerable legal uncertainty and delays of several years in the authorisation process, which negatively affected its business case.</w:t>
      </w:r>
      <w:r w:rsidR="00F4625A" w:rsidRPr="00D86314" w:rsidDel="00F4625A">
        <w:rPr>
          <w:rFonts w:eastAsia="Times New Roman"/>
          <w:noProof/>
        </w:rPr>
        <w:t xml:space="preserve"> </w:t>
      </w:r>
      <w:r w:rsidR="00F4625A" w:rsidRPr="00D86314">
        <w:rPr>
          <w:noProof/>
        </w:rPr>
        <w:t>D</w:t>
      </w:r>
      <w:r w:rsidR="00AB71A7" w:rsidRPr="00D86314">
        <w:rPr>
          <w:noProof/>
        </w:rPr>
        <w:t>elays in accessing space spectrum caused by fragmented national authorization regimes can significantly hinder European competitiveness. To improve this situation, it is essential to streamline and harmonize the authorization processes across</w:t>
      </w:r>
      <w:r w:rsidR="003169A9" w:rsidRPr="00D86314">
        <w:rPr>
          <w:noProof/>
        </w:rPr>
        <w:t xml:space="preserve"> M</w:t>
      </w:r>
      <w:r w:rsidR="00DE5A62" w:rsidRPr="00D86314">
        <w:rPr>
          <w:noProof/>
        </w:rPr>
        <w:t xml:space="preserve">ember </w:t>
      </w:r>
      <w:r w:rsidR="003169A9" w:rsidRPr="00D86314">
        <w:rPr>
          <w:noProof/>
        </w:rPr>
        <w:t>S</w:t>
      </w:r>
      <w:r w:rsidR="00DE5A62" w:rsidRPr="00D86314">
        <w:rPr>
          <w:noProof/>
        </w:rPr>
        <w:t>tate</w:t>
      </w:r>
      <w:r w:rsidR="007809E8" w:rsidRPr="00D86314">
        <w:rPr>
          <w:noProof/>
        </w:rPr>
        <w:t>s</w:t>
      </w:r>
      <w:r w:rsidR="00AB71A7" w:rsidRPr="00D86314">
        <w:rPr>
          <w:noProof/>
        </w:rPr>
        <w:t xml:space="preserve">. By adopting a more unified regulatory framework for space spectrum access, Europe can enhance its competitiveness on the global stage. For </w:t>
      </w:r>
      <w:r w:rsidR="00AA4A3E" w:rsidRPr="00D86314">
        <w:rPr>
          <w:noProof/>
        </w:rPr>
        <w:t>instance, estimates</w:t>
      </w:r>
      <w:r w:rsidR="00AA4A3E" w:rsidRPr="00D86314">
        <w:rPr>
          <w:rStyle w:val="FootnoteReference"/>
          <w:noProof/>
        </w:rPr>
        <w:footnoteReference w:id="276"/>
      </w:r>
      <w:r w:rsidR="00AA4A3E" w:rsidRPr="00D86314">
        <w:rPr>
          <w:noProof/>
        </w:rPr>
        <w:t xml:space="preserve"> for the space connectivity services to be delivered by the pan-European IRIS² constellation suggest full utilisation of all 33 satellites (O3b Classic and O3b mPOWER) by 2030. The projected investment up to 2030 is approximately </w:t>
      </w:r>
      <w:r w:rsidR="00933E4D" w:rsidRPr="00D86314">
        <w:rPr>
          <w:noProof/>
        </w:rPr>
        <w:t>EUR </w:t>
      </w:r>
      <w:r w:rsidR="00AA4A3E" w:rsidRPr="00D86314">
        <w:rPr>
          <w:noProof/>
        </w:rPr>
        <w:t xml:space="preserve">1.8 billion, with peak annual spending of around </w:t>
      </w:r>
      <w:r w:rsidR="00933E4D" w:rsidRPr="00D86314">
        <w:rPr>
          <w:noProof/>
        </w:rPr>
        <w:t>EUR </w:t>
      </w:r>
      <w:r w:rsidR="00AA4A3E" w:rsidRPr="00D86314">
        <w:rPr>
          <w:noProof/>
        </w:rPr>
        <w:t>400 million between 2027 and 2030.</w:t>
      </w:r>
      <w:r w:rsidR="00B958CE" w:rsidRPr="00D86314">
        <w:rPr>
          <w:noProof/>
        </w:rPr>
        <w:t xml:space="preserve"> </w:t>
      </w:r>
      <w:r w:rsidR="00AA4A3E" w:rsidRPr="00D86314">
        <w:rPr>
          <w:noProof/>
        </w:rPr>
        <w:t xml:space="preserve">Once the constellation reaches full capacity, revenues are expected to exceed operating costs significantly, with an anticipated EBITDA margin of 55%. Based on this, annual revenues in 2030 could reach around </w:t>
      </w:r>
      <w:r w:rsidR="000F5525" w:rsidRPr="00D86314">
        <w:rPr>
          <w:noProof/>
        </w:rPr>
        <w:t>EUR </w:t>
      </w:r>
      <w:r w:rsidR="00AA4A3E" w:rsidRPr="00D86314">
        <w:rPr>
          <w:noProof/>
        </w:rPr>
        <w:t xml:space="preserve">600 million, equivalent to approximately </w:t>
      </w:r>
      <w:r w:rsidR="00933E4D" w:rsidRPr="00D86314">
        <w:rPr>
          <w:noProof/>
        </w:rPr>
        <w:t>EUR </w:t>
      </w:r>
      <w:r w:rsidR="00AA4A3E" w:rsidRPr="00D86314">
        <w:rPr>
          <w:noProof/>
        </w:rPr>
        <w:t xml:space="preserve">50 million per month across the EU. This implies that a one-month delay in the provision of IRIS² services across the entire EU in 2030 could result in lost revenue of around </w:t>
      </w:r>
      <w:r w:rsidR="00933E4D" w:rsidRPr="00D86314">
        <w:rPr>
          <w:noProof/>
        </w:rPr>
        <w:t>EUR </w:t>
      </w:r>
      <w:r w:rsidR="00AA4A3E" w:rsidRPr="00D86314">
        <w:rPr>
          <w:noProof/>
        </w:rPr>
        <w:t xml:space="preserve">50 million. Similarly, if services were unavailable in a single Member State for a month, the revenue loss would be roughly proportional to that Member State’s share of the total EU revenue — calculated as a percentage of </w:t>
      </w:r>
      <w:r w:rsidR="000F5525" w:rsidRPr="00D86314">
        <w:rPr>
          <w:noProof/>
        </w:rPr>
        <w:t>EUR </w:t>
      </w:r>
      <w:r w:rsidR="00AA4A3E" w:rsidRPr="00D86314">
        <w:rPr>
          <w:noProof/>
        </w:rPr>
        <w:t>50 million</w:t>
      </w:r>
      <w:r w:rsidR="00F632A8" w:rsidRPr="00D86314">
        <w:rPr>
          <w:noProof/>
        </w:rPr>
        <w:t>.</w:t>
      </w:r>
    </w:p>
    <w:p w14:paraId="17C78F5E" w14:textId="137B995C" w:rsidR="005C7EE1" w:rsidRPr="00D86314" w:rsidRDefault="005C7EE1" w:rsidP="005C7EE1">
      <w:pPr>
        <w:pStyle w:val="EYBodytextwithparaspace"/>
        <w:rPr>
          <w:rFonts w:ascii="Times New Roman" w:hAnsi="Times New Roman"/>
          <w:noProof/>
        </w:rPr>
      </w:pPr>
      <w:bookmarkStart w:id="337" w:name="_Hlk214956383"/>
    </w:p>
    <w:bookmarkEnd w:id="337"/>
    <w:p w14:paraId="2C6E7894" w14:textId="01A101AE" w:rsidR="00F16512" w:rsidRPr="00D86314" w:rsidRDefault="00F16512" w:rsidP="00C73029">
      <w:pPr>
        <w:pStyle w:val="EYBodytextwithparaspace"/>
        <w:rPr>
          <w:b/>
          <w:smallCaps/>
          <w:noProof/>
          <w:sz w:val="32"/>
          <w:szCs w:val="20"/>
        </w:rPr>
      </w:pPr>
      <w:r w:rsidRPr="00D86314">
        <w:rPr>
          <w:noProof/>
        </w:rPr>
        <w:br w:type="page"/>
      </w:r>
    </w:p>
    <w:p w14:paraId="33ABB7DA" w14:textId="6B33073C" w:rsidR="00F56CA6" w:rsidRPr="00D86314" w:rsidRDefault="00F56CA6" w:rsidP="00703057">
      <w:pPr>
        <w:pStyle w:val="Heading1"/>
        <w:numPr>
          <w:ilvl w:val="0"/>
          <w:numId w:val="0"/>
        </w:numPr>
        <w:ind w:left="432" w:hanging="432"/>
        <w:rPr>
          <w:noProof/>
          <w:lang w:val="en-GB"/>
        </w:rPr>
      </w:pPr>
      <w:bookmarkStart w:id="338" w:name="_Toc219718473"/>
      <w:r w:rsidRPr="00D86314">
        <w:rPr>
          <w:noProof/>
          <w:lang w:val="en-GB"/>
        </w:rPr>
        <w:t xml:space="preserve">Annex 10: </w:t>
      </w:r>
      <w:r w:rsidR="003A5C4D" w:rsidRPr="00D86314">
        <w:rPr>
          <w:noProof/>
          <w:lang w:val="en-GB"/>
        </w:rPr>
        <w:t>EU</w:t>
      </w:r>
      <w:r w:rsidRPr="00D86314">
        <w:rPr>
          <w:noProof/>
          <w:lang w:val="en-GB"/>
        </w:rPr>
        <w:t xml:space="preserve"> and </w:t>
      </w:r>
      <w:r w:rsidR="00F70882" w:rsidRPr="00D86314">
        <w:rPr>
          <w:noProof/>
          <w:lang w:val="en-GB"/>
        </w:rPr>
        <w:t>I</w:t>
      </w:r>
      <w:r w:rsidRPr="00D86314">
        <w:rPr>
          <w:noProof/>
          <w:lang w:val="en-GB"/>
        </w:rPr>
        <w:t>n</w:t>
      </w:r>
      <w:r w:rsidR="00F70882" w:rsidRPr="00D86314">
        <w:rPr>
          <w:noProof/>
          <w:lang w:val="en-GB"/>
        </w:rPr>
        <w:t>ternational, incl</w:t>
      </w:r>
      <w:r w:rsidR="000B566E" w:rsidRPr="00D86314">
        <w:rPr>
          <w:noProof/>
          <w:lang w:val="en-GB"/>
        </w:rPr>
        <w:t>.</w:t>
      </w:r>
      <w:r w:rsidR="00F70882" w:rsidRPr="00D86314">
        <w:rPr>
          <w:noProof/>
          <w:lang w:val="en-GB"/>
        </w:rPr>
        <w:t xml:space="preserve"> </w:t>
      </w:r>
      <w:r w:rsidR="0067619D" w:rsidRPr="00D86314">
        <w:rPr>
          <w:noProof/>
          <w:lang w:val="en-GB"/>
        </w:rPr>
        <w:t>U</w:t>
      </w:r>
      <w:r w:rsidRPr="00D86314">
        <w:rPr>
          <w:noProof/>
          <w:lang w:val="en-GB"/>
        </w:rPr>
        <w:t xml:space="preserve">nited </w:t>
      </w:r>
      <w:r w:rsidR="0067619D" w:rsidRPr="00D86314">
        <w:rPr>
          <w:noProof/>
          <w:lang w:val="en-GB"/>
        </w:rPr>
        <w:t>S</w:t>
      </w:r>
      <w:r w:rsidRPr="00D86314">
        <w:rPr>
          <w:noProof/>
          <w:lang w:val="en-GB"/>
        </w:rPr>
        <w:t>tates</w:t>
      </w:r>
      <w:r w:rsidR="00F70882" w:rsidRPr="00D86314">
        <w:rPr>
          <w:noProof/>
          <w:lang w:val="en-GB"/>
        </w:rPr>
        <w:t>, Spectrum Governance</w:t>
      </w:r>
      <w:bookmarkEnd w:id="338"/>
    </w:p>
    <w:p w14:paraId="0D47D086" w14:textId="32C9374F" w:rsidR="00F56CA6" w:rsidRPr="00D86314" w:rsidRDefault="00F56CA6" w:rsidP="00A00C17">
      <w:pPr>
        <w:pStyle w:val="Text2"/>
        <w:numPr>
          <w:ilvl w:val="6"/>
          <w:numId w:val="27"/>
        </w:numPr>
        <w:rPr>
          <w:b/>
          <w:bCs/>
          <w:noProof/>
        </w:rPr>
      </w:pPr>
      <w:r w:rsidRPr="00D86314">
        <w:rPr>
          <w:b/>
          <w:noProof/>
        </w:rPr>
        <w:t xml:space="preserve">Radio Spectrum essentials </w:t>
      </w:r>
      <w:r w:rsidR="00914CAE" w:rsidRPr="00D86314">
        <w:rPr>
          <w:b/>
          <w:noProof/>
        </w:rPr>
        <w:t>and satellite spectrum</w:t>
      </w:r>
    </w:p>
    <w:p w14:paraId="1DA6915B" w14:textId="419848DC" w:rsidR="00FE4980" w:rsidRPr="00C20A01" w:rsidRDefault="00FE4980" w:rsidP="00E53597">
      <w:pPr>
        <w:pStyle w:val="NormalWeb"/>
        <w:spacing w:before="0" w:beforeAutospacing="0" w:after="240" w:afterAutospacing="0"/>
        <w:jc w:val="both"/>
        <w:rPr>
          <w:noProof/>
          <w:lang w:val="en-GB"/>
        </w:rPr>
      </w:pPr>
      <w:r w:rsidRPr="00C20A01">
        <w:rPr>
          <w:noProof/>
          <w:lang w:val="en-GB"/>
        </w:rPr>
        <w:t>Radio Spectrum Decision 676/2002/EC defines radio spectrum as radio waves in frequencies between 9 kHz and 3000 GHz; radio waves are electromagnetic waves propagated in space without artificial guide</w:t>
      </w:r>
      <w:r w:rsidRPr="00C20A01">
        <w:rPr>
          <w:rFonts w:eastAsiaTheme="minorEastAsia"/>
          <w:noProof/>
          <w:vertAlign w:val="superscript"/>
          <w:lang w:val="en-GB"/>
        </w:rPr>
        <w:footnoteReference w:id="277"/>
      </w:r>
      <w:r w:rsidRPr="00C20A01">
        <w:rPr>
          <w:noProof/>
          <w:lang w:val="en-GB"/>
        </w:rPr>
        <w:t>.</w:t>
      </w:r>
    </w:p>
    <w:p w14:paraId="574A3DB8" w14:textId="194EF208" w:rsidR="002656D9" w:rsidRPr="00D86314" w:rsidRDefault="00F56CA6" w:rsidP="00050B9A">
      <w:pPr>
        <w:pStyle w:val="Text2"/>
        <w:ind w:left="0"/>
        <w:rPr>
          <w:noProof/>
        </w:rPr>
      </w:pPr>
      <w:r w:rsidRPr="00D86314">
        <w:rPr>
          <w:noProof/>
        </w:rPr>
        <w:t>Contrary to the electromagnetic spectrum</w:t>
      </w:r>
      <w:r w:rsidRPr="00D86314">
        <w:rPr>
          <w:rStyle w:val="FootnoteReference"/>
          <w:noProof/>
        </w:rPr>
        <w:footnoteReference w:id="278"/>
      </w:r>
      <w:r w:rsidRPr="00D86314">
        <w:rPr>
          <w:noProof/>
        </w:rPr>
        <w:t>, the radio spectrum does not exist independently; its existence depends on the electromagnetic waves that propagate without the need for artificial guidance. Thus, it is a virtual space, a physical reality that is used for the provision of services such as telecommunications: radio and television broadcasting, defence, emergency, transport, scientific research, etc.</w:t>
      </w:r>
    </w:p>
    <w:p w14:paraId="1F30F4A7" w14:textId="7C2E892E" w:rsidR="009F5CD8" w:rsidRPr="00D86314" w:rsidRDefault="002656D9" w:rsidP="00DE5A62">
      <w:pPr>
        <w:pStyle w:val="Text2"/>
        <w:keepNext/>
        <w:ind w:left="0"/>
        <w:rPr>
          <w:iCs/>
          <w:noProof/>
          <w:sz w:val="22"/>
          <w:szCs w:val="22"/>
        </w:rPr>
      </w:pPr>
      <w:bookmarkStart w:id="339" w:name="_Hlk215065165"/>
      <w:r w:rsidRPr="00D86314">
        <w:rPr>
          <w:i/>
          <w:noProof/>
          <w:sz w:val="22"/>
          <w:szCs w:val="22"/>
        </w:rPr>
        <w:t xml:space="preserve">Figure </w:t>
      </w:r>
      <w:r w:rsidR="005D301E" w:rsidRPr="00D86314">
        <w:rPr>
          <w:i/>
          <w:iCs/>
          <w:noProof/>
          <w:sz w:val="22"/>
          <w:szCs w:val="22"/>
        </w:rPr>
        <w:t>A</w:t>
      </w:r>
      <w:r w:rsidR="009B5C47" w:rsidRPr="00D86314">
        <w:rPr>
          <w:i/>
          <w:iCs/>
          <w:noProof/>
          <w:sz w:val="22"/>
          <w:szCs w:val="22"/>
        </w:rPr>
        <w:t>10</w:t>
      </w:r>
      <w:r w:rsidR="005D301E" w:rsidRPr="00D86314">
        <w:rPr>
          <w:i/>
          <w:iCs/>
          <w:noProof/>
          <w:sz w:val="22"/>
          <w:szCs w:val="22"/>
        </w:rPr>
        <w:t xml:space="preserve"> 1-</w:t>
      </w:r>
      <w:r w:rsidRPr="00D86314">
        <w:rPr>
          <w:i/>
          <w:noProof/>
          <w:sz w:val="22"/>
          <w:szCs w:val="22"/>
        </w:rPr>
        <w:t>1</w:t>
      </w:r>
      <w:r w:rsidRPr="00D86314">
        <w:rPr>
          <w:iCs/>
          <w:noProof/>
          <w:sz w:val="22"/>
          <w:szCs w:val="22"/>
        </w:rPr>
        <w:t xml:space="preserve">: </w:t>
      </w:r>
      <w:r w:rsidRPr="00D86314">
        <w:rPr>
          <w:i/>
          <w:noProof/>
          <w:sz w:val="22"/>
          <w:szCs w:val="22"/>
        </w:rPr>
        <w:t>Electromagnetic Spectrum</w:t>
      </w:r>
      <w:bookmarkEnd w:id="339"/>
      <w:r w:rsidR="00BE641A" w:rsidRPr="00D86314">
        <w:rPr>
          <w:iCs/>
          <w:noProof/>
          <w:sz w:val="22"/>
          <w:szCs w:val="22"/>
        </w:rPr>
        <w:t xml:space="preserve"> </w:t>
      </w:r>
    </w:p>
    <w:p w14:paraId="66693C7F" w14:textId="3BB51582" w:rsidR="009F5CD8" w:rsidRPr="00D86314" w:rsidRDefault="009F5CD8" w:rsidP="00050B9A">
      <w:pPr>
        <w:pStyle w:val="EYBodytextwithparaspace"/>
        <w:jc w:val="center"/>
        <w:rPr>
          <w:rFonts w:ascii="Times New Roman" w:hAnsi="Times New Roman"/>
          <w:noProof/>
        </w:rPr>
      </w:pPr>
      <w:r w:rsidRPr="00CA2C0B">
        <w:rPr>
          <w:noProof/>
          <w:lang w:eastAsia="en-GB"/>
        </w:rPr>
        <w:drawing>
          <wp:inline distT="0" distB="0" distL="0" distR="0" wp14:anchorId="096742E3" wp14:editId="597DBF80">
            <wp:extent cx="4267200" cy="1431116"/>
            <wp:effectExtent l="0" t="0" r="0" b="0"/>
            <wp:docPr id="620913275" name="Picture 620913275" descr="A diagram of a radio spectr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radio spectrum&#10;&#10;AI-generated content may be incorrect."/>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284759" cy="1437005"/>
                    </a:xfrm>
                    <a:prstGeom prst="rect">
                      <a:avLst/>
                    </a:prstGeom>
                    <a:noFill/>
                    <a:ln>
                      <a:noFill/>
                    </a:ln>
                  </pic:spPr>
                </pic:pic>
              </a:graphicData>
            </a:graphic>
          </wp:inline>
        </w:drawing>
      </w:r>
    </w:p>
    <w:p w14:paraId="54963F40" w14:textId="0669ECDD" w:rsidR="00B03B7C" w:rsidRPr="00D86314" w:rsidRDefault="00B03B7C" w:rsidP="00E66500">
      <w:pPr>
        <w:pStyle w:val="Text2"/>
        <w:ind w:left="0"/>
        <w:jc w:val="right"/>
        <w:rPr>
          <w:i/>
          <w:iCs/>
          <w:noProof/>
          <w:sz w:val="22"/>
          <w:szCs w:val="22"/>
        </w:rPr>
      </w:pPr>
      <w:r w:rsidRPr="00D86314">
        <w:rPr>
          <w:i/>
          <w:iCs/>
          <w:noProof/>
          <w:sz w:val="22"/>
          <w:szCs w:val="22"/>
        </w:rPr>
        <w:t>Source: Ofcom</w:t>
      </w:r>
    </w:p>
    <w:p w14:paraId="797909B0" w14:textId="58F61521" w:rsidR="61676E6B" w:rsidRPr="00D86314" w:rsidRDefault="00F56CA6" w:rsidP="00E53597">
      <w:pPr>
        <w:pStyle w:val="EYBodytextwithparaspace"/>
        <w:spacing w:before="0" w:after="240"/>
        <w:rPr>
          <w:rFonts w:ascii="Times New Roman" w:eastAsiaTheme="minorEastAsia" w:hAnsi="Times New Roman"/>
          <w:noProof/>
        </w:rPr>
      </w:pPr>
      <w:r w:rsidRPr="00D86314">
        <w:rPr>
          <w:rFonts w:ascii="Times New Roman" w:hAnsi="Times New Roman"/>
          <w:noProof/>
        </w:rPr>
        <w:t xml:space="preserve">Depending on the specific features of each wave, the waves are grouped into frequency ranges, forming what is known as radio spectrum bands, each of which takes in a set of consecutive </w:t>
      </w:r>
      <w:r w:rsidR="00C95BCC" w:rsidRPr="00D86314">
        <w:rPr>
          <w:rFonts w:ascii="Times New Roman" w:hAnsi="Times New Roman"/>
          <w:noProof/>
        </w:rPr>
        <w:t xml:space="preserve">bands of </w:t>
      </w:r>
      <w:r w:rsidRPr="00D86314">
        <w:rPr>
          <w:rFonts w:ascii="Times New Roman" w:hAnsi="Times New Roman"/>
          <w:noProof/>
        </w:rPr>
        <w:t>frequencies that share the same properties</w:t>
      </w:r>
      <w:r w:rsidR="00FE4980" w:rsidRPr="00D86314">
        <w:rPr>
          <w:rFonts w:ascii="Times New Roman" w:hAnsi="Times New Roman"/>
          <w:noProof/>
        </w:rPr>
        <w:t xml:space="preserve"> </w:t>
      </w:r>
      <w:r w:rsidR="00BA538C" w:rsidRPr="00D86314">
        <w:rPr>
          <w:rFonts w:ascii="Times New Roman" w:hAnsi="Times New Roman"/>
          <w:noProof/>
        </w:rPr>
        <w:t>that affect speed</w:t>
      </w:r>
      <w:r w:rsidR="004D5E0A" w:rsidRPr="00D86314">
        <w:rPr>
          <w:rFonts w:ascii="Times New Roman" w:hAnsi="Times New Roman"/>
          <w:noProof/>
        </w:rPr>
        <w:t xml:space="preserve"> </w:t>
      </w:r>
      <w:r w:rsidR="00BA538C" w:rsidRPr="00D86314">
        <w:rPr>
          <w:rFonts w:ascii="Times New Roman" w:hAnsi="Times New Roman"/>
          <w:noProof/>
        </w:rPr>
        <w:t>coverage</w:t>
      </w:r>
      <w:r w:rsidR="00B03B7C" w:rsidRPr="00D86314">
        <w:rPr>
          <w:rFonts w:ascii="Times New Roman" w:hAnsi="Times New Roman"/>
          <w:noProof/>
        </w:rPr>
        <w:t xml:space="preserve"> (signal reach</w:t>
      </w:r>
      <w:r w:rsidR="00F057D3" w:rsidRPr="00D86314">
        <w:rPr>
          <w:rFonts w:ascii="Times New Roman" w:hAnsi="Times New Roman"/>
          <w:noProof/>
        </w:rPr>
        <w:t xml:space="preserve"> and penetration</w:t>
      </w:r>
      <w:r w:rsidR="00B03B7C" w:rsidRPr="00D86314">
        <w:rPr>
          <w:rFonts w:ascii="Times New Roman" w:hAnsi="Times New Roman"/>
          <w:noProof/>
        </w:rPr>
        <w:t>)</w:t>
      </w:r>
      <w:r w:rsidR="00BA538C" w:rsidRPr="00D86314">
        <w:rPr>
          <w:rFonts w:ascii="Times New Roman" w:hAnsi="Times New Roman"/>
          <w:noProof/>
        </w:rPr>
        <w:t>, and capacity</w:t>
      </w:r>
      <w:r w:rsidR="0060329D" w:rsidRPr="00D86314">
        <w:rPr>
          <w:rFonts w:ascii="Times New Roman" w:hAnsi="Times New Roman"/>
          <w:noProof/>
        </w:rPr>
        <w:t xml:space="preserve"> of services </w:t>
      </w:r>
      <w:r w:rsidR="00011362" w:rsidRPr="00D86314">
        <w:rPr>
          <w:rFonts w:ascii="Times New Roman" w:hAnsi="Times New Roman"/>
          <w:noProof/>
        </w:rPr>
        <w:t xml:space="preserve">(bandwidth), </w:t>
      </w:r>
      <w:r w:rsidR="0060329D" w:rsidRPr="00D86314">
        <w:rPr>
          <w:rFonts w:ascii="Times New Roman" w:hAnsi="Times New Roman"/>
          <w:noProof/>
        </w:rPr>
        <w:t>to be provided in the band</w:t>
      </w:r>
      <w:r w:rsidR="00BA538C" w:rsidRPr="00D86314">
        <w:rPr>
          <w:rFonts w:ascii="Times New Roman" w:hAnsi="Times New Roman"/>
          <w:noProof/>
        </w:rPr>
        <w:t>.</w:t>
      </w:r>
    </w:p>
    <w:p w14:paraId="4DE44684" w14:textId="7134D10C" w:rsidR="002656D9" w:rsidRPr="00D86314" w:rsidRDefault="002656D9" w:rsidP="00E66500">
      <w:pPr>
        <w:pStyle w:val="Text2"/>
        <w:ind w:left="0"/>
        <w:rPr>
          <w:i/>
          <w:noProof/>
          <w:sz w:val="22"/>
          <w:szCs w:val="22"/>
        </w:rPr>
      </w:pPr>
      <w:r w:rsidRPr="00D86314">
        <w:rPr>
          <w:i/>
          <w:noProof/>
          <w:sz w:val="22"/>
          <w:szCs w:val="22"/>
        </w:rPr>
        <w:t xml:space="preserve">Figure </w:t>
      </w:r>
      <w:r w:rsidR="00D053C0" w:rsidRPr="00D86314">
        <w:rPr>
          <w:i/>
          <w:noProof/>
          <w:sz w:val="22"/>
          <w:szCs w:val="22"/>
        </w:rPr>
        <w:t>A</w:t>
      </w:r>
      <w:r w:rsidR="003C2533" w:rsidRPr="00D86314">
        <w:rPr>
          <w:i/>
          <w:noProof/>
          <w:sz w:val="22"/>
          <w:szCs w:val="22"/>
        </w:rPr>
        <w:t>10</w:t>
      </w:r>
      <w:r w:rsidR="00D053C0" w:rsidRPr="00D86314">
        <w:rPr>
          <w:i/>
          <w:noProof/>
          <w:sz w:val="22"/>
          <w:szCs w:val="22"/>
        </w:rPr>
        <w:t xml:space="preserve"> 1-</w:t>
      </w:r>
      <w:r w:rsidRPr="00D86314">
        <w:rPr>
          <w:i/>
          <w:noProof/>
          <w:sz w:val="22"/>
          <w:szCs w:val="22"/>
        </w:rPr>
        <w:t xml:space="preserve">2: </w:t>
      </w:r>
      <w:r w:rsidR="008F6EDF" w:rsidRPr="00D86314">
        <w:rPr>
          <w:i/>
          <w:noProof/>
          <w:sz w:val="22"/>
          <w:szCs w:val="22"/>
        </w:rPr>
        <w:t xml:space="preserve">Low and High </w:t>
      </w:r>
      <w:r w:rsidR="00413BB0" w:rsidRPr="00D86314">
        <w:rPr>
          <w:i/>
          <w:noProof/>
          <w:sz w:val="22"/>
          <w:szCs w:val="22"/>
        </w:rPr>
        <w:t>frequency band proprieties</w:t>
      </w:r>
      <w:r w:rsidRPr="00D86314">
        <w:rPr>
          <w:i/>
          <w:noProof/>
          <w:sz w:val="22"/>
          <w:szCs w:val="22"/>
        </w:rPr>
        <w:t> </w:t>
      </w:r>
    </w:p>
    <w:p w14:paraId="1608A847" w14:textId="77777777" w:rsidR="000543F7" w:rsidRPr="00D86314" w:rsidRDefault="00E21BFB" w:rsidP="008A6D60">
      <w:pPr>
        <w:pStyle w:val="Text2"/>
        <w:ind w:left="0"/>
        <w:rPr>
          <w:i/>
          <w:iCs/>
          <w:noProof/>
          <w:sz w:val="20"/>
        </w:rPr>
      </w:pPr>
      <w:r w:rsidRPr="00CA2C0B">
        <w:rPr>
          <w:i/>
          <w:iCs/>
          <w:noProof/>
          <w:color w:val="FF0000"/>
          <w:sz w:val="20"/>
          <w:lang w:eastAsia="en-GB"/>
        </w:rPr>
        <w:drawing>
          <wp:inline distT="0" distB="0" distL="0" distR="0" wp14:anchorId="31CF3B23" wp14:editId="70E1C8BF">
            <wp:extent cx="4324350" cy="1186180"/>
            <wp:effectExtent l="0" t="0" r="0" b="0"/>
            <wp:docPr id="1710152043" name="Picture 1" descr="A blue and white strip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52043" name="Picture 1" descr="A blue and white striped background&#10;&#10;AI-generated content may be incorrect."/>
                    <pic:cNvPicPr/>
                  </pic:nvPicPr>
                  <pic:blipFill>
                    <a:blip r:embed="rId170"/>
                    <a:stretch>
                      <a:fillRect/>
                    </a:stretch>
                  </pic:blipFill>
                  <pic:spPr>
                    <a:xfrm>
                      <a:off x="0" y="0"/>
                      <a:ext cx="4375972" cy="1200340"/>
                    </a:xfrm>
                    <a:prstGeom prst="rect">
                      <a:avLst/>
                    </a:prstGeom>
                  </pic:spPr>
                </pic:pic>
              </a:graphicData>
            </a:graphic>
          </wp:inline>
        </w:drawing>
      </w:r>
      <w:r w:rsidR="00E66500" w:rsidRPr="00D86314">
        <w:rPr>
          <w:i/>
          <w:iCs/>
          <w:noProof/>
          <w:sz w:val="20"/>
        </w:rPr>
        <w:t>Source: Cullen International</w:t>
      </w:r>
      <w:r w:rsidR="00C24A00" w:rsidRPr="00D86314">
        <w:rPr>
          <w:i/>
          <w:iCs/>
          <w:noProof/>
          <w:sz w:val="20"/>
        </w:rPr>
        <w:t xml:space="preserve"> </w:t>
      </w:r>
    </w:p>
    <w:p w14:paraId="40AA26F8" w14:textId="2B272948" w:rsidR="00F56CA6" w:rsidRPr="00D86314" w:rsidRDefault="00F56CA6" w:rsidP="008A6D60">
      <w:pPr>
        <w:pStyle w:val="Text2"/>
        <w:ind w:left="0"/>
        <w:rPr>
          <w:noProof/>
        </w:rPr>
      </w:pPr>
      <w:r w:rsidRPr="00D86314">
        <w:rPr>
          <w:noProof/>
        </w:rPr>
        <w:t xml:space="preserve">The radio spectrum is a finite resource— new frequencies can’t be created. As demand for spectrum access continues to grow, this scarcity poses a significant challenge for both regulators and industry. While the total amount of spectrum remains fixed, advances in technology enable us to use it more efficiently, allowing for greater capacity and a wider range of applications. These improvements will play a crucial role in transforming how </w:t>
      </w:r>
      <w:r w:rsidR="00A41681" w:rsidRPr="00D86314">
        <w:rPr>
          <w:noProof/>
        </w:rPr>
        <w:t>citizens</w:t>
      </w:r>
      <w:r w:rsidRPr="00D86314">
        <w:rPr>
          <w:noProof/>
        </w:rPr>
        <w:t xml:space="preserve"> live and work in the future. </w:t>
      </w:r>
    </w:p>
    <w:p w14:paraId="62BB381E" w14:textId="7000D34E" w:rsidR="00F56CA6" w:rsidRPr="00D86314" w:rsidRDefault="00F56CA6" w:rsidP="008A6D60">
      <w:pPr>
        <w:pStyle w:val="Text2"/>
        <w:ind w:left="0"/>
        <w:rPr>
          <w:noProof/>
        </w:rPr>
      </w:pPr>
      <w:r w:rsidRPr="00D86314">
        <w:rPr>
          <w:noProof/>
        </w:rPr>
        <w:t>To prevent interference between users, the generation and transmission of radio waves are rigorously regulated by national governments. These national efforts are coordinated on a global scale by the International Telecommunication Union (ITU) a specialised agency of the United Nations.</w:t>
      </w:r>
      <w:r w:rsidR="006637F3" w:rsidRPr="00D86314">
        <w:rPr>
          <w:noProof/>
        </w:rPr>
        <w:t xml:space="preserve"> </w:t>
      </w:r>
      <w:r w:rsidR="00D87B78" w:rsidRPr="00D86314">
        <w:rPr>
          <w:noProof/>
        </w:rPr>
        <w:t>Unlike terrestrial radio communications systems, the spectrum used for satellite communications requires a higher degree of international and national coordination because satellites operate across multiple countries and regions, often transmitting signals across national borders</w:t>
      </w:r>
      <w:r w:rsidR="00DE26C9" w:rsidRPr="00D86314">
        <w:rPr>
          <w:noProof/>
        </w:rPr>
        <w:t xml:space="preserve">. This </w:t>
      </w:r>
      <w:r w:rsidR="00D87B78" w:rsidRPr="00D86314">
        <w:rPr>
          <w:noProof/>
        </w:rPr>
        <w:t>necessitates coordinated spectrum management to prevent interference and ensure smooth operations.</w:t>
      </w:r>
    </w:p>
    <w:p w14:paraId="74F19382" w14:textId="52551EA9" w:rsidR="00BA1F2B" w:rsidRPr="00C20A01" w:rsidRDefault="002C4CB1" w:rsidP="00B413F2">
      <w:pPr>
        <w:pStyle w:val="Text2"/>
        <w:ind w:left="0"/>
        <w:rPr>
          <w:noProof/>
        </w:rPr>
      </w:pPr>
      <w:r w:rsidRPr="00C20A01">
        <w:rPr>
          <w:noProof/>
        </w:rPr>
        <w:t>Satellite communications use various frequency bands which, because of their different properties, are suited to different service types</w:t>
      </w:r>
      <w:r w:rsidR="00514BD2" w:rsidRPr="00C20A01">
        <w:rPr>
          <w:noProof/>
        </w:rPr>
        <w:t>,</w:t>
      </w:r>
      <w:r w:rsidRPr="00C20A01">
        <w:rPr>
          <w:noProof/>
        </w:rPr>
        <w:t xml:space="preserve"> see Figure </w:t>
      </w:r>
      <w:r w:rsidR="006F3F9E" w:rsidRPr="00C20A01">
        <w:rPr>
          <w:noProof/>
        </w:rPr>
        <w:t>A10 1-3</w:t>
      </w:r>
      <w:r w:rsidRPr="00C20A01">
        <w:rPr>
          <w:noProof/>
        </w:rPr>
        <w:t xml:space="preserve"> below</w:t>
      </w:r>
      <w:r w:rsidR="00BA1F2B" w:rsidRPr="00C20A01">
        <w:rPr>
          <w:noProof/>
        </w:rPr>
        <w:t>.</w:t>
      </w:r>
    </w:p>
    <w:p w14:paraId="217627EF" w14:textId="26861A6E" w:rsidR="00BA1F2B" w:rsidRPr="00C20A01" w:rsidRDefault="00B413F2" w:rsidP="00A41681">
      <w:pPr>
        <w:pStyle w:val="Text2"/>
        <w:keepNext/>
        <w:spacing w:after="120"/>
        <w:ind w:left="0"/>
        <w:rPr>
          <w:i/>
          <w:noProof/>
          <w:sz w:val="22"/>
          <w:szCs w:val="22"/>
        </w:rPr>
      </w:pPr>
      <w:r w:rsidRPr="00D86314">
        <w:rPr>
          <w:i/>
          <w:noProof/>
          <w:sz w:val="22"/>
          <w:szCs w:val="22"/>
        </w:rPr>
        <w:t xml:space="preserve">Figure </w:t>
      </w:r>
      <w:r w:rsidR="00AD2177" w:rsidRPr="00D86314">
        <w:rPr>
          <w:i/>
          <w:noProof/>
          <w:sz w:val="22"/>
          <w:szCs w:val="22"/>
        </w:rPr>
        <w:t>A</w:t>
      </w:r>
      <w:r w:rsidRPr="00D86314">
        <w:rPr>
          <w:i/>
          <w:noProof/>
          <w:sz w:val="22"/>
          <w:szCs w:val="22"/>
        </w:rPr>
        <w:t>10 1-</w:t>
      </w:r>
      <w:r w:rsidR="00AD2177" w:rsidRPr="00D86314">
        <w:rPr>
          <w:i/>
          <w:noProof/>
          <w:sz w:val="22"/>
          <w:szCs w:val="22"/>
        </w:rPr>
        <w:t>3</w:t>
      </w:r>
      <w:r w:rsidR="00BA1F2B" w:rsidRPr="00C20A01">
        <w:rPr>
          <w:i/>
          <w:noProof/>
          <w:sz w:val="22"/>
          <w:szCs w:val="22"/>
        </w:rPr>
        <w:t xml:space="preserve">: </w:t>
      </w:r>
      <w:r w:rsidR="00B30247" w:rsidRPr="00C20A01">
        <w:rPr>
          <w:i/>
          <w:noProof/>
          <w:sz w:val="22"/>
          <w:szCs w:val="22"/>
        </w:rPr>
        <w:t>Satellite communications use spectrum across wide range of spectrum</w:t>
      </w:r>
    </w:p>
    <w:p w14:paraId="68FDEA74" w14:textId="010A5370" w:rsidR="00FC08AD" w:rsidRPr="00D86314" w:rsidRDefault="00FC08AD" w:rsidP="00CA7523">
      <w:pPr>
        <w:pStyle w:val="Text2"/>
        <w:spacing w:after="120"/>
        <w:ind w:left="0"/>
        <w:rPr>
          <w:noProof/>
        </w:rPr>
      </w:pPr>
      <w:r w:rsidRPr="00CA2C0B">
        <w:rPr>
          <w:noProof/>
          <w:lang w:eastAsia="en-GB"/>
        </w:rPr>
        <w:drawing>
          <wp:inline distT="0" distB="0" distL="0" distR="0" wp14:anchorId="042F966E" wp14:editId="0F224363">
            <wp:extent cx="5472430" cy="1695450"/>
            <wp:effectExtent l="0" t="0" r="0" b="0"/>
            <wp:docPr id="451331929" name="Picture 1" descr="A diagram of a satellite s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31929" name="Picture 1" descr="A diagram of a satellite station&#10;&#10;AI-generated content may be incorrect."/>
                    <pic:cNvPicPr/>
                  </pic:nvPicPr>
                  <pic:blipFill>
                    <a:blip r:embed="rId171"/>
                    <a:stretch>
                      <a:fillRect/>
                    </a:stretch>
                  </pic:blipFill>
                  <pic:spPr>
                    <a:xfrm>
                      <a:off x="0" y="0"/>
                      <a:ext cx="5472430" cy="1695450"/>
                    </a:xfrm>
                    <a:prstGeom prst="rect">
                      <a:avLst/>
                    </a:prstGeom>
                  </pic:spPr>
                </pic:pic>
              </a:graphicData>
            </a:graphic>
          </wp:inline>
        </w:drawing>
      </w:r>
    </w:p>
    <w:p w14:paraId="724D4B11" w14:textId="35030442" w:rsidR="00B30247" w:rsidRPr="00D86314" w:rsidRDefault="00B30247" w:rsidP="008A6D60">
      <w:pPr>
        <w:pStyle w:val="Text2"/>
        <w:spacing w:after="120"/>
        <w:ind w:left="0"/>
        <w:jc w:val="right"/>
        <w:rPr>
          <w:i/>
          <w:iCs/>
          <w:noProof/>
          <w:sz w:val="22"/>
          <w:szCs w:val="22"/>
        </w:rPr>
      </w:pPr>
      <w:r w:rsidRPr="00D86314">
        <w:rPr>
          <w:i/>
          <w:iCs/>
          <w:noProof/>
          <w:sz w:val="22"/>
          <w:szCs w:val="22"/>
        </w:rPr>
        <w:t>Source: Cullen International</w:t>
      </w:r>
    </w:p>
    <w:p w14:paraId="10A8B722" w14:textId="697734E7" w:rsidR="006C3380" w:rsidRPr="00D86314" w:rsidRDefault="006C3380" w:rsidP="00E53597">
      <w:pPr>
        <w:pStyle w:val="Text2"/>
        <w:ind w:left="0"/>
        <w:rPr>
          <w:noProof/>
        </w:rPr>
      </w:pPr>
      <w:r w:rsidRPr="00C20A01">
        <w:rPr>
          <w:noProof/>
        </w:rPr>
        <w:t>The lower bands (below 4 GHz)</w:t>
      </w:r>
      <w:r w:rsidR="005B00DF" w:rsidRPr="00C20A01">
        <w:rPr>
          <w:noProof/>
        </w:rPr>
        <w:t>,</w:t>
      </w:r>
      <w:r w:rsidR="00841B2C" w:rsidRPr="00C20A01">
        <w:rPr>
          <w:noProof/>
        </w:rPr>
        <w:t xml:space="preserve"> s</w:t>
      </w:r>
      <w:r w:rsidR="005B00DF" w:rsidRPr="00C20A01">
        <w:rPr>
          <w:noProof/>
        </w:rPr>
        <w:t>uch as the EU MSS Band,</w:t>
      </w:r>
      <w:r w:rsidRPr="00C20A01">
        <w:rPr>
          <w:noProof/>
        </w:rPr>
        <w:t xml:space="preserve"> enjoy good propagation characteristics but offer less bandwidth. These bands are generally used for voice and low data rate applications</w:t>
      </w:r>
      <w:r w:rsidR="005B00DF" w:rsidRPr="00C20A01">
        <w:rPr>
          <w:noProof/>
        </w:rPr>
        <w:t xml:space="preserve"> and are a hot spot for the deployment of D2D services</w:t>
      </w:r>
      <w:r w:rsidR="008863F3" w:rsidRPr="00C20A01">
        <w:rPr>
          <w:noProof/>
        </w:rPr>
        <w:t xml:space="preserve"> (</w:t>
      </w:r>
      <w:r w:rsidR="00C12312" w:rsidRPr="00C20A01">
        <w:rPr>
          <w:noProof/>
        </w:rPr>
        <w:t>i</w:t>
      </w:r>
      <w:r w:rsidR="008863F3" w:rsidRPr="00C20A01">
        <w:rPr>
          <w:noProof/>
        </w:rPr>
        <w:t>.e. some</w:t>
      </w:r>
      <w:r w:rsidR="008863F3" w:rsidRPr="00D86314">
        <w:rPr>
          <w:rFonts w:ascii="Roboto" w:eastAsiaTheme="minorEastAsia" w:hAnsi="Roboto"/>
          <w:noProof/>
          <w:color w:val="000000" w:themeColor="text1"/>
          <w:sz w:val="26"/>
          <w:szCs w:val="26"/>
        </w:rPr>
        <w:t xml:space="preserve"> </w:t>
      </w:r>
      <w:r w:rsidR="008863F3" w:rsidRPr="00D86314">
        <w:rPr>
          <w:noProof/>
        </w:rPr>
        <w:t xml:space="preserve">newer smartphones offer D2D </w:t>
      </w:r>
      <w:r w:rsidR="00C12312" w:rsidRPr="00D86314">
        <w:rPr>
          <w:noProof/>
        </w:rPr>
        <w:t>using</w:t>
      </w:r>
      <w:r w:rsidR="008863F3" w:rsidRPr="00D86314">
        <w:rPr>
          <w:noProof/>
        </w:rPr>
        <w:t xml:space="preserve"> spectrum allocated to MSS)</w:t>
      </w:r>
      <w:r w:rsidRPr="00C20A01">
        <w:rPr>
          <w:noProof/>
        </w:rPr>
        <w:t>. The mid bands, such as the C-band (4–8 GHz), are mainly used for fixed satellite services and Earth station feeder links. Higher frequency bands offer more bandwidth but have less good propagation and are more sensitive to weather conditions.</w:t>
      </w:r>
      <w:r w:rsidR="0038323D" w:rsidRPr="00D86314">
        <w:rPr>
          <w:noProof/>
        </w:rPr>
        <w:t xml:space="preserve"> </w:t>
      </w:r>
      <w:r w:rsidR="0038323D" w:rsidRPr="00C20A01">
        <w:rPr>
          <w:noProof/>
        </w:rPr>
        <w:t>Popular new satellite constellations, including Starlink, Project Kuiper, and Eutelsat OneWeb, use high band spectrum, such as the Ku (12–18 GHz) and Ka (26–40 GHz) bands</w:t>
      </w:r>
      <w:r w:rsidR="00770113" w:rsidRPr="00C20A01">
        <w:rPr>
          <w:noProof/>
        </w:rPr>
        <w:t xml:space="preserve"> </w:t>
      </w:r>
      <w:r w:rsidR="332E7A1A" w:rsidRPr="00C20A01">
        <w:rPr>
          <w:noProof/>
        </w:rPr>
        <w:t xml:space="preserve">for fixed broadband, </w:t>
      </w:r>
      <w:r w:rsidR="00770113" w:rsidRPr="00C20A01">
        <w:rPr>
          <w:noProof/>
        </w:rPr>
        <w:t xml:space="preserve">but its </w:t>
      </w:r>
      <w:r w:rsidR="008D7DDA" w:rsidRPr="00C20A01">
        <w:rPr>
          <w:noProof/>
        </w:rPr>
        <w:t>to be</w:t>
      </w:r>
      <w:r w:rsidR="00770113" w:rsidRPr="00C20A01">
        <w:rPr>
          <w:noProof/>
        </w:rPr>
        <w:t xml:space="preserve"> expected that</w:t>
      </w:r>
      <w:r w:rsidR="008D7DDA" w:rsidRPr="00C20A01">
        <w:rPr>
          <w:noProof/>
        </w:rPr>
        <w:t xml:space="preserve"> </w:t>
      </w:r>
      <w:r w:rsidR="4561A3FB" w:rsidRPr="00C20A01">
        <w:rPr>
          <w:noProof/>
        </w:rPr>
        <w:t>they will</w:t>
      </w:r>
      <w:r w:rsidR="008D7DDA" w:rsidRPr="00C20A01">
        <w:rPr>
          <w:noProof/>
        </w:rPr>
        <w:t xml:space="preserve"> move to lower bands in the future</w:t>
      </w:r>
      <w:r w:rsidR="638D529C" w:rsidRPr="00C20A01">
        <w:rPr>
          <w:noProof/>
        </w:rPr>
        <w:t xml:space="preserve"> </w:t>
      </w:r>
      <w:r w:rsidR="1D39233A" w:rsidRPr="00C20A01">
        <w:rPr>
          <w:noProof/>
        </w:rPr>
        <w:t>to provide</w:t>
      </w:r>
      <w:r w:rsidR="638D529C" w:rsidRPr="00C20A01">
        <w:rPr>
          <w:noProof/>
        </w:rPr>
        <w:t xml:space="preserve"> D2D services</w:t>
      </w:r>
      <w:r w:rsidR="008D7DDA" w:rsidRPr="00C20A01">
        <w:rPr>
          <w:noProof/>
        </w:rPr>
        <w:t>.</w:t>
      </w:r>
    </w:p>
    <w:p w14:paraId="500F3927" w14:textId="17C87692" w:rsidR="00551948" w:rsidRPr="00D86314" w:rsidRDefault="00551948" w:rsidP="00A00C17">
      <w:pPr>
        <w:pStyle w:val="Text2"/>
        <w:numPr>
          <w:ilvl w:val="6"/>
          <w:numId w:val="27"/>
        </w:numPr>
        <w:rPr>
          <w:b/>
          <w:noProof/>
        </w:rPr>
      </w:pPr>
      <w:r w:rsidRPr="00D86314">
        <w:rPr>
          <w:b/>
          <w:bCs/>
          <w:noProof/>
        </w:rPr>
        <w:t>Spectrum for 5G</w:t>
      </w:r>
    </w:p>
    <w:p w14:paraId="24015FD2" w14:textId="4E06DDD0" w:rsidR="00CA0686" w:rsidRPr="00D86314" w:rsidRDefault="0054166A" w:rsidP="00E53597">
      <w:pPr>
        <w:pStyle w:val="Text2"/>
        <w:ind w:left="0"/>
        <w:rPr>
          <w:noProof/>
        </w:rPr>
      </w:pPr>
      <w:r w:rsidRPr="00D86314">
        <w:rPr>
          <w:noProof/>
        </w:rPr>
        <w:t xml:space="preserve">The 5G pioneer bands </w:t>
      </w:r>
      <w:r w:rsidR="007079E3" w:rsidRPr="00D86314">
        <w:rPr>
          <w:noProof/>
        </w:rPr>
        <w:t>700MHz,</w:t>
      </w:r>
      <w:r w:rsidR="00EF6CD8" w:rsidRPr="00D86314">
        <w:rPr>
          <w:noProof/>
        </w:rPr>
        <w:t xml:space="preserve"> </w:t>
      </w:r>
      <w:r w:rsidR="005914BB" w:rsidRPr="00D86314">
        <w:rPr>
          <w:noProof/>
        </w:rPr>
        <w:t>3.</w:t>
      </w:r>
      <w:r w:rsidR="001373D2" w:rsidRPr="00D86314">
        <w:rPr>
          <w:noProof/>
        </w:rPr>
        <w:t xml:space="preserve">6GHz </w:t>
      </w:r>
      <w:r w:rsidR="009B0645" w:rsidRPr="00D86314">
        <w:rPr>
          <w:noProof/>
        </w:rPr>
        <w:t>and</w:t>
      </w:r>
      <w:r w:rsidRPr="00D86314">
        <w:rPr>
          <w:noProof/>
        </w:rPr>
        <w:t xml:space="preserve"> </w:t>
      </w:r>
      <w:r w:rsidR="00BD1A1F" w:rsidRPr="00D86314">
        <w:rPr>
          <w:noProof/>
        </w:rPr>
        <w:t>26GHz ha</w:t>
      </w:r>
      <w:r w:rsidR="0067676D" w:rsidRPr="00D86314">
        <w:rPr>
          <w:noProof/>
        </w:rPr>
        <w:t>ve</w:t>
      </w:r>
      <w:r w:rsidR="00BD1A1F" w:rsidRPr="00D86314">
        <w:rPr>
          <w:noProof/>
        </w:rPr>
        <w:t xml:space="preserve"> different </w:t>
      </w:r>
      <w:r w:rsidR="0067676D" w:rsidRPr="00D86314">
        <w:rPr>
          <w:noProof/>
        </w:rPr>
        <w:t xml:space="preserve">properties. </w:t>
      </w:r>
      <w:r w:rsidRPr="00D86314">
        <w:rPr>
          <w:noProof/>
        </w:rPr>
        <w:t xml:space="preserve">For instance, </w:t>
      </w:r>
      <w:r w:rsidR="00812E48" w:rsidRPr="00D86314">
        <w:rPr>
          <w:noProof/>
        </w:rPr>
        <w:t>the 700MHz band</w:t>
      </w:r>
      <w:r w:rsidR="002A2087" w:rsidRPr="00D86314">
        <w:rPr>
          <w:noProof/>
        </w:rPr>
        <w:t xml:space="preserve"> as a</w:t>
      </w:r>
      <w:r w:rsidRPr="00D86314">
        <w:rPr>
          <w:noProof/>
        </w:rPr>
        <w:t xml:space="preserve"> </w:t>
      </w:r>
      <w:r w:rsidR="002A2087" w:rsidRPr="00D86314">
        <w:rPr>
          <w:noProof/>
        </w:rPr>
        <w:t>l</w:t>
      </w:r>
      <w:r w:rsidRPr="00D86314">
        <w:rPr>
          <w:noProof/>
        </w:rPr>
        <w:t>ow-band (sub-1GHz) ha</w:t>
      </w:r>
      <w:r w:rsidR="002A2087" w:rsidRPr="00D86314">
        <w:rPr>
          <w:noProof/>
        </w:rPr>
        <w:t>s</w:t>
      </w:r>
      <w:r w:rsidRPr="00D86314">
        <w:rPr>
          <w:noProof/>
        </w:rPr>
        <w:t xml:space="preserve"> limited speed but long range</w:t>
      </w:r>
      <w:r w:rsidR="002A2087" w:rsidRPr="00D86314">
        <w:rPr>
          <w:noProof/>
        </w:rPr>
        <w:t xml:space="preserve"> and </w:t>
      </w:r>
      <w:r w:rsidRPr="00D86314">
        <w:rPr>
          <w:noProof/>
        </w:rPr>
        <w:t>coverage</w:t>
      </w:r>
      <w:r w:rsidR="00617E63" w:rsidRPr="00D86314">
        <w:rPr>
          <w:noProof/>
        </w:rPr>
        <w:t>. Low-</w:t>
      </w:r>
      <w:r w:rsidR="0036126F" w:rsidRPr="00D86314">
        <w:rPr>
          <w:noProof/>
        </w:rPr>
        <w:t>bands</w:t>
      </w:r>
      <w:r w:rsidRPr="00D86314">
        <w:rPr>
          <w:noProof/>
        </w:rPr>
        <w:t xml:space="preserve"> can travel far and penetrate buildings easily (indoor coverage). </w:t>
      </w:r>
      <w:r w:rsidR="0036126F" w:rsidRPr="00D86314">
        <w:rPr>
          <w:noProof/>
        </w:rPr>
        <w:t xml:space="preserve">The </w:t>
      </w:r>
      <w:r w:rsidR="004F5CFC" w:rsidRPr="00D86314">
        <w:rPr>
          <w:noProof/>
        </w:rPr>
        <w:t>3.</w:t>
      </w:r>
      <w:r w:rsidR="001373D2" w:rsidRPr="00D86314">
        <w:rPr>
          <w:noProof/>
        </w:rPr>
        <w:t>6</w:t>
      </w:r>
      <w:r w:rsidR="004F5CFC" w:rsidRPr="00D86314">
        <w:rPr>
          <w:noProof/>
        </w:rPr>
        <w:t>GHz band belongs to the m</w:t>
      </w:r>
      <w:r w:rsidRPr="00D86314">
        <w:rPr>
          <w:noProof/>
        </w:rPr>
        <w:t>id-band spectrum (1-6</w:t>
      </w:r>
      <w:r w:rsidR="003C66AB">
        <w:rPr>
          <w:noProof/>
        </w:rPr>
        <w:t xml:space="preserve"> </w:t>
      </w:r>
      <w:r w:rsidRPr="00D86314">
        <w:rPr>
          <w:noProof/>
        </w:rPr>
        <w:t xml:space="preserve">GHz) </w:t>
      </w:r>
      <w:r w:rsidR="004F5CFC" w:rsidRPr="00D86314">
        <w:rPr>
          <w:noProof/>
        </w:rPr>
        <w:t xml:space="preserve">and </w:t>
      </w:r>
      <w:r w:rsidRPr="00D86314">
        <w:rPr>
          <w:noProof/>
        </w:rPr>
        <w:t xml:space="preserve">offers a good balance between speed, </w:t>
      </w:r>
      <w:r w:rsidR="004F5CFC" w:rsidRPr="00D86314">
        <w:rPr>
          <w:noProof/>
        </w:rPr>
        <w:t>coverage</w:t>
      </w:r>
      <w:r w:rsidRPr="00D86314">
        <w:rPr>
          <w:noProof/>
        </w:rPr>
        <w:t xml:space="preserve"> and capacity. Finally, </w:t>
      </w:r>
      <w:r w:rsidR="00867B5B" w:rsidRPr="00D86314">
        <w:rPr>
          <w:noProof/>
        </w:rPr>
        <w:t>the 26GHz is a h</w:t>
      </w:r>
      <w:r w:rsidRPr="00D86314">
        <w:rPr>
          <w:noProof/>
        </w:rPr>
        <w:t xml:space="preserve">igh </w:t>
      </w:r>
      <w:r w:rsidR="00867B5B" w:rsidRPr="00D86314">
        <w:rPr>
          <w:noProof/>
        </w:rPr>
        <w:t>b</w:t>
      </w:r>
      <w:r w:rsidRPr="00D86314">
        <w:rPr>
          <w:noProof/>
        </w:rPr>
        <w:t>and (mmWave bands</w:t>
      </w:r>
      <w:r w:rsidR="00C97FDD" w:rsidRPr="00D86314">
        <w:rPr>
          <w:noProof/>
        </w:rPr>
        <w:t xml:space="preserve"> </w:t>
      </w:r>
      <w:r w:rsidRPr="00D86314">
        <w:rPr>
          <w:noProof/>
        </w:rPr>
        <w:t>and above 24GHz)</w:t>
      </w:r>
      <w:r w:rsidR="00867B5B" w:rsidRPr="00D86314">
        <w:rPr>
          <w:noProof/>
        </w:rPr>
        <w:t>, which</w:t>
      </w:r>
      <w:r w:rsidRPr="00D86314">
        <w:rPr>
          <w:noProof/>
        </w:rPr>
        <w:t xml:space="preserve"> provide</w:t>
      </w:r>
      <w:r w:rsidR="00867B5B" w:rsidRPr="00D86314">
        <w:rPr>
          <w:noProof/>
        </w:rPr>
        <w:t>s</w:t>
      </w:r>
      <w:r w:rsidRPr="00D86314">
        <w:rPr>
          <w:noProof/>
        </w:rPr>
        <w:t xml:space="preserve"> very high speed (multi Gbit per second) but </w:t>
      </w:r>
      <w:r w:rsidR="00867B5B" w:rsidRPr="00D86314">
        <w:rPr>
          <w:noProof/>
        </w:rPr>
        <w:t xml:space="preserve">limited coverage as it </w:t>
      </w:r>
      <w:r w:rsidRPr="00D86314">
        <w:rPr>
          <w:noProof/>
        </w:rPr>
        <w:t>do</w:t>
      </w:r>
      <w:r w:rsidR="00867B5B" w:rsidRPr="00D86314">
        <w:rPr>
          <w:noProof/>
        </w:rPr>
        <w:t>es</w:t>
      </w:r>
      <w:r w:rsidRPr="00D86314">
        <w:rPr>
          <w:noProof/>
        </w:rPr>
        <w:t xml:space="preserve"> not travel so fast</w:t>
      </w:r>
      <w:r w:rsidR="00867B5B" w:rsidRPr="00D86314">
        <w:rPr>
          <w:noProof/>
        </w:rPr>
        <w:t>. These bands</w:t>
      </w:r>
      <w:r w:rsidRPr="00D86314">
        <w:rPr>
          <w:noProof/>
        </w:rPr>
        <w:t xml:space="preserve"> require </w:t>
      </w:r>
      <w:r w:rsidR="00DD2275" w:rsidRPr="00D86314">
        <w:rPr>
          <w:noProof/>
        </w:rPr>
        <w:t>m</w:t>
      </w:r>
      <w:r w:rsidRPr="00D86314">
        <w:rPr>
          <w:noProof/>
        </w:rPr>
        <w:t>any small cells placed close to each other</w:t>
      </w:r>
      <w:r w:rsidR="00BA6A93" w:rsidRPr="00D86314">
        <w:rPr>
          <w:noProof/>
        </w:rPr>
        <w:t xml:space="preserve"> to provide coverage</w:t>
      </w:r>
      <w:r w:rsidRPr="00D86314">
        <w:rPr>
          <w:noProof/>
        </w:rPr>
        <w:t>.</w:t>
      </w:r>
      <w:r w:rsidR="0067676D" w:rsidRPr="00D86314">
        <w:rPr>
          <w:noProof/>
        </w:rPr>
        <w:t xml:space="preserve"> </w:t>
      </w:r>
    </w:p>
    <w:p w14:paraId="2AB2CC5E" w14:textId="24BE8060" w:rsidR="00551948" w:rsidRPr="00D86314" w:rsidRDefault="00CA0686" w:rsidP="00CA7523">
      <w:pPr>
        <w:pStyle w:val="Text2"/>
        <w:spacing w:after="120"/>
        <w:ind w:left="0"/>
        <w:rPr>
          <w:noProof/>
        </w:rPr>
      </w:pPr>
      <w:r w:rsidRPr="00D86314">
        <w:rPr>
          <w:noProof/>
        </w:rPr>
        <w:t>Considering</w:t>
      </w:r>
      <w:r w:rsidR="0067676D" w:rsidRPr="00D86314">
        <w:rPr>
          <w:noProof/>
        </w:rPr>
        <w:t xml:space="preserve"> that no single band can meet all 5G </w:t>
      </w:r>
      <w:r w:rsidR="00467C30" w:rsidRPr="00D86314">
        <w:rPr>
          <w:noProof/>
        </w:rPr>
        <w:t xml:space="preserve">technical </w:t>
      </w:r>
      <w:r w:rsidR="0067676D" w:rsidRPr="00D86314">
        <w:rPr>
          <w:noProof/>
        </w:rPr>
        <w:t>requirements well, operators need a combination of bands to effectively provide good quality 5G services.</w:t>
      </w:r>
      <w:r w:rsidR="00C92AF4" w:rsidRPr="00D86314">
        <w:rPr>
          <w:noProof/>
        </w:rPr>
        <w:t xml:space="preserve"> </w:t>
      </w:r>
      <w:r w:rsidR="00A82701" w:rsidRPr="00D86314">
        <w:rPr>
          <w:noProof/>
        </w:rPr>
        <w:t>5G</w:t>
      </w:r>
      <w:r w:rsidR="00353E78" w:rsidRPr="00D86314">
        <w:rPr>
          <w:noProof/>
        </w:rPr>
        <w:t xml:space="preserve"> </w:t>
      </w:r>
      <w:r w:rsidR="00A82701" w:rsidRPr="00D86314">
        <w:rPr>
          <w:noProof/>
        </w:rPr>
        <w:t>SA will be deploying full 5G both at the radio and the core network, without relying on 4G LTE components. Similarly, the deployment</w:t>
      </w:r>
      <w:r w:rsidR="005576E5" w:rsidRPr="00D86314">
        <w:rPr>
          <w:noProof/>
        </w:rPr>
        <w:t xml:space="preserve"> of</w:t>
      </w:r>
      <w:r w:rsidR="00A82701" w:rsidRPr="00D86314">
        <w:rPr>
          <w:noProof/>
        </w:rPr>
        <w:t xml:space="preserve"> 6G will </w:t>
      </w:r>
      <w:r w:rsidR="005576E5" w:rsidRPr="00D86314">
        <w:rPr>
          <w:noProof/>
        </w:rPr>
        <w:t xml:space="preserve">most probably </w:t>
      </w:r>
      <w:r w:rsidR="00A82701" w:rsidRPr="00D86314">
        <w:rPr>
          <w:noProof/>
        </w:rPr>
        <w:t>have a progressive and evolutionary phased approach.</w:t>
      </w:r>
    </w:p>
    <w:p w14:paraId="103967A1" w14:textId="00D827A1" w:rsidR="00F56CA6" w:rsidRPr="00D86314" w:rsidRDefault="00AA3615" w:rsidP="00B413F2">
      <w:pPr>
        <w:pStyle w:val="Text2"/>
        <w:numPr>
          <w:ilvl w:val="6"/>
          <w:numId w:val="27"/>
        </w:numPr>
        <w:spacing w:before="240"/>
        <w:ind w:left="2517" w:hanging="357"/>
        <w:rPr>
          <w:b/>
          <w:noProof/>
        </w:rPr>
      </w:pPr>
      <w:r w:rsidRPr="00D86314">
        <w:rPr>
          <w:b/>
          <w:bCs/>
          <w:noProof/>
        </w:rPr>
        <w:t xml:space="preserve">Spectrum governance </w:t>
      </w:r>
    </w:p>
    <w:p w14:paraId="054950A7" w14:textId="77777777" w:rsidR="00F56CA6" w:rsidRPr="00D86314" w:rsidRDefault="00F56CA6" w:rsidP="00CA7523">
      <w:pPr>
        <w:pStyle w:val="Text2"/>
        <w:spacing w:after="120"/>
        <w:ind w:left="0"/>
        <w:rPr>
          <w:noProof/>
        </w:rPr>
      </w:pPr>
      <w:r w:rsidRPr="00D86314">
        <w:rPr>
          <w:noProof/>
        </w:rPr>
        <w:t>The International Telecommunication Union (ITU) plays a central role in spectrum management by coordinating the global use of the radio-frequency spectrum to ensure interference-free and equitable access. Specifically, the ITU: </w:t>
      </w:r>
    </w:p>
    <w:p w14:paraId="68A7BCE1" w14:textId="77777777" w:rsidR="00F56CA6" w:rsidRPr="00D86314" w:rsidRDefault="00F56CA6" w:rsidP="00A00C17">
      <w:pPr>
        <w:pStyle w:val="Text2"/>
        <w:numPr>
          <w:ilvl w:val="0"/>
          <w:numId w:val="34"/>
        </w:numPr>
        <w:spacing w:after="120"/>
        <w:ind w:left="714" w:hanging="357"/>
        <w:rPr>
          <w:noProof/>
        </w:rPr>
      </w:pPr>
      <w:r w:rsidRPr="00D86314">
        <w:rPr>
          <w:noProof/>
          <w:u w:val="single"/>
        </w:rPr>
        <w:t>Prevents Interference</w:t>
      </w:r>
      <w:r w:rsidRPr="00D86314">
        <w:rPr>
          <w:noProof/>
        </w:rPr>
        <w:t>: It establishes international regulations and procedures to minimize radio interference between countries and services. </w:t>
      </w:r>
    </w:p>
    <w:p w14:paraId="0605F602" w14:textId="01B0AA0F" w:rsidR="00F56CA6" w:rsidRPr="00D86314" w:rsidRDefault="00F56CA6" w:rsidP="004C2A82">
      <w:pPr>
        <w:pStyle w:val="Text2"/>
        <w:keepNext/>
        <w:keepLines/>
        <w:numPr>
          <w:ilvl w:val="0"/>
          <w:numId w:val="34"/>
        </w:numPr>
        <w:ind w:left="714" w:hanging="357"/>
        <w:rPr>
          <w:noProof/>
        </w:rPr>
      </w:pPr>
      <w:r w:rsidRPr="00D86314">
        <w:rPr>
          <w:noProof/>
          <w:u w:val="single"/>
        </w:rPr>
        <w:t>Allocates Frequency Bands</w:t>
      </w:r>
      <w:r w:rsidRPr="00D86314">
        <w:rPr>
          <w:noProof/>
        </w:rPr>
        <w:t xml:space="preserve">: It defines and allocates frequency bands to different services (like broadcasting, mobile, satellite) on a global scale. For the purposes of coordination and international planning, the world has been divided into three large regions (Figure </w:t>
      </w:r>
      <w:r w:rsidR="00273883" w:rsidRPr="00D86314">
        <w:rPr>
          <w:noProof/>
        </w:rPr>
        <w:t>A10 1-4</w:t>
      </w:r>
      <w:r w:rsidRPr="00D86314">
        <w:rPr>
          <w:noProof/>
        </w:rPr>
        <w:t>) </w:t>
      </w:r>
    </w:p>
    <w:p w14:paraId="2DBB5E47" w14:textId="7178A87C" w:rsidR="00F56CA6" w:rsidRPr="00D86314" w:rsidRDefault="00706AF0" w:rsidP="00A41681">
      <w:pPr>
        <w:pStyle w:val="Text2"/>
        <w:keepNext/>
        <w:ind w:left="0"/>
        <w:rPr>
          <w:i/>
          <w:noProof/>
          <w:sz w:val="22"/>
          <w:szCs w:val="22"/>
        </w:rPr>
      </w:pPr>
      <w:r w:rsidRPr="00D86314">
        <w:rPr>
          <w:i/>
          <w:noProof/>
          <w:sz w:val="22"/>
          <w:szCs w:val="22"/>
        </w:rPr>
        <w:t xml:space="preserve">Figure </w:t>
      </w:r>
      <w:r w:rsidR="00AD2177" w:rsidRPr="00D86314">
        <w:rPr>
          <w:i/>
          <w:noProof/>
          <w:sz w:val="22"/>
          <w:szCs w:val="22"/>
        </w:rPr>
        <w:t>A</w:t>
      </w:r>
      <w:r w:rsidRPr="00D86314">
        <w:rPr>
          <w:i/>
          <w:noProof/>
          <w:sz w:val="22"/>
          <w:szCs w:val="22"/>
        </w:rPr>
        <w:t>10 1-</w:t>
      </w:r>
      <w:r w:rsidR="00AD2177" w:rsidRPr="00D86314">
        <w:rPr>
          <w:i/>
          <w:noProof/>
          <w:sz w:val="22"/>
          <w:szCs w:val="22"/>
        </w:rPr>
        <w:t>4</w:t>
      </w:r>
      <w:r w:rsidR="00F56CA6" w:rsidRPr="00D86314">
        <w:rPr>
          <w:rStyle w:val="normaltextrun"/>
          <w:i/>
          <w:iCs/>
          <w:noProof/>
          <w:color w:val="000000"/>
          <w:sz w:val="22"/>
          <w:szCs w:val="22"/>
          <w:shd w:val="clear" w:color="auto" w:fill="FFFFFF"/>
        </w:rPr>
        <w:t xml:space="preserve">. </w:t>
      </w:r>
      <w:r w:rsidR="00F56CA6" w:rsidRPr="00D86314">
        <w:rPr>
          <w:rStyle w:val="normaltextrun"/>
          <w:i/>
          <w:noProof/>
          <w:color w:val="000000"/>
          <w:sz w:val="22"/>
          <w:szCs w:val="22"/>
          <w:shd w:val="clear" w:color="auto" w:fill="FFFFFF"/>
        </w:rPr>
        <w:t>Regions of Frequency Allocation</w:t>
      </w:r>
      <w:r w:rsidR="00BE641A" w:rsidRPr="00D86314">
        <w:rPr>
          <w:rStyle w:val="normaltextrun"/>
          <w:i/>
          <w:iCs/>
          <w:noProof/>
          <w:color w:val="000000"/>
          <w:sz w:val="22"/>
          <w:szCs w:val="22"/>
          <w:shd w:val="clear" w:color="auto" w:fill="FFFFFF"/>
        </w:rPr>
        <w:t xml:space="preserve"> </w:t>
      </w:r>
    </w:p>
    <w:p w14:paraId="081CA270" w14:textId="77777777" w:rsidR="00F56CA6" w:rsidRPr="00D86314" w:rsidRDefault="00F56CA6" w:rsidP="00F56CA6">
      <w:pPr>
        <w:pStyle w:val="Text2"/>
        <w:ind w:left="0"/>
        <w:jc w:val="center"/>
        <w:rPr>
          <w:noProof/>
        </w:rPr>
      </w:pPr>
      <w:r w:rsidRPr="00CA2C0B">
        <w:rPr>
          <w:noProof/>
          <w:lang w:eastAsia="en-GB"/>
        </w:rPr>
        <w:drawing>
          <wp:inline distT="0" distB="0" distL="0" distR="0" wp14:anchorId="4B25059C" wp14:editId="6654FF25">
            <wp:extent cx="3409950" cy="2209800"/>
            <wp:effectExtent l="0" t="0" r="0" b="0"/>
            <wp:docPr id="109782842"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the world&#10;&#10;AI-generated content may be incorrect."/>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409950" cy="2209800"/>
                    </a:xfrm>
                    <a:prstGeom prst="rect">
                      <a:avLst/>
                    </a:prstGeom>
                    <a:noFill/>
                    <a:ln>
                      <a:noFill/>
                    </a:ln>
                  </pic:spPr>
                </pic:pic>
              </a:graphicData>
            </a:graphic>
          </wp:inline>
        </w:drawing>
      </w:r>
    </w:p>
    <w:p w14:paraId="4D905198" w14:textId="7C1CC66C" w:rsidR="00F56CA6" w:rsidRPr="00D86314" w:rsidRDefault="00F56CA6" w:rsidP="00F56CA6">
      <w:pPr>
        <w:pStyle w:val="Text2"/>
        <w:jc w:val="right"/>
        <w:rPr>
          <w:noProof/>
          <w:sz w:val="20"/>
        </w:rPr>
      </w:pPr>
      <w:r w:rsidRPr="00D86314">
        <w:rPr>
          <w:noProof/>
          <w:sz w:val="20"/>
        </w:rPr>
        <w:t>: ITU </w:t>
      </w:r>
    </w:p>
    <w:p w14:paraId="349702D2" w14:textId="77777777" w:rsidR="00F56CA6" w:rsidRPr="00D86314" w:rsidRDefault="00F56CA6" w:rsidP="00A00C17">
      <w:pPr>
        <w:pStyle w:val="Text2"/>
        <w:numPr>
          <w:ilvl w:val="0"/>
          <w:numId w:val="34"/>
        </w:numPr>
        <w:spacing w:after="120"/>
        <w:ind w:left="714" w:hanging="357"/>
        <w:rPr>
          <w:noProof/>
        </w:rPr>
      </w:pPr>
      <w:r w:rsidRPr="00D86314">
        <w:rPr>
          <w:noProof/>
          <w:u w:val="single"/>
        </w:rPr>
        <w:t>Facilitates Coordination</w:t>
      </w:r>
      <w:r w:rsidRPr="00D86314">
        <w:rPr>
          <w:noProof/>
        </w:rPr>
        <w:t>: It enables countries to coordinate spectrum use and resolve disputes related to spectrum assignments. </w:t>
      </w:r>
    </w:p>
    <w:p w14:paraId="2053FA86" w14:textId="77777777" w:rsidR="00F56CA6" w:rsidRPr="00D86314" w:rsidRDefault="00F56CA6" w:rsidP="00A00C17">
      <w:pPr>
        <w:pStyle w:val="Text2"/>
        <w:numPr>
          <w:ilvl w:val="0"/>
          <w:numId w:val="34"/>
        </w:numPr>
        <w:spacing w:after="120"/>
        <w:ind w:left="714" w:hanging="357"/>
        <w:rPr>
          <w:noProof/>
        </w:rPr>
      </w:pPr>
      <w:r w:rsidRPr="00D86314">
        <w:rPr>
          <w:noProof/>
          <w:u w:val="single"/>
        </w:rPr>
        <w:t>Promotes equitable use of radio spectrum:</w:t>
      </w:r>
      <w:r w:rsidRPr="00D86314">
        <w:rPr>
          <w:noProof/>
        </w:rPr>
        <w:t xml:space="preserve"> As a UN specialized agency, the ITU ensures spectrum resources are shared fairly among all countries, supporting global connectivity and communication. </w:t>
      </w:r>
    </w:p>
    <w:p w14:paraId="50BE9E0D" w14:textId="22086CA8" w:rsidR="00F56CA6" w:rsidRPr="00D86314" w:rsidRDefault="00F56CA6" w:rsidP="009F7B70">
      <w:pPr>
        <w:pStyle w:val="Text2"/>
        <w:spacing w:before="240" w:after="120"/>
        <w:ind w:left="0"/>
        <w:rPr>
          <w:noProof/>
        </w:rPr>
      </w:pPr>
      <w:r w:rsidRPr="00D86314">
        <w:rPr>
          <w:noProof/>
        </w:rPr>
        <w:t xml:space="preserve">Besides the ITU role in spectrum management, States also cooperate at the regional level in spectrum management affairs (see </w:t>
      </w:r>
      <w:r w:rsidR="00197060">
        <w:rPr>
          <w:noProof/>
        </w:rPr>
        <w:t xml:space="preserve">Table </w:t>
      </w:r>
      <w:r w:rsidR="00DA463D">
        <w:rPr>
          <w:noProof/>
        </w:rPr>
        <w:t>below</w:t>
      </w:r>
      <w:r w:rsidRPr="00D86314">
        <w:rPr>
          <w:noProof/>
        </w:rPr>
        <w:t>)</w:t>
      </w:r>
      <w:r w:rsidR="00197060">
        <w:rPr>
          <w:noProof/>
        </w:rPr>
        <w:t>.</w:t>
      </w:r>
    </w:p>
    <w:p w14:paraId="3BC23B7B" w14:textId="2117B666" w:rsidR="00F56CA6" w:rsidRPr="00D86314" w:rsidRDefault="00F56CA6" w:rsidP="00DE5A62">
      <w:pPr>
        <w:pStyle w:val="Text2"/>
        <w:keepNext/>
        <w:ind w:left="0"/>
        <w:rPr>
          <w:iCs/>
          <w:noProof/>
          <w:sz w:val="22"/>
          <w:szCs w:val="22"/>
        </w:rPr>
      </w:pPr>
      <w:r w:rsidRPr="00D86314">
        <w:rPr>
          <w:iCs/>
          <w:noProof/>
          <w:sz w:val="22"/>
          <w:szCs w:val="22"/>
        </w:rPr>
        <w:t>Table</w:t>
      </w:r>
      <w:r w:rsidR="00AC3376" w:rsidRPr="00D86314">
        <w:rPr>
          <w:iCs/>
          <w:noProof/>
          <w:sz w:val="22"/>
          <w:szCs w:val="22"/>
        </w:rPr>
        <w:t xml:space="preserve"> A10</w:t>
      </w:r>
      <w:r w:rsidRPr="00D86314">
        <w:rPr>
          <w:iCs/>
          <w:noProof/>
          <w:sz w:val="22"/>
          <w:szCs w:val="22"/>
        </w:rPr>
        <w:t xml:space="preserve"> </w:t>
      </w:r>
      <w:r w:rsidR="00492494" w:rsidRPr="00D86314">
        <w:rPr>
          <w:iCs/>
          <w:noProof/>
          <w:sz w:val="22"/>
          <w:szCs w:val="22"/>
        </w:rPr>
        <w:t>1</w:t>
      </w:r>
      <w:r w:rsidR="00AC3376" w:rsidRPr="00D86314">
        <w:rPr>
          <w:iCs/>
          <w:noProof/>
          <w:sz w:val="22"/>
          <w:szCs w:val="22"/>
        </w:rPr>
        <w:t>-1</w:t>
      </w:r>
      <w:r w:rsidRPr="00D86314">
        <w:rPr>
          <w:iCs/>
          <w:noProof/>
          <w:sz w:val="22"/>
          <w:szCs w:val="22"/>
        </w:rPr>
        <w:t>: Regi</w:t>
      </w:r>
      <w:r w:rsidR="003A5A0B" w:rsidRPr="00D86314">
        <w:rPr>
          <w:iCs/>
          <w:noProof/>
          <w:sz w:val="22"/>
          <w:szCs w:val="22"/>
        </w:rPr>
        <w:t>o</w:t>
      </w:r>
      <w:r w:rsidRPr="00D86314">
        <w:rPr>
          <w:iCs/>
          <w:noProof/>
          <w:sz w:val="22"/>
          <w:szCs w:val="22"/>
        </w:rPr>
        <w:t>nal Bodies for Spectrum Regulation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2"/>
        <w:gridCol w:w="5490"/>
      </w:tblGrid>
      <w:tr w:rsidR="00F56CA6" w:rsidRPr="00D86314" w14:paraId="2DA2008B" w14:textId="77777777" w:rsidTr="00F56CA6">
        <w:trPr>
          <w:trHeight w:val="300"/>
        </w:trPr>
        <w:tc>
          <w:tcPr>
            <w:tcW w:w="3360" w:type="dxa"/>
            <w:tcBorders>
              <w:top w:val="single" w:sz="6" w:space="0" w:color="auto"/>
              <w:left w:val="single" w:sz="6" w:space="0" w:color="auto"/>
              <w:bottom w:val="single" w:sz="6" w:space="0" w:color="auto"/>
              <w:right w:val="single" w:sz="6" w:space="0" w:color="auto"/>
            </w:tcBorders>
            <w:hideMark/>
          </w:tcPr>
          <w:p w14:paraId="2570A099" w14:textId="77777777" w:rsidR="00F56CA6" w:rsidRPr="00D86314" w:rsidRDefault="00F56CA6" w:rsidP="00F56CA6">
            <w:pPr>
              <w:spacing w:beforeAutospacing="1" w:after="0" w:afterAutospacing="1"/>
              <w:jc w:val="left"/>
              <w:textAlignment w:val="baseline"/>
              <w:rPr>
                <w:rFonts w:ascii="Segoe UI" w:eastAsia="Times New Roman" w:hAnsi="Segoe UI" w:cs="Segoe UI"/>
                <w:noProof/>
                <w:sz w:val="18"/>
                <w:szCs w:val="18"/>
                <w:lang w:eastAsia="en-IE"/>
              </w:rPr>
            </w:pPr>
            <w:r w:rsidRPr="00D86314">
              <w:rPr>
                <w:rFonts w:eastAsia="Times New Roman"/>
                <w:noProof/>
                <w:lang w:eastAsia="en-IE"/>
              </w:rPr>
              <w:t>ITU Region </w:t>
            </w:r>
          </w:p>
        </w:tc>
        <w:tc>
          <w:tcPr>
            <w:tcW w:w="5910" w:type="dxa"/>
            <w:tcBorders>
              <w:top w:val="single" w:sz="6" w:space="0" w:color="auto"/>
              <w:left w:val="single" w:sz="6" w:space="0" w:color="auto"/>
              <w:bottom w:val="single" w:sz="6" w:space="0" w:color="auto"/>
              <w:right w:val="single" w:sz="6" w:space="0" w:color="auto"/>
            </w:tcBorders>
            <w:hideMark/>
          </w:tcPr>
          <w:p w14:paraId="6CCDC8EC" w14:textId="77777777" w:rsidR="00F56CA6" w:rsidRPr="00D86314" w:rsidRDefault="00F56CA6" w:rsidP="00F56CA6">
            <w:pPr>
              <w:spacing w:beforeAutospacing="1" w:after="0" w:afterAutospacing="1"/>
              <w:jc w:val="left"/>
              <w:textAlignment w:val="baseline"/>
              <w:rPr>
                <w:rFonts w:ascii="Segoe UI" w:eastAsia="Times New Roman" w:hAnsi="Segoe UI" w:cs="Segoe UI"/>
                <w:noProof/>
                <w:sz w:val="18"/>
                <w:szCs w:val="18"/>
                <w:lang w:eastAsia="en-IE"/>
              </w:rPr>
            </w:pPr>
            <w:r w:rsidRPr="00D86314">
              <w:rPr>
                <w:rFonts w:eastAsia="Times New Roman"/>
                <w:noProof/>
                <w:lang w:eastAsia="en-IE"/>
              </w:rPr>
              <w:t>Regional Body </w:t>
            </w:r>
          </w:p>
        </w:tc>
      </w:tr>
      <w:tr w:rsidR="00F56CA6" w:rsidRPr="00D86314" w14:paraId="749AB494" w14:textId="77777777" w:rsidTr="00F56CA6">
        <w:trPr>
          <w:trHeight w:val="300"/>
        </w:trPr>
        <w:tc>
          <w:tcPr>
            <w:tcW w:w="3360" w:type="dxa"/>
            <w:tcBorders>
              <w:top w:val="single" w:sz="6" w:space="0" w:color="auto"/>
              <w:left w:val="single" w:sz="6" w:space="0" w:color="auto"/>
              <w:bottom w:val="single" w:sz="6" w:space="0" w:color="auto"/>
              <w:right w:val="single" w:sz="6" w:space="0" w:color="auto"/>
            </w:tcBorders>
            <w:hideMark/>
          </w:tcPr>
          <w:p w14:paraId="3AFBA33F" w14:textId="77777777" w:rsidR="00F56CA6" w:rsidRPr="00D86314" w:rsidRDefault="00F56CA6" w:rsidP="00F56CA6">
            <w:pPr>
              <w:spacing w:beforeAutospacing="1" w:after="0" w:afterAutospacing="1"/>
              <w:jc w:val="left"/>
              <w:textAlignment w:val="baseline"/>
              <w:rPr>
                <w:rFonts w:ascii="Segoe UI" w:eastAsia="Times New Roman" w:hAnsi="Segoe UI" w:cs="Segoe UI"/>
                <w:noProof/>
                <w:sz w:val="18"/>
                <w:szCs w:val="18"/>
                <w:lang w:eastAsia="en-IE"/>
              </w:rPr>
            </w:pPr>
            <w:r w:rsidRPr="00D86314">
              <w:rPr>
                <w:rFonts w:eastAsia="Times New Roman"/>
                <w:noProof/>
                <w:lang w:eastAsia="en-IE"/>
              </w:rPr>
              <w:t>Region 1 (Europe -Africa) </w:t>
            </w:r>
          </w:p>
        </w:tc>
        <w:tc>
          <w:tcPr>
            <w:tcW w:w="5910" w:type="dxa"/>
            <w:tcBorders>
              <w:top w:val="single" w:sz="6" w:space="0" w:color="auto"/>
              <w:left w:val="single" w:sz="6" w:space="0" w:color="auto"/>
              <w:bottom w:val="single" w:sz="6" w:space="0" w:color="auto"/>
              <w:right w:val="single" w:sz="6" w:space="0" w:color="auto"/>
            </w:tcBorders>
            <w:hideMark/>
          </w:tcPr>
          <w:p w14:paraId="31C27843" w14:textId="77777777" w:rsidR="00F56CA6" w:rsidRPr="00D86314" w:rsidRDefault="00F56CA6" w:rsidP="00E53597">
            <w:pPr>
              <w:spacing w:after="0"/>
              <w:jc w:val="left"/>
              <w:textAlignment w:val="baseline"/>
              <w:rPr>
                <w:rFonts w:eastAsia="Times New Roman"/>
                <w:noProof/>
                <w:lang w:eastAsia="en-IE"/>
              </w:rPr>
            </w:pPr>
            <w:r w:rsidRPr="00D86314">
              <w:rPr>
                <w:rFonts w:eastAsia="Times New Roman"/>
                <w:noProof/>
                <w:lang w:eastAsia="en-IE"/>
              </w:rPr>
              <w:t>European Conference of Posts and Telecommunications (CEPT) </w:t>
            </w:r>
          </w:p>
          <w:p w14:paraId="34E765AF" w14:textId="77777777" w:rsidR="00367BC8" w:rsidRPr="00D86314" w:rsidRDefault="00367BC8" w:rsidP="00E53597">
            <w:pPr>
              <w:spacing w:after="0"/>
              <w:jc w:val="left"/>
              <w:textAlignment w:val="baseline"/>
              <w:rPr>
                <w:rFonts w:eastAsia="Times New Roman"/>
                <w:noProof/>
                <w:lang w:eastAsia="en-IE"/>
              </w:rPr>
            </w:pPr>
            <w:r w:rsidRPr="00D86314">
              <w:rPr>
                <w:rFonts w:eastAsia="Times New Roman"/>
                <w:noProof/>
                <w:lang w:eastAsia="en-IE"/>
              </w:rPr>
              <w:t>African Telecommunications Union (ATU)</w:t>
            </w:r>
          </w:p>
          <w:p w14:paraId="2516D9EF" w14:textId="77777777" w:rsidR="00367BC8" w:rsidRPr="00D86314" w:rsidRDefault="00367BC8" w:rsidP="00E53597">
            <w:pPr>
              <w:spacing w:after="0"/>
              <w:jc w:val="left"/>
              <w:textAlignment w:val="baseline"/>
              <w:rPr>
                <w:rFonts w:eastAsia="Times New Roman"/>
                <w:noProof/>
                <w:lang w:eastAsia="en-IE"/>
              </w:rPr>
            </w:pPr>
            <w:r w:rsidRPr="00D86314">
              <w:rPr>
                <w:rFonts w:eastAsia="Times New Roman"/>
                <w:noProof/>
                <w:lang w:eastAsia="en-IE"/>
              </w:rPr>
              <w:t>Arab Spectrum Management Group (ASMG)</w:t>
            </w:r>
          </w:p>
          <w:p w14:paraId="62B27E0D" w14:textId="5DF4438F" w:rsidR="00F56CA6" w:rsidRPr="00D86314" w:rsidRDefault="00361D77" w:rsidP="00E53597">
            <w:pPr>
              <w:spacing w:after="0"/>
              <w:jc w:val="left"/>
              <w:textAlignment w:val="baseline"/>
              <w:rPr>
                <w:rFonts w:ascii="Segoe UI" w:eastAsia="Times New Roman" w:hAnsi="Segoe UI" w:cs="Segoe UI"/>
                <w:noProof/>
                <w:sz w:val="18"/>
                <w:szCs w:val="18"/>
                <w:lang w:eastAsia="en-IE"/>
              </w:rPr>
            </w:pPr>
            <w:r w:rsidRPr="00D86314">
              <w:rPr>
                <w:rFonts w:eastAsia="Times New Roman"/>
                <w:noProof/>
                <w:lang w:eastAsia="en-IE"/>
              </w:rPr>
              <w:t>Regional Commonwealth in the Field of Communications (RCC)</w:t>
            </w:r>
          </w:p>
        </w:tc>
      </w:tr>
      <w:tr w:rsidR="00F56CA6" w:rsidRPr="00D86314" w14:paraId="45B8D48B" w14:textId="77777777" w:rsidTr="00F56CA6">
        <w:trPr>
          <w:trHeight w:val="300"/>
        </w:trPr>
        <w:tc>
          <w:tcPr>
            <w:tcW w:w="3360" w:type="dxa"/>
            <w:tcBorders>
              <w:top w:val="single" w:sz="6" w:space="0" w:color="auto"/>
              <w:left w:val="single" w:sz="6" w:space="0" w:color="auto"/>
              <w:bottom w:val="single" w:sz="6" w:space="0" w:color="auto"/>
              <w:right w:val="single" w:sz="6" w:space="0" w:color="auto"/>
            </w:tcBorders>
            <w:hideMark/>
          </w:tcPr>
          <w:p w14:paraId="6E0E7545" w14:textId="77777777" w:rsidR="00F56CA6" w:rsidRPr="00D86314" w:rsidRDefault="00F56CA6" w:rsidP="00F56CA6">
            <w:pPr>
              <w:spacing w:beforeAutospacing="1" w:after="0" w:afterAutospacing="1"/>
              <w:jc w:val="left"/>
              <w:textAlignment w:val="baseline"/>
              <w:rPr>
                <w:rFonts w:ascii="Segoe UI" w:eastAsia="Times New Roman" w:hAnsi="Segoe UI" w:cs="Segoe UI"/>
                <w:noProof/>
                <w:sz w:val="18"/>
                <w:szCs w:val="18"/>
                <w:lang w:eastAsia="en-IE"/>
              </w:rPr>
            </w:pPr>
            <w:r w:rsidRPr="00D86314">
              <w:rPr>
                <w:rFonts w:eastAsia="Times New Roman"/>
                <w:noProof/>
                <w:lang w:eastAsia="en-IE"/>
              </w:rPr>
              <w:t>Region 2 (America) </w:t>
            </w:r>
          </w:p>
        </w:tc>
        <w:tc>
          <w:tcPr>
            <w:tcW w:w="5910" w:type="dxa"/>
            <w:tcBorders>
              <w:top w:val="single" w:sz="6" w:space="0" w:color="auto"/>
              <w:left w:val="single" w:sz="6" w:space="0" w:color="auto"/>
              <w:bottom w:val="single" w:sz="6" w:space="0" w:color="auto"/>
              <w:right w:val="single" w:sz="6" w:space="0" w:color="auto"/>
            </w:tcBorders>
            <w:hideMark/>
          </w:tcPr>
          <w:p w14:paraId="3BB5BA4C" w14:textId="77777777" w:rsidR="00F56CA6" w:rsidRPr="00D86314" w:rsidRDefault="00F56CA6" w:rsidP="00F56CA6">
            <w:pPr>
              <w:spacing w:beforeAutospacing="1" w:after="0" w:afterAutospacing="1"/>
              <w:jc w:val="left"/>
              <w:textAlignment w:val="baseline"/>
              <w:rPr>
                <w:rFonts w:ascii="Segoe UI" w:eastAsia="Times New Roman" w:hAnsi="Segoe UI" w:cs="Segoe UI"/>
                <w:noProof/>
                <w:sz w:val="18"/>
                <w:szCs w:val="18"/>
                <w:lang w:eastAsia="en-IE"/>
              </w:rPr>
            </w:pPr>
            <w:r w:rsidRPr="00D86314">
              <w:rPr>
                <w:rFonts w:eastAsia="Times New Roman"/>
                <w:noProof/>
                <w:lang w:eastAsia="en-IE"/>
              </w:rPr>
              <w:t>Interamerican Telecommunications Commission (CITEL) </w:t>
            </w:r>
          </w:p>
        </w:tc>
      </w:tr>
      <w:tr w:rsidR="00F56CA6" w:rsidRPr="00D86314" w14:paraId="54E96EA2" w14:textId="77777777" w:rsidTr="00F56CA6">
        <w:trPr>
          <w:trHeight w:val="300"/>
        </w:trPr>
        <w:tc>
          <w:tcPr>
            <w:tcW w:w="3360" w:type="dxa"/>
            <w:tcBorders>
              <w:top w:val="single" w:sz="6" w:space="0" w:color="auto"/>
              <w:left w:val="single" w:sz="6" w:space="0" w:color="auto"/>
              <w:bottom w:val="single" w:sz="6" w:space="0" w:color="auto"/>
              <w:right w:val="single" w:sz="6" w:space="0" w:color="auto"/>
            </w:tcBorders>
            <w:hideMark/>
          </w:tcPr>
          <w:p w14:paraId="5EBEB7A7" w14:textId="77777777" w:rsidR="00F56CA6" w:rsidRPr="00D86314" w:rsidRDefault="00F56CA6" w:rsidP="00F56CA6">
            <w:pPr>
              <w:spacing w:beforeAutospacing="1" w:after="0" w:afterAutospacing="1"/>
              <w:jc w:val="left"/>
              <w:textAlignment w:val="baseline"/>
              <w:rPr>
                <w:rFonts w:ascii="Segoe UI" w:eastAsia="Times New Roman" w:hAnsi="Segoe UI" w:cs="Segoe UI"/>
                <w:noProof/>
                <w:sz w:val="18"/>
                <w:szCs w:val="18"/>
                <w:lang w:eastAsia="en-IE"/>
              </w:rPr>
            </w:pPr>
            <w:r w:rsidRPr="00D86314">
              <w:rPr>
                <w:rFonts w:eastAsia="Times New Roman"/>
                <w:noProof/>
                <w:lang w:eastAsia="en-IE"/>
              </w:rPr>
              <w:t>Region 3 (Asia-Pacific </w:t>
            </w:r>
          </w:p>
        </w:tc>
        <w:tc>
          <w:tcPr>
            <w:tcW w:w="5910" w:type="dxa"/>
            <w:tcBorders>
              <w:top w:val="single" w:sz="6" w:space="0" w:color="auto"/>
              <w:left w:val="single" w:sz="6" w:space="0" w:color="auto"/>
              <w:bottom w:val="single" w:sz="6" w:space="0" w:color="auto"/>
              <w:right w:val="single" w:sz="6" w:space="0" w:color="auto"/>
            </w:tcBorders>
            <w:hideMark/>
          </w:tcPr>
          <w:p w14:paraId="559875BB" w14:textId="77777777" w:rsidR="00F56CA6" w:rsidRPr="00D86314" w:rsidRDefault="00F56CA6" w:rsidP="00F56CA6">
            <w:pPr>
              <w:spacing w:beforeAutospacing="1" w:after="0" w:afterAutospacing="1"/>
              <w:jc w:val="left"/>
              <w:textAlignment w:val="baseline"/>
              <w:rPr>
                <w:rFonts w:ascii="Segoe UI" w:eastAsia="Times New Roman" w:hAnsi="Segoe UI" w:cs="Segoe UI"/>
                <w:noProof/>
                <w:sz w:val="18"/>
                <w:szCs w:val="18"/>
                <w:lang w:eastAsia="en-IE"/>
              </w:rPr>
            </w:pPr>
            <w:r w:rsidRPr="00D86314">
              <w:rPr>
                <w:rFonts w:eastAsia="Times New Roman"/>
                <w:noProof/>
                <w:lang w:eastAsia="en-IE"/>
              </w:rPr>
              <w:t>Asia-Pacific Telecommunity (APT) </w:t>
            </w:r>
          </w:p>
        </w:tc>
      </w:tr>
    </w:tbl>
    <w:p w14:paraId="60936D88" w14:textId="36072F15" w:rsidR="00672232" w:rsidRPr="00D86314" w:rsidRDefault="00672232" w:rsidP="00A00C17">
      <w:pPr>
        <w:pStyle w:val="Text2"/>
        <w:keepNext/>
        <w:keepLines/>
        <w:numPr>
          <w:ilvl w:val="7"/>
          <w:numId w:val="27"/>
        </w:numPr>
        <w:spacing w:before="240"/>
        <w:ind w:left="2874" w:hanging="357"/>
        <w:rPr>
          <w:b/>
          <w:bCs/>
          <w:noProof/>
        </w:rPr>
      </w:pPr>
      <w:r w:rsidRPr="00D86314">
        <w:rPr>
          <w:b/>
          <w:bCs/>
          <w:noProof/>
        </w:rPr>
        <w:t>Spectrum governance in the EU</w:t>
      </w:r>
    </w:p>
    <w:p w14:paraId="10203C1C" w14:textId="77777777" w:rsidR="00F56CA6" w:rsidRPr="00D86314" w:rsidRDefault="00F56CA6" w:rsidP="00CA7523">
      <w:pPr>
        <w:pStyle w:val="Text2"/>
        <w:spacing w:after="120"/>
        <w:ind w:left="0"/>
        <w:rPr>
          <w:rFonts w:ascii="Segoe UI" w:hAnsi="Segoe UI" w:cs="Segoe UI"/>
          <w:noProof/>
          <w:sz w:val="18"/>
          <w:szCs w:val="18"/>
        </w:rPr>
      </w:pPr>
      <w:r w:rsidRPr="00D86314">
        <w:rPr>
          <w:rStyle w:val="normaltextrun"/>
          <w:noProof/>
        </w:rPr>
        <w:t xml:space="preserve">In the </w:t>
      </w:r>
      <w:r w:rsidRPr="00D86314">
        <w:rPr>
          <w:noProof/>
        </w:rPr>
        <w:t>European</w:t>
      </w:r>
      <w:r w:rsidRPr="00D86314">
        <w:rPr>
          <w:rStyle w:val="normaltextrun"/>
          <w:noProof/>
        </w:rPr>
        <w:t xml:space="preserve"> Union, radio spectrum policy is managed through </w:t>
      </w:r>
      <w:r w:rsidRPr="00D86314">
        <w:rPr>
          <w:rStyle w:val="normaltextrun"/>
          <w:b/>
          <w:bCs/>
          <w:noProof/>
        </w:rPr>
        <w:t xml:space="preserve">a multi-layered approach </w:t>
      </w:r>
      <w:r w:rsidRPr="00D86314">
        <w:rPr>
          <w:rStyle w:val="normaltextrun"/>
          <w:noProof/>
        </w:rPr>
        <w:t>(</w:t>
      </w:r>
      <w:r w:rsidRPr="00D86314">
        <w:rPr>
          <w:rStyle w:val="normaltextrun"/>
          <w:i/>
          <w:iCs/>
          <w:noProof/>
        </w:rPr>
        <w:t>cf.</w:t>
      </w:r>
      <w:r w:rsidRPr="00D86314">
        <w:rPr>
          <w:rStyle w:val="normaltextrun"/>
          <w:noProof/>
        </w:rPr>
        <w:t xml:space="preserve"> the US in Annex 10) involving cooperation between the European Commission, regional bodies and national regulators.</w:t>
      </w:r>
      <w:r w:rsidRPr="00D86314">
        <w:rPr>
          <w:rStyle w:val="eop"/>
          <w:noProof/>
        </w:rPr>
        <w:t> </w:t>
      </w:r>
    </w:p>
    <w:p w14:paraId="3FAEC4FB" w14:textId="5B331F44" w:rsidR="00F56CA6" w:rsidRPr="00D86314" w:rsidRDefault="00F56CA6" w:rsidP="00A00C17">
      <w:pPr>
        <w:pStyle w:val="Text2"/>
        <w:numPr>
          <w:ilvl w:val="0"/>
          <w:numId w:val="34"/>
        </w:numPr>
        <w:ind w:left="714" w:hanging="357"/>
        <w:rPr>
          <w:rFonts w:ascii="Segoe UI" w:hAnsi="Segoe UI" w:cs="Segoe UI"/>
          <w:noProof/>
          <w:sz w:val="18"/>
          <w:szCs w:val="18"/>
        </w:rPr>
      </w:pPr>
      <w:r w:rsidRPr="00D86314">
        <w:rPr>
          <w:rStyle w:val="normaltextrun"/>
          <w:b/>
          <w:bCs/>
          <w:noProof/>
        </w:rPr>
        <w:t>European Commission</w:t>
      </w:r>
      <w:r w:rsidRPr="00D86314">
        <w:rPr>
          <w:rStyle w:val="normaltextrun"/>
          <w:noProof/>
        </w:rPr>
        <w:t>. The European Commission plays a key role in coordinating spectrum management to promote competition and ensure harmonized conditions for the availability and efficient use of radio spectrum. This coordination supports the effective functioning of the internal market across critical policy areas such as electronic communications, transport, and research and development (R&amp;D). The governance model for radio spectrum policy in Europe is based on the Radio Spectrum Decision, which provides the powers of the Commission to harmonise the technical and operational conditions for the use of spectrum in the EU through comitology procedure, which involves the Radio Spectrum Committee (RSC). In addition, the European Commission is supported on strategic spectrum matters by a high-level advisory body known as the Radio Spectrum Policy Group (RSPG).</w:t>
      </w:r>
      <w:r w:rsidR="00BE641A" w:rsidRPr="00D86314">
        <w:rPr>
          <w:rStyle w:val="normaltextrun"/>
          <w:b/>
          <w:bCs/>
          <w:noProof/>
        </w:rPr>
        <w:t xml:space="preserve"> </w:t>
      </w:r>
    </w:p>
    <w:p w14:paraId="3AF64E00" w14:textId="77777777" w:rsidR="00F56CA6" w:rsidRPr="00D86314" w:rsidRDefault="00F56CA6" w:rsidP="00A00C17">
      <w:pPr>
        <w:pStyle w:val="Text2"/>
        <w:numPr>
          <w:ilvl w:val="0"/>
          <w:numId w:val="34"/>
        </w:numPr>
        <w:spacing w:before="120"/>
        <w:ind w:left="714" w:hanging="357"/>
        <w:rPr>
          <w:rFonts w:ascii="Segoe UI" w:hAnsi="Segoe UI" w:cs="Segoe UI"/>
          <w:noProof/>
          <w:sz w:val="18"/>
          <w:szCs w:val="18"/>
        </w:rPr>
      </w:pPr>
      <w:r w:rsidRPr="00D86314">
        <w:rPr>
          <w:rStyle w:val="normaltextrun"/>
          <w:b/>
          <w:bCs/>
          <w:noProof/>
        </w:rPr>
        <w:t>European Conference of Postal and Telecommunications Administrations (CEPT)</w:t>
      </w:r>
      <w:r w:rsidRPr="00D86314">
        <w:rPr>
          <w:rStyle w:val="normaltextrun"/>
          <w:noProof/>
        </w:rPr>
        <w:t>: CEPT is a European regional organization where European countries collaborate on telecommunications matters. Pursuant to Article 4 of the Radio Spectrum Decision, the European Commission regularly issues mandates to the CEPT to study and develop harmonised technical and operational conditions for the provision of electronic communications services within specific radio frequency bands. The technical conditions proposed by CEPT are the preparatory work on which the Commission is basing its draft implementing Decisions that it submits to the RSC for approval, before adoption.</w:t>
      </w:r>
      <w:r w:rsidRPr="00D86314">
        <w:rPr>
          <w:rStyle w:val="eop"/>
          <w:noProof/>
        </w:rPr>
        <w:t> </w:t>
      </w:r>
    </w:p>
    <w:p w14:paraId="2D462E6C" w14:textId="591692C0" w:rsidR="00F56CA6" w:rsidRPr="00D86314" w:rsidRDefault="00F56CA6" w:rsidP="00A00C17">
      <w:pPr>
        <w:pStyle w:val="Text2"/>
        <w:numPr>
          <w:ilvl w:val="0"/>
          <w:numId w:val="34"/>
        </w:numPr>
        <w:spacing w:before="120" w:after="120"/>
        <w:ind w:left="714" w:hanging="357"/>
        <w:rPr>
          <w:rStyle w:val="normaltextrun"/>
          <w:noProof/>
        </w:rPr>
      </w:pPr>
      <w:r w:rsidRPr="00D86314">
        <w:rPr>
          <w:rStyle w:val="normaltextrun"/>
          <w:b/>
          <w:bCs/>
          <w:noProof/>
        </w:rPr>
        <w:t>National Authorities with Spectrum competences (depending on the MS these can be National Regulatory Authorities (NRAs), or other Competent Authorities</w:t>
      </w:r>
      <w:r w:rsidR="004A2531" w:rsidRPr="00D86314">
        <w:rPr>
          <w:rStyle w:val="normaltextrun"/>
          <w:b/>
          <w:bCs/>
          <w:noProof/>
        </w:rPr>
        <w:t>, i.e. Spectrum authorities</w:t>
      </w:r>
      <w:r w:rsidR="008545D8" w:rsidRPr="00D86314">
        <w:rPr>
          <w:rStyle w:val="normaltextrun"/>
          <w:b/>
          <w:bCs/>
          <w:noProof/>
        </w:rPr>
        <w:t>)</w:t>
      </w:r>
      <w:r w:rsidRPr="00D86314">
        <w:rPr>
          <w:rStyle w:val="normaltextrun"/>
          <w:b/>
          <w:bCs/>
          <w:noProof/>
        </w:rPr>
        <w:t xml:space="preserve">. </w:t>
      </w:r>
      <w:r w:rsidRPr="00D86314">
        <w:rPr>
          <w:rStyle w:val="normaltextrun"/>
          <w:noProof/>
        </w:rPr>
        <w:t xml:space="preserve">Each Member State has its own authorities or group of authorities (NRA, Agency and Ministry), according to the national law, responsible for implementing spectrum management policies at the national level. These authorities monitor the use of spectrum, ensure legal compliance, </w:t>
      </w:r>
      <w:r w:rsidR="00E4101D" w:rsidRPr="00D86314">
        <w:rPr>
          <w:rStyle w:val="normaltextrun"/>
          <w:noProof/>
        </w:rPr>
        <w:t xml:space="preserve">carry out authorisation procedures (including competitive (auctions) or comparative (beauty contests) selection procedures) </w:t>
      </w:r>
      <w:r w:rsidRPr="00D86314">
        <w:rPr>
          <w:rStyle w:val="normaltextrun"/>
          <w:noProof/>
        </w:rPr>
        <w:t>and issue authorisations for spectrum use under the technical conditions set-up in the Commission Implementing Decision</w:t>
      </w:r>
      <w:r w:rsidR="39D37D67" w:rsidRPr="00D86314">
        <w:rPr>
          <w:rStyle w:val="normaltextrun"/>
          <w:noProof/>
        </w:rPr>
        <w:t>s</w:t>
      </w:r>
      <w:r w:rsidR="00042662" w:rsidRPr="00D86314">
        <w:rPr>
          <w:rStyle w:val="normaltextrun"/>
          <w:noProof/>
        </w:rPr>
        <w:t xml:space="preserve"> and in line with the procedures of the EECC</w:t>
      </w:r>
      <w:r w:rsidRPr="00D86314">
        <w:rPr>
          <w:rStyle w:val="normaltextrun"/>
          <w:noProof/>
        </w:rPr>
        <w:t>.</w:t>
      </w:r>
      <w:r w:rsidR="00BE641A" w:rsidRPr="00D86314">
        <w:rPr>
          <w:rStyle w:val="normaltextrun"/>
          <w:noProof/>
        </w:rPr>
        <w:t xml:space="preserve"> </w:t>
      </w:r>
      <w:r w:rsidRPr="00D86314">
        <w:rPr>
          <w:rStyle w:val="normaltextrun"/>
          <w:noProof/>
        </w:rPr>
        <w:t>In some Member States the NRA that is represented in BEREC does not have or has only partially spectrum competences</w:t>
      </w:r>
      <w:r w:rsidR="1E654494" w:rsidRPr="00D86314">
        <w:rPr>
          <w:rStyle w:val="normaltextrun"/>
          <w:noProof/>
        </w:rPr>
        <w:t xml:space="preserve">. </w:t>
      </w:r>
      <w:r w:rsidR="003D12CB" w:rsidRPr="00D86314">
        <w:rPr>
          <w:rStyle w:val="normaltextrun"/>
          <w:noProof/>
        </w:rPr>
        <w:t>Under the EECC</w:t>
      </w:r>
      <w:r w:rsidR="00993E84" w:rsidRPr="00D86314">
        <w:rPr>
          <w:rStyle w:val="normaltextrun"/>
          <w:noProof/>
        </w:rPr>
        <w:t xml:space="preserve"> Article 5</w:t>
      </w:r>
      <w:r w:rsidR="003D12CB" w:rsidRPr="00D86314">
        <w:rPr>
          <w:rStyle w:val="normaltextrun"/>
          <w:noProof/>
        </w:rPr>
        <w:t xml:space="preserve">, where NRAs are not competent for spectrum management, they should </w:t>
      </w:r>
      <w:r w:rsidR="00993E84" w:rsidRPr="00D86314">
        <w:rPr>
          <w:rStyle w:val="normaltextrun"/>
          <w:noProof/>
        </w:rPr>
        <w:t xml:space="preserve">at least </w:t>
      </w:r>
      <w:r w:rsidR="005F40F6" w:rsidRPr="00D86314">
        <w:rPr>
          <w:rStyle w:val="normaltextrun"/>
          <w:noProof/>
        </w:rPr>
        <w:t>provide</w:t>
      </w:r>
      <w:r w:rsidR="1E654494" w:rsidRPr="00D86314">
        <w:rPr>
          <w:rStyle w:val="normaltextrun"/>
          <w:noProof/>
        </w:rPr>
        <w:t xml:space="preserve"> </w:t>
      </w:r>
      <w:r w:rsidR="00993E84" w:rsidRPr="00D86314">
        <w:rPr>
          <w:rStyle w:val="normaltextrun"/>
          <w:noProof/>
        </w:rPr>
        <w:t xml:space="preserve">advice regarding the market-shaping and competition elements of national processes related to the rights of use </w:t>
      </w:r>
      <w:r w:rsidR="00D7177A" w:rsidRPr="00D86314">
        <w:rPr>
          <w:rStyle w:val="normaltextrun"/>
          <w:noProof/>
        </w:rPr>
        <w:t xml:space="preserve">for radio spectrum for ECNS. </w:t>
      </w:r>
      <w:r w:rsidR="1E654494" w:rsidRPr="00D86314">
        <w:rPr>
          <w:rStyle w:val="normaltextrun"/>
          <w:noProof/>
        </w:rPr>
        <w:t xml:space="preserve">Moreover, even where NRAs have </w:t>
      </w:r>
      <w:r w:rsidR="00D7177A" w:rsidRPr="00D86314">
        <w:rPr>
          <w:rStyle w:val="normaltextrun"/>
          <w:noProof/>
        </w:rPr>
        <w:t>extensive</w:t>
      </w:r>
      <w:r w:rsidR="1E654494" w:rsidRPr="00D86314">
        <w:rPr>
          <w:rStyle w:val="normaltextrun"/>
          <w:noProof/>
        </w:rPr>
        <w:t xml:space="preserve"> spectrum competences, often </w:t>
      </w:r>
      <w:r w:rsidR="00D7177A" w:rsidRPr="00D86314">
        <w:rPr>
          <w:rStyle w:val="normaltextrun"/>
          <w:noProof/>
        </w:rPr>
        <w:t>it is the relevant</w:t>
      </w:r>
      <w:r w:rsidR="1E654494" w:rsidRPr="00D86314">
        <w:rPr>
          <w:rStyle w:val="normaltextrun"/>
          <w:noProof/>
        </w:rPr>
        <w:t xml:space="preserve"> Ministries participate in the RSPG, given that the task of this high-level expert group is to advise the Commission and the co-legislators on spectrum policy. </w:t>
      </w:r>
      <w:r w:rsidR="00F36F69" w:rsidRPr="00D86314">
        <w:rPr>
          <w:rStyle w:val="normaltextrun"/>
          <w:noProof/>
        </w:rPr>
        <w:t>For</w:t>
      </w:r>
      <w:r w:rsidR="3AF9C207" w:rsidRPr="00D86314">
        <w:rPr>
          <w:rStyle w:val="normaltextrun"/>
          <w:noProof/>
        </w:rPr>
        <w:t xml:space="preserve"> these reasons,</w:t>
      </w:r>
      <w:r w:rsidRPr="00D86314">
        <w:rPr>
          <w:rStyle w:val="normaltextrun"/>
          <w:noProof/>
        </w:rPr>
        <w:t xml:space="preserve"> the composition of the RSPG is different than the one for BEREC.</w:t>
      </w:r>
    </w:p>
    <w:p w14:paraId="2FF4ACBE" w14:textId="77777777" w:rsidR="00672232" w:rsidRPr="00D86314" w:rsidRDefault="00672232" w:rsidP="00A00C17">
      <w:pPr>
        <w:pStyle w:val="Text2"/>
        <w:numPr>
          <w:ilvl w:val="7"/>
          <w:numId w:val="27"/>
        </w:numPr>
        <w:spacing w:before="240"/>
        <w:ind w:left="2874" w:hanging="357"/>
        <w:rPr>
          <w:rStyle w:val="normaltextrun"/>
          <w:b/>
          <w:bCs/>
          <w:noProof/>
        </w:rPr>
      </w:pPr>
      <w:r w:rsidRPr="00D86314">
        <w:rPr>
          <w:b/>
          <w:bCs/>
          <w:noProof/>
        </w:rPr>
        <w:t>Spectrum governance in the US</w:t>
      </w:r>
    </w:p>
    <w:p w14:paraId="5C444A4B" w14:textId="383D2C05" w:rsidR="0035309E" w:rsidRPr="00D86314" w:rsidRDefault="0062650C" w:rsidP="0035309E">
      <w:pPr>
        <w:rPr>
          <w:noProof/>
        </w:rPr>
      </w:pPr>
      <w:r w:rsidRPr="00D86314">
        <w:rPr>
          <w:noProof/>
        </w:rPr>
        <w:t xml:space="preserve">The US has a </w:t>
      </w:r>
      <w:r w:rsidRPr="00D86314">
        <w:rPr>
          <w:rStyle w:val="normaltextrun"/>
          <w:noProof/>
        </w:rPr>
        <w:t>highly</w:t>
      </w:r>
      <w:r w:rsidRPr="00D86314">
        <w:rPr>
          <w:noProof/>
        </w:rPr>
        <w:t xml:space="preserve"> centralised governance based on two main bodies</w:t>
      </w:r>
      <w:r w:rsidR="00260D9E" w:rsidRPr="00D86314">
        <w:rPr>
          <w:noProof/>
        </w:rPr>
        <w:t>:</w:t>
      </w:r>
      <w:r w:rsidRPr="00D86314">
        <w:rPr>
          <w:noProof/>
        </w:rPr>
        <w:t xml:space="preserve"> the </w:t>
      </w:r>
      <w:r w:rsidRPr="00D86314">
        <w:rPr>
          <w:b/>
          <w:bCs/>
          <w:noProof/>
        </w:rPr>
        <w:t>Federal Communication Commission (FCC) and the National Telecommunications and Information Administration (NTIA)</w:t>
      </w:r>
      <w:r w:rsidRPr="00D86314">
        <w:rPr>
          <w:rStyle w:val="FootnoteReference"/>
          <w:b/>
          <w:bCs/>
          <w:noProof/>
        </w:rPr>
        <w:footnoteReference w:id="279"/>
      </w:r>
      <w:r w:rsidRPr="00D86314">
        <w:rPr>
          <w:noProof/>
        </w:rPr>
        <w:t xml:space="preserve">. </w:t>
      </w:r>
      <w:r w:rsidR="00AD605E" w:rsidRPr="00D86314">
        <w:rPr>
          <w:noProof/>
        </w:rPr>
        <w:t xml:space="preserve">Unlike the EU, where national governments and NRAs retain significant discretion over mobile licensing, satellite authorisations, coverage obligations, and authorisation processes, including auction design, </w:t>
      </w:r>
      <w:r w:rsidR="00C50D43" w:rsidRPr="00D86314">
        <w:rPr>
          <w:noProof/>
        </w:rPr>
        <w:t>US states have no role in spectrum management and only a limited role in mobile service regulation more broadly</w:t>
      </w:r>
      <w:r w:rsidR="006C3A40" w:rsidRPr="00D86314">
        <w:rPr>
          <w:noProof/>
        </w:rPr>
        <w:t>—</w:t>
      </w:r>
      <w:r w:rsidR="00C50D43" w:rsidRPr="00D86314">
        <w:rPr>
          <w:noProof/>
        </w:rPr>
        <w:t xml:space="preserve">. </w:t>
      </w:r>
      <w:r w:rsidRPr="00D86314">
        <w:rPr>
          <w:noProof/>
        </w:rPr>
        <w:t>The FCC is an independent agency that is the exclusive regulator of non-Federal spectrum use, while the NTIA (under the Department of Commerce) is the sole agency responsible for authori</w:t>
      </w:r>
      <w:r w:rsidR="00157265" w:rsidRPr="00D86314">
        <w:rPr>
          <w:noProof/>
        </w:rPr>
        <w:t>s</w:t>
      </w:r>
      <w:r w:rsidRPr="00D86314">
        <w:rPr>
          <w:noProof/>
        </w:rPr>
        <w:t>ing Federal spectrum use and is the President's principal advisor on telecommunications policies, coordinating and communicating the views of the Executive Gov</w:t>
      </w:r>
      <w:r w:rsidR="00FD0D19" w:rsidRPr="00D86314">
        <w:rPr>
          <w:noProof/>
        </w:rPr>
        <w:t>ernment</w:t>
      </w:r>
      <w:r w:rsidRPr="00D86314">
        <w:rPr>
          <w:noProof/>
        </w:rPr>
        <w:t xml:space="preserve">. </w:t>
      </w:r>
    </w:p>
    <w:p w14:paraId="23EAEE73" w14:textId="01C4D2F7" w:rsidR="009164D1" w:rsidRPr="00D86314" w:rsidRDefault="006453DD" w:rsidP="00F469D7">
      <w:pPr>
        <w:rPr>
          <w:noProof/>
        </w:rPr>
      </w:pPr>
      <w:r w:rsidRPr="00D86314">
        <w:rPr>
          <w:noProof/>
        </w:rPr>
        <w:t xml:space="preserve">The </w:t>
      </w:r>
      <w:r w:rsidR="00C50D43" w:rsidRPr="00D86314">
        <w:rPr>
          <w:noProof/>
        </w:rPr>
        <w:t>US system is not without its own internal tensions—particularly between the FCC and NTIA—</w:t>
      </w:r>
      <w:r w:rsidR="009164D1" w:rsidRPr="00D86314">
        <w:rPr>
          <w:noProof/>
        </w:rPr>
        <w:t xml:space="preserve"> but </w:t>
      </w:r>
      <w:r w:rsidR="00C50D43" w:rsidRPr="00D86314">
        <w:rPr>
          <w:noProof/>
        </w:rPr>
        <w:t>the scale and coherence of its spectrum management regime stand in stark contrast to the EU’s more fragmented landscape. Centralisation in the US yields clear economies of scale</w:t>
      </w:r>
      <w:r w:rsidR="002D2086" w:rsidRPr="00D86314">
        <w:rPr>
          <w:noProof/>
        </w:rPr>
        <w:t xml:space="preserve">, </w:t>
      </w:r>
      <w:r w:rsidR="0083122B" w:rsidRPr="00D86314">
        <w:rPr>
          <w:noProof/>
        </w:rPr>
        <w:t xml:space="preserve">as </w:t>
      </w:r>
      <w:r w:rsidR="007D3A4D" w:rsidRPr="00D86314">
        <w:rPr>
          <w:noProof/>
        </w:rPr>
        <w:t>it allows</w:t>
      </w:r>
      <w:r w:rsidR="002F54CE" w:rsidRPr="00D86314">
        <w:rPr>
          <w:noProof/>
        </w:rPr>
        <w:t xml:space="preserve"> the U</w:t>
      </w:r>
      <w:r w:rsidR="00A01462" w:rsidRPr="00D86314">
        <w:rPr>
          <w:noProof/>
        </w:rPr>
        <w:t>S</w:t>
      </w:r>
      <w:r w:rsidR="002F54CE" w:rsidRPr="00D86314">
        <w:rPr>
          <w:noProof/>
        </w:rPr>
        <w:t xml:space="preserve"> to conduct large-scale, nationally coordinated spectrum auctions with uniform licensing conditions. This facilitates rapid deployment of new technologies such as 5G and supports cross-border service provision.</w:t>
      </w:r>
      <w:r w:rsidR="00D77EF6" w:rsidRPr="00D86314">
        <w:rPr>
          <w:noProof/>
        </w:rPr>
        <w:t xml:space="preserve"> U.S. operators benefit from a single licensing regime, uniform coverage mandates, and centralised interference management—allowing them to consolidate legal, engineering, and compliance functions. This reduces transaction costs and enables more efficient planning and investment.</w:t>
      </w:r>
    </w:p>
    <w:p w14:paraId="71132FF6" w14:textId="0E4C65D2" w:rsidR="0062650C" w:rsidRPr="00D86314" w:rsidRDefault="0062650C" w:rsidP="00F469D7">
      <w:pPr>
        <w:rPr>
          <w:noProof/>
        </w:rPr>
      </w:pPr>
      <w:r w:rsidRPr="00D86314">
        <w:rPr>
          <w:noProof/>
        </w:rPr>
        <w:t>The cooperation between FCC and NTIA was institutionally strengthened by a Memorandum of Understanding in 2022</w:t>
      </w:r>
      <w:r w:rsidR="00F469D7" w:rsidRPr="00D86314">
        <w:rPr>
          <w:rStyle w:val="FootnoteReference"/>
          <w:noProof/>
        </w:rPr>
        <w:footnoteReference w:id="280"/>
      </w:r>
      <w:r w:rsidRPr="00D86314">
        <w:rPr>
          <w:noProof/>
        </w:rPr>
        <w:t>, which formalized consultation and conflict-resolution mechanisms. Via this MoU there is an increased coordination between Federal spectrum management agencies to promote the efficient use of the radio spectrum in the public interest</w:t>
      </w:r>
      <w:r w:rsidR="00C50D43" w:rsidRPr="00D86314">
        <w:rPr>
          <w:noProof/>
        </w:rPr>
        <w:t>.</w:t>
      </w:r>
    </w:p>
    <w:p w14:paraId="66130E1F" w14:textId="675819C3" w:rsidR="0062650C" w:rsidRPr="00D86314" w:rsidRDefault="0062650C" w:rsidP="00CA7523">
      <w:pPr>
        <w:spacing w:after="120"/>
        <w:rPr>
          <w:noProof/>
        </w:rPr>
      </w:pPr>
      <w:r w:rsidRPr="00D86314">
        <w:rPr>
          <w:noProof/>
        </w:rPr>
        <w:t xml:space="preserve">Further to these main bodies </w:t>
      </w:r>
      <w:r w:rsidR="00921AEC" w:rsidRPr="00D86314">
        <w:rPr>
          <w:noProof/>
        </w:rPr>
        <w:t>there are</w:t>
      </w:r>
      <w:r w:rsidRPr="00D86314">
        <w:rPr>
          <w:noProof/>
        </w:rPr>
        <w:t xml:space="preserve"> other entities which are regularly consulted by the main/lead organisations (NTIA and FCC) o</w:t>
      </w:r>
      <w:r w:rsidR="00EE1CAA" w:rsidRPr="00D86314">
        <w:rPr>
          <w:noProof/>
        </w:rPr>
        <w:t>n</w:t>
      </w:r>
      <w:r w:rsidRPr="00D86314">
        <w:rPr>
          <w:noProof/>
        </w:rPr>
        <w:t xml:space="preserve"> spectrum management</w:t>
      </w:r>
      <w:r w:rsidR="00EE1CAA" w:rsidRPr="00D86314">
        <w:rPr>
          <w:noProof/>
        </w:rPr>
        <w:t>:</w:t>
      </w:r>
      <w:r w:rsidRPr="00D86314">
        <w:rPr>
          <w:noProof/>
        </w:rPr>
        <w:t xml:space="preserve"> </w:t>
      </w:r>
    </w:p>
    <w:p w14:paraId="0411A42A" w14:textId="6ED4CEB4" w:rsidR="0062650C" w:rsidRPr="00D86314" w:rsidRDefault="0062650C" w:rsidP="00A00C17">
      <w:pPr>
        <w:numPr>
          <w:ilvl w:val="0"/>
          <w:numId w:val="30"/>
        </w:numPr>
        <w:spacing w:after="120"/>
        <w:ind w:left="714" w:hanging="357"/>
        <w:rPr>
          <w:noProof/>
        </w:rPr>
      </w:pPr>
      <w:r w:rsidRPr="00D86314">
        <w:rPr>
          <w:b/>
          <w:bCs/>
          <w:noProof/>
        </w:rPr>
        <w:t>The Interagency Spectrum Advisory Council (ISAC)</w:t>
      </w:r>
      <w:r w:rsidRPr="00D86314">
        <w:rPr>
          <w:noProof/>
        </w:rPr>
        <w:t>, established by Presidential Memorandum, serves as the principal interagency forum for senior agency officials to advise NTIA on spectrum policy matters and to ensure that all decisions made by NTIA take into consideration the diverse missions of the Federal Government.</w:t>
      </w:r>
    </w:p>
    <w:p w14:paraId="33D39E20" w14:textId="47E7911F" w:rsidR="0062650C" w:rsidRPr="00D86314" w:rsidRDefault="0062650C" w:rsidP="00A00C17">
      <w:pPr>
        <w:numPr>
          <w:ilvl w:val="0"/>
          <w:numId w:val="30"/>
        </w:numPr>
        <w:spacing w:after="120"/>
        <w:ind w:left="714" w:hanging="357"/>
        <w:rPr>
          <w:noProof/>
        </w:rPr>
      </w:pPr>
      <w:r w:rsidRPr="00D86314">
        <w:rPr>
          <w:b/>
          <w:bCs/>
          <w:noProof/>
        </w:rPr>
        <w:t>The Interdepartment Radio Advisory Committee (IRAC</w:t>
      </w:r>
      <w:r w:rsidRPr="00D86314">
        <w:rPr>
          <w:noProof/>
        </w:rPr>
        <w:t>) is used for any activity that falls within its purview, incorporating the interests of defense, security, and scientific agencies into spectrum policy</w:t>
      </w:r>
    </w:p>
    <w:p w14:paraId="5865F44F" w14:textId="77777777" w:rsidR="0062650C" w:rsidRPr="00D86314" w:rsidRDefault="0062650C" w:rsidP="00A00C17">
      <w:pPr>
        <w:numPr>
          <w:ilvl w:val="0"/>
          <w:numId w:val="30"/>
        </w:numPr>
        <w:spacing w:after="120"/>
        <w:ind w:left="714" w:hanging="357"/>
        <w:rPr>
          <w:noProof/>
        </w:rPr>
      </w:pPr>
      <w:r w:rsidRPr="00D86314">
        <w:rPr>
          <w:b/>
          <w:bCs/>
          <w:noProof/>
        </w:rPr>
        <w:t>The Commerce Spectrum Management Advisory Committee (CSMAC)</w:t>
      </w:r>
      <w:r w:rsidRPr="00D86314">
        <w:rPr>
          <w:noProof/>
        </w:rPr>
        <w:t xml:space="preserve"> represents the improved national framework for collaboration on spectrum policy envisioned in the US Spectrum Strategy that will be established to involve collaboration between non-Federal stakeholders and Federal agencies (i.e. transport), beginning after its creation, which is projected for September 2025.</w:t>
      </w:r>
    </w:p>
    <w:p w14:paraId="7CE1FE9A" w14:textId="13A7F13D" w:rsidR="000369F5" w:rsidRPr="00D86314" w:rsidRDefault="00D65C64" w:rsidP="00CA7523">
      <w:pPr>
        <w:spacing w:after="120"/>
        <w:rPr>
          <w:noProof/>
        </w:rPr>
      </w:pPr>
      <w:r w:rsidRPr="00D86314">
        <w:rPr>
          <w:noProof/>
        </w:rPr>
        <w:t xml:space="preserve">Further indications about the </w:t>
      </w:r>
      <w:r w:rsidR="002376DA" w:rsidRPr="00D86314">
        <w:rPr>
          <w:noProof/>
        </w:rPr>
        <w:t xml:space="preserve">human resources of the space section of FCC can be found in Annex </w:t>
      </w:r>
      <w:r w:rsidR="002376DA" w:rsidRPr="00D86314" w:rsidDel="005C50EF">
        <w:rPr>
          <w:noProof/>
        </w:rPr>
        <w:t>9</w:t>
      </w:r>
      <w:r w:rsidR="002376DA" w:rsidRPr="00D86314">
        <w:rPr>
          <w:noProof/>
        </w:rPr>
        <w:t>.</w:t>
      </w:r>
      <w:r w:rsidR="001A6F8F" w:rsidRPr="00D86314">
        <w:rPr>
          <w:noProof/>
        </w:rPr>
        <w:t xml:space="preserve"> </w:t>
      </w:r>
    </w:p>
    <w:p w14:paraId="77AFE939" w14:textId="23D5E23B" w:rsidR="00F2277C" w:rsidRPr="00D86314" w:rsidRDefault="00F2277C" w:rsidP="009E0C73">
      <w:pPr>
        <w:pStyle w:val="Text2"/>
        <w:numPr>
          <w:ilvl w:val="6"/>
          <w:numId w:val="27"/>
        </w:numPr>
        <w:spacing w:after="120"/>
        <w:rPr>
          <w:noProof/>
        </w:rPr>
      </w:pPr>
      <w:r w:rsidRPr="00D86314">
        <w:rPr>
          <w:b/>
          <w:bCs/>
          <w:noProof/>
        </w:rPr>
        <w:t>Overview of the US m</w:t>
      </w:r>
      <w:r w:rsidR="00A9216E" w:rsidRPr="00D86314">
        <w:rPr>
          <w:b/>
          <w:bCs/>
          <w:noProof/>
        </w:rPr>
        <w:t xml:space="preserve">obile market </w:t>
      </w:r>
    </w:p>
    <w:p w14:paraId="72A0BDEA" w14:textId="10C1185D" w:rsidR="00E8175A" w:rsidRPr="00D86314" w:rsidRDefault="00E8175A" w:rsidP="00E8175A">
      <w:pPr>
        <w:spacing w:after="120"/>
        <w:rPr>
          <w:noProof/>
        </w:rPr>
      </w:pPr>
      <w:r w:rsidRPr="00D86314">
        <w:rPr>
          <w:noProof/>
        </w:rPr>
        <w:t xml:space="preserve">The mobile market in the US is a </w:t>
      </w:r>
      <w:r w:rsidRPr="00D86314">
        <w:rPr>
          <w:b/>
          <w:bCs/>
          <w:noProof/>
        </w:rPr>
        <w:t>highly concentrated</w:t>
      </w:r>
      <w:r w:rsidRPr="00D86314">
        <w:rPr>
          <w:noProof/>
        </w:rPr>
        <w:t xml:space="preserve"> market dominated by three major nationwide players AT&amp;T, Verizon </w:t>
      </w:r>
      <w:r w:rsidR="00952BCE" w:rsidRPr="00D86314">
        <w:rPr>
          <w:noProof/>
        </w:rPr>
        <w:t xml:space="preserve">and </w:t>
      </w:r>
      <w:r w:rsidRPr="00D86314">
        <w:rPr>
          <w:noProof/>
        </w:rPr>
        <w:t>T-Mobile/Sprint wh</w:t>
      </w:r>
      <w:r w:rsidR="009852BF" w:rsidRPr="00D86314">
        <w:rPr>
          <w:noProof/>
        </w:rPr>
        <w:t xml:space="preserve">o </w:t>
      </w:r>
      <w:r w:rsidRPr="00D86314">
        <w:rPr>
          <w:noProof/>
        </w:rPr>
        <w:t xml:space="preserve">merged recently. </w:t>
      </w:r>
      <w:r w:rsidR="009852BF" w:rsidRPr="00D86314">
        <w:rPr>
          <w:noProof/>
        </w:rPr>
        <w:t>T</w:t>
      </w:r>
      <w:r w:rsidRPr="00D86314">
        <w:rPr>
          <w:noProof/>
        </w:rPr>
        <w:t>hese three service providers have networks that cover at least 95% of the U.S. population and at least 68% of U.S. road miles with their 4G LTE networks</w:t>
      </w:r>
      <w:r w:rsidR="001E5B8D" w:rsidRPr="00D86314">
        <w:rPr>
          <w:rStyle w:val="FootnoteReference"/>
          <w:noProof/>
        </w:rPr>
        <w:footnoteReference w:id="281"/>
      </w:r>
      <w:r w:rsidR="000306DA" w:rsidRPr="00D86314">
        <w:rPr>
          <w:noProof/>
        </w:rPr>
        <w:t>.</w:t>
      </w:r>
      <w:r w:rsidR="00102AA9" w:rsidRPr="00D86314">
        <w:rPr>
          <w:noProof/>
        </w:rPr>
        <w:t xml:space="preserve"> Further, there </w:t>
      </w:r>
      <w:r w:rsidR="008C5DB8" w:rsidRPr="00D86314">
        <w:rPr>
          <w:noProof/>
        </w:rPr>
        <w:t>are</w:t>
      </w:r>
      <w:r w:rsidR="00102AA9" w:rsidRPr="00D86314">
        <w:rPr>
          <w:noProof/>
        </w:rPr>
        <w:t xml:space="preserve"> </w:t>
      </w:r>
      <w:r w:rsidR="008C5DB8" w:rsidRPr="00D86314">
        <w:rPr>
          <w:noProof/>
        </w:rPr>
        <w:t>many</w:t>
      </w:r>
      <w:r w:rsidRPr="00D86314">
        <w:rPr>
          <w:noProof/>
        </w:rPr>
        <w:t xml:space="preserve"> Mobile Virtual Network Operators (MVNOs)</w:t>
      </w:r>
      <w:r w:rsidR="000306DA" w:rsidRPr="00D86314">
        <w:rPr>
          <w:rStyle w:val="FootnoteReference"/>
          <w:noProof/>
        </w:rPr>
        <w:footnoteReference w:id="282"/>
      </w:r>
      <w:r w:rsidRPr="00D86314">
        <w:rPr>
          <w:noProof/>
        </w:rPr>
        <w:t xml:space="preserve"> </w:t>
      </w:r>
      <w:r w:rsidR="00981574" w:rsidRPr="00D86314">
        <w:rPr>
          <w:noProof/>
        </w:rPr>
        <w:t>who</w:t>
      </w:r>
      <w:r w:rsidRPr="00D86314">
        <w:rPr>
          <w:noProof/>
        </w:rPr>
        <w:t xml:space="preserve"> buy wholesale spectrum access from the three major carriers and resell these services to consumers. </w:t>
      </w:r>
      <w:r w:rsidR="00102AA9" w:rsidRPr="00D86314">
        <w:rPr>
          <w:noProof/>
        </w:rPr>
        <w:t>MVNOs</w:t>
      </w:r>
      <w:r w:rsidRPr="00D86314">
        <w:rPr>
          <w:noProof/>
        </w:rPr>
        <w:t xml:space="preserve"> offer retail competition but </w:t>
      </w:r>
      <w:r w:rsidR="00102AA9" w:rsidRPr="00D86314">
        <w:rPr>
          <w:noProof/>
        </w:rPr>
        <w:t>they heavily</w:t>
      </w:r>
      <w:r w:rsidRPr="00D86314">
        <w:rPr>
          <w:noProof/>
        </w:rPr>
        <w:t xml:space="preserve"> rely on the wholesale spectrum access from the big three</w:t>
      </w:r>
      <w:r w:rsidR="00BF05E9" w:rsidRPr="00D86314">
        <w:rPr>
          <w:noProof/>
        </w:rPr>
        <w:t xml:space="preserve">. Given that </w:t>
      </w:r>
      <w:r w:rsidR="004E37DC" w:rsidRPr="00D86314">
        <w:rPr>
          <w:noProof/>
        </w:rPr>
        <w:t>they</w:t>
      </w:r>
      <w:r w:rsidRPr="00D86314">
        <w:rPr>
          <w:noProof/>
        </w:rPr>
        <w:t xml:space="preserve"> have no independent spectrum</w:t>
      </w:r>
      <w:r w:rsidR="00BF05E9" w:rsidRPr="00D86314">
        <w:rPr>
          <w:noProof/>
        </w:rPr>
        <w:t>, they</w:t>
      </w:r>
      <w:r w:rsidRPr="00D86314">
        <w:rPr>
          <w:noProof/>
        </w:rPr>
        <w:t xml:space="preserve"> cannot replicate nationwide networks</w:t>
      </w:r>
      <w:r w:rsidR="00BF05E9" w:rsidRPr="00D86314">
        <w:rPr>
          <w:noProof/>
        </w:rPr>
        <w:t xml:space="preserve"> </w:t>
      </w:r>
      <w:r w:rsidR="00ED423A" w:rsidRPr="00D86314">
        <w:rPr>
          <w:noProof/>
        </w:rPr>
        <w:t>so</w:t>
      </w:r>
      <w:r w:rsidR="00BF05E9" w:rsidRPr="00D86314">
        <w:rPr>
          <w:noProof/>
        </w:rPr>
        <w:t xml:space="preserve"> </w:t>
      </w:r>
      <w:r w:rsidR="00F56C37" w:rsidRPr="00D86314">
        <w:rPr>
          <w:noProof/>
        </w:rPr>
        <w:t>they</w:t>
      </w:r>
      <w:r w:rsidR="00BF05E9" w:rsidRPr="00D86314">
        <w:rPr>
          <w:noProof/>
        </w:rPr>
        <w:t xml:space="preserve"> can </w:t>
      </w:r>
      <w:r w:rsidR="00F56C37" w:rsidRPr="00D86314">
        <w:rPr>
          <w:noProof/>
        </w:rPr>
        <w:t xml:space="preserve">only </w:t>
      </w:r>
      <w:r w:rsidRPr="00D86314">
        <w:rPr>
          <w:noProof/>
        </w:rPr>
        <w:t xml:space="preserve">compete on pricing not on infrastructure. </w:t>
      </w:r>
    </w:p>
    <w:p w14:paraId="079C1517" w14:textId="7ADA295A" w:rsidR="00E8175A" w:rsidRPr="00D86314" w:rsidRDefault="00E8175A" w:rsidP="00E8175A">
      <w:pPr>
        <w:spacing w:after="120"/>
        <w:rPr>
          <w:noProof/>
        </w:rPr>
      </w:pPr>
      <w:r w:rsidRPr="00D86314">
        <w:rPr>
          <w:noProof/>
        </w:rPr>
        <w:t xml:space="preserve">At the same time, it should be noted that the different parts of the </w:t>
      </w:r>
      <w:r w:rsidR="00BF05E9" w:rsidRPr="00D86314">
        <w:rPr>
          <w:noProof/>
        </w:rPr>
        <w:t>US</w:t>
      </w:r>
      <w:r w:rsidRPr="00D86314">
        <w:rPr>
          <w:noProof/>
        </w:rPr>
        <w:t xml:space="preserve"> communications market are becoming </w:t>
      </w:r>
      <w:r w:rsidRPr="00D86314">
        <w:rPr>
          <w:b/>
          <w:bCs/>
          <w:noProof/>
        </w:rPr>
        <w:t>increasingly interconnected.</w:t>
      </w:r>
      <w:r w:rsidRPr="00D86314">
        <w:rPr>
          <w:noProof/>
        </w:rPr>
        <w:t xml:space="preserve"> For example</w:t>
      </w:r>
      <w:r w:rsidR="00E16A6F" w:rsidRPr="00D86314">
        <w:rPr>
          <w:noProof/>
        </w:rPr>
        <w:t>,</w:t>
      </w:r>
      <w:r w:rsidRPr="00D86314">
        <w:rPr>
          <w:noProof/>
        </w:rPr>
        <w:t xml:space="preserve"> cable companies are expanding into mobile service through Mobile Virtual Network Operators (MVNOs) that can shift traffic onto Wi-Fi</w:t>
      </w:r>
      <w:r w:rsidR="007A12DF" w:rsidRPr="00D86314">
        <w:rPr>
          <w:noProof/>
        </w:rPr>
        <w:t xml:space="preserve"> and </w:t>
      </w:r>
      <w:r w:rsidRPr="00D86314">
        <w:rPr>
          <w:noProof/>
        </w:rPr>
        <w:t>mobile operators are starting to compete with traditional home internet providers through their 5G home broadband offerings</w:t>
      </w:r>
      <w:r w:rsidR="006559BD" w:rsidRPr="00D86314">
        <w:rPr>
          <w:noProof/>
        </w:rPr>
        <w:t>.</w:t>
      </w:r>
      <w:r w:rsidR="006559BD" w:rsidRPr="00D86314">
        <w:rPr>
          <w:rStyle w:val="CommentReference"/>
          <w:noProof/>
          <w:sz w:val="24"/>
          <w:szCs w:val="24"/>
        </w:rPr>
        <w:t xml:space="preserve"> </w:t>
      </w:r>
      <w:r w:rsidRPr="00D86314">
        <w:rPr>
          <w:rStyle w:val="CommentReference"/>
          <w:noProof/>
          <w:sz w:val="24"/>
          <w:szCs w:val="24"/>
        </w:rPr>
        <w:t>I</w:t>
      </w:r>
      <w:r w:rsidRPr="00D86314">
        <w:rPr>
          <w:noProof/>
        </w:rPr>
        <w:t xml:space="preserve">n addition, the </w:t>
      </w:r>
      <w:r w:rsidR="0013297D" w:rsidRPr="00D86314">
        <w:rPr>
          <w:noProof/>
        </w:rPr>
        <w:t>FCC</w:t>
      </w:r>
      <w:r w:rsidRPr="00D86314">
        <w:rPr>
          <w:noProof/>
        </w:rPr>
        <w:t xml:space="preserve"> created the world’s first “Supplemental Coverage from Space” (SCS) </w:t>
      </w:r>
      <w:r w:rsidR="000817F6" w:rsidRPr="00D86314">
        <w:rPr>
          <w:noProof/>
        </w:rPr>
        <w:t xml:space="preserve">a </w:t>
      </w:r>
      <w:r w:rsidR="005C1935" w:rsidRPr="00D86314">
        <w:rPr>
          <w:noProof/>
        </w:rPr>
        <w:t xml:space="preserve">hybrid terrestrial and satellite legal </w:t>
      </w:r>
      <w:r w:rsidRPr="00D86314">
        <w:rPr>
          <w:noProof/>
        </w:rPr>
        <w:t xml:space="preserve">framework, which </w:t>
      </w:r>
      <w:r w:rsidR="005C1935" w:rsidRPr="00D86314">
        <w:rPr>
          <w:noProof/>
        </w:rPr>
        <w:t xml:space="preserve">allows the use of </w:t>
      </w:r>
      <w:r w:rsidRPr="00D86314">
        <w:rPr>
          <w:noProof/>
        </w:rPr>
        <w:t xml:space="preserve">advanced satellite technology to help </w:t>
      </w:r>
      <w:r w:rsidR="005C1935" w:rsidRPr="00D86314">
        <w:rPr>
          <w:noProof/>
        </w:rPr>
        <w:t>terrestrial</w:t>
      </w:r>
      <w:r w:rsidRPr="00D86314">
        <w:rPr>
          <w:noProof/>
        </w:rPr>
        <w:t xml:space="preserve"> networks reach remote and underserved areas.</w:t>
      </w:r>
    </w:p>
    <w:p w14:paraId="3BB00D04" w14:textId="527D95F1" w:rsidR="000369F5" w:rsidRPr="00D86314" w:rsidRDefault="002E00B8" w:rsidP="000369F5">
      <w:pPr>
        <w:spacing w:after="120"/>
        <w:rPr>
          <w:noProof/>
        </w:rPr>
      </w:pPr>
      <w:r w:rsidRPr="00D86314">
        <w:rPr>
          <w:noProof/>
        </w:rPr>
        <w:t xml:space="preserve">The structural concentration of </w:t>
      </w:r>
      <w:r w:rsidR="00AB3F36" w:rsidRPr="00D86314">
        <w:rPr>
          <w:noProof/>
        </w:rPr>
        <w:t xml:space="preserve">the US mobile market </w:t>
      </w:r>
      <w:r w:rsidR="005F3C90" w:rsidRPr="00D86314">
        <w:rPr>
          <w:noProof/>
        </w:rPr>
        <w:t>i</w:t>
      </w:r>
      <w:r w:rsidR="00AB3F36" w:rsidRPr="00D86314">
        <w:rPr>
          <w:noProof/>
        </w:rPr>
        <w:t>s driven by the spectr</w:t>
      </w:r>
      <w:r w:rsidR="005F3C90" w:rsidRPr="00D86314">
        <w:rPr>
          <w:noProof/>
        </w:rPr>
        <w:t xml:space="preserve">um </w:t>
      </w:r>
      <w:r w:rsidR="005D5767" w:rsidRPr="00D86314">
        <w:rPr>
          <w:noProof/>
        </w:rPr>
        <w:t>aggregation (spectrum holdings)</w:t>
      </w:r>
      <w:r w:rsidR="001C5110" w:rsidRPr="00D86314">
        <w:rPr>
          <w:noProof/>
        </w:rPr>
        <w:t xml:space="preserve"> and </w:t>
      </w:r>
      <w:r w:rsidR="005D5767" w:rsidRPr="00D86314">
        <w:rPr>
          <w:noProof/>
        </w:rPr>
        <w:t xml:space="preserve">high </w:t>
      </w:r>
      <w:r w:rsidR="009207F4" w:rsidRPr="00D86314">
        <w:rPr>
          <w:noProof/>
        </w:rPr>
        <w:t>barriers of entr</w:t>
      </w:r>
      <w:r w:rsidR="009170DC" w:rsidRPr="00D86314">
        <w:rPr>
          <w:noProof/>
        </w:rPr>
        <w:t xml:space="preserve">y. </w:t>
      </w:r>
      <w:r w:rsidR="00843036" w:rsidRPr="00D86314">
        <w:rPr>
          <w:b/>
          <w:bCs/>
          <w:noProof/>
        </w:rPr>
        <w:t>S</w:t>
      </w:r>
      <w:r w:rsidR="00060638" w:rsidRPr="00D86314">
        <w:rPr>
          <w:b/>
          <w:bCs/>
          <w:noProof/>
        </w:rPr>
        <w:t>pectrum holdings</w:t>
      </w:r>
      <w:r w:rsidR="00060638" w:rsidRPr="00D86314">
        <w:rPr>
          <w:noProof/>
        </w:rPr>
        <w:t xml:space="preserve"> – i.e.</w:t>
      </w:r>
      <w:r w:rsidR="009A7D70" w:rsidRPr="00D86314">
        <w:rPr>
          <w:noProof/>
        </w:rPr>
        <w:t>, the amount of radio-frequency spectrum licenses that mobile operators use to run their networks</w:t>
      </w:r>
      <w:r w:rsidR="00060638" w:rsidRPr="00D86314">
        <w:rPr>
          <w:noProof/>
        </w:rPr>
        <w:t xml:space="preserve"> – are competitive factors that affect </w:t>
      </w:r>
      <w:r w:rsidR="001A45FA" w:rsidRPr="00D86314">
        <w:rPr>
          <w:noProof/>
        </w:rPr>
        <w:t xml:space="preserve">the US </w:t>
      </w:r>
      <w:r w:rsidR="00060638" w:rsidRPr="00D86314">
        <w:rPr>
          <w:noProof/>
        </w:rPr>
        <w:t xml:space="preserve">mobile market structure. In the US, the mobile operators </w:t>
      </w:r>
      <w:r w:rsidR="00F2134E" w:rsidRPr="00D86314">
        <w:rPr>
          <w:noProof/>
        </w:rPr>
        <w:t>AT</w:t>
      </w:r>
      <w:r w:rsidR="00F2134E" w:rsidRPr="00C20A01">
        <w:rPr>
          <w:noProof/>
        </w:rPr>
        <w:t xml:space="preserve">&amp;T, T-Mobile and Verizon together control </w:t>
      </w:r>
      <w:r w:rsidR="00464FEE" w:rsidRPr="00C20A01">
        <w:rPr>
          <w:noProof/>
        </w:rPr>
        <w:t>the vast majority</w:t>
      </w:r>
      <w:r w:rsidR="00DF45A8" w:rsidRPr="00C20A01">
        <w:rPr>
          <w:noProof/>
        </w:rPr>
        <w:t xml:space="preserve"> of </w:t>
      </w:r>
      <w:r w:rsidR="00950B76" w:rsidRPr="00C20A01">
        <w:rPr>
          <w:noProof/>
        </w:rPr>
        <w:t>the</w:t>
      </w:r>
      <w:r w:rsidR="00DF45A8" w:rsidRPr="00C20A01">
        <w:rPr>
          <w:noProof/>
        </w:rPr>
        <w:t xml:space="preserve"> US </w:t>
      </w:r>
      <w:r w:rsidR="00560FA3" w:rsidRPr="00C20A01">
        <w:rPr>
          <w:noProof/>
        </w:rPr>
        <w:t xml:space="preserve">terrrestrial </w:t>
      </w:r>
      <w:r w:rsidR="00DF45A8" w:rsidRPr="00C20A01">
        <w:rPr>
          <w:noProof/>
        </w:rPr>
        <w:t>specturm.</w:t>
      </w:r>
      <w:r w:rsidR="000369F5" w:rsidRPr="00D86314">
        <w:rPr>
          <w:noProof/>
        </w:rPr>
        <w:t xml:space="preserve"> These holdings create strong asymmetric advantages that prevent equal competition. </w:t>
      </w:r>
    </w:p>
    <w:p w14:paraId="2167511E" w14:textId="632CF024" w:rsidR="00991878" w:rsidRPr="00D86314" w:rsidRDefault="000369F5" w:rsidP="00E8175A">
      <w:pPr>
        <w:spacing w:after="120"/>
        <w:rPr>
          <w:noProof/>
        </w:rPr>
      </w:pPr>
      <w:r w:rsidRPr="00D86314">
        <w:rPr>
          <w:noProof/>
        </w:rPr>
        <w:t xml:space="preserve">Table </w:t>
      </w:r>
      <w:r w:rsidR="00C27581" w:rsidRPr="00D86314">
        <w:rPr>
          <w:noProof/>
        </w:rPr>
        <w:t>A10 1-</w:t>
      </w:r>
      <w:r w:rsidRPr="00D86314">
        <w:rPr>
          <w:noProof/>
        </w:rPr>
        <w:t xml:space="preserve">2 below, </w:t>
      </w:r>
      <w:r w:rsidR="00FB0E8E" w:rsidRPr="00D86314">
        <w:rPr>
          <w:noProof/>
        </w:rPr>
        <w:t xml:space="preserve">indicates that in the </w:t>
      </w:r>
      <w:r w:rsidR="00805820" w:rsidRPr="00D86314">
        <w:rPr>
          <w:noProof/>
        </w:rPr>
        <w:t xml:space="preserve">US </w:t>
      </w:r>
      <w:r w:rsidRPr="00D86314">
        <w:rPr>
          <w:noProof/>
        </w:rPr>
        <w:t xml:space="preserve">Low-band </w:t>
      </w:r>
      <w:r w:rsidR="0011480B" w:rsidRPr="00D86314">
        <w:rPr>
          <w:noProof/>
        </w:rPr>
        <w:t>and Mid-band</w:t>
      </w:r>
      <w:r w:rsidRPr="00D86314">
        <w:rPr>
          <w:noProof/>
        </w:rPr>
        <w:t xml:space="preserve"> spectrum is dominated by</w:t>
      </w:r>
      <w:r w:rsidR="00E872A0" w:rsidRPr="00D86314">
        <w:rPr>
          <w:noProof/>
        </w:rPr>
        <w:t xml:space="preserve"> T-Mobile, </w:t>
      </w:r>
      <w:r w:rsidRPr="00D86314">
        <w:rPr>
          <w:noProof/>
        </w:rPr>
        <w:t>AT&amp;T and Verizon.</w:t>
      </w:r>
      <w:r w:rsidR="00E07697" w:rsidRPr="00D86314">
        <w:rPr>
          <w:noProof/>
        </w:rPr>
        <w:t xml:space="preserve"> In</w:t>
      </w:r>
      <w:r w:rsidR="008879AA" w:rsidRPr="00C20A01">
        <w:rPr>
          <w:noProof/>
        </w:rPr>
        <w:t xml:space="preserve"> summer 2025 Echostar sold to AT&amp;T spectrum licenses in the 3.45 GHz and 600 MHz bands</w:t>
      </w:r>
      <w:r w:rsidR="00A574DC" w:rsidRPr="00C20A01">
        <w:rPr>
          <w:noProof/>
        </w:rPr>
        <w:t>,</w:t>
      </w:r>
      <w:r w:rsidR="008879AA" w:rsidRPr="00C20A01">
        <w:rPr>
          <w:noProof/>
        </w:rPr>
        <w:t xml:space="preserve"> a total of 50 MHz of nationwide spectrum, </w:t>
      </w:r>
      <w:r w:rsidR="00F8515F" w:rsidRPr="00C20A01">
        <w:rPr>
          <w:noProof/>
        </w:rPr>
        <w:t>increasing</w:t>
      </w:r>
      <w:r w:rsidR="008879AA" w:rsidRPr="00C20A01">
        <w:rPr>
          <w:noProof/>
        </w:rPr>
        <w:t xml:space="preserve"> </w:t>
      </w:r>
      <w:r w:rsidR="00A574DC" w:rsidRPr="00C20A01">
        <w:rPr>
          <w:noProof/>
        </w:rPr>
        <w:t>the spectrum concentration</w:t>
      </w:r>
      <w:r w:rsidR="00FD7174" w:rsidRPr="00C20A01">
        <w:rPr>
          <w:noProof/>
        </w:rPr>
        <w:t xml:space="preserve"> in the US </w:t>
      </w:r>
      <w:r w:rsidR="00A26AD9" w:rsidRPr="00C20A01">
        <w:rPr>
          <w:noProof/>
        </w:rPr>
        <w:t>market.</w:t>
      </w:r>
    </w:p>
    <w:p w14:paraId="69B697B9" w14:textId="3E576D7D" w:rsidR="009A7D70" w:rsidRPr="00C20A01" w:rsidRDefault="00587144" w:rsidP="00C27581">
      <w:pPr>
        <w:keepNext/>
        <w:spacing w:before="240" w:after="120"/>
        <w:rPr>
          <w:noProof/>
          <w:sz w:val="22"/>
          <w:szCs w:val="22"/>
        </w:rPr>
      </w:pPr>
      <w:r w:rsidRPr="00C20A01">
        <w:rPr>
          <w:noProof/>
          <w:sz w:val="22"/>
          <w:szCs w:val="22"/>
        </w:rPr>
        <w:t xml:space="preserve">Table </w:t>
      </w:r>
      <w:r w:rsidR="00AC3376" w:rsidRPr="00C20A01">
        <w:rPr>
          <w:noProof/>
          <w:sz w:val="22"/>
          <w:szCs w:val="22"/>
        </w:rPr>
        <w:t>A10 1-</w:t>
      </w:r>
      <w:r w:rsidRPr="00C20A01">
        <w:rPr>
          <w:noProof/>
          <w:sz w:val="22"/>
          <w:szCs w:val="22"/>
        </w:rPr>
        <w:t>2:</w:t>
      </w:r>
      <w:r w:rsidR="001C0492" w:rsidRPr="00D86314">
        <w:rPr>
          <w:noProof/>
          <w:sz w:val="22"/>
          <w:szCs w:val="22"/>
        </w:rPr>
        <w:t xml:space="preserve"> </w:t>
      </w:r>
      <w:r w:rsidR="001C0492" w:rsidRPr="00C20A01">
        <w:rPr>
          <w:noProof/>
          <w:sz w:val="22"/>
          <w:szCs w:val="22"/>
        </w:rPr>
        <w:t>Spectrum assigned to US network operators, sorted by band</w:t>
      </w:r>
    </w:p>
    <w:p w14:paraId="057D58A8" w14:textId="3A4C727E" w:rsidR="00E8175A" w:rsidRPr="00D86314" w:rsidRDefault="00E8175A" w:rsidP="00CA7523">
      <w:pPr>
        <w:spacing w:after="120"/>
        <w:rPr>
          <w:noProof/>
        </w:rPr>
      </w:pPr>
    </w:p>
    <w:p w14:paraId="21FA0505" w14:textId="20FD1263" w:rsidR="009D5079" w:rsidRPr="00D86314" w:rsidRDefault="009D5079" w:rsidP="008A6D60">
      <w:pPr>
        <w:spacing w:after="120"/>
        <w:jc w:val="center"/>
        <w:rPr>
          <w:noProof/>
        </w:rPr>
      </w:pPr>
      <w:r w:rsidRPr="00CA2C0B">
        <w:rPr>
          <w:noProof/>
          <w:lang w:eastAsia="en-GB"/>
        </w:rPr>
        <w:drawing>
          <wp:inline distT="0" distB="0" distL="0" distR="0" wp14:anchorId="27B71444" wp14:editId="026E1D37">
            <wp:extent cx="3990975" cy="2447925"/>
            <wp:effectExtent l="0" t="0" r="0" b="9525"/>
            <wp:docPr id="928488311"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88311" name="Picture 1" descr="A graph of different colored squares&#10;&#10;AI-generated content may be incorrect."/>
                    <pic:cNvPicPr/>
                  </pic:nvPicPr>
                  <pic:blipFill>
                    <a:blip r:embed="rId173"/>
                    <a:stretch>
                      <a:fillRect/>
                    </a:stretch>
                  </pic:blipFill>
                  <pic:spPr>
                    <a:xfrm>
                      <a:off x="0" y="0"/>
                      <a:ext cx="3997049" cy="2451651"/>
                    </a:xfrm>
                    <a:prstGeom prst="rect">
                      <a:avLst/>
                    </a:prstGeom>
                  </pic:spPr>
                </pic:pic>
              </a:graphicData>
            </a:graphic>
          </wp:inline>
        </w:drawing>
      </w:r>
    </w:p>
    <w:p w14:paraId="503476BF" w14:textId="4A577B1C" w:rsidR="00587144" w:rsidRPr="00C20A01" w:rsidRDefault="4842A03A" w:rsidP="521895E5">
      <w:pPr>
        <w:spacing w:after="120"/>
        <w:jc w:val="right"/>
        <w:rPr>
          <w:i/>
          <w:iCs/>
          <w:noProof/>
          <w:sz w:val="20"/>
          <w:szCs w:val="20"/>
        </w:rPr>
      </w:pPr>
      <w:r w:rsidRPr="00C20A01">
        <w:rPr>
          <w:i/>
          <w:iCs/>
          <w:noProof/>
          <w:sz w:val="20"/>
          <w:szCs w:val="20"/>
        </w:rPr>
        <w:t>Source:</w:t>
      </w:r>
      <w:r w:rsidR="0F2FE254" w:rsidRPr="00C20A01">
        <w:rPr>
          <w:i/>
          <w:iCs/>
          <w:noProof/>
          <w:sz w:val="20"/>
          <w:szCs w:val="20"/>
        </w:rPr>
        <w:t xml:space="preserve"> </w:t>
      </w:r>
      <w:r w:rsidR="1CAF2F32" w:rsidRPr="00C20A01">
        <w:rPr>
          <w:i/>
          <w:iCs/>
          <w:noProof/>
          <w:sz w:val="20"/>
          <w:szCs w:val="20"/>
        </w:rPr>
        <w:t>PolicyTracker</w:t>
      </w:r>
      <w:r w:rsidR="2F3F513C" w:rsidRPr="00C20A01">
        <w:rPr>
          <w:i/>
          <w:iCs/>
          <w:noProof/>
          <w:sz w:val="20"/>
          <w:szCs w:val="20"/>
        </w:rPr>
        <w:t>, 202</w:t>
      </w:r>
      <w:r w:rsidR="1CAF2F32" w:rsidRPr="00C20A01">
        <w:rPr>
          <w:i/>
          <w:iCs/>
          <w:noProof/>
          <w:sz w:val="20"/>
          <w:szCs w:val="20"/>
        </w:rPr>
        <w:t>5</w:t>
      </w:r>
    </w:p>
    <w:p w14:paraId="49046B4C" w14:textId="1874C03A" w:rsidR="001A61C9" w:rsidRPr="00C20A01" w:rsidRDefault="001A61C9" w:rsidP="00023A15">
      <w:pPr>
        <w:spacing w:after="120"/>
        <w:rPr>
          <w:noProof/>
        </w:rPr>
      </w:pPr>
      <w:r w:rsidRPr="00D86314">
        <w:rPr>
          <w:noProof/>
        </w:rPr>
        <w:t xml:space="preserve">In sum, the </w:t>
      </w:r>
      <w:r w:rsidR="006A42F1" w:rsidRPr="00D86314">
        <w:rPr>
          <w:noProof/>
        </w:rPr>
        <w:t xml:space="preserve">US market is characterised by </w:t>
      </w:r>
      <w:r w:rsidRPr="00D86314">
        <w:rPr>
          <w:noProof/>
        </w:rPr>
        <w:t>concentration of spectrum holdings—</w:t>
      </w:r>
      <w:r w:rsidR="00A042A8" w:rsidRPr="00D86314">
        <w:rPr>
          <w:noProof/>
        </w:rPr>
        <w:t xml:space="preserve">more than </w:t>
      </w:r>
      <w:r w:rsidRPr="00D86314">
        <w:rPr>
          <w:noProof/>
        </w:rPr>
        <w:t>82%</w:t>
      </w:r>
      <w:r w:rsidR="007252ED" w:rsidRPr="00C20A01">
        <w:rPr>
          <w:rStyle w:val="FootnoteReference"/>
          <w:noProof/>
        </w:rPr>
        <w:footnoteReference w:id="283"/>
      </w:r>
      <w:r w:rsidR="00A042A8" w:rsidRPr="00D86314">
        <w:rPr>
          <w:noProof/>
        </w:rPr>
        <w:t xml:space="preserve"> of spectrum</w:t>
      </w:r>
      <w:r w:rsidRPr="00D86314">
        <w:rPr>
          <w:noProof/>
        </w:rPr>
        <w:t xml:space="preserve"> controlled by three operators—, an uneven distribution of valuable mid- and low-band spectrum, and the absence of a fully established fourth competitor, </w:t>
      </w:r>
      <w:r w:rsidR="6AC2AC03" w:rsidRPr="00D86314">
        <w:rPr>
          <w:noProof/>
        </w:rPr>
        <w:t xml:space="preserve">which </w:t>
      </w:r>
      <w:r w:rsidRPr="00D86314">
        <w:rPr>
          <w:noProof/>
        </w:rPr>
        <w:t xml:space="preserve">indicate that the market functions more like a </w:t>
      </w:r>
      <w:r w:rsidR="31CEBAD5" w:rsidRPr="00D86314">
        <w:rPr>
          <w:noProof/>
        </w:rPr>
        <w:t>three-player oligopoly</w:t>
      </w:r>
      <w:r w:rsidR="00EC1630" w:rsidRPr="00D86314">
        <w:rPr>
          <w:noProof/>
        </w:rPr>
        <w:t>.</w:t>
      </w:r>
    </w:p>
    <w:p w14:paraId="0BCD6CBE" w14:textId="3F41FDAB" w:rsidR="002E1129" w:rsidRPr="00D86314" w:rsidRDefault="007E3AD6" w:rsidP="000C363C">
      <w:pPr>
        <w:spacing w:after="120"/>
        <w:rPr>
          <w:rFonts w:eastAsia="Times New Roman"/>
          <w:b/>
          <w:smallCaps/>
          <w:noProof/>
          <w:sz w:val="32"/>
          <w:szCs w:val="20"/>
        </w:rPr>
      </w:pPr>
      <w:r w:rsidRPr="00D86314" w:rsidDel="007E3AD6">
        <w:rPr>
          <w:rStyle w:val="FootnoteReference"/>
          <w:noProof/>
        </w:rPr>
        <w:t xml:space="preserve"> </w:t>
      </w:r>
      <w:r w:rsidR="002E1129" w:rsidRPr="00D86314">
        <w:rPr>
          <w:noProof/>
        </w:rPr>
        <w:br w:type="page"/>
      </w:r>
    </w:p>
    <w:p w14:paraId="62D17F47" w14:textId="426D7A9E" w:rsidR="002E1129" w:rsidRPr="00D86314" w:rsidRDefault="002E1129" w:rsidP="00703057">
      <w:pPr>
        <w:pStyle w:val="Heading1"/>
        <w:numPr>
          <w:ilvl w:val="0"/>
          <w:numId w:val="0"/>
        </w:numPr>
        <w:ind w:left="432" w:hanging="432"/>
        <w:rPr>
          <w:noProof/>
          <w:lang w:val="en-GB"/>
        </w:rPr>
      </w:pPr>
      <w:bookmarkStart w:id="340" w:name="_Toc219718474"/>
      <w:r w:rsidRPr="00D86314">
        <w:rPr>
          <w:noProof/>
          <w:lang w:val="en-GB"/>
        </w:rPr>
        <w:t xml:space="preserve">Annex </w:t>
      </w:r>
      <w:r w:rsidR="009A3F67" w:rsidRPr="00D86314">
        <w:rPr>
          <w:noProof/>
          <w:lang w:val="en-GB"/>
        </w:rPr>
        <w:t>1</w:t>
      </w:r>
      <w:r w:rsidR="002B60EE" w:rsidRPr="00D86314">
        <w:rPr>
          <w:noProof/>
          <w:lang w:val="en-GB"/>
        </w:rPr>
        <w:t>1</w:t>
      </w:r>
      <w:r w:rsidRPr="00D86314">
        <w:rPr>
          <w:noProof/>
          <w:lang w:val="en-GB"/>
        </w:rPr>
        <w:t>: Evaluation: Review Report on the EECC and related Acts</w:t>
      </w:r>
      <w:bookmarkEnd w:id="340"/>
    </w:p>
    <w:p w14:paraId="38FFBED2" w14:textId="714428CB" w:rsidR="002E1129" w:rsidRPr="00291075" w:rsidRDefault="002E1129" w:rsidP="00CA7523">
      <w:pPr>
        <w:spacing w:after="200" w:line="276" w:lineRule="auto"/>
        <w:jc w:val="left"/>
        <w:rPr>
          <w:noProof/>
        </w:rPr>
      </w:pPr>
      <w:r w:rsidRPr="00D86314">
        <w:rPr>
          <w:noProof/>
        </w:rPr>
        <w:t>Please, find the Annex in a separate file.</w:t>
      </w:r>
    </w:p>
    <w:sectPr w:rsidR="002E1129" w:rsidRPr="00291075" w:rsidSect="00A551C7">
      <w:headerReference w:type="default" r:id="rId174"/>
      <w:footerReference w:type="default" r:id="rId175"/>
      <w:headerReference w:type="first" r:id="rId176"/>
      <w:footerReference w:type="first" r:id="rId177"/>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BD7DD" w14:textId="77777777" w:rsidR="00B35175" w:rsidRPr="00D86314" w:rsidRDefault="00B35175" w:rsidP="000E3086">
      <w:r w:rsidRPr="00D86314">
        <w:separator/>
      </w:r>
    </w:p>
  </w:endnote>
  <w:endnote w:type="continuationSeparator" w:id="0">
    <w:p w14:paraId="1FE1C692" w14:textId="77777777" w:rsidR="00B35175" w:rsidRPr="00D86314" w:rsidRDefault="00B35175" w:rsidP="000E3086">
      <w:r w:rsidRPr="00D86314">
        <w:continuationSeparator/>
      </w:r>
    </w:p>
  </w:endnote>
  <w:endnote w:type="continuationNotice" w:id="1">
    <w:p w14:paraId="0CB8957F" w14:textId="77777777" w:rsidR="00B35175" w:rsidRPr="00D86314" w:rsidRDefault="00B3517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EYInterstate Light">
    <w:altName w:val="Cambria"/>
    <w:panose1 w:val="00000000000000000000"/>
    <w:charset w:val="00"/>
    <w:family w:val="roman"/>
    <w:notTrueType/>
    <w:pitch w:val="default"/>
  </w:font>
  <w:font w:name="Aptos Narrow">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A853B" w14:textId="3DA0DF3D" w:rsidR="00B046D9" w:rsidRPr="00B046D9" w:rsidRDefault="00B046D9" w:rsidP="00B046D9">
    <w:pPr>
      <w:pStyle w:val="FooterCoverPage"/>
      <w:rPr>
        <w:rFonts w:ascii="Arial" w:hAnsi="Arial" w:cs="Arial"/>
        <w:b/>
        <w:sz w:val="48"/>
      </w:rPr>
    </w:pPr>
    <w:r w:rsidRPr="00B046D9">
      <w:rPr>
        <w:rFonts w:ascii="Arial" w:hAnsi="Arial" w:cs="Arial"/>
        <w:b/>
        <w:sz w:val="48"/>
      </w:rPr>
      <w:t>EN</w:t>
    </w:r>
    <w:r w:rsidRPr="00B046D9">
      <w:rPr>
        <w:rFonts w:ascii="Arial" w:hAnsi="Arial" w:cs="Arial"/>
        <w:b/>
        <w:sz w:val="48"/>
      </w:rPr>
      <w:tab/>
    </w:r>
    <w:r w:rsidRPr="00B046D9">
      <w:rPr>
        <w:rFonts w:ascii="Arial" w:hAnsi="Arial" w:cs="Arial"/>
        <w:b/>
        <w:sz w:val="48"/>
      </w:rPr>
      <w:tab/>
    </w:r>
    <w:r w:rsidRPr="00B046D9">
      <w:tab/>
    </w:r>
    <w:r w:rsidRPr="00B046D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F58FF" w14:textId="4451C700" w:rsidR="00B046D9" w:rsidRPr="00B046D9" w:rsidRDefault="00B046D9" w:rsidP="00B046D9">
    <w:pPr>
      <w:pStyle w:val="FooterCoverPage"/>
      <w:rPr>
        <w:rFonts w:ascii="Arial" w:hAnsi="Arial" w:cs="Arial"/>
        <w:b/>
        <w:sz w:val="48"/>
      </w:rPr>
    </w:pPr>
    <w:r w:rsidRPr="00B046D9">
      <w:rPr>
        <w:rFonts w:ascii="Arial" w:hAnsi="Arial" w:cs="Arial"/>
        <w:b/>
        <w:sz w:val="48"/>
      </w:rPr>
      <w:t>EN</w:t>
    </w:r>
    <w:r w:rsidRPr="00B046D9">
      <w:rPr>
        <w:rFonts w:ascii="Arial" w:hAnsi="Arial" w:cs="Arial"/>
        <w:b/>
        <w:sz w:val="48"/>
      </w:rPr>
      <w:tab/>
    </w:r>
    <w:r w:rsidRPr="00B046D9">
      <w:rPr>
        <w:rFonts w:ascii="Arial" w:hAnsi="Arial" w:cs="Arial"/>
        <w:b/>
        <w:sz w:val="48"/>
      </w:rPr>
      <w:tab/>
    </w:r>
    <w:r w:rsidRPr="00B046D9">
      <w:tab/>
    </w:r>
    <w:r w:rsidRPr="00B046D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982C" w14:textId="77777777" w:rsidR="00B046D9" w:rsidRPr="00B046D9" w:rsidRDefault="00B046D9" w:rsidP="00B046D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68444" w14:textId="77777777" w:rsidR="00B9392F" w:rsidRPr="00D86314" w:rsidRDefault="00B939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66ACD" w14:textId="0D958DB9" w:rsidR="00CB14B2" w:rsidRPr="00D86314" w:rsidRDefault="00CB14B2" w:rsidP="00F92EAE">
    <w:pPr>
      <w:pStyle w:val="Footer"/>
      <w:jc w:val="center"/>
    </w:pPr>
    <w:r w:rsidRPr="00D86314">
      <w:fldChar w:fldCharType="begin"/>
    </w:r>
    <w:r w:rsidRPr="00D86314">
      <w:instrText>PAGE</w:instrText>
    </w:r>
    <w:r w:rsidRPr="00D86314">
      <w:fldChar w:fldCharType="separate"/>
    </w:r>
    <w:r w:rsidR="00B046D9">
      <w:rPr>
        <w:noProof/>
      </w:rPr>
      <w:t>2</w:t>
    </w:r>
    <w:r w:rsidRPr="00D8631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478808"/>
      <w:docPartObj>
        <w:docPartGallery w:val="Page Numbers (Bottom of Page)"/>
        <w:docPartUnique/>
      </w:docPartObj>
    </w:sdtPr>
    <w:sdtEndPr/>
    <w:sdtContent>
      <w:p w14:paraId="1047D383" w14:textId="4C4E1723" w:rsidR="00CB14B2" w:rsidRPr="00D86314" w:rsidRDefault="00CB14B2" w:rsidP="001F198F">
        <w:pPr>
          <w:pStyle w:val="Footer"/>
          <w:jc w:val="center"/>
        </w:pPr>
        <w:r w:rsidRPr="00D86314">
          <w:fldChar w:fldCharType="begin"/>
        </w:r>
        <w:r w:rsidRPr="00D86314">
          <w:instrText xml:space="preserve"> PAGE   \* MERGEFORMAT </w:instrText>
        </w:r>
        <w:r w:rsidRPr="00D86314">
          <w:fldChar w:fldCharType="separate"/>
        </w:r>
        <w:r w:rsidR="00B046D9">
          <w:rPr>
            <w:noProof/>
          </w:rPr>
          <w:t>1</w:t>
        </w:r>
        <w:r w:rsidRPr="00D86314">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A074D" w14:textId="77777777" w:rsidR="0063721D" w:rsidRPr="00D86314" w:rsidRDefault="0063721D" w:rsidP="00F92EAE">
    <w:pPr>
      <w:pStyle w:val="Footer"/>
      <w:jc w:val="center"/>
    </w:pPr>
    <w:r w:rsidRPr="00D86314">
      <w:fldChar w:fldCharType="begin"/>
    </w:r>
    <w:r w:rsidRPr="00D86314">
      <w:instrText>PAGE</w:instrText>
    </w:r>
    <w:r w:rsidRPr="00D86314">
      <w:fldChar w:fldCharType="separate"/>
    </w:r>
    <w:r w:rsidRPr="00D86314">
      <w:t>7</w:t>
    </w:r>
    <w:r w:rsidRPr="00D86314">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3451D" w14:textId="77777777" w:rsidR="0063721D" w:rsidRPr="00D86314" w:rsidRDefault="0063721D" w:rsidP="00F92EAE">
    <w:pPr>
      <w:pStyle w:val="Footer"/>
      <w:jc w:val="center"/>
    </w:pPr>
    <w:r w:rsidRPr="00D86314">
      <w:fldChar w:fldCharType="begin"/>
    </w:r>
    <w:r w:rsidRPr="00D86314">
      <w:instrText>PAGE</w:instrText>
    </w:r>
    <w:r w:rsidRPr="00D86314">
      <w:fldChar w:fldCharType="separate"/>
    </w:r>
    <w:r w:rsidRPr="00D86314">
      <w:t>7</w:t>
    </w:r>
    <w:r w:rsidRPr="00D86314">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600505"/>
      <w:docPartObj>
        <w:docPartGallery w:val="Page Numbers (Bottom of Page)"/>
        <w:docPartUnique/>
      </w:docPartObj>
    </w:sdtPr>
    <w:sdtEndPr/>
    <w:sdtContent>
      <w:p w14:paraId="52770506" w14:textId="77777777" w:rsidR="0063721D" w:rsidRPr="00D86314" w:rsidRDefault="0063721D" w:rsidP="001F198F">
        <w:pPr>
          <w:pStyle w:val="Footer"/>
          <w:jc w:val="center"/>
        </w:pPr>
        <w:r w:rsidRPr="00D86314">
          <w:fldChar w:fldCharType="begin"/>
        </w:r>
        <w:r w:rsidRPr="00D86314">
          <w:instrText xml:space="preserve"> PAGE   \* MERGEFORMAT </w:instrText>
        </w:r>
        <w:r w:rsidRPr="00D86314">
          <w:fldChar w:fldCharType="separate"/>
        </w:r>
        <w:r w:rsidRPr="00D86314">
          <w:t>1</w:t>
        </w:r>
        <w:r w:rsidRPr="00D86314">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AAED3" w14:textId="77777777" w:rsidR="0063721D" w:rsidRPr="00D86314" w:rsidRDefault="0063721D" w:rsidP="00F92EAE">
    <w:pPr>
      <w:pStyle w:val="Footer"/>
      <w:jc w:val="center"/>
    </w:pPr>
    <w:r w:rsidRPr="00D86314">
      <w:fldChar w:fldCharType="begin"/>
    </w:r>
    <w:r w:rsidRPr="00D86314">
      <w:instrText>PAGE</w:instrText>
    </w:r>
    <w:r w:rsidRPr="00D86314">
      <w:fldChar w:fldCharType="separate"/>
    </w:r>
    <w:r w:rsidRPr="00D86314">
      <w:t>7</w:t>
    </w:r>
    <w:r w:rsidRPr="00D86314">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0E5D4" w14:textId="77777777" w:rsidR="0063721D" w:rsidRPr="00D86314" w:rsidRDefault="0063721D" w:rsidP="00F92EAE">
    <w:pPr>
      <w:pStyle w:val="Footer"/>
      <w:jc w:val="center"/>
    </w:pPr>
    <w:r w:rsidRPr="00D86314">
      <w:fldChar w:fldCharType="begin"/>
    </w:r>
    <w:r w:rsidRPr="00D86314">
      <w:instrText>PAGE</w:instrText>
    </w:r>
    <w:r w:rsidRPr="00D86314">
      <w:fldChar w:fldCharType="separate"/>
    </w:r>
    <w:r w:rsidRPr="00D86314">
      <w:t>7</w:t>
    </w:r>
    <w:r w:rsidRPr="00D86314">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453119"/>
      <w:docPartObj>
        <w:docPartGallery w:val="Page Numbers (Bottom of Page)"/>
        <w:docPartUnique/>
      </w:docPartObj>
    </w:sdtPr>
    <w:sdtEndPr/>
    <w:sdtContent>
      <w:p w14:paraId="081E9241" w14:textId="77777777" w:rsidR="0063721D" w:rsidRPr="00D86314" w:rsidRDefault="0063721D" w:rsidP="001F198F">
        <w:pPr>
          <w:pStyle w:val="Footer"/>
          <w:jc w:val="center"/>
        </w:pPr>
        <w:r w:rsidRPr="00D86314">
          <w:fldChar w:fldCharType="begin"/>
        </w:r>
        <w:r w:rsidRPr="00D86314">
          <w:instrText xml:space="preserve"> PAGE   \* MERGEFORMAT </w:instrText>
        </w:r>
        <w:r w:rsidRPr="00D86314">
          <w:fldChar w:fldCharType="separate"/>
        </w:r>
        <w:r w:rsidRPr="00D86314">
          <w:t>1</w:t>
        </w:r>
        <w:r w:rsidRPr="00D86314">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544D7" w14:textId="77777777" w:rsidR="0063721D" w:rsidRPr="00D86314" w:rsidRDefault="0063721D" w:rsidP="00F92EAE">
    <w:pPr>
      <w:pStyle w:val="Footer"/>
      <w:jc w:val="center"/>
    </w:pPr>
    <w:r w:rsidRPr="00D86314">
      <w:fldChar w:fldCharType="begin"/>
    </w:r>
    <w:r w:rsidRPr="00D86314">
      <w:instrText>PAGE</w:instrText>
    </w:r>
    <w:r w:rsidRPr="00D86314">
      <w:fldChar w:fldCharType="separate"/>
    </w:r>
    <w:r w:rsidRPr="00D86314">
      <w:t>7</w:t>
    </w:r>
    <w:r w:rsidRPr="00D86314">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A2B1" w14:textId="77777777" w:rsidR="0063721D" w:rsidRPr="00D86314" w:rsidRDefault="0063721D" w:rsidP="00F92EAE">
    <w:pPr>
      <w:pStyle w:val="Footer"/>
      <w:jc w:val="center"/>
    </w:pPr>
    <w:r w:rsidRPr="00D86314">
      <w:fldChar w:fldCharType="begin"/>
    </w:r>
    <w:r w:rsidRPr="00D86314">
      <w:instrText>PAGE</w:instrText>
    </w:r>
    <w:r w:rsidRPr="00D86314">
      <w:fldChar w:fldCharType="separate"/>
    </w:r>
    <w:r w:rsidRPr="00D86314">
      <w:t>7</w:t>
    </w:r>
    <w:r w:rsidRPr="00D86314">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71535"/>
      <w:docPartObj>
        <w:docPartGallery w:val="Page Numbers (Bottom of Page)"/>
        <w:docPartUnique/>
      </w:docPartObj>
    </w:sdtPr>
    <w:sdtEndPr/>
    <w:sdtContent>
      <w:p w14:paraId="7F41E9DC" w14:textId="77777777" w:rsidR="0063721D" w:rsidRPr="00D86314" w:rsidRDefault="0063721D" w:rsidP="001F198F">
        <w:pPr>
          <w:pStyle w:val="Footer"/>
          <w:jc w:val="center"/>
        </w:pPr>
        <w:r w:rsidRPr="00D86314">
          <w:fldChar w:fldCharType="begin"/>
        </w:r>
        <w:r w:rsidRPr="00D86314">
          <w:instrText xml:space="preserve"> PAGE   \* MERGEFORMAT </w:instrText>
        </w:r>
        <w:r w:rsidRPr="00D86314">
          <w:fldChar w:fldCharType="separate"/>
        </w:r>
        <w:r w:rsidRPr="00D86314">
          <w:t>1</w:t>
        </w:r>
        <w:r w:rsidRPr="00D86314">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7BD9D" w14:textId="77777777" w:rsidR="0063721D" w:rsidRPr="00D86314" w:rsidRDefault="0063721D" w:rsidP="00F92EAE">
    <w:pPr>
      <w:pStyle w:val="Footer"/>
      <w:jc w:val="center"/>
    </w:pPr>
    <w:r w:rsidRPr="00D86314">
      <w:fldChar w:fldCharType="begin"/>
    </w:r>
    <w:r w:rsidRPr="00D86314">
      <w:instrText>PAGE</w:instrText>
    </w:r>
    <w:r w:rsidRPr="00D86314">
      <w:fldChar w:fldCharType="separate"/>
    </w:r>
    <w:r w:rsidRPr="00D86314">
      <w:t>7</w:t>
    </w:r>
    <w:r w:rsidRPr="00D86314">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359195"/>
      <w:docPartObj>
        <w:docPartGallery w:val="Page Numbers (Bottom of Page)"/>
        <w:docPartUnique/>
      </w:docPartObj>
    </w:sdtPr>
    <w:sdtEndPr/>
    <w:sdtContent>
      <w:p w14:paraId="586FBE7E" w14:textId="77777777" w:rsidR="0063721D" w:rsidRPr="00D86314" w:rsidRDefault="0063721D" w:rsidP="001F198F">
        <w:pPr>
          <w:pStyle w:val="Footer"/>
          <w:jc w:val="center"/>
        </w:pPr>
        <w:r w:rsidRPr="00D86314">
          <w:fldChar w:fldCharType="begin"/>
        </w:r>
        <w:r w:rsidRPr="00D86314">
          <w:instrText xml:space="preserve"> PAGE   \* MERGEFORMAT </w:instrText>
        </w:r>
        <w:r w:rsidRPr="00D86314">
          <w:fldChar w:fldCharType="separate"/>
        </w:r>
        <w:r w:rsidRPr="00D86314">
          <w:t>1</w:t>
        </w:r>
        <w:r w:rsidRPr="00D86314">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Pr="00D86314" w:rsidRDefault="00CB14B2" w:rsidP="000E30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sdtContent>
      <w:p w14:paraId="24897D4D" w14:textId="018C6C10" w:rsidR="008F2068" w:rsidRPr="00D86314" w:rsidRDefault="008F2068">
        <w:pPr>
          <w:pStyle w:val="Footer"/>
          <w:jc w:val="center"/>
        </w:pPr>
        <w:r w:rsidRPr="00D86314">
          <w:fldChar w:fldCharType="begin"/>
        </w:r>
        <w:r w:rsidRPr="00D86314">
          <w:instrText xml:space="preserve"> PAGE   \* MERGEFORMAT </w:instrText>
        </w:r>
        <w:r w:rsidRPr="00D86314">
          <w:fldChar w:fldCharType="separate"/>
        </w:r>
        <w:r w:rsidRPr="00D86314">
          <w:t>2</w:t>
        </w:r>
        <w:r w:rsidRPr="00D86314">
          <w:fldChar w:fldCharType="end"/>
        </w:r>
      </w:p>
    </w:sdtContent>
  </w:sdt>
  <w:p w14:paraId="37515927" w14:textId="77777777" w:rsidR="00CB14B2" w:rsidRPr="00D86314" w:rsidRDefault="00CB14B2" w:rsidP="000E30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2BADFE58" w:rsidR="00CB14B2" w:rsidRPr="00D86314" w:rsidRDefault="001F198F" w:rsidP="001F198F">
    <w:pPr>
      <w:pStyle w:val="Footer"/>
      <w:jc w:val="center"/>
    </w:pPr>
    <w:r w:rsidRPr="00D86314">
      <w:fldChar w:fldCharType="begin"/>
    </w:r>
    <w:r w:rsidRPr="00D86314">
      <w:instrText>PAGE</w:instrText>
    </w:r>
    <w:r w:rsidRPr="00D86314">
      <w:fldChar w:fldCharType="separate"/>
    </w:r>
    <w:r w:rsidRPr="00D86314">
      <w:t>29</w:t>
    </w:r>
    <w:r w:rsidRPr="00D86314">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404219"/>
      <w:docPartObj>
        <w:docPartGallery w:val="Page Numbers (Bottom of Page)"/>
        <w:docPartUnique/>
      </w:docPartObj>
    </w:sdtPr>
    <w:sdtEndPr/>
    <w:sdtContent>
      <w:p w14:paraId="006ACC4A" w14:textId="77777777" w:rsidR="0063721D" w:rsidRPr="00D86314" w:rsidRDefault="0063721D">
        <w:pPr>
          <w:pStyle w:val="Footer"/>
          <w:jc w:val="center"/>
        </w:pPr>
        <w:r w:rsidRPr="00D86314">
          <w:fldChar w:fldCharType="begin"/>
        </w:r>
        <w:r w:rsidRPr="00D86314">
          <w:instrText xml:space="preserve"> PAGE   \* MERGEFORMAT </w:instrText>
        </w:r>
        <w:r w:rsidRPr="00D86314">
          <w:fldChar w:fldCharType="separate"/>
        </w:r>
        <w:r w:rsidRPr="00D86314">
          <w:t>2</w:t>
        </w:r>
        <w:r w:rsidRPr="00D86314">
          <w:fldChar w:fldCharType="end"/>
        </w:r>
      </w:p>
    </w:sdtContent>
  </w:sdt>
  <w:p w14:paraId="1C2BF1E6" w14:textId="77777777" w:rsidR="0063721D" w:rsidRPr="00D86314" w:rsidRDefault="0063721D" w:rsidP="000E30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78D32" w14:textId="77777777" w:rsidR="0063721D" w:rsidRPr="00D86314" w:rsidRDefault="0063721D" w:rsidP="001F198F">
    <w:pPr>
      <w:pStyle w:val="Footer"/>
      <w:jc w:val="center"/>
    </w:pPr>
    <w:r w:rsidRPr="00D86314">
      <w:fldChar w:fldCharType="begin"/>
    </w:r>
    <w:r w:rsidRPr="00D86314">
      <w:instrText>PAGE</w:instrText>
    </w:r>
    <w:r w:rsidRPr="00D86314">
      <w:fldChar w:fldCharType="separate"/>
    </w:r>
    <w:r w:rsidRPr="00D86314">
      <w:t>29</w:t>
    </w:r>
    <w:r w:rsidRPr="00D86314">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870669"/>
      <w:docPartObj>
        <w:docPartGallery w:val="Page Numbers (Bottom of Page)"/>
        <w:docPartUnique/>
      </w:docPartObj>
    </w:sdtPr>
    <w:sdtEndPr/>
    <w:sdtContent>
      <w:p w14:paraId="2B978BF1" w14:textId="77777777" w:rsidR="0063721D" w:rsidRPr="00D86314" w:rsidRDefault="0063721D">
        <w:pPr>
          <w:pStyle w:val="Footer"/>
          <w:jc w:val="center"/>
        </w:pPr>
        <w:r w:rsidRPr="00D86314">
          <w:fldChar w:fldCharType="begin"/>
        </w:r>
        <w:r w:rsidRPr="00D86314">
          <w:instrText xml:space="preserve"> PAGE   \* MERGEFORMAT </w:instrText>
        </w:r>
        <w:r w:rsidRPr="00D86314">
          <w:fldChar w:fldCharType="separate"/>
        </w:r>
        <w:r w:rsidRPr="00D86314">
          <w:t>2</w:t>
        </w:r>
        <w:r w:rsidRPr="00D86314">
          <w:fldChar w:fldCharType="end"/>
        </w:r>
      </w:p>
    </w:sdtContent>
  </w:sdt>
  <w:p w14:paraId="6FE0732A" w14:textId="77777777" w:rsidR="0063721D" w:rsidRPr="00D86314" w:rsidRDefault="0063721D" w:rsidP="000E30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20096" w14:textId="77777777" w:rsidR="0063721D" w:rsidRPr="00D86314" w:rsidRDefault="0063721D" w:rsidP="001F198F">
    <w:pPr>
      <w:pStyle w:val="Footer"/>
      <w:jc w:val="center"/>
    </w:pPr>
    <w:r w:rsidRPr="00D86314">
      <w:fldChar w:fldCharType="begin"/>
    </w:r>
    <w:r w:rsidRPr="00D86314">
      <w:instrText>PAGE</w:instrText>
    </w:r>
    <w:r w:rsidRPr="00D86314">
      <w:fldChar w:fldCharType="separate"/>
    </w:r>
    <w:r w:rsidRPr="00D86314">
      <w:t>29</w:t>
    </w:r>
    <w:r w:rsidRPr="00D8631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ABD63" w14:textId="77777777" w:rsidR="00B35175" w:rsidRPr="00D86314" w:rsidRDefault="00B35175" w:rsidP="000E3086">
      <w:r w:rsidRPr="00D86314">
        <w:separator/>
      </w:r>
    </w:p>
  </w:footnote>
  <w:footnote w:type="continuationSeparator" w:id="0">
    <w:p w14:paraId="371DE6A4" w14:textId="77777777" w:rsidR="00B35175" w:rsidRPr="00D86314" w:rsidRDefault="00B35175" w:rsidP="000E3086">
      <w:r w:rsidRPr="00D86314">
        <w:continuationSeparator/>
      </w:r>
    </w:p>
  </w:footnote>
  <w:footnote w:type="continuationNotice" w:id="1">
    <w:p w14:paraId="7944F3D7" w14:textId="77777777" w:rsidR="00B35175" w:rsidRPr="00D86314" w:rsidRDefault="00B35175">
      <w:pPr>
        <w:spacing w:after="0"/>
      </w:pPr>
    </w:p>
  </w:footnote>
  <w:footnote w:id="2">
    <w:p w14:paraId="61903F82" w14:textId="77777777" w:rsidR="007A2008" w:rsidRPr="00D86314" w:rsidRDefault="007A2008" w:rsidP="007A2008">
      <w:pPr>
        <w:pStyle w:val="FootnoteText"/>
      </w:pPr>
      <w:r w:rsidRPr="00D86314">
        <w:rPr>
          <w:rStyle w:val="FootnoteReference"/>
        </w:rPr>
        <w:footnoteRef/>
      </w:r>
      <w:r w:rsidRPr="00D86314">
        <w:t xml:space="preserve"> See: </w:t>
      </w:r>
      <w:hyperlink r:id="rId1" w:history="1">
        <w:r w:rsidRPr="00D86314">
          <w:rPr>
            <w:rStyle w:val="Hyperlink"/>
          </w:rPr>
          <w:t>https://ec.europa.eu/info/law/better-regulation/have-your-say/initiatives/14709-Digital-Networks-Act_en</w:t>
        </w:r>
      </w:hyperlink>
      <w:r w:rsidRPr="00D86314">
        <w:t xml:space="preserve">. </w:t>
      </w:r>
    </w:p>
  </w:footnote>
  <w:footnote w:id="3">
    <w:p w14:paraId="4ECD233C" w14:textId="77777777" w:rsidR="004C3310" w:rsidRPr="00D86314" w:rsidRDefault="004C3310" w:rsidP="004C3310">
      <w:pPr>
        <w:pStyle w:val="FootnoteText"/>
      </w:pPr>
      <w:r w:rsidRPr="00D86314">
        <w:rPr>
          <w:rStyle w:val="FootnoteReference"/>
        </w:rPr>
        <w:footnoteRef/>
      </w:r>
      <w:r w:rsidRPr="00D86314">
        <w:t xml:space="preserve"> One FTE is EUR 95 400/year</w:t>
      </w:r>
    </w:p>
  </w:footnote>
  <w:footnote w:id="4">
    <w:p w14:paraId="0E51837D" w14:textId="17D34C9F" w:rsidR="004F3533" w:rsidRPr="00D86314" w:rsidRDefault="004F3533" w:rsidP="004F3533">
      <w:pPr>
        <w:pStyle w:val="FootnoteText"/>
      </w:pPr>
      <w:r w:rsidRPr="00D86314">
        <w:rPr>
          <w:rStyle w:val="FootnoteReference"/>
        </w:rPr>
        <w:footnoteRef/>
      </w:r>
      <w:r w:rsidRPr="00D86314">
        <w:t xml:space="preserve"> FTTH Council (2025): FTTH/B Forecast for Europe With thanks to European Market View FTTH Council Europe’s Market Intelligence Committee, </w:t>
      </w:r>
      <w:hyperlink r:id="rId2" w:history="1">
        <w:r w:rsidRPr="00D86314">
          <w:rPr>
            <w:rStyle w:val="Hyperlink"/>
          </w:rPr>
          <w:t>https://www.ftthcouncil.eu/resources/all-publications-and-assets/2362/ftth-market-forecasts-2024-2030</w:t>
        </w:r>
      </w:hyperlink>
      <w:r w:rsidRPr="00D86314">
        <w:t xml:space="preserve"> (last accessed on 26.03.2025)</w:t>
      </w:r>
      <w:r w:rsidR="00F7528F" w:rsidRPr="00D86314">
        <w:t>.</w:t>
      </w:r>
    </w:p>
  </w:footnote>
  <w:footnote w:id="5">
    <w:p w14:paraId="682DFCAB" w14:textId="24C35689" w:rsidR="004F3533" w:rsidRPr="00D86314" w:rsidRDefault="004F3533" w:rsidP="00CE0CD1">
      <w:pPr>
        <w:pStyle w:val="FootnoteText"/>
      </w:pPr>
      <w:r w:rsidRPr="00D86314">
        <w:rPr>
          <w:rStyle w:val="FootnoteReference"/>
        </w:rPr>
        <w:footnoteRef/>
      </w:r>
      <w:r w:rsidR="00CE0CD1" w:rsidRPr="00D86314">
        <w:t xml:space="preserve"> </w:t>
      </w:r>
      <w:r w:rsidRPr="00D86314">
        <w:t xml:space="preserve">See WIK (2020): Copper switch-off: European experience and practical considerations </w:t>
      </w:r>
      <w:hyperlink r:id="rId3" w:history="1">
        <w:r w:rsidRPr="00D86314">
          <w:rPr>
            <w:rStyle w:val="Hyperlink"/>
          </w:rPr>
          <w:t>https://www.wik.org/fileadmin/Studien/2020/Copper_switch-off_whitepaper.pdf</w:t>
        </w:r>
      </w:hyperlink>
      <w:r w:rsidRPr="00D86314">
        <w:t>.</w:t>
      </w:r>
    </w:p>
  </w:footnote>
  <w:footnote w:id="6">
    <w:p w14:paraId="4743170B" w14:textId="634DB8CC" w:rsidR="004F3533" w:rsidRPr="00D86314" w:rsidRDefault="004F3533" w:rsidP="004F3533">
      <w:pPr>
        <w:pStyle w:val="FootnoteText"/>
      </w:pPr>
      <w:r w:rsidRPr="00D86314">
        <w:rPr>
          <w:rStyle w:val="FootnoteReference"/>
        </w:rPr>
        <w:footnoteRef/>
      </w:r>
      <w:r w:rsidR="00CE0CD1" w:rsidRPr="00D86314">
        <w:t xml:space="preserve"> </w:t>
      </w:r>
      <w:r w:rsidRPr="00D86314">
        <w:t>This is based on the implications of this option for the conditions for SMP PIA, noting that SMP PIA is considerably more widely used than GIA PIA. GIA PIA is assumed not to compensate for the loss of SMP PIA as conditions for telecom PIA under GIA are less favourable, and the regime as a whole is based on dispute resolution rather than ex ante regulation, a mechanism that has been found to be less effective in addressing entrenched barriers associated with PIA.</w:t>
      </w:r>
    </w:p>
  </w:footnote>
  <w:footnote w:id="7">
    <w:p w14:paraId="364F33D7" w14:textId="20CE4467" w:rsidR="00EA5706" w:rsidRPr="00D86314" w:rsidRDefault="00EA5706" w:rsidP="00EA5706">
      <w:pPr>
        <w:pStyle w:val="FootnoteText"/>
      </w:pPr>
      <w:r w:rsidRPr="00D86314">
        <w:rPr>
          <w:rStyle w:val="FootnoteReference"/>
        </w:rPr>
        <w:footnoteRef/>
      </w:r>
      <w:r w:rsidR="00CE0CD1" w:rsidRPr="00D86314">
        <w:t xml:space="preserve"> </w:t>
      </w:r>
      <w:r w:rsidRPr="00D86314">
        <w:t>As regards take-up of FTTH, IDATE estimates that as of September 2024, there was a take-up rate of 55% (as a proportion of households served by fibre) across the EU27 and the UK. This was an increase of 2% pp on the previous year. IDATE projects that take-up rates of FTTH will increase to 70% of FTTH homes passed by 2030. IDATE (Sept 2020) FTTH/B Market panorama and IDATE (2021) European FTTH/B Historical and forecasts.</w:t>
      </w:r>
    </w:p>
  </w:footnote>
  <w:footnote w:id="8">
    <w:p w14:paraId="17847EF2" w14:textId="0C8BA67D" w:rsidR="00EA5706" w:rsidRPr="00D86314" w:rsidRDefault="00EA5706" w:rsidP="00EA5706">
      <w:pPr>
        <w:pStyle w:val="FootnoteText"/>
      </w:pPr>
      <w:r w:rsidRPr="00D86314">
        <w:rPr>
          <w:rStyle w:val="FootnoteReference"/>
        </w:rPr>
        <w:footnoteRef/>
      </w:r>
      <w:r w:rsidRPr="00D86314">
        <w:t xml:space="preserve"> </w:t>
      </w:r>
      <w:r w:rsidR="00581AFF" w:rsidRPr="00D86314">
        <w:t xml:space="preserve">Study on </w:t>
      </w:r>
      <w:r w:rsidR="00206CDC" w:rsidRPr="00D86314">
        <w:t>A</w:t>
      </w:r>
      <w:r w:rsidR="00581AFF" w:rsidRPr="00D86314">
        <w:t xml:space="preserve">ccess </w:t>
      </w:r>
      <w:r w:rsidR="00206CDC" w:rsidRPr="00D86314">
        <w:t>Regulation</w:t>
      </w:r>
      <w:r w:rsidR="00581AFF" w:rsidRPr="00D86314">
        <w:t>.</w:t>
      </w:r>
    </w:p>
  </w:footnote>
  <w:footnote w:id="9">
    <w:p w14:paraId="5106DA76" w14:textId="2FFDC7FA" w:rsidR="00EA5706" w:rsidRPr="00D86314" w:rsidRDefault="00EA5706" w:rsidP="008A6D60">
      <w:pPr>
        <w:pStyle w:val="FootnoteText"/>
        <w:jc w:val="left"/>
      </w:pPr>
      <w:r w:rsidRPr="00D86314">
        <w:rPr>
          <w:rStyle w:val="FootnoteReference"/>
        </w:rPr>
        <w:footnoteRef/>
      </w:r>
      <w:r w:rsidR="00CE0CD1" w:rsidRPr="00D86314">
        <w:t xml:space="preserve"> </w:t>
      </w:r>
      <w:r w:rsidRPr="00D86314">
        <w:t>These assumption is based on empirical observations of the German fixed broadband market.</w:t>
      </w:r>
      <w:r w:rsidR="0038734A" w:rsidRPr="00D86314">
        <w:br/>
      </w:r>
      <w:r w:rsidRPr="00D86314">
        <w:t xml:space="preserve">See </w:t>
      </w:r>
      <w:r w:rsidRPr="00D86314">
        <w:fldChar w:fldCharType="begin"/>
      </w:r>
      <w:r w:rsidRPr="00D86314">
        <w:fldChar w:fldCharType="separate"/>
      </w:r>
      <w:r w:rsidRPr="00D86314">
        <w:rPr>
          <w:rStyle w:val="Hyperlink"/>
        </w:rPr>
        <w:t>https://www.bmv.de/DE/Themen/Digitales/Breitbandausbau/Potenzialanalyse/bericht-zur-potentialanalyse.pdf?__blob=publicationFile</w:t>
      </w:r>
      <w:r w:rsidRPr="00D86314">
        <w:fldChar w:fldCharType="end"/>
      </w:r>
      <w:r w:rsidR="0038734A" w:rsidRPr="00D86314">
        <w:t xml:space="preserve">, </w:t>
      </w:r>
      <w:r w:rsidRPr="00D86314">
        <w:t>page 19, Last Call 07.07.2025</w:t>
      </w:r>
      <w:r w:rsidR="00644DD7" w:rsidRPr="00D86314">
        <w:t>.</w:t>
      </w:r>
    </w:p>
  </w:footnote>
  <w:footnote w:id="10">
    <w:p w14:paraId="0EF7C4D3" w14:textId="5BC6A291" w:rsidR="00EA5706" w:rsidRPr="00D86314" w:rsidRDefault="00EA5706" w:rsidP="00EA5706">
      <w:pPr>
        <w:pStyle w:val="FootnoteText"/>
      </w:pPr>
      <w:r w:rsidRPr="00D86314">
        <w:rPr>
          <w:rStyle w:val="FootnoteReference"/>
        </w:rPr>
        <w:footnoteRef/>
      </w:r>
      <w:r w:rsidR="00CE0CD1" w:rsidRPr="00D86314">
        <w:t xml:space="preserve"> </w:t>
      </w:r>
      <w:r w:rsidR="00E94E96" w:rsidRPr="00D86314">
        <w:t>T</w:t>
      </w:r>
      <w:r w:rsidRPr="00D86314">
        <w:t xml:space="preserve">he estimator </w:t>
      </w:r>
      <w:r w:rsidR="00E94E96" w:rsidRPr="00D86314">
        <w:t xml:space="preserve">is </w:t>
      </w:r>
      <w:r w:rsidRPr="00D86314">
        <w:t xml:space="preserve">based on historical data and total households, as it represents the best approximation. There a several factors that complicate an estimation based on the number of eligible consumers. Firstly, the definition of eligible consumers is the responsibility of the Member States and therefore varies. There is no EU-wide statistic that would represent this group of consumers. Secondly, statistics about unemployment or disabilities usually reference to the share of total population instead the share of households. Therefore, they do not allow conclusions to be made about take-up as a share of total households. </w:t>
      </w:r>
    </w:p>
  </w:footnote>
  <w:footnote w:id="11">
    <w:p w14:paraId="7A0FF2BB" w14:textId="74824FF9" w:rsidR="000F7F93" w:rsidRPr="00D86314" w:rsidRDefault="000F7F93" w:rsidP="000F7F93">
      <w:pPr>
        <w:pStyle w:val="FootnoteText"/>
      </w:pPr>
      <w:r w:rsidRPr="00D86314">
        <w:rPr>
          <w:rStyle w:val="FootnoteReference"/>
        </w:rPr>
        <w:footnoteRef/>
      </w:r>
      <w:r w:rsidR="00295885" w:rsidRPr="00D86314">
        <w:t xml:space="preserve"> </w:t>
      </w:r>
      <w:r w:rsidRPr="00D86314">
        <w:rPr>
          <w:szCs w:val="18"/>
        </w:rPr>
        <w:t xml:space="preserve">Ookla Speedtest data retrieved from </w:t>
      </w:r>
      <w:hyperlink r:id="rId4" w:history="1">
        <w:r w:rsidRPr="00D86314">
          <w:rPr>
            <w:rStyle w:val="Hyperlink"/>
            <w:szCs w:val="18"/>
          </w:rPr>
          <w:t>https://www.balcanicaucaso.org/eng/Areas/Europe/EU-Internet-connections-are-getting-faster-and-faster-235091</w:t>
        </w:r>
      </w:hyperlink>
      <w:r w:rsidRPr="00D86314">
        <w:rPr>
          <w:szCs w:val="18"/>
        </w:rPr>
        <w:t>; European Commi</w:t>
      </w:r>
      <w:r w:rsidR="009E3004" w:rsidRPr="00D86314">
        <w:rPr>
          <w:szCs w:val="18"/>
        </w:rPr>
        <w:t>ss</w:t>
      </w:r>
      <w:r w:rsidRPr="00D86314">
        <w:rPr>
          <w:szCs w:val="18"/>
        </w:rPr>
        <w:t xml:space="preserve">ion (2025), DESI dashboard for the Digital Decade (2023 onwards), </w:t>
      </w:r>
      <w:hyperlink r:id="rId5" w:history="1">
        <w:r w:rsidRPr="00D86314">
          <w:rPr>
            <w:rStyle w:val="Hyperlink"/>
            <w:szCs w:val="18"/>
          </w:rPr>
          <w:t>https://digital-decade-desi.digital-strategy.ec.europa.eu/datasets/desi/indicators</w:t>
        </w:r>
      </w:hyperlink>
      <w:r w:rsidRPr="00D86314">
        <w:rPr>
          <w:szCs w:val="18"/>
        </w:rPr>
        <w:t xml:space="preserve"> and Ofcom (2024) Connected Nations UK Report, the UK regulatory authority Ofcom, reports that in 2024, download speeds offered over ADSL were on average 14,8 Mbps and over FTTC 58 Mbps.</w:t>
      </w:r>
    </w:p>
  </w:footnote>
  <w:footnote w:id="12">
    <w:p w14:paraId="50DFF229" w14:textId="53B30694" w:rsidR="000F7F93" w:rsidRPr="00C20A01" w:rsidRDefault="000F7F93" w:rsidP="000F7F93">
      <w:pPr>
        <w:pStyle w:val="FootnoteText"/>
      </w:pPr>
      <w:r w:rsidRPr="00D86314">
        <w:rPr>
          <w:rStyle w:val="FootnoteReference"/>
        </w:rPr>
        <w:footnoteRef/>
      </w:r>
      <w:r w:rsidRPr="00D86314">
        <w:t xml:space="preserve"> CTU (2024): ZPRÁVA O VÝVOJI TRHU ELEKTRONICKÝCH KOMUNIKACÍ SE ZAMĚŘENÍM NA ROK 2023, p. 47, </w:t>
      </w:r>
      <w:hyperlink r:id="rId6" w:history="1">
        <w:r w:rsidRPr="00C20A01">
          <w:rPr>
            <w:rStyle w:val="Hyperlink"/>
          </w:rPr>
          <w:t>https://ctu.gov.cz/sites/default/files/obsah/stranky/472017/soubory/zovt_2023.pdf</w:t>
        </w:r>
      </w:hyperlink>
      <w:r w:rsidRPr="00C20A01">
        <w:t xml:space="preserve"> (last accessed on 01.08.2025).</w:t>
      </w:r>
    </w:p>
  </w:footnote>
  <w:footnote w:id="13">
    <w:p w14:paraId="0C9554E3" w14:textId="26CEB603" w:rsidR="00295885" w:rsidRPr="00C20A01" w:rsidRDefault="000F7F93" w:rsidP="000F7F93">
      <w:pPr>
        <w:pStyle w:val="FootnoteText"/>
      </w:pPr>
      <w:r w:rsidRPr="00D86314">
        <w:rPr>
          <w:rStyle w:val="FootnoteReference"/>
        </w:rPr>
        <w:footnoteRef/>
      </w:r>
      <w:r w:rsidR="00295885" w:rsidRPr="00C20A01">
        <w:t xml:space="preserve"> </w:t>
      </w:r>
      <w:hyperlink r:id="rId7" w:history="1">
        <w:r w:rsidR="00295885" w:rsidRPr="00C20A01">
          <w:rPr>
            <w:rStyle w:val="Hyperlink"/>
          </w:rPr>
          <w:t>https://www.ookla.com/articles/fixed-wireless-access-us-q3-2023</w:t>
        </w:r>
      </w:hyperlink>
      <w:r w:rsidR="009C2B04" w:rsidRPr="00C20A01">
        <w:t>.</w:t>
      </w:r>
    </w:p>
  </w:footnote>
  <w:footnote w:id="14">
    <w:p w14:paraId="2481DA25" w14:textId="18A54AFD" w:rsidR="000F7F93" w:rsidRPr="00C20A01" w:rsidRDefault="000F7F93" w:rsidP="000F7F93">
      <w:pPr>
        <w:pStyle w:val="FootnoteText"/>
      </w:pPr>
      <w:r w:rsidRPr="00D86314">
        <w:rPr>
          <w:rStyle w:val="FootnoteReference"/>
        </w:rPr>
        <w:footnoteRef/>
      </w:r>
      <w:r w:rsidR="00295885" w:rsidRPr="00C20A01">
        <w:t xml:space="preserve"> </w:t>
      </w:r>
      <w:r w:rsidRPr="00C20A01">
        <w:t xml:space="preserve">CTU (2024): ZPRÁVA O VÝVOJI TRHU ELEKTRONICKÝCH KOMUNIKACÍ SE ZAMĚŘENÍM NA ROK 2023, p. 53, </w:t>
      </w:r>
      <w:hyperlink r:id="rId8" w:history="1">
        <w:r w:rsidRPr="00C20A01">
          <w:rPr>
            <w:rStyle w:val="Hyperlink"/>
          </w:rPr>
          <w:t>https://ctu.gov.cz/sites/default/files/obsah/stranky/472017/soubory/zovt_2023.pdf</w:t>
        </w:r>
      </w:hyperlink>
      <w:r w:rsidRPr="00C20A01">
        <w:t xml:space="preserve"> (last accessed on 01.08.2025).</w:t>
      </w:r>
    </w:p>
  </w:footnote>
  <w:footnote w:id="15">
    <w:p w14:paraId="249A8D8B" w14:textId="5D60A6E4" w:rsidR="000F7F93" w:rsidRPr="00D86314" w:rsidRDefault="000F7F93" w:rsidP="000F7F93">
      <w:pPr>
        <w:pStyle w:val="FootnoteText"/>
      </w:pPr>
      <w:r w:rsidRPr="00D86314">
        <w:rPr>
          <w:rStyle w:val="FootnoteReference"/>
        </w:rPr>
        <w:footnoteRef/>
      </w:r>
      <w:r w:rsidR="00295885" w:rsidRPr="00D86314">
        <w:t xml:space="preserve"> </w:t>
      </w:r>
      <w:hyperlink r:id="rId9" w:history="1">
        <w:r w:rsidR="00295885" w:rsidRPr="00D86314">
          <w:rPr>
            <w:rStyle w:val="Hyperlink"/>
          </w:rPr>
          <w:t>https://www.speedtest.net/global-index</w:t>
        </w:r>
      </w:hyperlink>
      <w:r w:rsidRPr="00D86314">
        <w:t xml:space="preserve"> (last access on 03.07.2025).</w:t>
      </w:r>
    </w:p>
  </w:footnote>
  <w:footnote w:id="16">
    <w:p w14:paraId="5834C7A4" w14:textId="76187E25" w:rsidR="000F7F93" w:rsidRPr="00D86314" w:rsidRDefault="000F7F93" w:rsidP="000F7F93">
      <w:pPr>
        <w:pStyle w:val="FootnoteText"/>
      </w:pPr>
      <w:r w:rsidRPr="00D86314">
        <w:rPr>
          <w:rStyle w:val="FootnoteReference"/>
        </w:rPr>
        <w:footnoteRef/>
      </w:r>
      <w:r w:rsidR="00295885" w:rsidRPr="00D86314">
        <w:t xml:space="preserve"> </w:t>
      </w:r>
      <w:r w:rsidRPr="00D86314">
        <w:t xml:space="preserve">See </w:t>
      </w:r>
      <w:hyperlink r:id="rId10" w:history="1">
        <w:r w:rsidRPr="00D86314">
          <w:rPr>
            <w:rStyle w:val="Hyperlink"/>
          </w:rPr>
          <w:t>https://www.opensignal.com/2024/05/07/frances-urban-rural-mobile-experience-gap-has-narrowed-with-5g</w:t>
        </w:r>
      </w:hyperlink>
      <w:r w:rsidRPr="00D86314">
        <w:t xml:space="preserve"> (last accessed on 03.07.2025).</w:t>
      </w:r>
    </w:p>
  </w:footnote>
  <w:footnote w:id="17">
    <w:p w14:paraId="186DF307" w14:textId="7217956D" w:rsidR="00070B27" w:rsidRPr="00D86314" w:rsidRDefault="00070B27" w:rsidP="00070B27">
      <w:pPr>
        <w:pStyle w:val="FootnoteText"/>
      </w:pPr>
      <w:r w:rsidRPr="00D86314">
        <w:rPr>
          <w:rStyle w:val="FootnoteReference"/>
        </w:rPr>
        <w:footnoteRef/>
      </w:r>
      <w:r w:rsidR="00507888" w:rsidRPr="00D86314">
        <w:t xml:space="preserve"> </w:t>
      </w:r>
      <w:hyperlink r:id="rId11" w:history="1">
        <w:r w:rsidRPr="00D86314">
          <w:rPr>
            <w:rStyle w:val="Hyperlink"/>
          </w:rPr>
          <w:t>https://openvault.com/wp-content/uploads/2024/02/OVBI_4Q23_Report_v3.pdf</w:t>
        </w:r>
      </w:hyperlink>
      <w:r w:rsidR="00E6729F" w:rsidRPr="00D86314">
        <w:t>.</w:t>
      </w:r>
    </w:p>
  </w:footnote>
  <w:footnote w:id="18">
    <w:p w14:paraId="2CF1FA35" w14:textId="537CCB0C" w:rsidR="00295885" w:rsidRPr="00D86314" w:rsidRDefault="00070B27" w:rsidP="00070B27">
      <w:pPr>
        <w:pStyle w:val="FootnoteText"/>
      </w:pPr>
      <w:r w:rsidRPr="00D86314">
        <w:rPr>
          <w:rStyle w:val="FootnoteReference"/>
        </w:rPr>
        <w:footnoteRef/>
      </w:r>
      <w:r w:rsidR="00295885" w:rsidRPr="00D86314">
        <w:t xml:space="preserve"> </w:t>
      </w:r>
      <w:hyperlink r:id="rId12" w:history="1">
        <w:r w:rsidR="00295885" w:rsidRPr="00D86314">
          <w:rPr>
            <w:rStyle w:val="Hyperlink"/>
          </w:rPr>
          <w:t>https://www.adlittle.com/en/insights/report/evolution-data-growth-europe</w:t>
        </w:r>
      </w:hyperlink>
      <w:r w:rsidR="00546D18" w:rsidRPr="00D86314">
        <w:t>.</w:t>
      </w:r>
    </w:p>
  </w:footnote>
  <w:footnote w:id="19">
    <w:p w14:paraId="21EDD4FD" w14:textId="138D2444" w:rsidR="00070B27" w:rsidRPr="00D86314" w:rsidRDefault="00070B27" w:rsidP="00070B27">
      <w:pPr>
        <w:pStyle w:val="FootnoteText"/>
      </w:pPr>
      <w:r w:rsidRPr="00D86314">
        <w:rPr>
          <w:rStyle w:val="FootnoteReference"/>
        </w:rPr>
        <w:footnoteRef/>
      </w:r>
      <w:r w:rsidR="00295885" w:rsidRPr="00D86314">
        <w:t xml:space="preserve"> </w:t>
      </w:r>
      <w:r w:rsidRPr="00D86314">
        <w:t>Ofcom (2024): Connected Nations UK Report 2024, p. 14,</w:t>
      </w:r>
      <w:r w:rsidRPr="00D86314">
        <w:tab/>
        <w:t xml:space="preserve"> </w:t>
      </w:r>
      <w:hyperlink r:id="rId13" w:history="1">
        <w:r w:rsidRPr="00D86314">
          <w:rPr>
            <w:rStyle w:val="Hyperlink"/>
          </w:rPr>
          <w:t>https://www.ofcom.org.uk/siteassets/resources/documents/research-and-data/multi-sector/infrastructure-research/connected-nations-2024/connected-nations-uk-report-2024.pdf?v=386497</w:t>
        </w:r>
      </w:hyperlink>
      <w:r w:rsidR="00546D18" w:rsidRPr="00D86314">
        <w:t>.</w:t>
      </w:r>
    </w:p>
  </w:footnote>
  <w:footnote w:id="20">
    <w:p w14:paraId="03007A28" w14:textId="31834811" w:rsidR="002528A5" w:rsidRPr="00D86314" w:rsidRDefault="00070B27">
      <w:pPr>
        <w:pStyle w:val="FootnoteText"/>
      </w:pPr>
      <w:r w:rsidRPr="00D86314">
        <w:rPr>
          <w:rStyle w:val="FootnoteReference"/>
        </w:rPr>
        <w:footnoteRef/>
      </w:r>
      <w:r w:rsidR="00295885" w:rsidRPr="00D86314">
        <w:t xml:space="preserve"> </w:t>
      </w:r>
      <w:r w:rsidRPr="00D86314">
        <w:t xml:space="preserve">As the UK represents a high usage country, </w:t>
      </w:r>
      <w:r w:rsidR="007B19D8" w:rsidRPr="00D86314">
        <w:t xml:space="preserve">the assumption is that the </w:t>
      </w:r>
      <w:r w:rsidRPr="00D86314">
        <w:t xml:space="preserve">average bandwidth consumption for the EU per technology </w:t>
      </w:r>
      <w:r w:rsidR="004171FE" w:rsidRPr="00D86314">
        <w:t xml:space="preserve">is </w:t>
      </w:r>
      <w:r w:rsidRPr="00D86314">
        <w:t xml:space="preserve">at around half of the levels reported for the UK. Electronic </w:t>
      </w:r>
      <w:r w:rsidR="00546D18" w:rsidRPr="00D86314">
        <w:t>communications</w:t>
      </w:r>
      <w:r w:rsidRPr="00D86314">
        <w:t xml:space="preserve"> statistics of the NRAs and Ofcom (2024): Connected Nations UK Report 2024, p. 14,</w:t>
      </w:r>
      <w:r w:rsidRPr="00D86314">
        <w:tab/>
        <w:t xml:space="preserve"> </w:t>
      </w:r>
      <w:hyperlink r:id="rId14" w:history="1">
        <w:r w:rsidR="002528A5" w:rsidRPr="00D86314">
          <w:rPr>
            <w:rStyle w:val="Hyperlink"/>
          </w:rPr>
          <w:t>https://www.ofcom.org.uk/siteassets/resources/documents/research-and-data/multi-sector/infrastructure-research/connected-nations-2024/connected-nations-uk-report-2024.pdf?v=386497</w:t>
        </w:r>
      </w:hyperlink>
      <w:r w:rsidR="00546D18" w:rsidRPr="00D86314">
        <w:t>.</w:t>
      </w:r>
    </w:p>
  </w:footnote>
  <w:footnote w:id="21">
    <w:p w14:paraId="69677275" w14:textId="59AABB46" w:rsidR="00070B27" w:rsidRPr="00D86314" w:rsidRDefault="00070B27" w:rsidP="008A6D60">
      <w:pPr>
        <w:pStyle w:val="FootnoteText"/>
        <w:jc w:val="left"/>
      </w:pPr>
      <w:r w:rsidRPr="00D86314">
        <w:rPr>
          <w:rStyle w:val="FootnoteReference"/>
        </w:rPr>
        <w:footnoteRef/>
      </w:r>
      <w:r w:rsidR="00295885" w:rsidRPr="00D86314">
        <w:t xml:space="preserve"> </w:t>
      </w:r>
      <w:r w:rsidRPr="00D86314">
        <w:t>Ofcom (2025): Promoting competition and investment in fibre networks: Telecoms Access Review 2026-31,</w:t>
      </w:r>
      <w:r w:rsidR="00546D18" w:rsidRPr="00D86314">
        <w:br/>
      </w:r>
      <w:r w:rsidRPr="00D86314">
        <w:t>Volume 2: Market definition and SMP assessment,</w:t>
      </w:r>
      <w:r w:rsidRPr="00D86314">
        <w:tab/>
        <w:t xml:space="preserve"> </w:t>
      </w:r>
      <w:hyperlink r:id="rId15" w:history="1">
        <w:r w:rsidRPr="00D86314">
          <w:rPr>
            <w:rStyle w:val="Hyperlink"/>
          </w:rPr>
          <w:t>https://www.ofcom.org.uk/siteassets/resources/documents/consultations/category-1-10-weeks/consultation-telecoms-access-review-2026-31/main-documents/volume-2-market-definition-and-smp-assessment.pdf?v=392945</w:t>
        </w:r>
      </w:hyperlink>
      <w:r w:rsidRPr="00D86314">
        <w:t>, p. 23.</w:t>
      </w:r>
    </w:p>
  </w:footnote>
  <w:footnote w:id="22">
    <w:p w14:paraId="0E0EE255" w14:textId="05DF4F90" w:rsidR="00665E59" w:rsidRPr="00D86314" w:rsidRDefault="00665E59" w:rsidP="00665E59">
      <w:pPr>
        <w:pStyle w:val="FootnoteText"/>
      </w:pPr>
      <w:r w:rsidRPr="00D86314">
        <w:rPr>
          <w:rStyle w:val="FootnoteReference"/>
        </w:rPr>
        <w:footnoteRef/>
      </w:r>
      <w:r w:rsidR="007D3B84" w:rsidRPr="00D86314">
        <w:t xml:space="preserve"> </w:t>
      </w:r>
      <w:r w:rsidRPr="00D86314">
        <w:t xml:space="preserve">See for example Roller and Waverman (2001), Datta and Agarwal (2004) and other references listed in Castaldo, Fiorini and Maggi (2016) More recently, Castaldo et al. (2018) </w:t>
      </w:r>
      <w:hyperlink r:id="rId16" w:history="1">
        <w:r w:rsidRPr="00D86314">
          <w:rPr>
            <w:rStyle w:val="Hyperlink"/>
          </w:rPr>
          <w:t>https://www.dss.uniroma1.it/RePec/sas/wpaper/20161_CFM.pdf</w:t>
        </w:r>
      </w:hyperlink>
      <w:r w:rsidRPr="00D86314">
        <w:rPr>
          <w:rStyle w:val="Hyperlink"/>
        </w:rPr>
        <w:t>.</w:t>
      </w:r>
      <w:r w:rsidRPr="00D86314">
        <w:t xml:space="preserve"> find a positive correlation between fixed broadband diffusion and economic growth across all 23 OECD countries. By constructing a panel data regression centred around GDP growth, the authors find detailed positive results regardless of the economic forecasts applied to the model. Their results support the hypothesis that broadband diffusion is both statistically significant and positively correlated with real GDP growth per capita.</w:t>
      </w:r>
    </w:p>
  </w:footnote>
  <w:footnote w:id="23">
    <w:p w14:paraId="6C0D9DC2" w14:textId="4E25B617" w:rsidR="00665E59" w:rsidRPr="00D86314" w:rsidRDefault="00665E59" w:rsidP="00665E59">
      <w:pPr>
        <w:pStyle w:val="FootnoteText"/>
      </w:pPr>
      <w:r w:rsidRPr="00D86314">
        <w:rPr>
          <w:rStyle w:val="FootnoteReference"/>
        </w:rPr>
        <w:footnoteRef/>
      </w:r>
      <w:r w:rsidR="007D3B84" w:rsidRPr="00D86314">
        <w:t xml:space="preserve"> </w:t>
      </w:r>
      <w:r w:rsidRPr="00D86314">
        <w:t xml:space="preserve">Briglauer, Wolfgang; Cambini, Carlo; Gugler, Klaus, Sabatino, Lorien (2025): Economic benefits of new broadband network coverage and service adoption: evidence from OECD member states, Industrial and Corporate Change, 2025, 00, 1-26, available at: </w:t>
      </w:r>
      <w:hyperlink r:id="rId17" w:history="1">
        <w:r w:rsidRPr="00D86314">
          <w:rPr>
            <w:rStyle w:val="Hyperlink"/>
          </w:rPr>
          <w:t>https://doi.org/10.1093/icc/dtae043</w:t>
        </w:r>
      </w:hyperlink>
      <w:r w:rsidRPr="00D86314">
        <w:t xml:space="preserve"> </w:t>
      </w:r>
    </w:p>
  </w:footnote>
  <w:footnote w:id="24">
    <w:p w14:paraId="616A153C" w14:textId="0AD9BFA5" w:rsidR="00665E59" w:rsidRPr="00D86314" w:rsidRDefault="00665E59" w:rsidP="00665E59">
      <w:pPr>
        <w:pStyle w:val="FootnoteText"/>
      </w:pPr>
      <w:r w:rsidRPr="00D86314">
        <w:rPr>
          <w:rStyle w:val="FootnoteReference"/>
        </w:rPr>
        <w:footnoteRef/>
      </w:r>
      <w:r w:rsidR="007D3B84" w:rsidRPr="00D86314">
        <w:t xml:space="preserve"> </w:t>
      </w:r>
      <w:r w:rsidRPr="00D86314">
        <w:t>The study does not refer to actual measured average speeds.</w:t>
      </w:r>
    </w:p>
  </w:footnote>
  <w:footnote w:id="25">
    <w:p w14:paraId="3DBD7F15" w14:textId="5E99DF54" w:rsidR="00665E59" w:rsidRPr="00D86314" w:rsidRDefault="00665E59" w:rsidP="00665E59">
      <w:pPr>
        <w:pStyle w:val="FootnoteText"/>
      </w:pPr>
      <w:r w:rsidRPr="00D86314">
        <w:rPr>
          <w:rStyle w:val="FootnoteReference"/>
        </w:rPr>
        <w:footnoteRef/>
      </w:r>
      <w:r w:rsidR="00973199" w:rsidRPr="008377B1">
        <w:rPr>
          <w:lang w:val="de-DE"/>
        </w:rPr>
        <w:t xml:space="preserve"> </w:t>
      </w:r>
      <w:r w:rsidRPr="008377B1">
        <w:rPr>
          <w:lang w:val="de-DE"/>
        </w:rPr>
        <w:t xml:space="preserve">See: </w:t>
      </w:r>
      <w:hyperlink r:id="rId18" w:tooltip="Zur Mitarbeiterseite von Wolfgang Briglauer" w:history="1">
        <w:r w:rsidRPr="008377B1">
          <w:rPr>
            <w:rStyle w:val="Hyperlink"/>
            <w:lang w:val="de-DE"/>
          </w:rPr>
          <w:t xml:space="preserve">Briglauer, Wolfgang </w:t>
        </w:r>
      </w:hyperlink>
      <w:r w:rsidRPr="008377B1">
        <w:rPr>
          <w:lang w:val="de-DE"/>
        </w:rPr>
        <w:t xml:space="preserve">und </w:t>
      </w:r>
      <w:hyperlink r:id="rId19" w:tooltip="Zur Mitarbeiterseite von Klaus Peter Gugler" w:history="1">
        <w:r w:rsidRPr="008377B1">
          <w:rPr>
            <w:rStyle w:val="Hyperlink"/>
            <w:lang w:val="de-DE"/>
          </w:rPr>
          <w:t xml:space="preserve">Klaus Peter Gugler </w:t>
        </w:r>
      </w:hyperlink>
      <w:r w:rsidRPr="008377B1">
        <w:rPr>
          <w:lang w:val="de-DE"/>
        </w:rPr>
        <w:t xml:space="preserve">(2019), </w:t>
      </w:r>
      <w:hyperlink r:id="rId20" w:tgtFrame="_blank" w:history="1">
        <w:r w:rsidRPr="008377B1">
          <w:rPr>
            <w:rStyle w:val="Hyperlink"/>
            <w:lang w:val="de-DE"/>
          </w:rPr>
          <w:t xml:space="preserve">Go for Gigabit? </w:t>
        </w:r>
        <w:r w:rsidRPr="00D86314">
          <w:rPr>
            <w:rStyle w:val="Hyperlink"/>
          </w:rPr>
          <w:t>First Evidence on Economic Benefits of High</w:t>
        </w:r>
        <w:r w:rsidRPr="00D86314">
          <w:rPr>
            <w:rStyle w:val="Hyperlink"/>
            <w:rFonts w:ascii="Cambria Math" w:hAnsi="Cambria Math" w:cs="Cambria Math"/>
          </w:rPr>
          <w:t>‐</w:t>
        </w:r>
        <w:r w:rsidRPr="00D86314">
          <w:rPr>
            <w:rStyle w:val="Hyperlink"/>
          </w:rPr>
          <w:t>speed Broadband Technologies in Europe</w:t>
        </w:r>
      </w:hyperlink>
      <w:r w:rsidRPr="00D86314">
        <w:t xml:space="preserve">, Journal of Common Market Studies 57(5) , 1071-1090, available at: </w:t>
      </w:r>
      <w:hyperlink r:id="rId21" w:history="1">
        <w:r w:rsidRPr="00D86314">
          <w:rPr>
            <w:rStyle w:val="Hyperlink"/>
          </w:rPr>
          <w:t>https://doi.org/10.1111/jcms.12872</w:t>
        </w:r>
      </w:hyperlink>
      <w:r w:rsidRPr="00D86314">
        <w:t>.</w:t>
      </w:r>
    </w:p>
  </w:footnote>
  <w:footnote w:id="26">
    <w:p w14:paraId="2DF19EE8" w14:textId="2B31F704" w:rsidR="00EE2522" w:rsidRPr="00C20A01" w:rsidRDefault="00EE2522">
      <w:pPr>
        <w:pStyle w:val="FootnoteText"/>
      </w:pPr>
      <w:r w:rsidRPr="00D86314">
        <w:rPr>
          <w:rStyle w:val="FootnoteReference"/>
        </w:rPr>
        <w:footnoteRef/>
      </w:r>
      <w:r w:rsidRPr="00C20A01">
        <w:rPr>
          <w:lang w:val="fr-BE"/>
        </w:rPr>
        <w:t xml:space="preserve"> Briglauer, W., Cambini, C., Gugler, K. et al. </w:t>
      </w:r>
      <w:r w:rsidRPr="00D86314">
        <w:t>Net neutrality and high-speed broadband networks: evidence from OECD countries. Eur J Law Econ 55, 533–571 (2023). https://doi.org/10.1007/s10657-022-09754-5</w:t>
      </w:r>
      <w:r w:rsidR="008B1600" w:rsidRPr="00D86314">
        <w:t>.</w:t>
      </w:r>
    </w:p>
  </w:footnote>
  <w:footnote w:id="27">
    <w:p w14:paraId="2C27F386" w14:textId="1BAC00A6" w:rsidR="00577620" w:rsidRPr="00C20A01" w:rsidRDefault="00577620">
      <w:pPr>
        <w:pStyle w:val="FootnoteText"/>
      </w:pPr>
      <w:r w:rsidRPr="00D86314">
        <w:rPr>
          <w:rStyle w:val="FootnoteReference"/>
        </w:rPr>
        <w:footnoteRef/>
      </w:r>
      <w:r w:rsidRPr="00D86314">
        <w:t xml:space="preserve"> </w:t>
      </w:r>
      <w:r w:rsidR="00FA177D" w:rsidRPr="00D86314">
        <w:t xml:space="preserve">ITU, </w:t>
      </w:r>
      <w:r w:rsidR="00022139" w:rsidRPr="00D86314">
        <w:t>The impact of digital transformation on the economy – Econometric Modelling, April 2025</w:t>
      </w:r>
      <w:r w:rsidR="00465E71" w:rsidRPr="00D86314">
        <w:t>, https://www.itu.int/hub/publication/d-pref-econ-mod-2025/.</w:t>
      </w:r>
    </w:p>
  </w:footnote>
  <w:footnote w:id="28">
    <w:p w14:paraId="29C10BC4" w14:textId="0F6AEAD6" w:rsidR="00665E59" w:rsidRPr="00D86314" w:rsidRDefault="00665E59" w:rsidP="00665E59">
      <w:pPr>
        <w:pStyle w:val="FootnoteText"/>
      </w:pPr>
      <w:r w:rsidRPr="00D86314">
        <w:rPr>
          <w:rStyle w:val="FootnoteReference"/>
        </w:rPr>
        <w:footnoteRef/>
      </w:r>
      <w:r w:rsidR="00973199" w:rsidRPr="00D86314">
        <w:t xml:space="preserve"> </w:t>
      </w:r>
      <w:r w:rsidRPr="00D86314">
        <w:t xml:space="preserve">See: Briglauer, Wolfgang; Krämer, Jan; Palan, Nicole (2023): Socioeconomic benefits of high-speed broadband availability and service adoption: A survey, Research Paper, No. 24, EcoAustria - Institute for Economic Research, Vienna, available at: </w:t>
      </w:r>
      <w:hyperlink r:id="rId22" w:history="1">
        <w:r w:rsidRPr="00D86314">
          <w:rPr>
            <w:rStyle w:val="Hyperlink"/>
          </w:rPr>
          <w:t>https://hdl.handle.net/10419/279416</w:t>
        </w:r>
      </w:hyperlink>
      <w:r w:rsidRPr="00D86314">
        <w:t>.</w:t>
      </w:r>
    </w:p>
  </w:footnote>
  <w:footnote w:id="29">
    <w:p w14:paraId="3F1BE039" w14:textId="11DF741C" w:rsidR="00665E59" w:rsidRPr="00D86314" w:rsidRDefault="00665E59" w:rsidP="00665E59">
      <w:pPr>
        <w:pStyle w:val="FootnoteText"/>
      </w:pPr>
      <w:r w:rsidRPr="00D86314">
        <w:rPr>
          <w:rStyle w:val="FootnoteReference"/>
        </w:rPr>
        <w:footnoteRef/>
      </w:r>
      <w:r w:rsidR="00973199" w:rsidRPr="00D86314">
        <w:t xml:space="preserve"> </w:t>
      </w:r>
      <w:r w:rsidRPr="00D86314">
        <w:t xml:space="preserve">Katz, Raul; Jung, Juan (2022): The contribution of fixed broadband to the economic growth of the United States between 2010 and 2020, Telecom Advisory Services LLC, Network On, June 2022, available at: </w:t>
      </w:r>
      <w:hyperlink r:id="rId23" w:history="1">
        <w:r w:rsidRPr="00D86314">
          <w:rPr>
            <w:rStyle w:val="Hyperlink"/>
          </w:rPr>
          <w:t>https://www.teleadvs.com/wp-content/uploads/ContributionofFixedBroadbandtoEconomicGrowth_RaulKatz.pdf</w:t>
        </w:r>
      </w:hyperlink>
      <w:r w:rsidRPr="00D86314">
        <w:t>.</w:t>
      </w:r>
    </w:p>
  </w:footnote>
  <w:footnote w:id="30">
    <w:p w14:paraId="2B75BAA8" w14:textId="10B41D9E" w:rsidR="00665E59" w:rsidRPr="00D86314" w:rsidRDefault="00665E59" w:rsidP="00665E59">
      <w:pPr>
        <w:pStyle w:val="FootnoteText"/>
      </w:pPr>
      <w:r w:rsidRPr="00D86314">
        <w:rPr>
          <w:rStyle w:val="FootnoteReference"/>
        </w:rPr>
        <w:footnoteRef/>
      </w:r>
      <w:r w:rsidRPr="00D86314">
        <w:t xml:space="preserve"> Katz/Callorda (2020): Assessing the Economic Potential of 10G Networks, Telecom Advisory Services LLC, </w:t>
      </w:r>
      <w:hyperlink r:id="rId24" w:history="1">
        <w:r w:rsidRPr="00D86314">
          <w:rPr>
            <w:rStyle w:val="Hyperlink"/>
          </w:rPr>
          <w:t>https://www.teleadvs.com/wp-content/uploads/Assessing-the-Economic-Potential-of-10G-Networks.pdf</w:t>
        </w:r>
      </w:hyperlink>
      <w:r w:rsidRPr="00D86314">
        <w:t>.</w:t>
      </w:r>
    </w:p>
  </w:footnote>
  <w:footnote w:id="31">
    <w:p w14:paraId="5E86919A" w14:textId="56B1B109" w:rsidR="00665E59" w:rsidRPr="00D86314" w:rsidRDefault="00665E59" w:rsidP="00665E59">
      <w:pPr>
        <w:pStyle w:val="FootnoteText"/>
      </w:pPr>
      <w:r w:rsidRPr="00D86314">
        <w:rPr>
          <w:rStyle w:val="FootnoteReference"/>
        </w:rPr>
        <w:footnoteRef/>
      </w:r>
      <w:r w:rsidRPr="00D86314">
        <w:t xml:space="preserve"> Rohman, Ibrahim Kholilul and Erik Bohlin (2012): Does broadband speed really matter for driving economic growth? Investigating OECD countries, https://papers.ssrn.com/sol3/papers.cfm?abstract_id=2034284.</w:t>
      </w:r>
    </w:p>
  </w:footnote>
  <w:footnote w:id="32">
    <w:p w14:paraId="6B8CA13A" w14:textId="79E177F0" w:rsidR="00665E59" w:rsidRPr="00D86314" w:rsidRDefault="00665E59" w:rsidP="00665E59">
      <w:pPr>
        <w:pStyle w:val="FootnoteText"/>
      </w:pPr>
      <w:r w:rsidRPr="00D86314">
        <w:rPr>
          <w:rStyle w:val="FootnoteReference"/>
        </w:rPr>
        <w:footnoteRef/>
      </w:r>
      <w:r w:rsidR="00973199" w:rsidRPr="00D86314">
        <w:t xml:space="preserve"> </w:t>
      </w:r>
      <w:r w:rsidRPr="00D86314">
        <w:t>WIK, Ecorys and VVA (2016) support for the Commission in the Impact Assessment for the Review of the EU framework for electronic communications SMART 2015/0005.</w:t>
      </w:r>
    </w:p>
  </w:footnote>
  <w:footnote w:id="33">
    <w:p w14:paraId="0D121793" w14:textId="0F7EB0E3" w:rsidR="00665E59" w:rsidRPr="00D86314" w:rsidRDefault="00665E59" w:rsidP="00665E59">
      <w:pPr>
        <w:pStyle w:val="FootnoteText"/>
      </w:pPr>
      <w:r w:rsidRPr="00D86314">
        <w:rPr>
          <w:rStyle w:val="FootnoteReference"/>
        </w:rPr>
        <w:footnoteRef/>
      </w:r>
      <w:r w:rsidR="00973199" w:rsidRPr="00D86314">
        <w:t xml:space="preserve"> </w:t>
      </w:r>
      <w:r w:rsidRPr="00D86314">
        <w:t>Kongaut, C., Bohlin, E., 2017. Impact of broadband speed on economic outputs: An empirical study of OECD countries. Economics and Business Review 3 (17), 12–32. doi:10.18559/ebr.2017.2.2.</w:t>
      </w:r>
    </w:p>
  </w:footnote>
  <w:footnote w:id="34">
    <w:p w14:paraId="0A1F0C4A" w14:textId="4A6C201B" w:rsidR="00665E59" w:rsidRPr="00D86314" w:rsidRDefault="00665E59" w:rsidP="00665E59">
      <w:pPr>
        <w:pStyle w:val="FootnoteText"/>
      </w:pPr>
      <w:r w:rsidRPr="00D86314">
        <w:rPr>
          <w:rStyle w:val="FootnoteReference"/>
        </w:rPr>
        <w:footnoteRef/>
      </w:r>
      <w:r w:rsidR="00973199" w:rsidRPr="00D86314">
        <w:t xml:space="preserve"> </w:t>
      </w:r>
      <w:r w:rsidRPr="00D86314">
        <w:t xml:space="preserve">Nadiri, M.I., B. Nandi and K.K. Akoz (2018): Impact of modern communication infrastructure on productivity, production structure and factor demands of US industries: Impact revisited, New York University, United States, Telecommunication Policy Volume 42, July 2018, pages 433-451, available at: </w:t>
      </w:r>
      <w:hyperlink r:id="rId25" w:history="1">
        <w:r w:rsidRPr="00D86314">
          <w:rPr>
            <w:rStyle w:val="Hyperlink"/>
          </w:rPr>
          <w:t>https://www.scopus.com/record/display.uri?eid=2-s2.0-85048129273&amp;origin=inward&amp;txGid=d54ecdbd045c2987e0384a0d2fa1e01b</w:t>
        </w:r>
      </w:hyperlink>
      <w:r w:rsidRPr="00D86314">
        <w:t xml:space="preserve">. </w:t>
      </w:r>
    </w:p>
  </w:footnote>
  <w:footnote w:id="35">
    <w:p w14:paraId="64273AF6" w14:textId="41BF5301" w:rsidR="00665E59" w:rsidRPr="00D86314" w:rsidRDefault="00665E59" w:rsidP="00665E59">
      <w:pPr>
        <w:pStyle w:val="FootnoteText"/>
      </w:pPr>
      <w:r w:rsidRPr="00D86314">
        <w:rPr>
          <w:rStyle w:val="FootnoteReference"/>
        </w:rPr>
        <w:footnoteRef/>
      </w:r>
      <w:r w:rsidR="00973199" w:rsidRPr="00D86314">
        <w:t xml:space="preserve"> </w:t>
      </w:r>
      <w:r w:rsidRPr="00D86314">
        <w:t>P. Koutroumpis (2018): The economic impact of broadband: Evidence from OECD countries</w:t>
      </w:r>
      <w:r w:rsidRPr="00D86314">
        <w:rPr>
          <w:rFonts w:ascii="Segoe UI Symbol" w:hAnsi="Segoe UI Symbol" w:cs="Segoe UI Symbol"/>
        </w:rPr>
        <w:t xml:space="preserve">”, </w:t>
      </w:r>
      <w:r w:rsidRPr="00D86314">
        <w:t>University of Oxford, August 2018, available at:</w:t>
      </w:r>
      <w:r w:rsidRPr="00D86314">
        <w:tab/>
        <w:t xml:space="preserve"> </w:t>
      </w:r>
      <w:hyperlink r:id="rId26" w:history="1">
        <w:r w:rsidRPr="00D86314">
          <w:rPr>
            <w:rStyle w:val="Hyperlink"/>
          </w:rPr>
          <w:t>https://www.ofcom.org.uk/__data/assets/pdf_file/0025/113299/economic-broadband-oecd-countries.pdf</w:t>
        </w:r>
      </w:hyperlink>
      <w:r w:rsidRPr="00D86314">
        <w:t xml:space="preserve">. </w:t>
      </w:r>
    </w:p>
  </w:footnote>
  <w:footnote w:id="36">
    <w:p w14:paraId="500DE587" w14:textId="42410D43" w:rsidR="00665E59" w:rsidRPr="00D86314" w:rsidRDefault="00665E59" w:rsidP="00665E59">
      <w:pPr>
        <w:pStyle w:val="FootnoteText"/>
      </w:pPr>
      <w:r w:rsidRPr="00D86314">
        <w:rPr>
          <w:rStyle w:val="FootnoteReference"/>
        </w:rPr>
        <w:footnoteRef/>
      </w:r>
      <w:r w:rsidR="00973199" w:rsidRPr="00D86314">
        <w:t xml:space="preserve"> </w:t>
      </w:r>
      <w:r w:rsidRPr="00D86314">
        <w:t>Hasbi, Maude (2017): Impact of Very High-Speed Broadband on Local Economic Growth: Empirical Evidence, 14th Asia-Pacific Regional Conference of the International Telecommunications Society (ITS): "Mapping ICT into Transformation for the Next Information Society", Kyoto, Japan, 24th-27th June, 2017, International Telecommunications Society (ITS), Calgary, available at:</w:t>
      </w:r>
      <w:r w:rsidRPr="00D86314">
        <w:tab/>
        <w:t xml:space="preserve"> </w:t>
      </w:r>
      <w:hyperlink r:id="rId27" w:history="1">
        <w:r w:rsidRPr="00D86314">
          <w:rPr>
            <w:rStyle w:val="Hyperlink"/>
          </w:rPr>
          <w:t>https://www.econstor.eu/handle/10419/168484</w:t>
        </w:r>
      </w:hyperlink>
      <w:r w:rsidRPr="00D86314">
        <w:t>.</w:t>
      </w:r>
    </w:p>
  </w:footnote>
  <w:footnote w:id="37">
    <w:p w14:paraId="2CBC2BCD" w14:textId="4206A49D" w:rsidR="00665E59" w:rsidRPr="00C20A01" w:rsidRDefault="00665E59" w:rsidP="008A6D60">
      <w:pPr>
        <w:spacing w:after="0"/>
        <w:rPr>
          <w:rStyle w:val="FootnoteReference"/>
          <w:rFonts w:eastAsiaTheme="minorEastAsia"/>
          <w:b/>
          <w:sz w:val="20"/>
          <w:szCs w:val="20"/>
        </w:rPr>
      </w:pPr>
      <w:r w:rsidRPr="00D86314">
        <w:rPr>
          <w:rStyle w:val="FootnoteReference"/>
        </w:rPr>
        <w:footnoteRef/>
      </w:r>
      <w:r w:rsidR="00C519E5" w:rsidRPr="00C20A01">
        <w:rPr>
          <w:rStyle w:val="FootnoteReference"/>
        </w:rPr>
        <w:t xml:space="preserve"> </w:t>
      </w:r>
      <w:r w:rsidR="008D53C9" w:rsidRPr="00D86314">
        <w:rPr>
          <w:rFonts w:eastAsiaTheme="minorEastAsia"/>
          <w:sz w:val="20"/>
          <w:szCs w:val="20"/>
        </w:rPr>
        <w:t>Sosa/Analysis (2014): Early Evidence Suggests Gigabit Broadband Drives GDP, Analysis Group, available at</w:t>
      </w:r>
      <w:r w:rsidR="008D53C9" w:rsidRPr="00C20A01">
        <w:t xml:space="preserve">: </w:t>
      </w:r>
      <w:hyperlink r:id="rId28" w:history="1">
        <w:r w:rsidR="008D53C9" w:rsidRPr="00C20A01">
          <w:rPr>
            <w:rStyle w:val="Hyperlink"/>
            <w:sz w:val="20"/>
            <w:szCs w:val="20"/>
          </w:rPr>
          <w:t>https://www.analysisgroup.com/globalassets/content/insights/publishing/gigabit_broadband_sosa.pdf</w:t>
        </w:r>
      </w:hyperlink>
      <w:r w:rsidR="008D53C9" w:rsidRPr="00C20A01">
        <w:rPr>
          <w:sz w:val="20"/>
          <w:szCs w:val="20"/>
        </w:rPr>
        <w:t>.</w:t>
      </w:r>
    </w:p>
  </w:footnote>
  <w:footnote w:id="38">
    <w:p w14:paraId="78668CEF" w14:textId="4D21AF17" w:rsidR="0068027B" w:rsidRPr="00C20A01" w:rsidRDefault="0068027B" w:rsidP="0068027B">
      <w:pPr>
        <w:pStyle w:val="FootnoteText"/>
      </w:pPr>
      <w:r w:rsidRPr="00D86314">
        <w:rPr>
          <w:rStyle w:val="FootnoteReference"/>
        </w:rPr>
        <w:footnoteRef/>
      </w:r>
      <w:r w:rsidRPr="00D86314">
        <w:t xml:space="preserve"> The Underappreciated Need to Enable AI and Data Center Growth: Increased and More Strategic Fiber Interconnections, </w:t>
      </w:r>
      <w:hyperlink r:id="rId29" w:history="1">
        <w:r w:rsidRPr="00D86314">
          <w:rPr>
            <w:rStyle w:val="Hyperlink"/>
          </w:rPr>
          <w:t>https://fiberbroadband.org/wp-content/uploads/2025/07/FBA-103_AI_Datacenter_WhitePaper_lv6.pdf</w:t>
        </w:r>
      </w:hyperlink>
      <w:r w:rsidR="00DF219A" w:rsidRPr="00D86314">
        <w:t>.</w:t>
      </w:r>
    </w:p>
  </w:footnote>
  <w:footnote w:id="39">
    <w:p w14:paraId="59B70328" w14:textId="7A7AF66B" w:rsidR="00665E59" w:rsidRPr="00D86314" w:rsidRDefault="00665E59" w:rsidP="008A6D60">
      <w:pPr>
        <w:pStyle w:val="FootnoteText"/>
        <w:jc w:val="left"/>
      </w:pPr>
      <w:r w:rsidRPr="00D86314">
        <w:rPr>
          <w:rStyle w:val="FootnoteReference"/>
        </w:rPr>
        <w:footnoteRef/>
      </w:r>
      <w:r w:rsidR="00973199" w:rsidRPr="00D86314">
        <w:t xml:space="preserve"> </w:t>
      </w:r>
      <w:r w:rsidRPr="00D86314">
        <w:t>See: RVA (2024): Gigabit Fiber Can Add $326B to US GDP, White Paper on behalf of Fib</w:t>
      </w:r>
      <w:r w:rsidR="00AD7A01" w:rsidRPr="00D86314">
        <w:t>re</w:t>
      </w:r>
      <w:r w:rsidRPr="00D86314">
        <w:t xml:space="preserve"> Broadband Association, available at:</w:t>
      </w:r>
      <w:r w:rsidR="00E8101F" w:rsidRPr="00D86314">
        <w:t xml:space="preserve"> </w:t>
      </w:r>
      <w:hyperlink r:id="rId30" w:history="1">
        <w:r w:rsidRPr="00D86314">
          <w:rPr>
            <w:rStyle w:val="Hyperlink"/>
          </w:rPr>
          <w:t>https://fiberbroadband.org/wp-content/uploads/2024/08/GigabitFiber_WhitePaper_FIN-2.pdf</w:t>
        </w:r>
      </w:hyperlink>
      <w:r w:rsidR="00DF219A" w:rsidRPr="00D86314">
        <w:t>.</w:t>
      </w:r>
    </w:p>
  </w:footnote>
  <w:footnote w:id="40">
    <w:p w14:paraId="5D00FE48" w14:textId="59C592DB" w:rsidR="00665E59" w:rsidRPr="00D86314" w:rsidRDefault="00665E59" w:rsidP="00665E59">
      <w:pPr>
        <w:pStyle w:val="FootnoteText"/>
      </w:pPr>
      <w:r w:rsidRPr="00D86314">
        <w:rPr>
          <w:rStyle w:val="FootnoteReference"/>
        </w:rPr>
        <w:footnoteRef/>
      </w:r>
      <w:r w:rsidR="00E8101F" w:rsidRPr="00D86314">
        <w:t xml:space="preserve"> </w:t>
      </w:r>
      <w:r w:rsidRPr="00D86314">
        <w:t>Mölleryd, B. (2015), Development of High-speed Networks and the Role of Municipal Networks, OECD Science, Technology and Industry Policy Papers, No. 26, OECD Publishing, Paris.</w:t>
      </w:r>
    </w:p>
  </w:footnote>
  <w:footnote w:id="41">
    <w:p w14:paraId="0A27E774" w14:textId="4ACA84E1" w:rsidR="00665E59" w:rsidRPr="00D86314" w:rsidRDefault="00665E59" w:rsidP="00665E59">
      <w:pPr>
        <w:pStyle w:val="FootnoteText"/>
      </w:pPr>
      <w:r w:rsidRPr="00D86314">
        <w:rPr>
          <w:rStyle w:val="FootnoteReference"/>
        </w:rPr>
        <w:footnoteRef/>
      </w:r>
      <w:r w:rsidR="00E8101F" w:rsidRPr="00D86314">
        <w:t xml:space="preserve"> </w:t>
      </w:r>
      <w:r w:rsidRPr="00D86314">
        <w:t>Singer, H., Caves K. and A.</w:t>
      </w:r>
      <w:r w:rsidR="00853883" w:rsidRPr="00D86314">
        <w:t xml:space="preserve"> </w:t>
      </w:r>
      <w:r w:rsidRPr="00D86314">
        <w:t>Koyfman (2015) Economists Incorporated: The Empirical Link Between Fibre-to-the-Premises Deployment and Employment: A case study in Canada, Annex to the Petition to Vary TRP 2015-326, Bell Canada.</w:t>
      </w:r>
    </w:p>
  </w:footnote>
  <w:footnote w:id="42">
    <w:p w14:paraId="37E6F1B5" w14:textId="1A63A0C2" w:rsidR="00665E59" w:rsidRPr="00D86314" w:rsidRDefault="00665E59" w:rsidP="00665E59">
      <w:pPr>
        <w:pStyle w:val="FootnoteText"/>
      </w:pPr>
      <w:r w:rsidRPr="00D86314">
        <w:rPr>
          <w:rStyle w:val="FootnoteReference"/>
        </w:rPr>
        <w:footnoteRef/>
      </w:r>
      <w:r w:rsidR="00853883" w:rsidRPr="00D86314">
        <w:t xml:space="preserve"> </w:t>
      </w:r>
      <w:r w:rsidRPr="00D86314">
        <w:t xml:space="preserve">See: Briglauer, Wolfgang; Krämer, Jan; Palan, Nicole (2023): Socioeconomic benefits of high-speed broadband availability and service adoption: A survey, Research Paper, No. 24, EcoAustria - Institute for Economic Research, Vienna, available at: </w:t>
      </w:r>
      <w:hyperlink r:id="rId31" w:history="1">
        <w:r w:rsidRPr="00D86314">
          <w:rPr>
            <w:rStyle w:val="Hyperlink"/>
          </w:rPr>
          <w:t>https://hdl.handle.net/10419/279416</w:t>
        </w:r>
      </w:hyperlink>
      <w:r w:rsidRPr="00D86314">
        <w:t>.</w:t>
      </w:r>
    </w:p>
  </w:footnote>
  <w:footnote w:id="43">
    <w:p w14:paraId="31D378CF" w14:textId="7DA0FB2B" w:rsidR="00665E59" w:rsidRPr="00D86314" w:rsidRDefault="00665E59" w:rsidP="00665E59">
      <w:pPr>
        <w:pStyle w:val="FootnoteText"/>
      </w:pPr>
      <w:r w:rsidRPr="00D86314">
        <w:rPr>
          <w:rStyle w:val="FootnoteReference"/>
        </w:rPr>
        <w:footnoteRef/>
      </w:r>
      <w:r w:rsidR="00853883" w:rsidRPr="00D86314">
        <w:t xml:space="preserve"> </w:t>
      </w:r>
      <w:r w:rsidRPr="00D86314">
        <w:t>Bai, Y. (2017), The faster, the better? The impact of Internet speed on employment, Information Economics and Policy, 40, 21-25.</w:t>
      </w:r>
    </w:p>
  </w:footnote>
  <w:footnote w:id="44">
    <w:p w14:paraId="18CE5EB0" w14:textId="1525584F" w:rsidR="00665E59" w:rsidRPr="00D86314" w:rsidRDefault="00665E59" w:rsidP="00665E59">
      <w:pPr>
        <w:pStyle w:val="FootnoteText"/>
      </w:pPr>
      <w:r w:rsidRPr="00D86314">
        <w:rPr>
          <w:rStyle w:val="FootnoteReference"/>
        </w:rPr>
        <w:footnoteRef/>
      </w:r>
      <w:r w:rsidR="00853883" w:rsidRPr="00D86314">
        <w:t xml:space="preserve"> </w:t>
      </w:r>
      <w:r w:rsidRPr="00D86314">
        <w:t>Although it does not specifically look at ultrafast broadband, on the basis of survey data from 166</w:t>
      </w:r>
      <w:r w:rsidR="00F3612C" w:rsidRPr="00D86314">
        <w:t xml:space="preserve"> </w:t>
      </w:r>
      <w:r w:rsidRPr="00D86314">
        <w:t>businesses in Wales, WERU (2017), Superfast broadband business exploitation project: Economic impact report, Cardiff University. argues that SMEs with superfast broadband are more likely to engage in innovation activity than standard broadband users. The report also finds that superfast broadband users tend to be characterised by higher labour productivity growth.</w:t>
      </w:r>
    </w:p>
  </w:footnote>
  <w:footnote w:id="45">
    <w:p w14:paraId="40135656" w14:textId="319C2A20" w:rsidR="00665E59" w:rsidRPr="00D86314" w:rsidRDefault="00665E59" w:rsidP="00665E59">
      <w:pPr>
        <w:pStyle w:val="FootnoteText"/>
      </w:pPr>
      <w:r w:rsidRPr="00D86314">
        <w:rPr>
          <w:rStyle w:val="FootnoteReference"/>
        </w:rPr>
        <w:footnoteRef/>
      </w:r>
      <w:r w:rsidR="00853883" w:rsidRPr="00D86314">
        <w:t xml:space="preserve"> </w:t>
      </w:r>
      <w:r w:rsidRPr="00D86314">
        <w:t xml:space="preserve">See Kongaut, Chatchai and Bohlin, Erik (2017): Impact of broadband speed on economic outputs: An empirical study of OECD countries, Economics and Business Review, Vol 3 (17), No. 2, 2017:12-32, available at: </w:t>
      </w:r>
      <w:hyperlink r:id="rId32" w:history="1">
        <w:r w:rsidRPr="00D86314">
          <w:rPr>
            <w:rStyle w:val="Hyperlink"/>
          </w:rPr>
          <w:t>https://www.econstor.eu/handle/10419/101415</w:t>
        </w:r>
      </w:hyperlink>
      <w:r w:rsidRPr="00D86314">
        <w:t>.</w:t>
      </w:r>
    </w:p>
  </w:footnote>
  <w:footnote w:id="46">
    <w:p w14:paraId="5A5064E0" w14:textId="740FD026" w:rsidR="00CE1FB8" w:rsidRPr="00D86314" w:rsidRDefault="00CE1FB8">
      <w:pPr>
        <w:pStyle w:val="FootnoteText"/>
      </w:pPr>
      <w:r w:rsidRPr="00D86314">
        <w:rPr>
          <w:rStyle w:val="FootnoteReference"/>
        </w:rPr>
        <w:footnoteRef/>
      </w:r>
      <w:r w:rsidRPr="00D86314">
        <w:t xml:space="preserve"> Superfast Broadband Programme Evaluation: Key Benefits and Impacts</w:t>
      </w:r>
      <w:r w:rsidR="00A30086" w:rsidRPr="00D86314">
        <w:t xml:space="preserve">, 1 March 2025, </w:t>
      </w:r>
      <w:hyperlink r:id="rId33" w:history="1">
        <w:r w:rsidR="00BF01E3" w:rsidRPr="00D86314">
          <w:rPr>
            <w:rStyle w:val="Hyperlink"/>
          </w:rPr>
          <w:t>https://www.gov.uk/government/publications/superfast-broadband-programme-evaluation-benefits-and-impacts/superfast-broadband-programme-evaluation-key-benefits-and-impacts</w:t>
        </w:r>
      </w:hyperlink>
      <w:r w:rsidR="00BF01E3" w:rsidRPr="00D86314">
        <w:t>.</w:t>
      </w:r>
    </w:p>
  </w:footnote>
  <w:footnote w:id="47">
    <w:p w14:paraId="31994ACF" w14:textId="52864A15" w:rsidR="00DF676E" w:rsidRPr="00D86314" w:rsidRDefault="00DF676E" w:rsidP="00DF676E">
      <w:pPr>
        <w:pStyle w:val="FootnoteText"/>
      </w:pPr>
      <w:r w:rsidRPr="00D86314">
        <w:rPr>
          <w:rStyle w:val="FootnoteReference"/>
        </w:rPr>
        <w:footnoteRef/>
      </w:r>
      <w:r w:rsidR="006A4747" w:rsidRPr="00D86314">
        <w:t xml:space="preserve"> </w:t>
      </w:r>
      <w:r w:rsidRPr="00D86314">
        <w:t xml:space="preserve">Eurostat (2024): Digital economy and society statistics - households and individuals, available at: </w:t>
      </w:r>
      <w:hyperlink r:id="rId34" w:history="1">
        <w:r w:rsidRPr="00D86314">
          <w:rPr>
            <w:rStyle w:val="Hyperlink"/>
          </w:rPr>
          <w:t>https://ec.europa.eu/eurostat/tistics-explained/index.php?title=Digital_economy_and_society_statistics_-_households_and_individuals</w:t>
        </w:r>
      </w:hyperlink>
      <w:r w:rsidRPr="00D86314">
        <w:t>.</w:t>
      </w:r>
    </w:p>
  </w:footnote>
  <w:footnote w:id="48">
    <w:p w14:paraId="60D7C7EE" w14:textId="6B7720D0" w:rsidR="00DF676E" w:rsidRPr="00D86314" w:rsidRDefault="00DF676E" w:rsidP="00100A0F">
      <w:pPr>
        <w:pStyle w:val="FootnoteText"/>
        <w:jc w:val="left"/>
      </w:pPr>
      <w:r w:rsidRPr="00D86314">
        <w:rPr>
          <w:rStyle w:val="FootnoteReference"/>
        </w:rPr>
        <w:footnoteRef/>
      </w:r>
      <w:r w:rsidR="006A4747" w:rsidRPr="00D86314">
        <w:t xml:space="preserve"> </w:t>
      </w:r>
      <w:r w:rsidRPr="00D86314">
        <w:t xml:space="preserve">Eurostat (2923), How many EU people can afford an internet connection?, available at: </w:t>
      </w:r>
      <w:hyperlink r:id="rId35" w:history="1">
        <w:r w:rsidRPr="00D86314">
          <w:rPr>
            <w:rStyle w:val="Hyperlink"/>
          </w:rPr>
          <w:t>https://ec.europa.eu/eurostat/de/web/products-eurostat-news/w/edn-20230801-1</w:t>
        </w:r>
      </w:hyperlink>
    </w:p>
  </w:footnote>
  <w:footnote w:id="49">
    <w:p w14:paraId="511DE268" w14:textId="715CD1E3" w:rsidR="00DF676E" w:rsidRPr="00D86314" w:rsidRDefault="00DF676E" w:rsidP="00DF676E">
      <w:pPr>
        <w:pStyle w:val="FootnoteText"/>
      </w:pPr>
      <w:r w:rsidRPr="00D86314">
        <w:rPr>
          <w:rStyle w:val="FootnoteReference"/>
        </w:rPr>
        <w:footnoteRef/>
      </w:r>
      <w:r w:rsidR="008E7990" w:rsidRPr="00D86314">
        <w:t xml:space="preserve"> </w:t>
      </w:r>
      <w:r w:rsidRPr="00D86314">
        <w:t xml:space="preserve">Eurostat (2025), Disabled people less likely to be internet users, </w:t>
      </w:r>
      <w:hyperlink r:id="rId36" w:history="1">
        <w:r w:rsidRPr="00D86314">
          <w:rPr>
            <w:rStyle w:val="Hyperlink"/>
          </w:rPr>
          <w:t>https://ec.europa.eu/eurostat/web/products-eurostat-news/w/ddn-20250313-1</w:t>
        </w:r>
      </w:hyperlink>
      <w:r w:rsidRPr="00D86314">
        <w:t xml:space="preserve">. </w:t>
      </w:r>
    </w:p>
  </w:footnote>
  <w:footnote w:id="50">
    <w:p w14:paraId="02838DAC" w14:textId="0E86B245" w:rsidR="00DF676E" w:rsidRPr="00D86314" w:rsidRDefault="00DF676E" w:rsidP="00DF676E">
      <w:pPr>
        <w:pStyle w:val="FootnoteText"/>
      </w:pPr>
      <w:r w:rsidRPr="00D86314">
        <w:rPr>
          <w:rStyle w:val="FootnoteReference"/>
        </w:rPr>
        <w:footnoteRef/>
      </w:r>
      <w:r w:rsidR="008E7990" w:rsidRPr="00D86314">
        <w:t xml:space="preserve"> </w:t>
      </w:r>
      <w:r w:rsidRPr="00D86314">
        <w:t>Zuo, G. W. (2021), Wired and hired: Employment effects of subsidized broadband Internet for low-income Americans. American Economic Journal: Economic Policy, 13(3):447–482</w:t>
      </w:r>
    </w:p>
  </w:footnote>
  <w:footnote w:id="51">
    <w:p w14:paraId="0BDEA374" w14:textId="71F53835" w:rsidR="00DF676E" w:rsidRPr="00D86314" w:rsidRDefault="00DF676E" w:rsidP="00DF676E">
      <w:pPr>
        <w:pStyle w:val="FootnoteText"/>
      </w:pPr>
      <w:r w:rsidRPr="00D86314">
        <w:rPr>
          <w:rStyle w:val="FootnoteReference"/>
        </w:rPr>
        <w:footnoteRef/>
      </w:r>
      <w:r w:rsidR="008E7990" w:rsidRPr="00D86314">
        <w:t xml:space="preserve"> </w:t>
      </w:r>
      <w:r w:rsidRPr="00D86314">
        <w:t>Mohan, G., &amp; Lyons, S. (2024), High-speed broadband availability, Internet activity among older people, quality of life and loneliness. </w:t>
      </w:r>
      <w:r w:rsidRPr="00D86314">
        <w:rPr>
          <w:i/>
          <w:iCs/>
        </w:rPr>
        <w:t>new media &amp; society</w:t>
      </w:r>
      <w:r w:rsidRPr="00D86314">
        <w:t>, </w:t>
      </w:r>
      <w:r w:rsidRPr="00D86314">
        <w:rPr>
          <w:i/>
          <w:iCs/>
        </w:rPr>
        <w:t>26</w:t>
      </w:r>
      <w:r w:rsidRPr="00D86314">
        <w:t>(5), 2889-2913.</w:t>
      </w:r>
    </w:p>
  </w:footnote>
  <w:footnote w:id="52">
    <w:p w14:paraId="773153CF" w14:textId="14194016" w:rsidR="00DF676E" w:rsidRPr="00D86314" w:rsidRDefault="00DF676E" w:rsidP="00DF676E">
      <w:pPr>
        <w:pStyle w:val="FootnoteText"/>
      </w:pPr>
      <w:r w:rsidRPr="00D86314">
        <w:rPr>
          <w:rStyle w:val="FootnoteReference"/>
        </w:rPr>
        <w:footnoteRef/>
      </w:r>
      <w:r w:rsidR="008E7990" w:rsidRPr="00D86314">
        <w:t xml:space="preserve"> </w:t>
      </w:r>
      <w:r w:rsidRPr="00D86314">
        <w:t>Tavares, A. I. (2020). Self-assessed health among older people in Europe and internet use. </w:t>
      </w:r>
      <w:r w:rsidRPr="00D86314">
        <w:rPr>
          <w:i/>
          <w:iCs/>
        </w:rPr>
        <w:t>International journal of medical informatics</w:t>
      </w:r>
      <w:r w:rsidRPr="00D86314">
        <w:t>, </w:t>
      </w:r>
      <w:r w:rsidRPr="00D86314">
        <w:rPr>
          <w:i/>
          <w:iCs/>
        </w:rPr>
        <w:t>141</w:t>
      </w:r>
      <w:r w:rsidRPr="00D86314">
        <w:t>, 104240.</w:t>
      </w:r>
    </w:p>
  </w:footnote>
  <w:footnote w:id="53">
    <w:p w14:paraId="3A6925A6" w14:textId="4F798537" w:rsidR="00DF676E" w:rsidRPr="00D86314" w:rsidRDefault="00DF676E" w:rsidP="00DF676E">
      <w:pPr>
        <w:pStyle w:val="FootnoteText"/>
      </w:pPr>
      <w:r w:rsidRPr="00D86314">
        <w:rPr>
          <w:rStyle w:val="FootnoteReference"/>
        </w:rPr>
        <w:footnoteRef/>
      </w:r>
      <w:r w:rsidR="008E7990" w:rsidRPr="00D86314">
        <w:t xml:space="preserve"> </w:t>
      </w:r>
      <w:r w:rsidRPr="00D86314">
        <w:t>Silva, P. et al. (2022), The Contribution of the Internet to Reducing Social Isolation in Individuals Aged 50 Years and Older: Quantitative Study of Data From the Survey of Health, Ageing and Retirement in Europe. Journal of medical Internet research, 24(1), e20466.</w:t>
      </w:r>
    </w:p>
  </w:footnote>
  <w:footnote w:id="54">
    <w:p w14:paraId="6ED62CCA" w14:textId="03C2A5BB" w:rsidR="00DF676E" w:rsidRPr="00D86314" w:rsidRDefault="00DF676E" w:rsidP="00DF676E">
      <w:pPr>
        <w:pStyle w:val="FootnoteText"/>
      </w:pPr>
      <w:r w:rsidRPr="00D86314">
        <w:rPr>
          <w:rStyle w:val="FootnoteReference"/>
        </w:rPr>
        <w:footnoteRef/>
      </w:r>
      <w:r w:rsidR="008E7990" w:rsidRPr="00D86314">
        <w:t xml:space="preserve"> </w:t>
      </w:r>
      <w:r w:rsidRPr="00D86314">
        <w:t>Duplaga, M. &amp; Szulc, K. (2019), The Association of Internet Use with Wellbeing, Mental Health and Health Behaviours of Persons with Disabilities. International Journal of Environmental Research and Public Health, 16(18), 3252.</w:t>
      </w:r>
    </w:p>
  </w:footnote>
  <w:footnote w:id="55">
    <w:p w14:paraId="29813945" w14:textId="7A216937" w:rsidR="00DF676E" w:rsidRPr="00D86314" w:rsidRDefault="00DF676E" w:rsidP="00DF676E">
      <w:pPr>
        <w:pStyle w:val="FootnoteText"/>
      </w:pPr>
      <w:r w:rsidRPr="00D86314">
        <w:rPr>
          <w:rStyle w:val="FootnoteReference"/>
        </w:rPr>
        <w:footnoteRef/>
      </w:r>
      <w:r w:rsidR="008E7990" w:rsidRPr="00D86314">
        <w:t xml:space="preserve"> </w:t>
      </w:r>
      <w:r w:rsidRPr="00D86314">
        <w:t xml:space="preserve">Caton, S. et al. (2024), Online social connections and internet use among people with intellectual disabilities in the United Kingdom during the COVID-19 pandemic. New Media &amp; Society, 26(5), 2804-2828. </w:t>
      </w:r>
    </w:p>
  </w:footnote>
  <w:footnote w:id="56">
    <w:p w14:paraId="632FD5AA" w14:textId="451AE7D5" w:rsidR="00815A16" w:rsidRPr="00D86314" w:rsidRDefault="00815A16" w:rsidP="009E4D32">
      <w:pPr>
        <w:pStyle w:val="FootnoteText"/>
        <w:rPr>
          <w:rStyle w:val="FootnoteReference"/>
          <w:b/>
        </w:rPr>
      </w:pPr>
      <w:r w:rsidRPr="00D86314">
        <w:rPr>
          <w:rStyle w:val="FootnoteReference"/>
        </w:rPr>
        <w:footnoteRef/>
      </w:r>
      <w:r w:rsidR="009E4D32" w:rsidRPr="00D86314">
        <w:rPr>
          <w:rStyle w:val="FootnoteReference"/>
        </w:rPr>
        <w:t xml:space="preserve"> </w:t>
      </w:r>
      <w:r w:rsidRPr="00D86314">
        <w:t>See Godlovitch et. al (2021): Environmental impact of electronic communications, Study for BEREC</w:t>
      </w:r>
      <w:r w:rsidR="006233F7" w:rsidRPr="00D86314">
        <w:t>.</w:t>
      </w:r>
    </w:p>
  </w:footnote>
  <w:footnote w:id="57">
    <w:p w14:paraId="730A7BCD" w14:textId="2A09C796" w:rsidR="004A3A77" w:rsidRPr="00D86314" w:rsidRDefault="004A3A77" w:rsidP="004A3A77">
      <w:pPr>
        <w:pStyle w:val="FootnoteText"/>
        <w:rPr>
          <w:rStyle w:val="FootnoteReference"/>
          <w:b/>
        </w:rPr>
      </w:pPr>
      <w:r w:rsidRPr="00D86314">
        <w:rPr>
          <w:rStyle w:val="FootnoteReference"/>
        </w:rPr>
        <w:footnoteRef/>
      </w:r>
      <w:r w:rsidRPr="00D86314">
        <w:t xml:space="preserve"> Nokia (2019): People &amp; Planet Report 2019.</w:t>
      </w:r>
    </w:p>
  </w:footnote>
  <w:footnote w:id="58">
    <w:p w14:paraId="6126B996" w14:textId="15A058C5" w:rsidR="000233D0" w:rsidRPr="00D86314" w:rsidRDefault="000233D0" w:rsidP="000C3C4E">
      <w:pPr>
        <w:pStyle w:val="FootnoteText"/>
        <w:rPr>
          <w:rStyle w:val="FootnoteReference"/>
          <w:b/>
        </w:rPr>
      </w:pPr>
      <w:r w:rsidRPr="00D86314">
        <w:rPr>
          <w:rStyle w:val="FootnoteReference"/>
        </w:rPr>
        <w:footnoteRef/>
      </w:r>
      <w:r w:rsidR="007B6CBD" w:rsidRPr="00D86314">
        <w:rPr>
          <w:rStyle w:val="FootnoteReference"/>
        </w:rPr>
        <w:t xml:space="preserve"> </w:t>
      </w:r>
      <w:r w:rsidRPr="00D86314">
        <w:rPr>
          <w:rStyle w:val="FootnoteReference"/>
        </w:rPr>
        <w:t>.</w:t>
      </w:r>
      <w:r w:rsidRPr="00D86314">
        <w:t>Godlovitch et. al (2021): Environmental impact of electronic communications, Study for BEREC</w:t>
      </w:r>
      <w:r w:rsidR="006555CD" w:rsidRPr="00D86314">
        <w:t>.</w:t>
      </w:r>
    </w:p>
  </w:footnote>
  <w:footnote w:id="59">
    <w:p w14:paraId="25AA8DE7" w14:textId="63946ED6" w:rsidR="000233D0" w:rsidRPr="00D86314" w:rsidRDefault="000233D0" w:rsidP="001C3A94">
      <w:pPr>
        <w:pStyle w:val="FootnoteText"/>
        <w:rPr>
          <w:rStyle w:val="FootnoteReference"/>
          <w:b/>
        </w:rPr>
      </w:pPr>
      <w:r w:rsidRPr="00D86314">
        <w:rPr>
          <w:rStyle w:val="FootnoteReference"/>
        </w:rPr>
        <w:footnoteRef/>
      </w:r>
      <w:r w:rsidR="001C3A94" w:rsidRPr="00D86314">
        <w:rPr>
          <w:rStyle w:val="FootnoteReference"/>
        </w:rPr>
        <w:t xml:space="preserve"> </w:t>
      </w:r>
      <w:r w:rsidRPr="00D86314">
        <w:t>Solivan (2025): Life Cycle Assessment on fiber cable construction methods.</w:t>
      </w:r>
    </w:p>
  </w:footnote>
  <w:footnote w:id="60">
    <w:p w14:paraId="1B12ABAA" w14:textId="4718536A" w:rsidR="000233D0" w:rsidRPr="00D86314" w:rsidRDefault="000233D0" w:rsidP="001C3A94">
      <w:pPr>
        <w:pStyle w:val="FootnoteText"/>
        <w:rPr>
          <w:rStyle w:val="FootnoteReference"/>
          <w:b/>
        </w:rPr>
      </w:pPr>
      <w:r w:rsidRPr="00D86314">
        <w:rPr>
          <w:rStyle w:val="FootnoteReference"/>
        </w:rPr>
        <w:footnoteRef/>
      </w:r>
      <w:r w:rsidR="001C3A94" w:rsidRPr="00D86314">
        <w:rPr>
          <w:rStyle w:val="FootnoteReference"/>
        </w:rPr>
        <w:t xml:space="preserve"> </w:t>
      </w:r>
      <w:r w:rsidRPr="00D86314">
        <w:t>Ecobilan (2008): Developing a generic approach for FTTH solutions using LCA methodology.</w:t>
      </w:r>
    </w:p>
  </w:footnote>
  <w:footnote w:id="61">
    <w:p w14:paraId="36505CF2" w14:textId="6D6AF826" w:rsidR="000233D0" w:rsidRPr="00D86314" w:rsidRDefault="000233D0" w:rsidP="001C3A94">
      <w:pPr>
        <w:pStyle w:val="FootnoteText"/>
        <w:rPr>
          <w:rStyle w:val="FootnoteReference"/>
          <w:b/>
        </w:rPr>
      </w:pPr>
      <w:r w:rsidRPr="00D86314">
        <w:rPr>
          <w:rStyle w:val="FootnoteReference"/>
        </w:rPr>
        <w:footnoteRef/>
      </w:r>
      <w:r w:rsidR="001C3A94" w:rsidRPr="00D86314">
        <w:rPr>
          <w:rStyle w:val="FootnoteReference"/>
        </w:rPr>
        <w:t xml:space="preserve"> </w:t>
      </w:r>
      <w:r w:rsidRPr="00D86314">
        <w:t>Stockman and Zhao (2014): White Paper: Innovative FTTH Deployment Technologies.</w:t>
      </w:r>
    </w:p>
  </w:footnote>
  <w:footnote w:id="62">
    <w:p w14:paraId="440A6EA1" w14:textId="690ABC7A" w:rsidR="000233D0" w:rsidRPr="00D86314" w:rsidRDefault="000233D0" w:rsidP="000233D0">
      <w:pPr>
        <w:pStyle w:val="FootnoteText"/>
      </w:pPr>
      <w:r w:rsidRPr="00D86314">
        <w:rPr>
          <w:rStyle w:val="FootnoteReference"/>
        </w:rPr>
        <w:footnoteRef/>
      </w:r>
      <w:r w:rsidRPr="00D86314">
        <w:t xml:space="preserve"> Fiber Broadband (2024: Fiber Broadband Deployment is Paramount </w:t>
      </w:r>
      <w:r w:rsidR="009E62A0" w:rsidRPr="00D86314">
        <w:t>to</w:t>
      </w:r>
      <w:r w:rsidRPr="00D86314">
        <w:t xml:space="preserve"> Achieving Zero Carbon Footprint.</w:t>
      </w:r>
    </w:p>
  </w:footnote>
  <w:footnote w:id="63">
    <w:p w14:paraId="3868390B" w14:textId="709DA96F" w:rsidR="0026699D" w:rsidRPr="00D86314" w:rsidRDefault="0026699D" w:rsidP="0026699D">
      <w:pPr>
        <w:pStyle w:val="FootnoteText"/>
      </w:pPr>
      <w:r w:rsidRPr="00D86314">
        <w:rPr>
          <w:rStyle w:val="FootnoteReference"/>
        </w:rPr>
        <w:footnoteRef/>
      </w:r>
      <w:r w:rsidR="001C3A94" w:rsidRPr="00D86314">
        <w:t xml:space="preserve"> </w:t>
      </w:r>
      <w:r w:rsidRPr="00D86314">
        <w:t xml:space="preserve">An extensive literature overview is provided by Briglauer et al. (2023): The Impact of ICT on Electricity and Energy Consumption and Resulting CO2 Emissions: a Literature Review, in: International Review of Environmental and Resource Economics, 2023. </w:t>
      </w:r>
    </w:p>
  </w:footnote>
  <w:footnote w:id="64">
    <w:p w14:paraId="11613E47" w14:textId="74202871" w:rsidR="0026699D" w:rsidRPr="00D86314" w:rsidRDefault="0026699D" w:rsidP="0026699D">
      <w:pPr>
        <w:pStyle w:val="FootnoteText"/>
      </w:pPr>
      <w:r w:rsidRPr="00D86314">
        <w:rPr>
          <w:rStyle w:val="FootnoteReference"/>
        </w:rPr>
        <w:footnoteRef/>
      </w:r>
      <w:r w:rsidR="001C3A94" w:rsidRPr="00D86314">
        <w:t xml:space="preserve"> </w:t>
      </w:r>
      <w:r w:rsidRPr="00D86314">
        <w:t xml:space="preserve">See in detail Zuloaga, G. et al. (2024): Sustainability: modern fixed and mobile networks compared across different regional structures, WIK Working Paper No. 10, Bad Honnef, December 2024, </w:t>
      </w:r>
      <w:hyperlink r:id="rId37" w:history="1">
        <w:r w:rsidRPr="00D86314">
          <w:rPr>
            <w:rStyle w:val="Hyperlink"/>
          </w:rPr>
          <w:t>https://www.wik.org/fileadmin/user_upload/Unternehmen/Veroeffentlichungen/Working_Papers/2024/WIK_Working_Paper_No10.pdf</w:t>
        </w:r>
      </w:hyperlink>
      <w:r w:rsidRPr="00D86314">
        <w:t>.</w:t>
      </w:r>
    </w:p>
  </w:footnote>
  <w:footnote w:id="65">
    <w:p w14:paraId="5A9EF71E" w14:textId="1D452780" w:rsidR="0026699D" w:rsidRPr="00D86314" w:rsidRDefault="0026699D" w:rsidP="0026699D">
      <w:pPr>
        <w:pStyle w:val="FootnoteText"/>
      </w:pPr>
      <w:r w:rsidRPr="00D86314">
        <w:rPr>
          <w:rStyle w:val="FootnoteReference"/>
        </w:rPr>
        <w:footnoteRef/>
      </w:r>
      <w:r w:rsidR="001C3A94" w:rsidRPr="00D86314">
        <w:t xml:space="preserve"> </w:t>
      </w:r>
      <w:r w:rsidRPr="00D86314">
        <w:t>Zuloaga, G. et al. (2025). CO</w:t>
      </w:r>
      <w:r w:rsidRPr="00D86314">
        <w:rPr>
          <w:vertAlign w:val="subscript"/>
        </w:rPr>
        <w:t>2</w:t>
      </w:r>
      <w:r w:rsidRPr="00D86314">
        <w:t>-Bilanz der Kupfer-Glasfaser-Migration in Deutschland [Carbon footprint of the copper-to-fibre migration in Germany]. WIK research programme 2025, publication expected by 12/2025.</w:t>
      </w:r>
    </w:p>
  </w:footnote>
  <w:footnote w:id="66">
    <w:p w14:paraId="1F7B2520" w14:textId="65C6B3F2" w:rsidR="0026699D" w:rsidRPr="00D86314" w:rsidRDefault="0026699D" w:rsidP="0026699D">
      <w:pPr>
        <w:pStyle w:val="FootnoteText"/>
      </w:pPr>
      <w:r w:rsidRPr="00D86314">
        <w:rPr>
          <w:rStyle w:val="FootnoteReference"/>
        </w:rPr>
        <w:footnoteRef/>
      </w:r>
      <w:r w:rsidR="001C3A94" w:rsidRPr="00D86314">
        <w:t xml:space="preserve"> </w:t>
      </w:r>
      <w:r w:rsidRPr="00D86314">
        <w:t xml:space="preserve">Zuloaga, G. et al. (2024): Sustainability: modern fixed and mobile networks compared across different regional structures, WIK Working Paper No. 10, Bad Honnef, December 2024, </w:t>
      </w:r>
      <w:hyperlink r:id="rId38" w:history="1">
        <w:r w:rsidRPr="00D86314">
          <w:rPr>
            <w:rStyle w:val="Hyperlink"/>
          </w:rPr>
          <w:t>https://www.wik.org/fileadmin/user_upload/Unternehmen/Veroeffentlichungen/Working_Papers/2024/WIK_Working_Paper_No10.pdf</w:t>
        </w:r>
      </w:hyperlink>
      <w:r w:rsidR="00AA3721" w:rsidRPr="00D86314">
        <w:t>.</w:t>
      </w:r>
    </w:p>
  </w:footnote>
  <w:footnote w:id="67">
    <w:p w14:paraId="524BED54" w14:textId="215F72E0" w:rsidR="0026699D" w:rsidRPr="00D86314" w:rsidRDefault="0026699D" w:rsidP="0026699D">
      <w:pPr>
        <w:pStyle w:val="FootnoteText"/>
      </w:pPr>
      <w:r w:rsidRPr="00D86314">
        <w:rPr>
          <w:rStyle w:val="FootnoteReference"/>
        </w:rPr>
        <w:footnoteRef/>
      </w:r>
      <w:r w:rsidR="001C3A94" w:rsidRPr="00D86314">
        <w:t xml:space="preserve"> </w:t>
      </w:r>
      <w:r w:rsidRPr="00D86314">
        <w:t xml:space="preserve">Zuloaga, G. et al. (2024): Sustainability: modern fixed and mobile networks compared across different regional structures, WIK Working Paper No. 10, Bad Honnef, December 2024, </w:t>
      </w:r>
      <w:hyperlink r:id="rId39" w:history="1">
        <w:r w:rsidRPr="00D86314">
          <w:rPr>
            <w:rStyle w:val="Hyperlink"/>
          </w:rPr>
          <w:t>https://www.wik.org/fileadmin/user_upload/Unternehmen/Veroeffentlichungen/Working_Papers/2024/WIK_Working_Paper_No10.pdf</w:t>
        </w:r>
      </w:hyperlink>
      <w:r w:rsidR="00AA3721" w:rsidRPr="00D86314">
        <w:t>.</w:t>
      </w:r>
    </w:p>
  </w:footnote>
  <w:footnote w:id="68">
    <w:p w14:paraId="45DC8BE7" w14:textId="1F228663" w:rsidR="0026699D" w:rsidRPr="00D86314" w:rsidRDefault="0026699D" w:rsidP="008A6D60">
      <w:pPr>
        <w:pStyle w:val="FootnoteText"/>
        <w:jc w:val="left"/>
      </w:pPr>
      <w:r w:rsidRPr="00D86314">
        <w:rPr>
          <w:rStyle w:val="FootnoteReference"/>
        </w:rPr>
        <w:footnoteRef/>
      </w:r>
      <w:r w:rsidR="001C3A94" w:rsidRPr="004A758B">
        <w:rPr>
          <w:lang w:val="de-DE"/>
        </w:rPr>
        <w:t xml:space="preserve"> </w:t>
      </w:r>
      <w:r w:rsidRPr="004A758B">
        <w:rPr>
          <w:lang w:val="de-DE"/>
        </w:rPr>
        <w:t xml:space="preserve">See Obermann, K. (2022): Nachhaltigkeitsvergleich Internet-Zugangsnetz-Technologien. </w:t>
      </w:r>
      <w:r w:rsidRPr="00D86314">
        <w:t xml:space="preserve">Technische Hochschule Mittelhessen, 03.03.2022, Expert Study for Federal Association of Broadband Communication (BREKO), </w:t>
      </w:r>
      <w:hyperlink r:id="rId40" w:history="1">
        <w:r w:rsidRPr="00D86314">
          <w:rPr>
            <w:rStyle w:val="Hyperlink"/>
          </w:rPr>
          <w:t>https://www.brekoverband.de/wp-content/uploads/2025/03/gutachten_nachhaltigkeit_2_v09_final_2024-1-22.pdf</w:t>
        </w:r>
      </w:hyperlink>
      <w:r w:rsidR="00AA3721" w:rsidRPr="00D86314">
        <w:t>.</w:t>
      </w:r>
    </w:p>
  </w:footnote>
  <w:footnote w:id="69">
    <w:p w14:paraId="38EFF556" w14:textId="344A7E48" w:rsidR="0026699D" w:rsidRPr="00D86314" w:rsidRDefault="0026699D" w:rsidP="0026699D">
      <w:pPr>
        <w:pStyle w:val="FootnoteText"/>
      </w:pPr>
      <w:r w:rsidRPr="00D86314">
        <w:rPr>
          <w:rStyle w:val="FootnoteReference"/>
        </w:rPr>
        <w:footnoteRef/>
      </w:r>
      <w:r w:rsidR="001C3A94" w:rsidRPr="004A758B">
        <w:rPr>
          <w:lang w:val="de-DE"/>
        </w:rPr>
        <w:t xml:space="preserve"> </w:t>
      </w:r>
      <w:r w:rsidRPr="004A758B">
        <w:rPr>
          <w:lang w:val="de-DE"/>
        </w:rPr>
        <w:t xml:space="preserve">See Breide, S., Helleberg, S., Schindler, J., Waßmuth, A. (2021). </w:t>
      </w:r>
      <w:r w:rsidRPr="00D86314">
        <w:t>Energy Consumption of Telecommunication Networks. Prysmian Group</w:t>
      </w:r>
      <w:r w:rsidR="00AA3721" w:rsidRPr="00D86314">
        <w:t>.</w:t>
      </w:r>
    </w:p>
  </w:footnote>
  <w:footnote w:id="70">
    <w:p w14:paraId="68A3A49A" w14:textId="667D317F" w:rsidR="0026699D" w:rsidRPr="00D86314" w:rsidRDefault="0026699D" w:rsidP="0026699D">
      <w:pPr>
        <w:pStyle w:val="FootnoteText"/>
      </w:pPr>
      <w:r w:rsidRPr="00D86314">
        <w:rPr>
          <w:rStyle w:val="FootnoteReference"/>
        </w:rPr>
        <w:footnoteRef/>
      </w:r>
      <w:r w:rsidR="001C3A94" w:rsidRPr="00D86314">
        <w:t xml:space="preserve"> </w:t>
      </w:r>
      <w:r w:rsidRPr="00D86314">
        <w:t xml:space="preserve">See in detail Zuloaga, G. et al. (2024): Sustainability: modern fixed and mobile networks compared across different regional structures, WIK Working Paper No. 10, Bad Honnef, December 2024, </w:t>
      </w:r>
      <w:hyperlink r:id="rId41" w:history="1">
        <w:r w:rsidRPr="00D86314">
          <w:rPr>
            <w:rStyle w:val="Hyperlink"/>
          </w:rPr>
          <w:t>https://www.wik.org/fileadmin/user_upload/Unternehmen/Veroeffentlichungen/Working_Papers/2024/WIK_Working_Paper_No10.pdf</w:t>
        </w:r>
      </w:hyperlink>
      <w:r w:rsidRPr="00D86314">
        <w:t xml:space="preserve"> , page 45 ff.</w:t>
      </w:r>
    </w:p>
  </w:footnote>
  <w:footnote w:id="71">
    <w:p w14:paraId="68EEA945" w14:textId="5139DFC6" w:rsidR="0026699D" w:rsidRPr="00D86314" w:rsidRDefault="0026699D" w:rsidP="0026699D">
      <w:pPr>
        <w:pStyle w:val="FootnoteText"/>
      </w:pPr>
      <w:r w:rsidRPr="00D86314">
        <w:rPr>
          <w:rStyle w:val="FootnoteReference"/>
        </w:rPr>
        <w:footnoteRef/>
      </w:r>
      <w:bookmarkStart w:id="118" w:name="_Hlk201915021"/>
      <w:r w:rsidR="001C3A94" w:rsidRPr="00D86314">
        <w:t xml:space="preserve"> </w:t>
      </w:r>
      <w:r w:rsidRPr="00D86314">
        <w:t xml:space="preserve">Zuloaga, G. et al.. (2024): Ökologische Effekte des Glasfaserausbaus (ecological effects of fibre roll out), study for RTR, November 2024, </w:t>
      </w:r>
      <w:hyperlink r:id="rId42" w:history="1">
        <w:r w:rsidRPr="00D86314">
          <w:rPr>
            <w:rStyle w:val="Hyperlink"/>
          </w:rPr>
          <w:t>Oeko-Effekte_20241206_Bericht (1).pdf</w:t>
        </w:r>
      </w:hyperlink>
      <w:r w:rsidR="00AA3721" w:rsidRPr="00D86314">
        <w:t>.</w:t>
      </w:r>
      <w:r w:rsidRPr="00D86314">
        <w:t xml:space="preserve"> </w:t>
      </w:r>
      <w:bookmarkEnd w:id="118"/>
    </w:p>
  </w:footnote>
  <w:footnote w:id="72">
    <w:p w14:paraId="26E0A98A" w14:textId="10D173A5" w:rsidR="0026699D" w:rsidRPr="00D86314" w:rsidRDefault="0026699D" w:rsidP="0026699D">
      <w:pPr>
        <w:pStyle w:val="FootnoteText"/>
      </w:pPr>
      <w:r w:rsidRPr="00D86314">
        <w:rPr>
          <w:rStyle w:val="FootnoteReference"/>
        </w:rPr>
        <w:footnoteRef/>
      </w:r>
      <w:r w:rsidR="00F17121" w:rsidRPr="00D86314">
        <w:t xml:space="preserve"> </w:t>
      </w:r>
      <w:r w:rsidRPr="00D86314">
        <w:t>Zuloaga, G. et al.. (2024): Ökologische Effekte des Glasfaserausbaus (ecological effects of fibre roll out), study for RTR, November 2024, Oeko-Effekte_20241206_Bericht (1).pdf, page 39.</w:t>
      </w:r>
    </w:p>
  </w:footnote>
  <w:footnote w:id="73">
    <w:p w14:paraId="13D4D513" w14:textId="7B8AD24E" w:rsidR="0026699D" w:rsidRPr="00D86314" w:rsidRDefault="0026699D" w:rsidP="00733D40">
      <w:pPr>
        <w:pStyle w:val="FootnoteText"/>
        <w:jc w:val="left"/>
      </w:pPr>
      <w:r w:rsidRPr="00D86314">
        <w:rPr>
          <w:rStyle w:val="FootnoteReference"/>
        </w:rPr>
        <w:footnoteRef/>
      </w:r>
      <w:r w:rsidR="00F17121" w:rsidRPr="00D86314">
        <w:t xml:space="preserve"> </w:t>
      </w:r>
      <w:r w:rsidRPr="00D86314">
        <w:t xml:space="preserve">See Analysys Mason (2023): Full-fibre networks in Europe: state of play and future evolution, report for Meta, 3 May 2023, </w:t>
      </w:r>
      <w:r w:rsidRPr="00D86314">
        <w:cr/>
      </w:r>
      <w:hyperlink r:id="rId43" w:history="1">
        <w:r w:rsidRPr="00D86314">
          <w:rPr>
            <w:rStyle w:val="Hyperlink"/>
          </w:rPr>
          <w:t>https://www.analysysmason.com/contentassets/1d7e13ed1dba4cc6917daa023f27834b/analysys_mason_fibre_in_europe_may2023.pdf</w:t>
        </w:r>
      </w:hyperlink>
      <w:r w:rsidR="00027D19" w:rsidRPr="00D86314">
        <w:t>.</w:t>
      </w:r>
    </w:p>
  </w:footnote>
  <w:footnote w:id="74">
    <w:p w14:paraId="66FEE762" w14:textId="6FA24364" w:rsidR="0026699D" w:rsidRPr="00D86314" w:rsidRDefault="0026699D" w:rsidP="0026699D">
      <w:pPr>
        <w:pStyle w:val="FootnoteText"/>
      </w:pPr>
      <w:r w:rsidRPr="00D86314">
        <w:rPr>
          <w:rStyle w:val="FootnoteReference"/>
        </w:rPr>
        <w:footnoteRef/>
      </w:r>
      <w:r w:rsidR="00733D40" w:rsidRPr="00D86314">
        <w:t xml:space="preserve"> </w:t>
      </w:r>
      <w:r w:rsidRPr="00D86314">
        <w:t xml:space="preserve">See Analysys Mason (2023): Full-fibre networks in Europe: state of play and future evolution, report for Meta, 3 May 2023, </w:t>
      </w:r>
      <w:r w:rsidRPr="00D86314">
        <w:cr/>
      </w:r>
      <w:hyperlink r:id="rId44" w:history="1">
        <w:r w:rsidRPr="00D86314">
          <w:rPr>
            <w:rStyle w:val="Hyperlink"/>
          </w:rPr>
          <w:t>https://www.analysysmason.com/contentassets/1d7e13ed1dba4cc6917daa023f27834b/analysys_mason_fibre_in_europe_may2023.pdf</w:t>
        </w:r>
      </w:hyperlink>
      <w:r w:rsidRPr="00D86314">
        <w:t>, page 15.</w:t>
      </w:r>
    </w:p>
  </w:footnote>
  <w:footnote w:id="75">
    <w:p w14:paraId="5BFF7E41" w14:textId="2C45D824" w:rsidR="0026699D" w:rsidRPr="00D86314" w:rsidRDefault="0026699D" w:rsidP="00733D40">
      <w:pPr>
        <w:pStyle w:val="FootnoteText"/>
        <w:jc w:val="left"/>
      </w:pPr>
      <w:r w:rsidRPr="00D86314">
        <w:rPr>
          <w:rStyle w:val="FootnoteReference"/>
        </w:rPr>
        <w:footnoteRef/>
      </w:r>
      <w:r w:rsidR="00733D40" w:rsidRPr="004A758B">
        <w:rPr>
          <w:lang w:val="de-DE"/>
        </w:rPr>
        <w:t xml:space="preserve"> </w:t>
      </w:r>
      <w:r w:rsidRPr="004A758B">
        <w:rPr>
          <w:lang w:val="de-DE"/>
        </w:rPr>
        <w:t xml:space="preserve">See Obermann, K. (2022): Nachhaltigkeitsvergleich Internet-Zugangsnetz-Technologien. </w:t>
      </w:r>
      <w:r w:rsidRPr="00D86314">
        <w:t xml:space="preserve">Technische Hochschule Mittelhessen, 03.03.2022, Expert Study for Federal Association of Broadband Communication (BREKO), </w:t>
      </w:r>
      <w:hyperlink r:id="rId45" w:history="1">
        <w:r w:rsidRPr="00D86314">
          <w:rPr>
            <w:rStyle w:val="Hyperlink"/>
          </w:rPr>
          <w:t>https://www.brekoverband.de/wp-content/uploads/2025/03/gutachten_nachhaltigkeit_2_v09_final_2024-1-22.pdf</w:t>
        </w:r>
      </w:hyperlink>
      <w:r w:rsidR="008472F3" w:rsidRPr="00D86314">
        <w:t>.</w:t>
      </w:r>
      <w:r w:rsidRPr="00D86314">
        <w:t xml:space="preserve"> </w:t>
      </w:r>
    </w:p>
  </w:footnote>
  <w:footnote w:id="76">
    <w:p w14:paraId="739B73C7" w14:textId="4FDADE4C" w:rsidR="0026699D" w:rsidRPr="00D86314" w:rsidRDefault="0026699D" w:rsidP="00733D40">
      <w:pPr>
        <w:pStyle w:val="FootnoteText"/>
        <w:jc w:val="left"/>
      </w:pPr>
      <w:r w:rsidRPr="00D86314">
        <w:rPr>
          <w:rStyle w:val="FootnoteReference"/>
        </w:rPr>
        <w:footnoteRef/>
      </w:r>
      <w:r w:rsidR="00733D40" w:rsidRPr="004A758B">
        <w:rPr>
          <w:lang w:val="de-DE"/>
        </w:rPr>
        <w:t xml:space="preserve"> </w:t>
      </w:r>
      <w:r w:rsidRPr="004A758B">
        <w:rPr>
          <w:lang w:val="de-DE"/>
        </w:rPr>
        <w:t xml:space="preserve">See Breide, S., Helleberg, S., Schindler, J., Waßmuth, A. (2021). </w:t>
      </w:r>
      <w:r w:rsidRPr="00D86314">
        <w:t>Energy Consumption of Telecommunication Networks. Prysmian Group</w:t>
      </w:r>
      <w:r w:rsidR="008472F3" w:rsidRPr="00D86314">
        <w:t>.</w:t>
      </w:r>
    </w:p>
  </w:footnote>
  <w:footnote w:id="77">
    <w:p w14:paraId="2DB59646" w14:textId="5FA7B26D" w:rsidR="0026699D" w:rsidRPr="00D86314" w:rsidRDefault="0026699D" w:rsidP="0026699D">
      <w:pPr>
        <w:pStyle w:val="FootnoteText"/>
      </w:pPr>
      <w:r w:rsidRPr="00D86314">
        <w:rPr>
          <w:rStyle w:val="FootnoteReference"/>
        </w:rPr>
        <w:footnoteRef/>
      </w:r>
      <w:r w:rsidR="00733D40" w:rsidRPr="00D86314">
        <w:t xml:space="preserve"> </w:t>
      </w:r>
      <w:r w:rsidRPr="00D86314">
        <w:t xml:space="preserve">See Godlovitch et al. (2021) Neutral fibre and the European Green Deal, WIK study for Stokab, October 2020, </w:t>
      </w:r>
      <w:hyperlink r:id="rId46" w:history="1">
        <w:r w:rsidRPr="00D86314">
          <w:rPr>
            <w:rStyle w:val="Hyperlink"/>
          </w:rPr>
          <w:t>https://stokab.se/download/18.15d457b6178eff38ee02a4/1619693498369/Neutral%20fibre%20and%20the%20European%20Green%20Deal_2021.pdf</w:t>
        </w:r>
      </w:hyperlink>
      <w:r w:rsidR="008472F3" w:rsidRPr="00D86314">
        <w:t>.</w:t>
      </w:r>
    </w:p>
  </w:footnote>
  <w:footnote w:id="78">
    <w:p w14:paraId="22362213" w14:textId="78E8B957" w:rsidR="00693E08" w:rsidRPr="00693E08" w:rsidRDefault="00693E08">
      <w:pPr>
        <w:pStyle w:val="FootnoteText"/>
      </w:pPr>
      <w:r>
        <w:rPr>
          <w:rStyle w:val="FootnoteReference"/>
        </w:rPr>
        <w:footnoteRef/>
      </w:r>
      <w:r>
        <w:t xml:space="preserve"> </w:t>
      </w:r>
      <w:hyperlink r:id="rId47" w:history="1">
        <w:r w:rsidRPr="00D86314">
          <w:rPr>
            <w:rStyle w:val="Hyperlink"/>
          </w:rPr>
          <w:t>https://www.eea.europa.eu/en/datahub/datahubitem-view/3b7fe76c-524a-439a-bfd2-a6e4046302a2?activeAccordion=1091606</w:t>
        </w:r>
      </w:hyperlink>
    </w:p>
  </w:footnote>
  <w:footnote w:id="79">
    <w:p w14:paraId="0F2C55B7" w14:textId="79452AD5" w:rsidR="00081AD7" w:rsidRPr="00D86314" w:rsidRDefault="00081AD7" w:rsidP="0054751C">
      <w:pPr>
        <w:pStyle w:val="FootnoteText"/>
        <w:jc w:val="left"/>
        <w:rPr>
          <w:rStyle w:val="FootnoteReference"/>
          <w:b/>
        </w:rPr>
      </w:pPr>
      <w:r w:rsidRPr="00D86314">
        <w:rPr>
          <w:rStyle w:val="FootnoteReference"/>
        </w:rPr>
        <w:footnoteRef/>
      </w:r>
      <w:r w:rsidR="0054751C" w:rsidRPr="00D86314">
        <w:rPr>
          <w:b/>
        </w:rPr>
        <w:t xml:space="preserve"> </w:t>
      </w:r>
      <w:r w:rsidRPr="00D86314">
        <w:t xml:space="preserve">BT Group (2024): Annual Report 2024, </w:t>
      </w:r>
      <w:hyperlink r:id="rId48" w:history="1">
        <w:r w:rsidRPr="00D86314">
          <w:rPr>
            <w:rStyle w:val="Hyperlink"/>
          </w:rPr>
          <w:t>https://www.bt.com/bt-plc/assets/documents/investors/financial-reporting-and-news/annual-reports/2024/2024-bt-group-plc-annual-report.pdf</w:t>
        </w:r>
      </w:hyperlink>
      <w:r w:rsidRPr="00D86314">
        <w:t>, P. 60</w:t>
      </w:r>
      <w:r w:rsidR="00EB096C" w:rsidRPr="00D86314">
        <w:t>.</w:t>
      </w:r>
    </w:p>
  </w:footnote>
  <w:footnote w:id="80">
    <w:p w14:paraId="32E0FFFC" w14:textId="1D4ACF3D" w:rsidR="00081AD7" w:rsidRPr="00D86314" w:rsidRDefault="00081AD7" w:rsidP="0054751C">
      <w:pPr>
        <w:pStyle w:val="FootnoteText"/>
        <w:jc w:val="left"/>
        <w:rPr>
          <w:rStyle w:val="FootnoteReference"/>
          <w:b/>
        </w:rPr>
      </w:pPr>
      <w:r w:rsidRPr="00D86314">
        <w:rPr>
          <w:rStyle w:val="FootnoteReference"/>
        </w:rPr>
        <w:footnoteRef/>
      </w:r>
      <w:r w:rsidR="0054751C" w:rsidRPr="00D86314">
        <w:rPr>
          <w:rStyle w:val="FootnoteReference"/>
        </w:rPr>
        <w:t xml:space="preserve"> </w:t>
      </w:r>
      <w:hyperlink r:id="rId49" w:history="1">
        <w:r w:rsidRPr="00D86314">
          <w:rPr>
            <w:rStyle w:val="Hyperlink"/>
          </w:rPr>
          <w:t>https://www.ispreview.co.uk/index.php/2024/09/bt-get-105m-for-first-sale-of-old-uk-copper-telecoms-cables.html</w:t>
        </w:r>
      </w:hyperlink>
      <w:r w:rsidR="00EB096C" w:rsidRPr="00D86314">
        <w:t>.</w:t>
      </w:r>
    </w:p>
  </w:footnote>
  <w:footnote w:id="81">
    <w:p w14:paraId="7CC92A5B" w14:textId="5C4E7838" w:rsidR="00081AD7" w:rsidRPr="00D86314" w:rsidRDefault="00081AD7" w:rsidP="0054751C">
      <w:pPr>
        <w:pStyle w:val="FootnoteText"/>
        <w:jc w:val="left"/>
        <w:rPr>
          <w:rStyle w:val="FootnoteReference"/>
          <w:b/>
        </w:rPr>
      </w:pPr>
      <w:r w:rsidRPr="00D86314">
        <w:rPr>
          <w:rStyle w:val="FootnoteReference"/>
        </w:rPr>
        <w:footnoteRef/>
      </w:r>
      <w:r w:rsidR="0054751C" w:rsidRPr="00D86314">
        <w:rPr>
          <w:rStyle w:val="FootnoteReference"/>
        </w:rPr>
        <w:t xml:space="preserve"> </w:t>
      </w:r>
      <w:hyperlink r:id="rId50" w:history="1">
        <w:r w:rsidRPr="00D86314">
          <w:rPr>
            <w:rStyle w:val="Hyperlink"/>
          </w:rPr>
          <w:t>https://www.datacenterdynamics.com/en/opinions/the-world-is-running-short-of-copper-telecoms-networks-could-be-the-answer/.</w:t>
        </w:r>
      </w:hyperlink>
    </w:p>
  </w:footnote>
  <w:footnote w:id="82">
    <w:p w14:paraId="091EE73A" w14:textId="77777777" w:rsidR="00C778BA" w:rsidRPr="00D86314" w:rsidRDefault="00C778BA" w:rsidP="00C778BA">
      <w:pPr>
        <w:pStyle w:val="FootnoteText"/>
      </w:pPr>
      <w:r w:rsidRPr="00D86314">
        <w:rPr>
          <w:rStyle w:val="FootnoteReference"/>
        </w:rPr>
        <w:footnoteRef/>
      </w:r>
      <w:r w:rsidRPr="00D86314">
        <w:t xml:space="preserve"> In this context, full 5G refers to 5G SA, making use where appropriate of mid and high-band spectrum, and involving network densification in areas of high demand to ensure consistent delivery of high bandwidths. </w:t>
      </w:r>
    </w:p>
  </w:footnote>
  <w:footnote w:id="83">
    <w:p w14:paraId="01994E47" w14:textId="36C98407" w:rsidR="00C778BA" w:rsidRPr="00D86314" w:rsidRDefault="00C778BA" w:rsidP="00C778BA">
      <w:pPr>
        <w:pStyle w:val="FootnoteText"/>
      </w:pPr>
      <w:r w:rsidRPr="00D86314">
        <w:rPr>
          <w:rStyle w:val="FootnoteReference"/>
        </w:rPr>
        <w:footnoteRef/>
      </w:r>
      <w:r w:rsidRPr="00D86314">
        <w:t xml:space="preserve"> 5G Observatory Report 2025: </w:t>
      </w:r>
      <w:hyperlink r:id="rId51" w:history="1">
        <w:r w:rsidR="0054751C" w:rsidRPr="00D86314">
          <w:rPr>
            <w:rStyle w:val="Hyperlink"/>
          </w:rPr>
          <w:t>https://ec.europa.eu/newsroom/dae/redirection/document/116970</w:t>
        </w:r>
      </w:hyperlink>
      <w:r w:rsidRPr="00D86314">
        <w:t xml:space="preserve"> </w:t>
      </w:r>
      <w:r w:rsidR="004A15FF" w:rsidRPr="00D86314">
        <w:t>.</w:t>
      </w:r>
    </w:p>
  </w:footnote>
  <w:footnote w:id="84">
    <w:p w14:paraId="715CA1BA" w14:textId="465BF197" w:rsidR="00C778BA" w:rsidRPr="00D86314" w:rsidRDefault="00C778BA" w:rsidP="004A15FF">
      <w:pPr>
        <w:pStyle w:val="FootnoteText"/>
        <w:jc w:val="left"/>
      </w:pPr>
      <w:r w:rsidRPr="00D86314">
        <w:rPr>
          <w:rStyle w:val="FootnoteReference"/>
        </w:rPr>
        <w:footnoteRef/>
      </w:r>
      <w:r w:rsidRPr="00D86314">
        <w:t xml:space="preserve"> </w:t>
      </w:r>
      <w:hyperlink r:id="rId52" w:history="1">
        <w:r w:rsidR="004F5C85" w:rsidRPr="00D86314">
          <w:rPr>
            <w:rStyle w:val="Hyperlink"/>
          </w:rPr>
          <w:t>https://www.ericsson.com/49e9b6/a/ssets/local/reports-papers/mobility-report/documents/2025/ericsson-mobility-report-june-2025.pdf</w:t>
        </w:r>
      </w:hyperlink>
      <w:r w:rsidR="004A15FF" w:rsidRPr="00D86314">
        <w:t>.</w:t>
      </w:r>
      <w:r w:rsidRPr="00D86314">
        <w:t xml:space="preserve"> </w:t>
      </w:r>
    </w:p>
  </w:footnote>
  <w:footnote w:id="85">
    <w:p w14:paraId="09B555A9" w14:textId="486E747D" w:rsidR="00C778BA" w:rsidRPr="00D86314" w:rsidRDefault="00C778BA" w:rsidP="00C778BA">
      <w:pPr>
        <w:pStyle w:val="FootnoteText"/>
      </w:pPr>
      <w:r w:rsidRPr="00D86314">
        <w:rPr>
          <w:rStyle w:val="FootnoteReference"/>
        </w:rPr>
        <w:footnoteRef/>
      </w:r>
      <w:r w:rsidRPr="00D86314">
        <w:t xml:space="preserve"> </w:t>
      </w:r>
      <w:hyperlink r:id="rId53" w:history="1">
        <w:r w:rsidR="004F5C85" w:rsidRPr="00D86314">
          <w:rPr>
            <w:rStyle w:val="Hyperlink"/>
          </w:rPr>
          <w:t>https://www.ericsson.com/en/reports-and-papers/mobility-report/dataforecasts/network-coverage</w:t>
        </w:r>
      </w:hyperlink>
      <w:r w:rsidR="0093341E" w:rsidRPr="00D86314">
        <w:t>.</w:t>
      </w:r>
      <w:r w:rsidRPr="00D86314">
        <w:t xml:space="preserve"> </w:t>
      </w:r>
    </w:p>
  </w:footnote>
  <w:footnote w:id="86">
    <w:p w14:paraId="0CA3E16E" w14:textId="03E57576" w:rsidR="00C778BA" w:rsidRPr="00D86314" w:rsidRDefault="00C778BA" w:rsidP="004F5C85">
      <w:pPr>
        <w:pStyle w:val="FootnoteText"/>
        <w:jc w:val="left"/>
      </w:pPr>
      <w:r w:rsidRPr="00D86314">
        <w:rPr>
          <w:rStyle w:val="FootnoteReference"/>
        </w:rPr>
        <w:footnoteRef/>
      </w:r>
      <w:r w:rsidRPr="00D86314">
        <w:t xml:space="preserve">See </w:t>
      </w:r>
      <w:hyperlink r:id="rId54" w:history="1">
        <w:r w:rsidRPr="00D86314">
          <w:rPr>
            <w:rStyle w:val="Hyperlink"/>
          </w:rPr>
          <w:t>https://www.ericsson.com/en/reports-and-papers/mobility-report/articles/securing-the-right-5g-spectrum</w:t>
        </w:r>
      </w:hyperlink>
      <w:r w:rsidR="0093341E" w:rsidRPr="00D86314">
        <w:t>.</w:t>
      </w:r>
    </w:p>
  </w:footnote>
  <w:footnote w:id="87">
    <w:p w14:paraId="060BF2CF" w14:textId="58D0D992" w:rsidR="00C778BA" w:rsidRPr="00D86314" w:rsidRDefault="00C778BA" w:rsidP="00C778BA">
      <w:pPr>
        <w:pStyle w:val="FootnoteText"/>
      </w:pPr>
      <w:r w:rsidRPr="00D86314">
        <w:rPr>
          <w:rStyle w:val="FootnoteReference"/>
        </w:rPr>
        <w:footnoteRef/>
      </w:r>
      <w:r w:rsidRPr="00D86314">
        <w:t xml:space="preserve"> See </w:t>
      </w:r>
      <w:hyperlink r:id="rId55" w:history="1">
        <w:r w:rsidRPr="00D86314">
          <w:rPr>
            <w:rStyle w:val="Hyperlink"/>
          </w:rPr>
          <w:t>DESI methodological note</w:t>
        </w:r>
      </w:hyperlink>
      <w:r w:rsidRPr="00D86314">
        <w:t xml:space="preserve"> and discussion with European Commission</w:t>
      </w:r>
      <w:r w:rsidR="0093341E" w:rsidRPr="00D86314">
        <w:t>.</w:t>
      </w:r>
    </w:p>
  </w:footnote>
  <w:footnote w:id="88">
    <w:p w14:paraId="136EAB5F" w14:textId="40A8E70C" w:rsidR="00C778BA" w:rsidRPr="00D86314" w:rsidRDefault="00C778BA" w:rsidP="00C778BA">
      <w:pPr>
        <w:pStyle w:val="FootnoteText"/>
      </w:pPr>
      <w:r w:rsidRPr="00D86314">
        <w:rPr>
          <w:rStyle w:val="FootnoteReference"/>
        </w:rPr>
        <w:footnoteRef/>
      </w:r>
      <w:r w:rsidRPr="00D86314">
        <w:t xml:space="preserve"> Ericson Mobility Report June 2025 p 10 see </w:t>
      </w:r>
      <w:hyperlink r:id="rId56" w:history="1">
        <w:r w:rsidRPr="00D86314">
          <w:rPr>
            <w:rStyle w:val="Hyperlink"/>
          </w:rPr>
          <w:t>https://www.ericsson.com/en/reports-and-papers/mobility-report/reports/june-2025</w:t>
        </w:r>
      </w:hyperlink>
      <w:r w:rsidR="0093341E" w:rsidRPr="00D86314">
        <w:t>.</w:t>
      </w:r>
    </w:p>
  </w:footnote>
  <w:footnote w:id="89">
    <w:p w14:paraId="2DBD5434" w14:textId="56DA72FB" w:rsidR="007B4DF8" w:rsidRPr="00C20A01" w:rsidRDefault="007B4DF8">
      <w:pPr>
        <w:pStyle w:val="FootnoteText"/>
      </w:pPr>
      <w:r w:rsidRPr="00D86314">
        <w:rPr>
          <w:rStyle w:val="FootnoteReference"/>
        </w:rPr>
        <w:footnoteRef/>
      </w:r>
      <w:r w:rsidRPr="00D86314">
        <w:t xml:space="preserve"> Retrieved from </w:t>
      </w:r>
      <w:hyperlink r:id="rId57">
        <w:r w:rsidRPr="00D86314">
          <w:rPr>
            <w:rStyle w:val="Hyperlink"/>
            <w:rFonts w:eastAsia="Times New Roman"/>
          </w:rPr>
          <w:t>Economic Impacts of Alternative Uses of the Digital Dividend - Intereconomics</w:t>
        </w:r>
      </w:hyperlink>
      <w:r w:rsidRPr="00D86314">
        <w:t>.</w:t>
      </w:r>
    </w:p>
  </w:footnote>
  <w:footnote w:id="90">
    <w:p w14:paraId="17B10985" w14:textId="5C61B642" w:rsidR="00C778BA" w:rsidRPr="00D86314" w:rsidRDefault="00C778BA" w:rsidP="00A962A0">
      <w:pPr>
        <w:pStyle w:val="FootnoteText"/>
        <w:jc w:val="left"/>
      </w:pPr>
      <w:r w:rsidRPr="00D86314">
        <w:rPr>
          <w:rStyle w:val="FootnoteReference"/>
        </w:rPr>
        <w:footnoteRef/>
      </w:r>
      <w:r w:rsidRPr="00D86314">
        <w:t xml:space="preserve"> </w:t>
      </w:r>
      <w:hyperlink r:id="rId58" w:history="1">
        <w:r w:rsidRPr="00D86314">
          <w:rPr>
            <w:rStyle w:val="Hyperlink"/>
          </w:rPr>
          <w:t>https://digital-decade-desi.digital-strategy.ec.europa.eu/datasets/desi/charts/desi-indicators?indicator=desi_5gcov_3400_3800&amp;indicatorGroup=desi2023-2&amp;breakdown=hh_deg3&amp;period=desi_2024&amp;unit=pc_hh&amp;country=AT,BE,BG,HR,CY,CZ,DK,EE,EU,FI,FR,DE,EL,HU,IE,IT,LV,LT,LU,MT,NL,PL,PT,RO,SK,SI,ES,SE</w:t>
        </w:r>
      </w:hyperlink>
      <w:r w:rsidR="0039233C" w:rsidRPr="00D86314">
        <w:t>.</w:t>
      </w:r>
    </w:p>
  </w:footnote>
  <w:footnote w:id="91">
    <w:p w14:paraId="7DC6FB05" w14:textId="40628995" w:rsidR="00C778BA" w:rsidRPr="00D86314" w:rsidRDefault="00C778BA" w:rsidP="00A962A0">
      <w:pPr>
        <w:pStyle w:val="FootnoteText"/>
        <w:jc w:val="left"/>
      </w:pPr>
      <w:r w:rsidRPr="00D86314">
        <w:rPr>
          <w:rStyle w:val="FootnoteReference"/>
        </w:rPr>
        <w:footnoteRef/>
      </w:r>
      <w:r w:rsidRPr="00D86314">
        <w:t xml:space="preserve"> See </w:t>
      </w:r>
      <w:hyperlink r:id="rId59" w:history="1">
        <w:r w:rsidRPr="00D86314">
          <w:rPr>
            <w:rStyle w:val="Hyperlink"/>
          </w:rPr>
          <w:t>European Environment Agency</w:t>
        </w:r>
      </w:hyperlink>
      <w:r w:rsidRPr="00D86314">
        <w:t xml:space="preserve"> 2015 briefing p129</w:t>
      </w:r>
      <w:r w:rsidR="0039233C" w:rsidRPr="00D86314">
        <w:t>.</w:t>
      </w:r>
    </w:p>
  </w:footnote>
  <w:footnote w:id="92">
    <w:p w14:paraId="5598E880" w14:textId="2FFFB7D6" w:rsidR="00C778BA" w:rsidRPr="00E122E2" w:rsidRDefault="00C778BA" w:rsidP="00A962A0">
      <w:pPr>
        <w:pStyle w:val="FootnoteText"/>
        <w:jc w:val="left"/>
        <w:rPr>
          <w:lang w:val="fi-FI"/>
        </w:rPr>
      </w:pPr>
      <w:r w:rsidRPr="00D86314">
        <w:rPr>
          <w:rStyle w:val="FootnoteReference"/>
        </w:rPr>
        <w:footnoteRef/>
      </w:r>
      <w:r w:rsidRPr="00C20A01">
        <w:rPr>
          <w:lang w:val="fi-FI"/>
        </w:rPr>
        <w:t xml:space="preserve"> Eurostat 2023 </w:t>
      </w:r>
      <w:hyperlink r:id="rId60" w:history="1">
        <w:r w:rsidRPr="00C20A01">
          <w:rPr>
            <w:rStyle w:val="Hyperlink"/>
            <w:lang w:val="fi-FI"/>
          </w:rPr>
          <w:t>https://ec.europa.eu/eurostat/databrowser/view/DEMO_R_D3DENS__custom_10822572/bookmark/table?lang=en&amp;bookmarkId=9daaf3b7-86a3-40fc-9171-fcd05d859892&amp;c=1712824409289</w:t>
        </w:r>
      </w:hyperlink>
      <w:r w:rsidR="0039233C" w:rsidRPr="00E122E2">
        <w:rPr>
          <w:lang w:val="fi-FI"/>
        </w:rPr>
        <w:t>.</w:t>
      </w:r>
    </w:p>
  </w:footnote>
  <w:footnote w:id="93">
    <w:p w14:paraId="661C4FBD" w14:textId="4116A4E1" w:rsidR="00C778BA" w:rsidRPr="00D86314" w:rsidRDefault="00C778BA" w:rsidP="00C778BA">
      <w:pPr>
        <w:pStyle w:val="FootnoteText"/>
      </w:pPr>
      <w:r w:rsidRPr="00D86314">
        <w:rPr>
          <w:rStyle w:val="FootnoteReference"/>
        </w:rPr>
        <w:footnoteRef/>
      </w:r>
      <w:r w:rsidRPr="00D86314">
        <w:t xml:space="preserve"> World Bank 2024 </w:t>
      </w:r>
      <w:hyperlink r:id="rId61" w:history="1">
        <w:r w:rsidRPr="00D86314">
          <w:rPr>
            <w:rStyle w:val="Hyperlink"/>
          </w:rPr>
          <w:t>https://data.worldbank.org/indicator/SP.URB.TOTL.IN.ZS</w:t>
        </w:r>
      </w:hyperlink>
      <w:r w:rsidR="0039233C" w:rsidRPr="00D86314">
        <w:t>.</w:t>
      </w:r>
    </w:p>
  </w:footnote>
  <w:footnote w:id="94">
    <w:p w14:paraId="672BEC4F" w14:textId="596FEE20" w:rsidR="00C778BA" w:rsidRPr="00C20A01" w:rsidRDefault="00C778BA" w:rsidP="00A962A0">
      <w:pPr>
        <w:pStyle w:val="FootnoteText"/>
        <w:jc w:val="left"/>
        <w:rPr>
          <w:lang w:val="fi-FI"/>
        </w:rPr>
      </w:pPr>
      <w:r w:rsidRPr="00D86314">
        <w:rPr>
          <w:rStyle w:val="FootnoteReference"/>
        </w:rPr>
        <w:footnoteRef/>
      </w:r>
      <w:r w:rsidRPr="00C20A01">
        <w:rPr>
          <w:lang w:val="fi-FI"/>
        </w:rPr>
        <w:t xml:space="preserve"> Eurostat 2023 </w:t>
      </w:r>
      <w:hyperlink r:id="rId62" w:history="1">
        <w:r w:rsidRPr="00C20A01">
          <w:rPr>
            <w:rStyle w:val="Hyperlink"/>
            <w:lang w:val="fi-FI"/>
          </w:rPr>
          <w:t>https://ec.europa.eu/eurostat/databrowser/view/DEMO_R_D3DENS__custom_10822572/bookmark/table?lang=en&amp;bookmarkId=9daaf3b7-86a3-40fc-9171-fcd05d859892&amp;c=1712824409289</w:t>
        </w:r>
      </w:hyperlink>
      <w:r w:rsidR="0039233C" w:rsidRPr="00E122E2">
        <w:rPr>
          <w:lang w:val="fi-FI"/>
        </w:rPr>
        <w:t>.</w:t>
      </w:r>
    </w:p>
  </w:footnote>
  <w:footnote w:id="95">
    <w:p w14:paraId="1B158D0F" w14:textId="2BF52835" w:rsidR="00C778BA" w:rsidRPr="00D86314" w:rsidRDefault="00C778BA" w:rsidP="00C778BA">
      <w:pPr>
        <w:pStyle w:val="FootnoteText"/>
      </w:pPr>
      <w:r w:rsidRPr="00D86314">
        <w:rPr>
          <w:rStyle w:val="FootnoteReference"/>
        </w:rPr>
        <w:footnoteRef/>
      </w:r>
      <w:r w:rsidRPr="00D86314">
        <w:t xml:space="preserve"> World Bank 2024 </w:t>
      </w:r>
      <w:hyperlink r:id="rId63" w:history="1">
        <w:r w:rsidRPr="00D86314">
          <w:rPr>
            <w:rStyle w:val="Hyperlink"/>
          </w:rPr>
          <w:t>https://data.worldbank.org/indicator/SP.URB.TOTL.IN.ZS</w:t>
        </w:r>
      </w:hyperlink>
      <w:r w:rsidR="0039233C" w:rsidRPr="00D86314">
        <w:t>.</w:t>
      </w:r>
    </w:p>
  </w:footnote>
  <w:footnote w:id="96">
    <w:p w14:paraId="24D143AE" w14:textId="181DDC3D" w:rsidR="00C778BA" w:rsidRPr="00E122E2" w:rsidRDefault="00C778BA" w:rsidP="00C778BA">
      <w:pPr>
        <w:pStyle w:val="FootnoteText"/>
        <w:rPr>
          <w:lang w:val="es-ES"/>
        </w:rPr>
      </w:pPr>
      <w:r w:rsidRPr="00D86314">
        <w:rPr>
          <w:rStyle w:val="FootnoteReference"/>
        </w:rPr>
        <w:footnoteRef/>
      </w:r>
      <w:r w:rsidRPr="00E122E2">
        <w:rPr>
          <w:lang w:val="es-ES"/>
        </w:rPr>
        <w:t xml:space="preserve"> Ibid</w:t>
      </w:r>
      <w:r w:rsidR="0075027D" w:rsidRPr="00E122E2">
        <w:rPr>
          <w:lang w:val="es-ES"/>
        </w:rPr>
        <w:t>.</w:t>
      </w:r>
    </w:p>
  </w:footnote>
  <w:footnote w:id="97">
    <w:p w14:paraId="0B1E2BC7" w14:textId="614D6630" w:rsidR="00C778BA" w:rsidRPr="00E122E2" w:rsidRDefault="00C778BA" w:rsidP="0075027D">
      <w:pPr>
        <w:pStyle w:val="FootnoteText"/>
        <w:jc w:val="left"/>
        <w:rPr>
          <w:lang w:val="es-ES"/>
        </w:rPr>
      </w:pPr>
      <w:r w:rsidRPr="00D86314">
        <w:rPr>
          <w:rStyle w:val="FootnoteReference"/>
        </w:rPr>
        <w:footnoteRef/>
      </w:r>
      <w:r w:rsidR="0075027D" w:rsidRPr="00E122E2">
        <w:rPr>
          <w:lang w:val="es-ES"/>
        </w:rPr>
        <w:t xml:space="preserve"> </w:t>
      </w:r>
      <w:hyperlink r:id="rId64" w:history="1">
        <w:r w:rsidR="0075027D" w:rsidRPr="00E122E2">
          <w:rPr>
            <w:rStyle w:val="Hyperlink"/>
            <w:lang w:val="es-ES"/>
          </w:rPr>
          <w:t>https://digital-decade-desi.digital-strategy.ec.europa.eu/datasets/desi/charts/desi-indicators?indicator=desi_5gcov&amp;indicatorGroup=desi2023-2&amp;breakdown=total_pophh&amp;period=desi_2025&amp;unit=pc_hh&amp;country=AT,BE,BG,HR,CY,CZ,DK,EE,EU,FI,FR,DE,EL,HU,IE,IT,LV,LT,LU,MT,NL,PL,PT,RO,SK,SI,ES,SE</w:t>
        </w:r>
      </w:hyperlink>
      <w:r w:rsidR="0075027D" w:rsidRPr="00E122E2">
        <w:rPr>
          <w:lang w:val="es-ES"/>
        </w:rPr>
        <w:t>.</w:t>
      </w:r>
    </w:p>
  </w:footnote>
  <w:footnote w:id="98">
    <w:p w14:paraId="1F82224C" w14:textId="3E6B7FDA" w:rsidR="00C778BA" w:rsidRPr="00D86314" w:rsidRDefault="00C778BA" w:rsidP="00C778BA">
      <w:pPr>
        <w:pStyle w:val="FootnoteText"/>
      </w:pPr>
      <w:r w:rsidRPr="00D86314">
        <w:rPr>
          <w:rStyle w:val="FootnoteReference"/>
        </w:rPr>
        <w:footnoteRef/>
      </w:r>
      <w:r w:rsidRPr="00D86314">
        <w:t xml:space="preserve"> </w:t>
      </w:r>
      <w:hyperlink r:id="rId65" w:history="1">
        <w:r w:rsidRPr="00D86314">
          <w:rPr>
            <w:rStyle w:val="Hyperlink"/>
          </w:rPr>
          <w:t>More frequencies, higher impact: How spectrum band usage for 5G is expanding across Europe | Opensignal</w:t>
        </w:r>
      </w:hyperlink>
      <w:r w:rsidR="00A50FDD" w:rsidRPr="00D86314">
        <w:t>.</w:t>
      </w:r>
    </w:p>
  </w:footnote>
  <w:footnote w:id="99">
    <w:p w14:paraId="5E6A8F81" w14:textId="6C1B2F69" w:rsidR="00C778BA" w:rsidRPr="00D86314" w:rsidRDefault="00C778BA" w:rsidP="00A50FDD">
      <w:pPr>
        <w:pStyle w:val="FootnoteText"/>
        <w:jc w:val="left"/>
      </w:pPr>
      <w:r w:rsidRPr="00D86314">
        <w:rPr>
          <w:rStyle w:val="FootnoteReference"/>
        </w:rPr>
        <w:footnoteRef/>
      </w:r>
      <w:r w:rsidR="00A50FDD" w:rsidRPr="00D86314">
        <w:t xml:space="preserve"> </w:t>
      </w:r>
      <w:r w:rsidRPr="00D86314">
        <w:fldChar w:fldCharType="begin"/>
      </w:r>
      <w:r w:rsidRPr="00D86314">
        <w:fldChar w:fldCharType="separate"/>
      </w:r>
      <w:r w:rsidRPr="00D86314">
        <w:rPr>
          <w:rStyle w:val="Hyperlink"/>
        </w:rPr>
        <w:t>https://www.opensignal.com/2024/02/01/mobile-network-speeds-leaped-ahead-in-2023-but-some-markets-lag-behind</w:t>
      </w:r>
      <w:r w:rsidRPr="00D86314">
        <w:fldChar w:fldCharType="end"/>
      </w:r>
      <w:hyperlink r:id="rId66" w:history="1">
        <w:r w:rsidRPr="00D86314">
          <w:rPr>
            <w:rStyle w:val="Hyperlink"/>
          </w:rPr>
          <w:t>https://www.opensignal.com/2024/02/01/mobile-network-speeds-leaped-ahead-in-2023-but-some-markets-lag-behind</w:t>
        </w:r>
      </w:hyperlink>
      <w:r w:rsidR="00A50FDD" w:rsidRPr="00D86314">
        <w:t>.</w:t>
      </w:r>
    </w:p>
  </w:footnote>
  <w:footnote w:id="100">
    <w:p w14:paraId="39103629" w14:textId="57D5167D" w:rsidR="00C778BA" w:rsidRPr="00D86314" w:rsidRDefault="00C778BA" w:rsidP="00C778BA">
      <w:pPr>
        <w:pStyle w:val="FootnoteText"/>
      </w:pPr>
      <w:r w:rsidRPr="00D86314">
        <w:rPr>
          <w:rStyle w:val="FootnoteReference"/>
        </w:rPr>
        <w:footnoteRef/>
      </w:r>
      <w:r w:rsidRPr="00D86314">
        <w:t xml:space="preserve"> Country sample selected based on having a high share of regional 5G SA samples. The Americas sample includes the United States, Canada, and Brazil; Developed Asia comprises Australia, Singapore, Japan, Hong Kong, Macau, South Korea, and China; and Emerging Asia consists of India, Thailand, the Philippines, and Malaysia. South Korea is excluded from the Developed Asia sample for median latency calculations. Ookla/ Omdia (2025), A Global Evaluation of Europe’s Digital Competitiveness in 5G Standalone, p.19.</w:t>
      </w:r>
    </w:p>
  </w:footnote>
  <w:footnote w:id="101">
    <w:p w14:paraId="3DFA84C2" w14:textId="5A14426D" w:rsidR="00C778BA" w:rsidRPr="00D86314" w:rsidRDefault="00C778BA" w:rsidP="00A50FDD">
      <w:pPr>
        <w:pStyle w:val="FootnoteText"/>
        <w:jc w:val="left"/>
      </w:pPr>
      <w:r w:rsidRPr="00D86314">
        <w:rPr>
          <w:rStyle w:val="FootnoteReference"/>
        </w:rPr>
        <w:footnoteRef/>
      </w:r>
      <w:r w:rsidRPr="00D86314">
        <w:t xml:space="preserve"> </w:t>
      </w:r>
      <w:hyperlink r:id="rId67" w:history="1">
        <w:r w:rsidR="00A50FDD" w:rsidRPr="00D86314">
          <w:rPr>
            <w:rStyle w:val="Hyperlink"/>
          </w:rPr>
          <w:t>https://www.opensignal.com/2025/07/02/more-frequencies-higher-impact-how-spectrum-band-usage-for-5g-is-expanding-across-europe/dt</w:t>
        </w:r>
      </w:hyperlink>
      <w:r w:rsidR="00A50FDD" w:rsidRPr="00D86314">
        <w:t>.</w:t>
      </w:r>
    </w:p>
  </w:footnote>
  <w:footnote w:id="102">
    <w:p w14:paraId="4EC3D35A" w14:textId="238F05D3" w:rsidR="00C778BA" w:rsidRPr="00D86314" w:rsidRDefault="00C778BA" w:rsidP="00C778BA">
      <w:pPr>
        <w:pStyle w:val="FootnoteText"/>
      </w:pPr>
      <w:r w:rsidRPr="00D86314">
        <w:rPr>
          <w:rStyle w:val="FootnoteReference"/>
        </w:rPr>
        <w:footnoteRef/>
      </w:r>
      <w:r w:rsidRPr="00D86314">
        <w:t xml:space="preserve"> See </w:t>
      </w:r>
      <w:hyperlink r:id="rId68" w:history="1">
        <w:r w:rsidRPr="00D86314">
          <w:rPr>
            <w:rStyle w:val="Hyperlink"/>
          </w:rPr>
          <w:t>https://www.opensignal.com/market-insights</w:t>
        </w:r>
      </w:hyperlink>
      <w:r w:rsidR="00A50FDD" w:rsidRPr="00D86314">
        <w:t>.</w:t>
      </w:r>
    </w:p>
  </w:footnote>
  <w:footnote w:id="103">
    <w:p w14:paraId="49900B79" w14:textId="2FACFE72" w:rsidR="00C778BA" w:rsidRPr="00D86314" w:rsidRDefault="00C778BA" w:rsidP="00C778BA">
      <w:pPr>
        <w:pStyle w:val="FootnoteText"/>
      </w:pPr>
      <w:r w:rsidRPr="00D86314">
        <w:rPr>
          <w:rStyle w:val="FootnoteReference"/>
        </w:rPr>
        <w:footnoteRef/>
      </w:r>
      <w:r w:rsidRPr="00D86314">
        <w:t xml:space="preserve"> </w:t>
      </w:r>
      <w:r w:rsidRPr="00D86314">
        <w:rPr>
          <w:rFonts w:eastAsia="Aptos"/>
        </w:rPr>
        <w:t>Ibid Various reports from 2023 -2025</w:t>
      </w:r>
      <w:r w:rsidR="00A50FDD" w:rsidRPr="00D86314">
        <w:rPr>
          <w:rFonts w:eastAsia="Aptos"/>
        </w:rPr>
        <w:t>.</w:t>
      </w:r>
    </w:p>
  </w:footnote>
  <w:footnote w:id="104">
    <w:p w14:paraId="3614EA63" w14:textId="71CFBBF9" w:rsidR="00C778BA" w:rsidRPr="00D86314" w:rsidRDefault="00C778BA" w:rsidP="00C778BA">
      <w:pPr>
        <w:pStyle w:val="FootnoteText"/>
      </w:pPr>
      <w:r w:rsidRPr="00D86314">
        <w:rPr>
          <w:rStyle w:val="FootnoteReference"/>
        </w:rPr>
        <w:footnoteRef/>
      </w:r>
      <w:r w:rsidRPr="00D86314">
        <w:t xml:space="preserve"> </w:t>
      </w:r>
      <w:hyperlink r:id="rId69" w:history="1">
        <w:r w:rsidRPr="00D86314">
          <w:rPr>
            <w:rStyle w:val="Hyperlink"/>
          </w:rPr>
          <w:t>More frequencies, higher impact: How spectrum band usage for 5G is expanding across Europe | Opensignal</w:t>
        </w:r>
      </w:hyperlink>
      <w:r w:rsidR="0084243B" w:rsidRPr="00D86314">
        <w:t>.</w:t>
      </w:r>
    </w:p>
  </w:footnote>
  <w:footnote w:id="105">
    <w:p w14:paraId="5B70B21A" w14:textId="39DCD2B6" w:rsidR="00C778BA" w:rsidRPr="00D86314" w:rsidRDefault="00C778BA" w:rsidP="00C778BA">
      <w:pPr>
        <w:pStyle w:val="FootnoteText"/>
      </w:pPr>
      <w:r w:rsidRPr="00D86314">
        <w:rPr>
          <w:rStyle w:val="FootnoteReference"/>
        </w:rPr>
        <w:footnoteRef/>
      </w:r>
      <w:r w:rsidRPr="00D86314">
        <w:t xml:space="preserve"> </w:t>
      </w:r>
      <w:hyperlink r:id="rId70" w:history="1">
        <w:r w:rsidRPr="00D86314">
          <w:rPr>
            <w:rStyle w:val="Hyperlink"/>
          </w:rPr>
          <w:t>More frequencies, higher impact: How spectrum band usage for 5G is expanding across Europe | Opensignal</w:t>
        </w:r>
      </w:hyperlink>
      <w:r w:rsidR="0084243B" w:rsidRPr="00D86314">
        <w:t>.</w:t>
      </w:r>
    </w:p>
  </w:footnote>
  <w:footnote w:id="106">
    <w:p w14:paraId="0D6D7CFE" w14:textId="647E42F5" w:rsidR="00C778BA" w:rsidRPr="00D86314" w:rsidRDefault="00C778BA" w:rsidP="00894B6D">
      <w:pPr>
        <w:pStyle w:val="FootnoteText"/>
        <w:jc w:val="left"/>
      </w:pPr>
      <w:r w:rsidRPr="00D86314">
        <w:rPr>
          <w:rStyle w:val="FootnoteReference"/>
        </w:rPr>
        <w:footnoteRef/>
      </w:r>
      <w:r w:rsidR="00894B6D" w:rsidRPr="00D86314">
        <w:t xml:space="preserve"> </w:t>
      </w:r>
      <w:hyperlink r:id="rId71" w:history="1">
        <w:r w:rsidR="00894B6D" w:rsidRPr="00D86314">
          <w:rPr>
            <w:rStyle w:val="Hyperlink"/>
          </w:rPr>
          <w:t>https://www.opensignal.com/2025/07/02/more-frequencies-higher-impact-how-spectrum-band-usage-for-5g-is-expanding-across-europe/dt</w:t>
        </w:r>
      </w:hyperlink>
      <w:r w:rsidR="00894B6D" w:rsidRPr="00D86314">
        <w:t>.</w:t>
      </w:r>
    </w:p>
  </w:footnote>
  <w:footnote w:id="107">
    <w:p w14:paraId="3C60E52E" w14:textId="77777777" w:rsidR="00C778BA" w:rsidRPr="00D86314" w:rsidRDefault="00C778BA" w:rsidP="00C778BA">
      <w:pPr>
        <w:pStyle w:val="FootnoteText"/>
      </w:pPr>
      <w:r w:rsidRPr="00D86314">
        <w:rPr>
          <w:rStyle w:val="FootnoteReference"/>
        </w:rPr>
        <w:footnoteRef/>
      </w:r>
      <w:r w:rsidRPr="00D86314">
        <w:t xml:space="preserve"> See </w:t>
      </w:r>
      <w:hyperlink r:id="rId72" w:history="1">
        <w:r w:rsidRPr="00D86314">
          <w:rPr>
            <w:rStyle w:val="Hyperlink"/>
          </w:rPr>
          <w:t>https://medux.com/blog/all-5g-networks-are-not-created-equal-unveiling-true-qoe-5g-europe-lll</w:t>
        </w:r>
      </w:hyperlink>
      <w:r w:rsidRPr="00D86314">
        <w:t xml:space="preserve"> </w:t>
      </w:r>
    </w:p>
  </w:footnote>
  <w:footnote w:id="108">
    <w:p w14:paraId="277EFD6E" w14:textId="43EC2E28" w:rsidR="00614650" w:rsidRPr="00D86314" w:rsidRDefault="00614650" w:rsidP="00435C2A">
      <w:pPr>
        <w:pStyle w:val="FootnoteText"/>
      </w:pPr>
      <w:r w:rsidRPr="00D86314">
        <w:rPr>
          <w:rStyle w:val="FootnoteReference"/>
        </w:rPr>
        <w:footnoteRef/>
      </w:r>
      <w:r w:rsidRPr="00D86314">
        <w:t xml:space="preserve"> </w:t>
      </w:r>
      <w:r w:rsidR="00564BFC" w:rsidRPr="00D86314">
        <w:t>The average mobile download speed is calculated as a weighted average of observed technology-specific speeds, where the weights reflect the distribution of mobile subscriptions across technologies and frequency bands</w:t>
      </w:r>
      <w:r w:rsidR="00435C2A" w:rsidRPr="00D86314">
        <w:t>.</w:t>
      </w:r>
      <w:r w:rsidR="00152F20" w:rsidRPr="00D86314">
        <w:t xml:space="preserve"> First, population coverage of 5G mid-band, as reported </w:t>
      </w:r>
      <w:r w:rsidR="00505990" w:rsidRPr="00D86314">
        <w:t>by</w:t>
      </w:r>
      <w:r w:rsidR="00152F20" w:rsidRPr="00D86314">
        <w:t xml:space="preserve"> DESI, is multiplied by the share of mobile subscriptions that benefit from 5G, based on GSMA data, resulting in the share of mobile subscriptions benefiting from 5G mid-band coverage.</w:t>
      </w:r>
      <w:r w:rsidR="00435C2A" w:rsidRPr="00D86314">
        <w:t xml:space="preserve"> Second, the average speed projection is calculated by multiplying the share of subscriptions benefiting from each technology by the corresponding average download speed</w:t>
      </w:r>
      <w:r w:rsidR="008E67F9" w:rsidRPr="00D86314">
        <w:t xml:space="preserve"> and aggregating across technologies</w:t>
      </w:r>
      <w:r w:rsidR="00435C2A" w:rsidRPr="00D86314">
        <w:t>. Technology-specific speeds are based on Opensignal measurements (4G: 42 Mbps; low-band 5G: 104.3 Mbps; mid-band 5G: 217.6 Mbps). Differences in average download speeds across options are mainly driven by differences in 5G mid-band coverage.</w:t>
      </w:r>
    </w:p>
  </w:footnote>
  <w:footnote w:id="109">
    <w:p w14:paraId="6C44E56F" w14:textId="2CF2D652" w:rsidR="00C778BA" w:rsidRPr="00D86314" w:rsidRDefault="00C778BA" w:rsidP="00894B6D">
      <w:pPr>
        <w:pStyle w:val="FootnoteText"/>
        <w:jc w:val="left"/>
      </w:pPr>
      <w:r w:rsidRPr="00D86314">
        <w:rPr>
          <w:rStyle w:val="FootnoteReference"/>
        </w:rPr>
        <w:footnoteRef/>
      </w:r>
      <w:r w:rsidR="00894B6D" w:rsidRPr="00D86314">
        <w:t xml:space="preserve"> </w:t>
      </w:r>
      <w:hyperlink r:id="rId73" w:history="1">
        <w:r w:rsidR="00894B6D" w:rsidRPr="00D86314">
          <w:rPr>
            <w:rStyle w:val="Hyperlink"/>
          </w:rPr>
          <w:t>https://www.statista.com/statistics/689876/average-mobile-speeds-download-and-upload-in-western-europe/</w:t>
        </w:r>
      </w:hyperlink>
      <w:r w:rsidR="00894B6D" w:rsidRPr="00D86314">
        <w:t>.</w:t>
      </w:r>
    </w:p>
  </w:footnote>
  <w:footnote w:id="110">
    <w:p w14:paraId="2A22B75B" w14:textId="77777777" w:rsidR="00C778BA" w:rsidRPr="00D86314" w:rsidRDefault="00C778BA" w:rsidP="00C778BA">
      <w:pPr>
        <w:pStyle w:val="FootnoteText"/>
      </w:pPr>
      <w:r w:rsidRPr="00D86314">
        <w:rPr>
          <w:rStyle w:val="FootnoteReference"/>
        </w:rPr>
        <w:footnoteRef/>
      </w:r>
      <w:r w:rsidRPr="00D86314">
        <w:t xml:space="preserve"> See </w:t>
      </w:r>
      <w:hyperlink r:id="rId74" w:history="1">
        <w:r w:rsidRPr="00D86314">
          <w:rPr>
            <w:rStyle w:val="Hyperlink"/>
          </w:rPr>
          <w:t>https://www.opensignal.com/2024/05/07/frances-urban-rural-mobile-experience-gap-has-narrowed-with-5g</w:t>
        </w:r>
      </w:hyperlink>
      <w:r w:rsidRPr="00D86314">
        <w:t xml:space="preserve"> (last accessed on 03.07.2025).</w:t>
      </w:r>
    </w:p>
  </w:footnote>
  <w:footnote w:id="111">
    <w:p w14:paraId="51640717" w14:textId="712FD950" w:rsidR="00CE5940" w:rsidRPr="00C20A01" w:rsidRDefault="00CE5940">
      <w:pPr>
        <w:pStyle w:val="FootnoteText"/>
      </w:pPr>
      <w:r w:rsidRPr="00D86314">
        <w:rPr>
          <w:rStyle w:val="FootnoteReference"/>
        </w:rPr>
        <w:footnoteRef/>
      </w:r>
      <w:r w:rsidRPr="00D86314">
        <w:t xml:space="preserve"> This increase should be interpreted as an indicative, order-of-magnitude development rather than a precise forecast, given data limitations and methodological differences across sources.</w:t>
      </w:r>
    </w:p>
  </w:footnote>
  <w:footnote w:id="112">
    <w:p w14:paraId="42A975FC" w14:textId="77777777" w:rsidR="003610A5" w:rsidRPr="00D86314" w:rsidRDefault="003610A5" w:rsidP="003610A5">
      <w:pPr>
        <w:pStyle w:val="FootnoteText"/>
        <w:jc w:val="left"/>
      </w:pPr>
      <w:r w:rsidRPr="00D86314">
        <w:rPr>
          <w:rStyle w:val="FootnoteReference"/>
        </w:rPr>
        <w:footnoteRef/>
      </w:r>
      <w:r w:rsidRPr="00D86314">
        <w:t xml:space="preserve"> See </w:t>
      </w:r>
      <w:hyperlink r:id="rId75" w:history="1">
        <w:r w:rsidRPr="00D86314">
          <w:rPr>
            <w:rStyle w:val="Hyperlink"/>
          </w:rPr>
          <w:t>https://www.opensignal.com/2023/06/29/5g-is-more-consistent-than-4g-across-all-hours-of-the-day-in-the-uk</w:t>
        </w:r>
      </w:hyperlink>
      <w:r w:rsidRPr="00D86314">
        <w:t>.</w:t>
      </w:r>
    </w:p>
  </w:footnote>
  <w:footnote w:id="113">
    <w:p w14:paraId="3777DC1B" w14:textId="77777777" w:rsidR="003610A5" w:rsidRPr="00D86314" w:rsidRDefault="003610A5" w:rsidP="003610A5">
      <w:pPr>
        <w:pStyle w:val="FootnoteText"/>
      </w:pPr>
      <w:r w:rsidRPr="00D86314">
        <w:rPr>
          <w:rStyle w:val="FootnoteReference"/>
        </w:rPr>
        <w:footnoteRef/>
      </w:r>
      <w:r w:rsidRPr="00D86314">
        <w:t xml:space="preserve"> See </w:t>
      </w:r>
      <w:hyperlink r:id="rId76" w:history="1">
        <w:r w:rsidRPr="00D86314">
          <w:rPr>
            <w:rStyle w:val="Hyperlink"/>
          </w:rPr>
          <w:t>https://www.ookla.com/articles/europe-5gsa-2025</w:t>
        </w:r>
      </w:hyperlink>
      <w:r w:rsidRPr="00D86314">
        <w:t>.</w:t>
      </w:r>
    </w:p>
  </w:footnote>
  <w:footnote w:id="114">
    <w:p w14:paraId="209272E4" w14:textId="0E7398F2" w:rsidR="00C778BA" w:rsidRPr="00D86314" w:rsidRDefault="00C778BA" w:rsidP="00352472">
      <w:pPr>
        <w:pStyle w:val="FootnoteText"/>
        <w:jc w:val="left"/>
      </w:pPr>
      <w:r w:rsidRPr="00D86314">
        <w:rPr>
          <w:rStyle w:val="FootnoteReference"/>
        </w:rPr>
        <w:footnoteRef/>
      </w:r>
      <w:r w:rsidRPr="00D86314">
        <w:t xml:space="preserve"> It is reasonable to assume that the new 6G standard will be introduced at the start of the 2030s. As detailed technical specifications are not yet available, a 6G share has not been estimated here for the reasons of simplification.</w:t>
      </w:r>
    </w:p>
  </w:footnote>
  <w:footnote w:id="115">
    <w:p w14:paraId="62DF2793" w14:textId="644B0088" w:rsidR="00C778BA" w:rsidRPr="00D86314" w:rsidRDefault="00C778BA" w:rsidP="00E822A0">
      <w:pPr>
        <w:pStyle w:val="FootnoteText"/>
      </w:pPr>
      <w:r w:rsidRPr="00D86314">
        <w:rPr>
          <w:rStyle w:val="FootnoteReference"/>
        </w:rPr>
        <w:footnoteRef/>
      </w:r>
      <w:r w:rsidR="00F142CF" w:rsidRPr="00D86314">
        <w:t xml:space="preserve"> </w:t>
      </w:r>
      <w:hyperlink r:id="rId77" w:history="1">
        <w:r w:rsidR="00352472" w:rsidRPr="00D86314">
          <w:rPr>
            <w:rStyle w:val="Hyperlink"/>
          </w:rPr>
          <w:t>https://www.opensignal.com/2020/10/21/5g-users-on-average-consume-up-to-27x-more-mobile-data-compared-to-4g-users</w:t>
        </w:r>
      </w:hyperlink>
    </w:p>
  </w:footnote>
  <w:footnote w:id="116">
    <w:p w14:paraId="30217F89" w14:textId="14C3AE60" w:rsidR="00C778BA" w:rsidRPr="00D86314" w:rsidRDefault="00C778BA" w:rsidP="00C778BA">
      <w:pPr>
        <w:pStyle w:val="FootnoteText"/>
      </w:pPr>
      <w:r w:rsidRPr="00D86314">
        <w:rPr>
          <w:rStyle w:val="FootnoteReference"/>
        </w:rPr>
        <w:footnoteRef/>
      </w:r>
      <w:r w:rsidRPr="00D86314">
        <w:t xml:space="preserve"> Ericsson Mobility report 2025, available at: </w:t>
      </w:r>
      <w:hyperlink r:id="rId78" w:history="1">
        <w:r w:rsidRPr="00D86314">
          <w:rPr>
            <w:rStyle w:val="Hyperlink"/>
          </w:rPr>
          <w:t>https://www.ericsson.com/49e9b6/assets/local/reports-papers/mobility-report/documents/2025/ericsson-mobility-report-june-2025.pdf</w:t>
        </w:r>
      </w:hyperlink>
      <w:r w:rsidRPr="00D86314">
        <w:t>, Ericsson Mobil</w:t>
      </w:r>
      <w:r w:rsidR="00051725" w:rsidRPr="00D86314">
        <w:t>i</w:t>
      </w:r>
      <w:r w:rsidRPr="00D86314">
        <w:t xml:space="preserve">ty report key figures, available at: </w:t>
      </w:r>
      <w:hyperlink r:id="rId79" w:history="1">
        <w:r w:rsidRPr="00D86314">
          <w:rPr>
            <w:rStyle w:val="Hyperlink"/>
          </w:rPr>
          <w:t>https://www.ericsson.com/en/reports-and-papers/mobility-report/key-figures</w:t>
        </w:r>
      </w:hyperlink>
      <w:r w:rsidR="0007579B" w:rsidRPr="00D86314">
        <w:t>.</w:t>
      </w:r>
      <w:r w:rsidRPr="00D86314">
        <w:t xml:space="preserve"> </w:t>
      </w:r>
    </w:p>
  </w:footnote>
  <w:footnote w:id="117">
    <w:p w14:paraId="10266943" w14:textId="4DCF8FC4" w:rsidR="00C778BA" w:rsidRPr="00D86314" w:rsidRDefault="00C778BA" w:rsidP="00C778BA">
      <w:pPr>
        <w:pStyle w:val="FootnoteText"/>
      </w:pPr>
      <w:r w:rsidRPr="00D86314">
        <w:rPr>
          <w:rStyle w:val="FootnoteReference"/>
        </w:rPr>
        <w:footnoteRef/>
      </w:r>
      <w:r w:rsidRPr="00D86314">
        <w:t xml:space="preserve"> GSMA (2023): The Mobile Economy 2023, available at: </w:t>
      </w:r>
      <w:hyperlink r:id="rId80" w:history="1">
        <w:r w:rsidRPr="00D86314">
          <w:rPr>
            <w:rStyle w:val="Hyperlink"/>
          </w:rPr>
          <w:t>https://www.gsma.com/solutions-and-impact/connectivity-for-good/mobile-economy/wp-content/uploads/2023/03/270223-The-Mobile-Economy-2023.pdf</w:t>
        </w:r>
      </w:hyperlink>
      <w:r w:rsidR="0007579B" w:rsidRPr="00D86314">
        <w:t>.</w:t>
      </w:r>
    </w:p>
  </w:footnote>
  <w:footnote w:id="118">
    <w:p w14:paraId="2CA0F58D" w14:textId="77777777" w:rsidR="00C778BA" w:rsidRPr="00D86314" w:rsidRDefault="00C778BA" w:rsidP="00C778BA">
      <w:pPr>
        <w:pStyle w:val="FootnoteText"/>
      </w:pPr>
      <w:r w:rsidRPr="00D86314">
        <w:rPr>
          <w:rStyle w:val="FootnoteReference"/>
        </w:rPr>
        <w:footnoteRef/>
      </w:r>
      <w:r w:rsidRPr="00D86314">
        <w:t xml:space="preserve"> Business use cases were not employed in the GDP estimation. The focus of the GDP estimation was based on improved speeds. The benefit of using 5G private networks is resilience and security.</w:t>
      </w:r>
    </w:p>
  </w:footnote>
  <w:footnote w:id="119">
    <w:p w14:paraId="35F8DD44" w14:textId="728EE94D" w:rsidR="00C778BA" w:rsidRPr="00D86314" w:rsidRDefault="00C778BA" w:rsidP="004B0720">
      <w:pPr>
        <w:pStyle w:val="FootnoteText"/>
        <w:jc w:val="left"/>
      </w:pPr>
      <w:r w:rsidRPr="00D86314">
        <w:rPr>
          <w:rStyle w:val="FootnoteReference"/>
        </w:rPr>
        <w:footnoteRef/>
      </w:r>
      <w:r w:rsidRPr="00D86314">
        <w:t xml:space="preserve"> Oxford Economics (2023): The Global Economic Potential of 5G-Enabled Technology, available at: </w:t>
      </w:r>
      <w:hyperlink r:id="rId81" w:history="1">
        <w:r w:rsidRPr="00D86314">
          <w:rPr>
            <w:rStyle w:val="Hyperlink"/>
          </w:rPr>
          <w:t>https://www.oxfordeconomics.com/wp-content/uploads/2023/03/GlobalEconomicPotential5G_290323.pdf</w:t>
        </w:r>
      </w:hyperlink>
      <w:r w:rsidR="004B0720" w:rsidRPr="00D86314">
        <w:t>.</w:t>
      </w:r>
    </w:p>
  </w:footnote>
  <w:footnote w:id="120">
    <w:p w14:paraId="274D58A4" w14:textId="2E7749E8" w:rsidR="00C778BA" w:rsidRPr="00D86314" w:rsidRDefault="00C778BA" w:rsidP="004B0720">
      <w:pPr>
        <w:pStyle w:val="FootnoteText"/>
        <w:jc w:val="left"/>
      </w:pPr>
      <w:r w:rsidRPr="00D86314">
        <w:rPr>
          <w:rStyle w:val="FootnoteReference"/>
        </w:rPr>
        <w:footnoteRef/>
      </w:r>
      <w:r w:rsidR="004B0720" w:rsidRPr="00D86314">
        <w:t xml:space="preserve"> </w:t>
      </w:r>
      <w:r w:rsidRPr="00D86314">
        <w:t xml:space="preserve">Edquist H. “The Economic Impact of Mobile Broadband Speed”, 23rd Biennial Conference of the International Telecommunications Society (ITS), June 2021, available at: </w:t>
      </w:r>
      <w:hyperlink r:id="rId82" w:history="1">
        <w:r w:rsidRPr="00D86314">
          <w:rPr>
            <w:rStyle w:val="Hyperlink"/>
          </w:rPr>
          <w:t>https://www.econstor.eu/bitstream/10419/238018/1/Edquist.pdf</w:t>
        </w:r>
      </w:hyperlink>
      <w:r w:rsidRPr="00D86314">
        <w:t>.</w:t>
      </w:r>
    </w:p>
  </w:footnote>
  <w:footnote w:id="121">
    <w:p w14:paraId="5D4E445F" w14:textId="7189B2E9" w:rsidR="00C778BA" w:rsidRPr="00D86314" w:rsidRDefault="00C778BA" w:rsidP="00A44134">
      <w:pPr>
        <w:pStyle w:val="FootnoteText"/>
        <w:jc w:val="left"/>
      </w:pPr>
      <w:r w:rsidRPr="00D86314">
        <w:rPr>
          <w:rStyle w:val="FootnoteReference"/>
        </w:rPr>
        <w:footnoteRef/>
      </w:r>
      <w:r w:rsidRPr="00D86314">
        <w:t xml:space="preserve"> Oxford Economics (2023): The Global Economic Potential of 5G-Enabled Technology, available at: </w:t>
      </w:r>
      <w:hyperlink r:id="rId83" w:history="1">
        <w:r w:rsidRPr="00D86314">
          <w:rPr>
            <w:rStyle w:val="Hyperlink"/>
          </w:rPr>
          <w:t>https://www.oxfordeconomics.com/wp-content/uploads/2023/03/GlobalEconomicPotential5G_290323.pdf</w:t>
        </w:r>
      </w:hyperlink>
    </w:p>
  </w:footnote>
  <w:footnote w:id="122">
    <w:p w14:paraId="1EA1E494" w14:textId="3653075E" w:rsidR="00C778BA" w:rsidRPr="00D86314" w:rsidRDefault="00C778BA" w:rsidP="00C778BA">
      <w:pPr>
        <w:pStyle w:val="FootnoteText"/>
      </w:pPr>
      <w:r w:rsidRPr="00D86314">
        <w:rPr>
          <w:rStyle w:val="FootnoteReference"/>
        </w:rPr>
        <w:footnoteRef/>
      </w:r>
      <w:r w:rsidRPr="00D86314">
        <w:t xml:space="preserve"> World Economic Forum and PwC “The Impact of 5G: Creating New Value across Industries and Society”, January 2020; page 9.</w:t>
      </w:r>
    </w:p>
  </w:footnote>
  <w:footnote w:id="123">
    <w:p w14:paraId="5A315C6D" w14:textId="2D6EDE9C" w:rsidR="00761445" w:rsidRPr="00C20A01" w:rsidRDefault="00761445">
      <w:pPr>
        <w:pStyle w:val="FootnoteText"/>
      </w:pPr>
      <w:r w:rsidRPr="00D86314">
        <w:rPr>
          <w:rStyle w:val="FootnoteReference"/>
        </w:rPr>
        <w:footnoteRef/>
      </w:r>
      <w:r w:rsidRPr="00D86314">
        <w:t xml:space="preserve"> As mobile broadband is still evolving (5G, IoT, edge computing), time series are too short to robustly identify non-linear dynamics, or to make assumptions regarding whether the effects would be regressive or progressive.</w:t>
      </w:r>
      <w:r w:rsidR="003B50B8" w:rsidRPr="00D86314">
        <w:t xml:space="preserve"> For this reason, a linear relationship between speed improvements and GDP is applied as an indicative approximation.</w:t>
      </w:r>
      <w:r w:rsidR="001D28D2" w:rsidRPr="00D86314">
        <w:t xml:space="preserve"> This approach is consistent with the literature underpinning the selected coefficients and is complemented by a sensitivity analysis covering a wide range of elasticities.</w:t>
      </w:r>
    </w:p>
  </w:footnote>
  <w:footnote w:id="124">
    <w:p w14:paraId="43CAC31A" w14:textId="6F60226E" w:rsidR="00C778BA" w:rsidRPr="00D86314" w:rsidRDefault="00C778BA" w:rsidP="00C778BA">
      <w:pPr>
        <w:pStyle w:val="FootnoteText"/>
      </w:pPr>
      <w:r w:rsidRPr="00D86314">
        <w:rPr>
          <w:rStyle w:val="FootnoteReference"/>
        </w:rPr>
        <w:footnoteRef/>
      </w:r>
      <w:r w:rsidRPr="00D86314">
        <w:t xml:space="preserve"> Also, with regard to 6G it must be noted, that the technology is still under development, meaning real-world data on adoption, performance, and impact on productivity or GDP is not available.</w:t>
      </w:r>
    </w:p>
  </w:footnote>
  <w:footnote w:id="125">
    <w:p w14:paraId="54ABA545" w14:textId="0EE9854C" w:rsidR="00C778BA" w:rsidRPr="00D86314" w:rsidRDefault="00C778BA" w:rsidP="00C778BA">
      <w:pPr>
        <w:pStyle w:val="FootnoteText"/>
      </w:pPr>
      <w:r w:rsidRPr="00D86314">
        <w:rPr>
          <w:rStyle w:val="FootnoteReference"/>
        </w:rPr>
        <w:footnoteRef/>
      </w:r>
      <w:r w:rsidR="00284939" w:rsidRPr="00D86314">
        <w:t xml:space="preserve"> </w:t>
      </w:r>
      <w:hyperlink r:id="rId84" w:history="1">
        <w:r w:rsidR="00284939" w:rsidRPr="00D86314">
          <w:rPr>
            <w:rStyle w:val="Hyperlink"/>
          </w:rPr>
          <w:t>https://eneroutlook.enerdata.net/forecast-world-co2-intensity-of-electricity-generation.html</w:t>
        </w:r>
      </w:hyperlink>
      <w:r w:rsidRPr="00D86314">
        <w:t>.</w:t>
      </w:r>
    </w:p>
  </w:footnote>
  <w:footnote w:id="126">
    <w:p w14:paraId="57F02653" w14:textId="77777777" w:rsidR="00C778BA" w:rsidRPr="00D86314" w:rsidRDefault="00C778BA" w:rsidP="00C778BA">
      <w:pPr>
        <w:pStyle w:val="FootnoteText"/>
      </w:pPr>
      <w:r w:rsidRPr="00D86314">
        <w:rPr>
          <w:rStyle w:val="FootnoteReference"/>
        </w:rPr>
        <w:footnoteRef/>
      </w:r>
      <w:r w:rsidRPr="00D86314">
        <w:t xml:space="preserve"> See for example literature reviewed in WIK-Consult (2022) for BEREC </w:t>
      </w:r>
      <w:hyperlink r:id="rId85" w:history="1">
        <w:r w:rsidRPr="00D86314">
          <w:rPr>
            <w:rStyle w:val="Hyperlink"/>
          </w:rPr>
          <w:t>https://www.berec.europa.eu/en/document-categories/berec/reports/external-sustainability-study-on-environmental-impact-of-electronic-communications</w:t>
        </w:r>
      </w:hyperlink>
      <w:r w:rsidRPr="00D86314">
        <w:t>.</w:t>
      </w:r>
    </w:p>
  </w:footnote>
  <w:footnote w:id="127">
    <w:p w14:paraId="32FB2B53" w14:textId="77777777" w:rsidR="00C778BA" w:rsidRPr="00D86314" w:rsidRDefault="00C778BA" w:rsidP="00C778BA">
      <w:pPr>
        <w:pStyle w:val="FootnoteText"/>
      </w:pPr>
      <w:r w:rsidRPr="00D86314">
        <w:rPr>
          <w:rStyle w:val="FootnoteReference"/>
        </w:rPr>
        <w:footnoteRef/>
      </w:r>
      <w:r w:rsidRPr="00D86314">
        <w:t xml:space="preserve"> Estimates from equipment manufacturers such as Nokia (2020) suggest that the operation phase is responsible for about 90% of the emissions associated with electronic communications networks, with raw materials and transportation associated with the deployment phase accounting for the remainder.</w:t>
      </w:r>
    </w:p>
  </w:footnote>
  <w:footnote w:id="128">
    <w:p w14:paraId="3DAD542F" w14:textId="3DDB025B" w:rsidR="00A45EB5" w:rsidRPr="00C20A01" w:rsidRDefault="00A45EB5">
      <w:pPr>
        <w:pStyle w:val="FootnoteText"/>
      </w:pPr>
      <w:r w:rsidRPr="00D86314">
        <w:rPr>
          <w:rStyle w:val="FootnoteReference"/>
        </w:rPr>
        <w:footnoteRef/>
      </w:r>
      <w:r w:rsidRPr="00D86314">
        <w:t xml:space="preserve"> Greenhouse gas emissions are monetised using a fixed damage cost of EUR 800 per tonne of CO₂e, based on estimates by the </w:t>
      </w:r>
      <w:hyperlink r:id="rId86" w:anchor="gesamtwirtschaftliche-bedeutung-der-umweltkosten" w:history="1">
        <w:r w:rsidRPr="00D86314">
          <w:rPr>
            <w:rStyle w:val="Hyperlink"/>
          </w:rPr>
          <w:t>German Environment Agency (UBA)</w:t>
        </w:r>
      </w:hyperlink>
      <w:r w:rsidRPr="00D86314">
        <w:t>.</w:t>
      </w:r>
    </w:p>
  </w:footnote>
  <w:footnote w:id="129">
    <w:p w14:paraId="39D17A4B" w14:textId="26B181A8" w:rsidR="0194B2BB" w:rsidRPr="00D86314" w:rsidRDefault="0194B2BB" w:rsidP="008A6A62">
      <w:pPr>
        <w:spacing w:after="0"/>
      </w:pPr>
      <w:r w:rsidRPr="00D86314">
        <w:rPr>
          <w:rStyle w:val="FootnoteReference"/>
          <w:rFonts w:eastAsiaTheme="minorEastAsia"/>
          <w:sz w:val="20"/>
          <w:szCs w:val="20"/>
        </w:rPr>
        <w:footnoteRef/>
      </w:r>
      <w:r w:rsidRPr="00D86314">
        <w:t xml:space="preserve"> </w:t>
      </w:r>
      <w:r w:rsidRPr="00D86314">
        <w:rPr>
          <w:rFonts w:eastAsia="Times New Roman"/>
          <w:sz w:val="20"/>
          <w:szCs w:val="20"/>
        </w:rPr>
        <w:t xml:space="preserve">Data provided to EC on the Status of 5G Quality and Experience in Europe” prepared for the European Commission as part of the MedUX Impact programme (September 2025). For details on the methodology see </w:t>
      </w:r>
      <w:hyperlink r:id="rId87" w:history="1">
        <w:r w:rsidRPr="00C20A01">
          <w:rPr>
            <w:rStyle w:val="Hyperlink"/>
            <w:rFonts w:eastAsia="Times New Roman"/>
            <w:color w:val="467886"/>
            <w:sz w:val="20"/>
            <w:szCs w:val="20"/>
          </w:rPr>
          <w:t>https://medux.com/blog/europes-5g-progress-meeting-expectations</w:t>
        </w:r>
      </w:hyperlink>
      <w:r w:rsidRPr="00C20A01">
        <w:rPr>
          <w:rFonts w:eastAsia="Times New Roman"/>
          <w:sz w:val="20"/>
          <w:szCs w:val="20"/>
        </w:rPr>
        <w:t>.</w:t>
      </w:r>
    </w:p>
  </w:footnote>
  <w:footnote w:id="130">
    <w:p w14:paraId="27CBEC08" w14:textId="01B7540F" w:rsidR="0063465F" w:rsidRPr="00D86314" w:rsidRDefault="0063465F">
      <w:pPr>
        <w:pStyle w:val="FootnoteText"/>
      </w:pPr>
      <w:r w:rsidRPr="00D86314">
        <w:rPr>
          <w:rStyle w:val="FootnoteReference"/>
        </w:rPr>
        <w:footnoteRef/>
      </w:r>
      <w:r w:rsidRPr="00D86314">
        <w:t xml:space="preserve"> </w:t>
      </w:r>
      <w:r w:rsidR="00D344A9" w:rsidRPr="00D86314">
        <w:t>Empirica (20</w:t>
      </w:r>
      <w:r w:rsidR="007A1516" w:rsidRPr="00D86314">
        <w:t>2</w:t>
      </w:r>
      <w:r w:rsidR="00DC041A" w:rsidRPr="00D86314">
        <w:t>5</w:t>
      </w:r>
      <w:r w:rsidR="007A1516" w:rsidRPr="00D86314">
        <w:t xml:space="preserve">): </w:t>
      </w:r>
      <w:hyperlink r:id="rId88" w:history="1">
        <w:r w:rsidRPr="00D86314">
          <w:rPr>
            <w:rStyle w:val="Hyperlink"/>
          </w:rPr>
          <w:t>Mobile and fixed broadband price is Europe in 2023: Insights into the European Broadband Market | Shaping Europe’s digital future</w:t>
        </w:r>
      </w:hyperlink>
      <w:r w:rsidR="007A1516" w:rsidRPr="00D86314">
        <w:t xml:space="preserve"> (</w:t>
      </w:r>
      <w:r w:rsidR="00F82504" w:rsidRPr="00D86314">
        <w:t xml:space="preserve">Available online at: </w:t>
      </w:r>
      <w:r w:rsidR="00DC6B0B" w:rsidRPr="00D86314">
        <w:t>https://digital-strategy.ec.europa.eu/en/library/mobile-and-fixed-broadband-price-europe-2023-insights-european-broadband-market</w:t>
      </w:r>
      <w:r w:rsidR="007A1516" w:rsidRPr="00D86314">
        <w:t>)</w:t>
      </w:r>
      <w:r w:rsidR="00774755" w:rsidRPr="00D86314">
        <w:t>.</w:t>
      </w:r>
    </w:p>
  </w:footnote>
  <w:footnote w:id="131">
    <w:p w14:paraId="1E6DB98E" w14:textId="77777777" w:rsidR="007458EB" w:rsidRPr="00D86314" w:rsidRDefault="00FB2DFE" w:rsidP="007458EB">
      <w:pPr>
        <w:pStyle w:val="FootnoteText"/>
      </w:pPr>
      <w:r w:rsidRPr="00D86314">
        <w:rPr>
          <w:rStyle w:val="FootnoteReference"/>
        </w:rPr>
        <w:footnoteRef/>
      </w:r>
      <w:r w:rsidRPr="00D86314">
        <w:t xml:space="preserve"> See Qualcomm opinion</w:t>
      </w:r>
    </w:p>
    <w:p w14:paraId="5884DE56" w14:textId="5F6BB649" w:rsidR="007458EB" w:rsidRPr="00D86314" w:rsidRDefault="00B046D9" w:rsidP="00DA50CE">
      <w:pPr>
        <w:pStyle w:val="FootnoteText"/>
        <w:jc w:val="left"/>
      </w:pPr>
      <w:hyperlink r:id="rId89" w:history="1">
        <w:r w:rsidR="00DA50CE" w:rsidRPr="00D86314">
          <w:rPr>
            <w:rStyle w:val="Hyperlink"/>
          </w:rPr>
          <w:t>https://www.ofcom.org.uk/siteassets/resources/documents/consultations/uncategorised/93522-award-of-the-spectrum-bands/responses/qualcomm.pdf p8</w:t>
        </w:r>
      </w:hyperlink>
      <w:r w:rsidR="00FB2DFE" w:rsidRPr="00D86314">
        <w:t xml:space="preserve"> and BT</w:t>
      </w:r>
    </w:p>
    <w:p w14:paraId="39008827" w14:textId="01BE6DC5" w:rsidR="00FB2DFE" w:rsidRPr="00D86314" w:rsidRDefault="00B046D9" w:rsidP="007458EB">
      <w:pPr>
        <w:pStyle w:val="FootnoteText"/>
      </w:pPr>
      <w:hyperlink r:id="rId90" w:history="1">
        <w:r w:rsidR="00DA50CE" w:rsidRPr="00D86314">
          <w:rPr>
            <w:rStyle w:val="Hyperlink"/>
          </w:rPr>
          <w:t>https://www.ofcom.org.uk/siteassets/resources/documents/consultations/category-1-10-weeks/129955-award-of-the-700-mhz-and-3.6-3.8-ghz-spectrum/responses/response-to-2020-further-consultation-bt</w:t>
        </w:r>
      </w:hyperlink>
      <w:r w:rsidR="00DF3D6C" w:rsidRPr="00D86314">
        <w:t xml:space="preserve">, </w:t>
      </w:r>
      <w:r w:rsidR="00FB2DFE" w:rsidRPr="00D86314">
        <w:t>p8</w:t>
      </w:r>
      <w:r w:rsidR="00DF3D6C" w:rsidRPr="00D86314">
        <w:t>.</w:t>
      </w:r>
    </w:p>
  </w:footnote>
  <w:footnote w:id="132">
    <w:p w14:paraId="6F2BA575" w14:textId="1702EE24" w:rsidR="007458EB" w:rsidRPr="00D86314" w:rsidRDefault="007458EB">
      <w:pPr>
        <w:pStyle w:val="FootnoteText"/>
      </w:pPr>
      <w:r w:rsidRPr="00D86314">
        <w:rPr>
          <w:rStyle w:val="FootnoteReference"/>
        </w:rPr>
        <w:footnoteRef/>
      </w:r>
      <w:r w:rsidRPr="00D86314">
        <w:t xml:space="preserve"> See para 101 here: </w:t>
      </w:r>
    </w:p>
    <w:p w14:paraId="6FC876D1" w14:textId="1232CC8F" w:rsidR="007458EB" w:rsidRPr="00D86314" w:rsidRDefault="00B046D9">
      <w:pPr>
        <w:pStyle w:val="FootnoteText"/>
      </w:pPr>
      <w:hyperlink r:id="rId91" w:history="1">
        <w:r w:rsidR="007458EB" w:rsidRPr="00D86314">
          <w:rPr>
            <w:rStyle w:val="Hyperlink"/>
          </w:rPr>
          <w:t>https://www.bundesnetzagentur.de/SharedDocs/Downloads/EN/Areas/Telecommunications/Companies/TelecomRegulation/FrequencyManagement/ElectronicCommunicationsServices/FrequencyAward2018/20181214_Decision_III_IV.pdf?__blob=publicationFile&amp;v=1</w:t>
        </w:r>
      </w:hyperlink>
      <w:r w:rsidR="00DA50CE" w:rsidRPr="00D86314">
        <w:t>.</w:t>
      </w:r>
    </w:p>
  </w:footnote>
  <w:footnote w:id="133">
    <w:p w14:paraId="3E470216" w14:textId="564BA8EA" w:rsidR="00CC5F97" w:rsidRPr="00D86314" w:rsidRDefault="00CC5F97">
      <w:pPr>
        <w:pStyle w:val="FootnoteText"/>
      </w:pPr>
      <w:r w:rsidRPr="00D86314">
        <w:rPr>
          <w:rStyle w:val="FootnoteReference"/>
        </w:rPr>
        <w:footnoteRef/>
      </w:r>
      <w:r w:rsidRPr="00D86314">
        <w:t xml:space="preserve"> See e.g. </w:t>
      </w:r>
      <w:r w:rsidR="00BC4575" w:rsidRPr="00D86314">
        <w:t>PolicyTracker Spectrum Database.</w:t>
      </w:r>
    </w:p>
  </w:footnote>
  <w:footnote w:id="134">
    <w:p w14:paraId="04A649DF" w14:textId="34165849" w:rsidR="00F45607" w:rsidRPr="00C20A01" w:rsidRDefault="00F45607" w:rsidP="00F45607">
      <w:pPr>
        <w:pStyle w:val="FootnoteText"/>
      </w:pPr>
      <w:r w:rsidRPr="00D86314">
        <w:rPr>
          <w:rStyle w:val="FootnoteReference"/>
        </w:rPr>
        <w:footnoteRef/>
      </w:r>
      <w:r w:rsidRPr="00D86314">
        <w:t xml:space="preserve"> LS telcom, PolicyTracker and VVA (2022): Study on assessing the efficiency of radio spectrum award processes in the Member States, including the effects of applying the European Electronic Communications Code (</w:t>
      </w:r>
      <w:hyperlink r:id="rId92" w:history="1">
        <w:r w:rsidRPr="00D86314">
          <w:rPr>
            <w:rStyle w:val="Hyperlink"/>
          </w:rPr>
          <w:t>Available online at: https://op.europa.eu/publication-detail/-/publication/036d50f1-a1e2-11ed-b508-01aa75ed71a1</w:t>
        </w:r>
        <w:r w:rsidR="009E2081" w:rsidRPr="00D86314">
          <w:rPr>
            <w:rStyle w:val="Hyperlink"/>
          </w:rPr>
          <w:t>)</w:t>
        </w:r>
        <w:r w:rsidRPr="00D86314">
          <w:rPr>
            <w:rStyle w:val="Hyperlink"/>
          </w:rPr>
          <w:t>.</w:t>
        </w:r>
      </w:hyperlink>
    </w:p>
  </w:footnote>
  <w:footnote w:id="135">
    <w:p w14:paraId="0E2D57B3" w14:textId="1B1DC5EC" w:rsidR="00673945" w:rsidRPr="00D86314" w:rsidRDefault="00673945" w:rsidP="00673945">
      <w:pPr>
        <w:pStyle w:val="FootnoteText"/>
      </w:pPr>
      <w:r w:rsidRPr="00D86314">
        <w:rPr>
          <w:rStyle w:val="FootnoteReference"/>
        </w:rPr>
        <w:footnoteRef/>
      </w:r>
      <w:r w:rsidR="00D53FC1" w:rsidRPr="00D86314">
        <w:t xml:space="preserve"> </w:t>
      </w:r>
      <w:r w:rsidRPr="00D86314">
        <w:t>For example, analysis conducted in the context of the review of the RRM shows that in countries where NRAs have segmented the market for dedicated capacity by geography, incumbent market shares of 70% or more have been observed in the non-competitive zones for dedicated capacity. Limitations in competition have also been found e.g. in Spain in the provision of services to multi-site businesses.</w:t>
      </w:r>
    </w:p>
  </w:footnote>
  <w:footnote w:id="136">
    <w:p w14:paraId="0CCAB599" w14:textId="77777777" w:rsidR="00BE7642" w:rsidRPr="00D86314" w:rsidRDefault="00BE7642" w:rsidP="00AE2AE7">
      <w:pPr>
        <w:pStyle w:val="FootnoteText"/>
      </w:pPr>
      <w:r w:rsidRPr="00D86314">
        <w:rPr>
          <w:rStyle w:val="FootnoteReference"/>
        </w:rPr>
        <w:footnoteRef/>
      </w:r>
      <w:r w:rsidRPr="00D86314">
        <w:t xml:space="preserve"> </w:t>
      </w:r>
      <w:hyperlink r:id="rId93" w:history="1">
        <w:r w:rsidRPr="00D86314">
          <w:rPr>
            <w:rStyle w:val="Hyperlink"/>
          </w:rPr>
          <w:t>VVA, PolicyTracker and LS Telcom (2023)</w:t>
        </w:r>
      </w:hyperlink>
      <w:r w:rsidRPr="00D86314">
        <w:t xml:space="preserve">, p. 19. </w:t>
      </w:r>
    </w:p>
  </w:footnote>
  <w:footnote w:id="137">
    <w:p w14:paraId="722655C9" w14:textId="19EAD13A" w:rsidR="004D09BF" w:rsidRPr="00D86314" w:rsidRDefault="00BE7642" w:rsidP="00AE2AE7">
      <w:pPr>
        <w:pStyle w:val="FootnoteText"/>
      </w:pPr>
      <w:r w:rsidRPr="00D86314">
        <w:rPr>
          <w:rStyle w:val="FootnoteReference"/>
        </w:rPr>
        <w:footnoteRef/>
      </w:r>
      <w:r w:rsidR="00FE7520" w:rsidRPr="00D86314">
        <w:t xml:space="preserve"> </w:t>
      </w:r>
      <w:r w:rsidRPr="00D86314">
        <w:t xml:space="preserve">RSPG (2024). Opinion on Spectrum Policy for Next-Generation Wireless Systems (6G). Available at: </w:t>
      </w:r>
      <w:hyperlink r:id="rId94" w:history="1">
        <w:r w:rsidR="004D09BF" w:rsidRPr="00D86314">
          <w:rPr>
            <w:rStyle w:val="Hyperlink"/>
          </w:rPr>
          <w:t>https://rspg-spectrum.eu</w:t>
        </w:r>
      </w:hyperlink>
      <w:r w:rsidR="00980925" w:rsidRPr="00D86314">
        <w:t>.</w:t>
      </w:r>
    </w:p>
  </w:footnote>
  <w:footnote w:id="138">
    <w:p w14:paraId="7ABB5790" w14:textId="4405728C" w:rsidR="004D09BF" w:rsidRPr="00D86314" w:rsidRDefault="00BE7642" w:rsidP="00FE7520">
      <w:pPr>
        <w:pStyle w:val="FootnoteText"/>
        <w:spacing w:after="120"/>
        <w:jc w:val="left"/>
      </w:pPr>
      <w:r w:rsidRPr="00D86314">
        <w:rPr>
          <w:rStyle w:val="FootnoteReference"/>
        </w:rPr>
        <w:footnoteRef/>
      </w:r>
      <w:r w:rsidR="00FE7520" w:rsidRPr="00D86314">
        <w:t xml:space="preserve"> </w:t>
      </w:r>
      <w:r w:rsidRPr="00D86314">
        <w:t xml:space="preserve">LS Telcom, PolicyTracker &amp; VVA (2023). Study on Assessing the Efficiency of Radio Spectrum Award Processes in the Member States. Available at: </w:t>
      </w:r>
      <w:hyperlink r:id="rId95" w:history="1">
        <w:r w:rsidR="004D09BF" w:rsidRPr="00D86314">
          <w:rPr>
            <w:rStyle w:val="Hyperlink"/>
          </w:rPr>
          <w:t>https://op.europa.eu/en/publication-detail/-/publication/036d50f1-a1e2-11ed-b508-01aa75ed71a1</w:t>
        </w:r>
      </w:hyperlink>
      <w:r w:rsidR="00980925" w:rsidRPr="00D86314">
        <w:t>.</w:t>
      </w:r>
    </w:p>
  </w:footnote>
  <w:footnote w:id="139">
    <w:p w14:paraId="7E20576F" w14:textId="4A8EE720" w:rsidR="00246974" w:rsidRPr="00D86314" w:rsidRDefault="0057042C" w:rsidP="0057042C">
      <w:pPr>
        <w:pStyle w:val="FootnoteText"/>
      </w:pPr>
      <w:r w:rsidRPr="00D86314">
        <w:rPr>
          <w:rStyle w:val="FootnoteReference"/>
        </w:rPr>
        <w:footnoteRef/>
      </w:r>
      <w:r w:rsidR="00B517E4" w:rsidRPr="00D86314">
        <w:t xml:space="preserve"> </w:t>
      </w:r>
      <w:hyperlink r:id="rId96" w:history="1">
        <w:r w:rsidR="00DE2859" w:rsidRPr="00D86314">
          <w:rPr>
            <w:rStyle w:val="Hyperlink"/>
          </w:rPr>
          <w:t>https://ec.europa.eu/docsroom/documents/63274</w:t>
        </w:r>
      </w:hyperlink>
    </w:p>
  </w:footnote>
  <w:footnote w:id="140">
    <w:p w14:paraId="3D04D867" w14:textId="77777777" w:rsidR="0057042C" w:rsidRPr="00D86314" w:rsidRDefault="0057042C" w:rsidP="0057042C">
      <w:pPr>
        <w:pStyle w:val="FootnoteText"/>
      </w:pPr>
      <w:r w:rsidRPr="00D86314">
        <w:rPr>
          <w:rStyle w:val="FootnoteReference"/>
        </w:rPr>
        <w:footnoteRef/>
      </w:r>
      <w:r w:rsidRPr="00D86314">
        <w:t xml:space="preserve"> The costs and benefits data in this annex are consistent with the data in annex 3. The preferred option includes the mitigating measures listed in section 4. </w:t>
      </w:r>
    </w:p>
  </w:footnote>
  <w:footnote w:id="141">
    <w:p w14:paraId="7DEEB8B6" w14:textId="77777777" w:rsidR="0057042C" w:rsidRPr="00D86314" w:rsidRDefault="0057042C" w:rsidP="0057042C">
      <w:pPr>
        <w:pStyle w:val="FootnoteText"/>
      </w:pPr>
      <w:r w:rsidRPr="00D86314">
        <w:rPr>
          <w:rStyle w:val="FootnoteReference"/>
        </w:rPr>
        <w:footnoteRef/>
      </w:r>
      <w:r w:rsidRPr="00D86314">
        <w:t xml:space="preserve"> The direct benefits for SMEs can also be cost savings.</w:t>
      </w:r>
    </w:p>
  </w:footnote>
  <w:footnote w:id="142">
    <w:p w14:paraId="3A449B08" w14:textId="77777777" w:rsidR="0005559D" w:rsidRPr="00C20A01" w:rsidRDefault="0005559D" w:rsidP="0005559D">
      <w:pPr>
        <w:pStyle w:val="FootnoteText"/>
      </w:pPr>
      <w:r w:rsidRPr="00D86314">
        <w:rPr>
          <w:rStyle w:val="FootnoteReference"/>
        </w:rPr>
        <w:footnoteRef/>
      </w:r>
      <w:r w:rsidRPr="00D86314">
        <w:t xml:space="preserve"> Gulf Cooperation Council (Bahrain, Kuwait, Oman, Qatar, Saudi Arabia and the United Arab Emirates).</w:t>
      </w:r>
    </w:p>
  </w:footnote>
  <w:footnote w:id="143">
    <w:p w14:paraId="3732D57E" w14:textId="43BD6B92" w:rsidR="003921B8" w:rsidRPr="00D86314" w:rsidRDefault="0005559D" w:rsidP="0005559D">
      <w:pPr>
        <w:pStyle w:val="FootnoteText"/>
      </w:pPr>
      <w:r w:rsidRPr="00D86314">
        <w:rPr>
          <w:rStyle w:val="FootnoteReference"/>
        </w:rPr>
        <w:footnoteRef/>
      </w:r>
      <w:r w:rsidRPr="00D86314">
        <w:t xml:space="preserve"> GSMA Intelligence.</w:t>
      </w:r>
    </w:p>
  </w:footnote>
  <w:footnote w:id="144">
    <w:p w14:paraId="0F9228FC" w14:textId="77777777" w:rsidR="0005559D" w:rsidRPr="00D86314" w:rsidRDefault="0005559D" w:rsidP="0005559D">
      <w:pPr>
        <w:pStyle w:val="FootnoteText"/>
        <w:rPr>
          <w:rStyle w:val="Hyperlink"/>
        </w:rPr>
      </w:pPr>
      <w:r w:rsidRPr="00D86314">
        <w:rPr>
          <w:rStyle w:val="FootnoteReference"/>
        </w:rPr>
        <w:footnoteRef/>
      </w:r>
      <w:r w:rsidRPr="00D86314">
        <w:t xml:space="preserve"> Mobile broadband prices vary widely across the EU not only in nominal terms but also at price purchasing parity. See European Commission, Directorate-General for Communications Networks, Content and Technology, Mobile and fixed broadband prices in Europe </w:t>
      </w:r>
      <w:hyperlink r:id="rId97" w:history="1">
        <w:r w:rsidRPr="00D86314">
          <w:rPr>
            <w:rStyle w:val="Hyperlink"/>
          </w:rPr>
          <w:t>https://digital-strategy.ec.europa.eu/en/library/mobile-and-fixed-broadband-prices-europe-2022</w:t>
        </w:r>
      </w:hyperlink>
    </w:p>
  </w:footnote>
  <w:footnote w:id="145">
    <w:p w14:paraId="2F5C4D5C" w14:textId="3EE52B99" w:rsidR="008D7349" w:rsidRPr="00D86314" w:rsidRDefault="0005559D" w:rsidP="0005559D">
      <w:pPr>
        <w:pStyle w:val="Foonotetext"/>
        <w:spacing w:after="0"/>
        <w:rPr>
          <w:rFonts w:eastAsia="Times New Roman"/>
          <w:i/>
        </w:rPr>
      </w:pPr>
      <w:r w:rsidRPr="00D86314">
        <w:rPr>
          <w:rStyle w:val="FootnoteReference"/>
          <w:rFonts w:eastAsiaTheme="minorEastAsia"/>
        </w:rPr>
        <w:footnoteRef/>
      </w:r>
      <w:r w:rsidRPr="00D86314">
        <w:t xml:space="preserve"> Ookla, 2024, </w:t>
      </w:r>
      <w:hyperlink r:id="rId98">
        <w:r w:rsidRPr="00D86314">
          <w:rPr>
            <w:rStyle w:val="Hyperlink"/>
            <w:rFonts w:eastAsia="Times New Roman"/>
            <w:i/>
            <w:color w:val="auto"/>
            <w:u w:val="none"/>
          </w:rPr>
          <w:t>A Global Evaluation of Europe’s Competitiveness in 5G SA</w:t>
        </w:r>
      </w:hyperlink>
      <w:r w:rsidRPr="00D86314">
        <w:rPr>
          <w:rFonts w:eastAsia="Times New Roman"/>
          <w:i/>
        </w:rPr>
        <w:t>,p.14.</w:t>
      </w:r>
    </w:p>
  </w:footnote>
  <w:footnote w:id="146">
    <w:p w14:paraId="75A68035" w14:textId="77777777" w:rsidR="0005559D" w:rsidRPr="00D86314" w:rsidRDefault="0005559D" w:rsidP="0005559D">
      <w:pPr>
        <w:pStyle w:val="FootnoteText"/>
      </w:pPr>
      <w:r w:rsidRPr="00D86314">
        <w:rPr>
          <w:rStyle w:val="FootnoteReference"/>
          <w:sz w:val="16"/>
          <w:szCs w:val="16"/>
        </w:rPr>
        <w:footnoteRef/>
      </w:r>
      <w:r w:rsidRPr="00D86314">
        <w:t xml:space="preserve"> Connect Europe (2025), State of Digital Communications, p. 23.</w:t>
      </w:r>
    </w:p>
  </w:footnote>
  <w:footnote w:id="147">
    <w:p w14:paraId="58EB7090" w14:textId="77777777" w:rsidR="0005559D" w:rsidRPr="00D86314" w:rsidRDefault="0005559D" w:rsidP="0005559D">
      <w:pPr>
        <w:pStyle w:val="FootnoteText"/>
      </w:pPr>
      <w:r w:rsidRPr="00D86314">
        <w:rPr>
          <w:rStyle w:val="FootnoteReference"/>
          <w:rFonts w:asciiTheme="minorHAnsi" w:hAnsiTheme="minorHAnsi"/>
          <w:sz w:val="16"/>
          <w:szCs w:val="16"/>
        </w:rPr>
        <w:footnoteRef/>
      </w:r>
      <w:r w:rsidRPr="00D86314">
        <w:rPr>
          <w:vertAlign w:val="superscript"/>
        </w:rPr>
        <w:t xml:space="preserve"> </w:t>
      </w:r>
      <w:r w:rsidRPr="00D86314">
        <w:t>Analysys Mason (2024). 5G Global Progress Report; OpenSignal (2024). 5G Experience Report Q4.</w:t>
      </w:r>
    </w:p>
  </w:footnote>
  <w:footnote w:id="148">
    <w:p w14:paraId="44E6B62D" w14:textId="77777777" w:rsidR="0005559D" w:rsidRPr="00D86314" w:rsidRDefault="0005559D" w:rsidP="0005559D">
      <w:pPr>
        <w:pStyle w:val="FootnoteText"/>
      </w:pPr>
      <w:r w:rsidRPr="00D86314">
        <w:rPr>
          <w:rStyle w:val="FootnoteReference"/>
        </w:rPr>
        <w:footnoteRef/>
      </w:r>
      <w:r w:rsidRPr="00D86314">
        <w:t xml:space="preserve"> Study on Digital Single Market.</w:t>
      </w:r>
    </w:p>
  </w:footnote>
  <w:footnote w:id="149">
    <w:p w14:paraId="61E7BFDA" w14:textId="77777777" w:rsidR="0005559D" w:rsidRPr="00D86314" w:rsidRDefault="0005559D" w:rsidP="0005559D">
      <w:pPr>
        <w:pStyle w:val="FootnoteText"/>
        <w:jc w:val="left"/>
      </w:pPr>
      <w:r w:rsidRPr="00D86314">
        <w:rPr>
          <w:rStyle w:val="FootnoteReference"/>
          <w:sz w:val="18"/>
        </w:rPr>
        <w:footnoteRef/>
      </w:r>
      <w:r w:rsidRPr="00D86314">
        <w:t xml:space="preserve"> BEREC (2023). Study on wholesale mobile connectivity, trends and issues for emerging mobile technologies and deployments, BoR(23) 41: </w:t>
      </w:r>
      <w:hyperlink r:id="rId99" w:history="1">
        <w:r w:rsidRPr="00D86314">
          <w:rPr>
            <w:rStyle w:val="Hyperlink"/>
          </w:rPr>
          <w:t>https://www.berec.europa.eu/en/document-categories/berec/reports/study-on-wholesale-mobile-connectivity-trends-and-issues-for-emerging-mobile-technologies-and-deployments</w:t>
        </w:r>
      </w:hyperlink>
      <w:r w:rsidRPr="00D86314">
        <w:t>.</w:t>
      </w:r>
    </w:p>
  </w:footnote>
  <w:footnote w:id="150">
    <w:p w14:paraId="12B7F06E" w14:textId="77777777" w:rsidR="0005559D" w:rsidRPr="00D86314" w:rsidRDefault="0005559D" w:rsidP="0005559D">
      <w:pPr>
        <w:pStyle w:val="FootnoteText"/>
        <w:jc w:val="left"/>
      </w:pPr>
      <w:r w:rsidRPr="00D86314">
        <w:rPr>
          <w:rStyle w:val="FootnoteReference"/>
          <w:sz w:val="18"/>
        </w:rPr>
        <w:footnoteRef/>
      </w:r>
      <w:r w:rsidRPr="00D86314">
        <w:t xml:space="preserve"> SCF (2024). SCF Market forecast report: </w:t>
      </w:r>
      <w:hyperlink r:id="rId100" w:history="1">
        <w:r w:rsidRPr="00D86314">
          <w:rPr>
            <w:rStyle w:val="Hyperlink"/>
          </w:rPr>
          <w:t>https://www.smallcellforum.org/docs/scf-market-forecast-report/</w:t>
        </w:r>
      </w:hyperlink>
      <w:r w:rsidRPr="00D86314">
        <w:t>?.</w:t>
      </w:r>
    </w:p>
  </w:footnote>
  <w:footnote w:id="151">
    <w:p w14:paraId="70F2CE9A" w14:textId="18F870ED" w:rsidR="006555EA" w:rsidRPr="00C20A01" w:rsidRDefault="006555EA">
      <w:pPr>
        <w:pStyle w:val="FootnoteText"/>
      </w:pPr>
      <w:r w:rsidRPr="00D86314">
        <w:rPr>
          <w:rStyle w:val="FootnoteReference"/>
        </w:rPr>
        <w:footnoteRef/>
      </w:r>
      <w:r w:rsidRPr="00D86314">
        <w:t xml:space="preserve"> See additional data in WIK</w:t>
      </w:r>
      <w:r w:rsidRPr="00D86314">
        <w:rPr>
          <w:rFonts w:ascii="Cambria Math" w:hAnsi="Cambria Math" w:cs="Cambria Math"/>
        </w:rPr>
        <w:t>‑</w:t>
      </w:r>
      <w:r w:rsidRPr="00D86314">
        <w:t xml:space="preserve">Consult. (2023). Investment and Funding Needs for the Digital Decade Connectivity Targets. Study for the European Commission, DG CONNECT (Unit B5). Available at: </w:t>
      </w:r>
      <w:hyperlink r:id="rId101" w:history="1">
        <w:r w:rsidRPr="00D86314">
          <w:rPr>
            <w:rStyle w:val="Hyperlink"/>
          </w:rPr>
          <w:t>https://digital-strategy.ec.europa.eu/enc/library/investment-and-funding-needs-digital-decade-connectivity-targets</w:t>
        </w:r>
      </w:hyperlink>
      <w:r w:rsidR="00790A4A" w:rsidRPr="00D86314">
        <w:t>.</w:t>
      </w:r>
    </w:p>
  </w:footnote>
  <w:footnote w:id="152">
    <w:p w14:paraId="7DD9E27B" w14:textId="77777777" w:rsidR="0005559D" w:rsidRPr="00D86314" w:rsidRDefault="0005559D" w:rsidP="0005559D">
      <w:pPr>
        <w:pStyle w:val="FootnoteText"/>
      </w:pPr>
      <w:r w:rsidRPr="00D86314">
        <w:rPr>
          <w:rStyle w:val="FootnoteReference"/>
        </w:rPr>
        <w:footnoteRef/>
      </w:r>
      <w:r w:rsidRPr="00D86314">
        <w:t xml:space="preserve"> Medux data on Status of 5G Quality and experience in EU.</w:t>
      </w:r>
    </w:p>
  </w:footnote>
  <w:footnote w:id="153">
    <w:p w14:paraId="2AD29660" w14:textId="77777777" w:rsidR="0005559D" w:rsidRPr="00D86314" w:rsidRDefault="0005559D" w:rsidP="0005559D">
      <w:pPr>
        <w:pStyle w:val="FootnoteText"/>
      </w:pPr>
      <w:r w:rsidRPr="00D86314">
        <w:rPr>
          <w:rStyle w:val="FootnoteReference"/>
        </w:rPr>
        <w:footnoteRef/>
      </w:r>
      <w:r w:rsidRPr="00D86314">
        <w:t xml:space="preserve"> Study on Digital Single Market.</w:t>
      </w:r>
    </w:p>
  </w:footnote>
  <w:footnote w:id="154">
    <w:p w14:paraId="5E430E92" w14:textId="77777777" w:rsidR="0005559D" w:rsidRPr="00D86314" w:rsidRDefault="0005559D" w:rsidP="0005559D">
      <w:pPr>
        <w:pStyle w:val="FootnoteText"/>
      </w:pPr>
      <w:r w:rsidRPr="00D86314">
        <w:rPr>
          <w:rStyle w:val="FootnoteReference"/>
        </w:rPr>
        <w:footnoteRef/>
      </w:r>
      <w:r w:rsidRPr="00D86314">
        <w:t xml:space="preserve"> BEREC </w:t>
      </w:r>
      <w:hyperlink r:id="rId102" w:history="1">
        <w:r w:rsidRPr="00D86314">
          <w:rPr>
            <w:rStyle w:val="Hyperlink"/>
          </w:rPr>
          <w:t>Report</w:t>
        </w:r>
      </w:hyperlink>
      <w:r w:rsidRPr="00D86314">
        <w:t xml:space="preserve"> on the evolution of private 5G networks and interrelation with public networks in Europe (BoR (25) 33 of 13 March 2025).</w:t>
      </w:r>
    </w:p>
  </w:footnote>
  <w:footnote w:id="155">
    <w:p w14:paraId="50CA4D1A" w14:textId="2D45DC85" w:rsidR="004A0ED0" w:rsidRPr="00D86314" w:rsidRDefault="004A0ED0" w:rsidP="004A0ED0">
      <w:pPr>
        <w:pStyle w:val="FootnoteText"/>
      </w:pPr>
      <w:r w:rsidRPr="00D86314">
        <w:rPr>
          <w:rStyle w:val="FootnoteReference"/>
        </w:rPr>
        <w:footnoteRef/>
      </w:r>
      <w:r w:rsidRPr="00D86314">
        <w:t xml:space="preserve"> WIK</w:t>
      </w:r>
      <w:r w:rsidRPr="00D86314">
        <w:rPr>
          <w:rFonts w:ascii="Cambria Math" w:hAnsi="Cambria Math" w:cs="Cambria Math"/>
        </w:rPr>
        <w:t>‑</w:t>
      </w:r>
      <w:r w:rsidRPr="00D86314">
        <w:t xml:space="preserve">Consult. (2023). Investment and Funding Needs for the Digital Decade Connectivity Targets. Study for the European Commission, DG CONNECT (Unit B5). Available at: </w:t>
      </w:r>
      <w:hyperlink r:id="rId103" w:history="1">
        <w:r w:rsidRPr="00D86314">
          <w:rPr>
            <w:rStyle w:val="Hyperlink"/>
          </w:rPr>
          <w:t>https://digital-strategy.ec.europa.eu/en/library/investment-and-funding-needs-digital-decade-connectivity-targets</w:t>
        </w:r>
      </w:hyperlink>
      <w:r w:rsidR="00DE2859" w:rsidRPr="00D86314">
        <w:t>.</w:t>
      </w:r>
    </w:p>
  </w:footnote>
  <w:footnote w:id="156">
    <w:p w14:paraId="4E6CEF1D" w14:textId="77777777" w:rsidR="00172603" w:rsidRPr="00D86314" w:rsidRDefault="00172603" w:rsidP="00172603">
      <w:pPr>
        <w:pStyle w:val="FootnoteText"/>
      </w:pPr>
      <w:r w:rsidRPr="00D86314">
        <w:rPr>
          <w:rStyle w:val="FootnoteReference"/>
        </w:rPr>
        <w:footnoteRef/>
      </w:r>
      <w:r w:rsidRPr="00D86314">
        <w:t xml:space="preserve"> Communication from the Commission on the Guidelines on State aid for broadband networks 2023/C 36/01. OJ C 36, 31.1.2023, pp. 1–42.</w:t>
      </w:r>
    </w:p>
  </w:footnote>
  <w:footnote w:id="157">
    <w:p w14:paraId="441E0227" w14:textId="1CC322D3" w:rsidR="00337D86" w:rsidRPr="00D86314" w:rsidRDefault="00337D86" w:rsidP="00337D86">
      <w:pPr>
        <w:spacing w:after="0"/>
        <w:jc w:val="left"/>
        <w:rPr>
          <w:sz w:val="20"/>
          <w:szCs w:val="20"/>
        </w:rPr>
      </w:pPr>
      <w:r w:rsidRPr="00D86314">
        <w:rPr>
          <w:sz w:val="20"/>
          <w:szCs w:val="20"/>
          <w:vertAlign w:val="superscript"/>
        </w:rPr>
        <w:footnoteRef/>
      </w:r>
      <w:r w:rsidRPr="00D86314">
        <w:rPr>
          <w:sz w:val="20"/>
          <w:szCs w:val="20"/>
        </w:rPr>
        <w:t xml:space="preserve"> SA.100557 (2022/N) IT RRF- Italian 5G plan; SA.39090 (2014/N) - Mobile telephony in mountainous areas of Bolzano (Passo Rombo) IT 07/04/2015 Article 4(3); SA.39089 (2014/N) - Mobile telephony in mountainous areas of Bolzano (Favogna, Mazia, Alpe Guazza)</w:t>
      </w:r>
      <w:r w:rsidR="00DE2859" w:rsidRPr="00D86314">
        <w:rPr>
          <w:sz w:val="20"/>
          <w:szCs w:val="20"/>
        </w:rPr>
        <w:t>.</w:t>
      </w:r>
    </w:p>
  </w:footnote>
  <w:footnote w:id="158">
    <w:p w14:paraId="4E456B1B" w14:textId="77777777" w:rsidR="00337D86" w:rsidRPr="00D86314" w:rsidRDefault="00337D86" w:rsidP="00337D86">
      <w:pPr>
        <w:spacing w:after="0"/>
        <w:jc w:val="left"/>
        <w:rPr>
          <w:sz w:val="20"/>
          <w:szCs w:val="20"/>
        </w:rPr>
      </w:pPr>
      <w:r w:rsidRPr="00D86314">
        <w:rPr>
          <w:sz w:val="20"/>
          <w:szCs w:val="20"/>
          <w:vertAlign w:val="superscript"/>
        </w:rPr>
        <w:footnoteRef/>
      </w:r>
      <w:r w:rsidRPr="00D86314">
        <w:rPr>
          <w:sz w:val="20"/>
          <w:szCs w:val="20"/>
        </w:rPr>
        <w:t xml:space="preserve"> State Aid SA.108821 (2023/N) – Spain RRF-Modification of the measure “RRF –Support for 5G equipment and infrastructure”; State Aid SA.104933 (2023/N) – Spain RRF - Support for 5G equipment and infrastructure; State Aid SA.104933 (2023/N) – Spain RRF - Support for 5G equipment and infrastructure; SA.103451 (2022/N) ES - RRF -Deployment of backhaul networks for mobile connectivity; SA.64394 (2021/N) RRF - Spain- National aid scheme for passive infrastructure for mobile networks; and SA.57216 (2021/N) Mobile coverage in rural areas in Galicia-Spain.</w:t>
      </w:r>
    </w:p>
  </w:footnote>
  <w:footnote w:id="159">
    <w:p w14:paraId="582ADBF3" w14:textId="77777777" w:rsidR="00337D86" w:rsidRPr="00D86314" w:rsidRDefault="00337D86" w:rsidP="00337D86">
      <w:pPr>
        <w:spacing w:after="0"/>
        <w:jc w:val="left"/>
        <w:rPr>
          <w:sz w:val="20"/>
          <w:szCs w:val="20"/>
        </w:rPr>
      </w:pPr>
      <w:r w:rsidRPr="00D86314">
        <w:rPr>
          <w:sz w:val="20"/>
          <w:szCs w:val="20"/>
          <w:vertAlign w:val="superscript"/>
        </w:rPr>
        <w:footnoteRef/>
      </w:r>
      <w:r w:rsidRPr="00D86314">
        <w:rPr>
          <w:sz w:val="20"/>
          <w:szCs w:val="20"/>
        </w:rPr>
        <w:t xml:space="preserve"> SA.59574 (2021/N) Deployment of high-performance mobile infrastructure in Germany; SA.56426 (2021/N) High-performance mobile infrastructure roll-out in Lower Saxony –DE; SA. 54684 (2020/N) High-capacity mobile infrastructure roll-out in Brandenburg-DE; SA.58074 (2020/N) Mobilfunk Bayern Modification – DE; SA. 55578 (2020/N) Mobilfunk - Mobile telecommunication Hessen-DE; SA.48324 (2018/N) – Mobilfunk Bayern.</w:t>
      </w:r>
    </w:p>
  </w:footnote>
  <w:footnote w:id="160">
    <w:p w14:paraId="7F44DDC1" w14:textId="2EC3257E" w:rsidR="00337D86" w:rsidRPr="00C20A01" w:rsidRDefault="00337D86" w:rsidP="00337D86">
      <w:pPr>
        <w:pStyle w:val="FootnoteText"/>
      </w:pPr>
      <w:r w:rsidRPr="00D86314">
        <w:rPr>
          <w:rStyle w:val="FootnoteReference"/>
        </w:rPr>
        <w:footnoteRef/>
      </w:r>
      <w:r w:rsidRPr="00D86314">
        <w:t xml:space="preserve"> Commission Regulation (EU) No 651/2014 of 17 June 2014 declaring certain categories of aid compatible with the internal market in application of Articles 107 and 108 of the Treaty Text with EEA relevance. </w:t>
      </w:r>
      <w:r w:rsidRPr="00C20A01">
        <w:t>OJ L 187, 26.6.2014, pp. 1–78</w:t>
      </w:r>
      <w:r w:rsidR="00DE2859" w:rsidRPr="00C20A01">
        <w:t>.</w:t>
      </w:r>
    </w:p>
  </w:footnote>
  <w:footnote w:id="161">
    <w:p w14:paraId="0FFC2536" w14:textId="1599ED12" w:rsidR="00337D86" w:rsidRPr="00D86314" w:rsidRDefault="00337D86" w:rsidP="00337D86">
      <w:pPr>
        <w:spacing w:after="0"/>
        <w:rPr>
          <w:sz w:val="20"/>
          <w:szCs w:val="20"/>
        </w:rPr>
      </w:pPr>
      <w:r w:rsidRPr="00D86314">
        <w:rPr>
          <w:sz w:val="20"/>
          <w:szCs w:val="20"/>
          <w:vertAlign w:val="superscript"/>
        </w:rPr>
        <w:footnoteRef/>
      </w:r>
      <w:r w:rsidRPr="00D86314">
        <w:rPr>
          <w:sz w:val="20"/>
          <w:szCs w:val="20"/>
        </w:rPr>
        <w:t xml:space="preserve"> Up to 2023, only EUR</w:t>
      </w:r>
      <w:r w:rsidR="00415365" w:rsidRPr="00D86314">
        <w:rPr>
          <w:sz w:val="20"/>
          <w:szCs w:val="20"/>
        </w:rPr>
        <w:t> </w:t>
      </w:r>
      <w:r w:rsidRPr="00D86314">
        <w:rPr>
          <w:sz w:val="20"/>
          <w:szCs w:val="20"/>
        </w:rPr>
        <w:t>5.78 million has been reported by Member States.</w:t>
      </w:r>
    </w:p>
  </w:footnote>
  <w:footnote w:id="162">
    <w:p w14:paraId="14A3168B" w14:textId="124F8310" w:rsidR="006C2F45" w:rsidRPr="00C20A01" w:rsidRDefault="006C2F45" w:rsidP="006C2F45">
      <w:pPr>
        <w:pStyle w:val="FootnoteText"/>
        <w:jc w:val="left"/>
        <w:rPr>
          <w:lang w:val="fr-BE"/>
        </w:rPr>
      </w:pPr>
      <w:r w:rsidRPr="00D86314">
        <w:rPr>
          <w:rStyle w:val="FootnoteReference"/>
        </w:rPr>
        <w:footnoteRef/>
      </w:r>
      <w:r w:rsidRPr="00C20A01">
        <w:rPr>
          <w:lang w:val="fr-BE"/>
        </w:rPr>
        <w:t xml:space="preserve"> JRC Publication </w:t>
      </w:r>
      <w:hyperlink r:id="rId104" w:history="1">
        <w:r w:rsidRPr="00C20A01">
          <w:rPr>
            <w:rStyle w:val="Hyperlink"/>
            <w:lang w:val="fr-BE"/>
          </w:rPr>
          <w:t>https://publications.jrc.ec.europa.eu/repository/bitstream/JRC141966/JRC141966_01.pdf</w:t>
        </w:r>
      </w:hyperlink>
      <w:r w:rsidR="00790A4A" w:rsidRPr="00F307ED">
        <w:rPr>
          <w:lang w:val="fr-BE"/>
        </w:rPr>
        <w:t>.</w:t>
      </w:r>
      <w:r w:rsidRPr="00C20A01">
        <w:rPr>
          <w:lang w:val="fr-BE"/>
        </w:rPr>
        <w:t xml:space="preserve"> </w:t>
      </w:r>
    </w:p>
  </w:footnote>
  <w:footnote w:id="163">
    <w:p w14:paraId="6C9CBBD9" w14:textId="0669ACD8" w:rsidR="004A0ED0" w:rsidRPr="00C20A01" w:rsidDel="00B221F2" w:rsidRDefault="00F05F0F">
      <w:pPr>
        <w:pStyle w:val="FootnoteText"/>
      </w:pPr>
      <w:r w:rsidRPr="00D86314">
        <w:rPr>
          <w:rStyle w:val="FootnoteReference"/>
        </w:rPr>
        <w:footnoteRef/>
      </w:r>
      <w:r w:rsidRPr="00D86314">
        <w:t xml:space="preserve"> Study on Finance and USO</w:t>
      </w:r>
      <w:r w:rsidRPr="00D86314">
        <w:rPr>
          <w:bCs/>
        </w:rPr>
        <w:t>.</w:t>
      </w:r>
    </w:p>
  </w:footnote>
  <w:footnote w:id="164">
    <w:p w14:paraId="13F16C8A" w14:textId="77777777" w:rsidR="00A4290D" w:rsidRPr="00D86314" w:rsidRDefault="00A4290D" w:rsidP="00A4290D">
      <w:pPr>
        <w:pStyle w:val="FootnoteText"/>
      </w:pPr>
      <w:r w:rsidRPr="00D86314">
        <w:rPr>
          <w:rStyle w:val="FootnoteReference"/>
        </w:rPr>
        <w:footnoteRef/>
      </w:r>
      <w:r w:rsidRPr="00D86314">
        <w:t xml:space="preserve"> Detecon International GmbH, Study on Mobile satellite services (MSS) in the 2 GHz band in the EU - Implementation of the current regulatory framework and an overview of the satellite connectivity market.</w:t>
      </w:r>
    </w:p>
  </w:footnote>
  <w:footnote w:id="165">
    <w:p w14:paraId="62A1850E" w14:textId="77777777" w:rsidR="00ED0BD2" w:rsidRPr="00D86314" w:rsidRDefault="00ED0BD2" w:rsidP="00ED0BD2">
      <w:pPr>
        <w:pStyle w:val="FootnoteText"/>
      </w:pPr>
      <w:r w:rsidRPr="00D86314">
        <w:rPr>
          <w:rStyle w:val="FootnoteReference"/>
        </w:rPr>
        <w:footnoteRef/>
      </w:r>
      <w:r w:rsidRPr="00D86314">
        <w:t xml:space="preserve"> Report ITU-R M.2514-0: Vision, requirements and evaluation guidelines for satellite radio interface(s) of IMT-2020.</w:t>
      </w:r>
    </w:p>
  </w:footnote>
  <w:footnote w:id="166">
    <w:p w14:paraId="697A46B2" w14:textId="77777777" w:rsidR="00ED0BD2" w:rsidRPr="00D86314" w:rsidRDefault="00ED0BD2" w:rsidP="00ED0BD2">
      <w:pPr>
        <w:pStyle w:val="FootnoteText"/>
      </w:pPr>
      <w:r w:rsidRPr="00D86314">
        <w:rPr>
          <w:rStyle w:val="FootnoteReference"/>
        </w:rPr>
        <w:footnoteRef/>
      </w:r>
      <w:r w:rsidRPr="00D86314">
        <w:t xml:space="preserve"> </w:t>
      </w:r>
      <w:r w:rsidRPr="00D86314">
        <w:rPr>
          <w:rFonts w:eastAsia="Times New Roman"/>
        </w:rPr>
        <w:t>The 3GPP Rel-17 from 2022 defined the first specifications addressing NTN, which have been further developed and extended in Rel-18 (in 2024) and Rel-19 (to be released in 2025).</w:t>
      </w:r>
    </w:p>
  </w:footnote>
  <w:footnote w:id="167">
    <w:p w14:paraId="125ECD6F" w14:textId="1AAB195E" w:rsidR="00AE5479" w:rsidRPr="00D86314" w:rsidRDefault="00AE5479" w:rsidP="00AE5479">
      <w:pPr>
        <w:pStyle w:val="FootnoteText"/>
      </w:pPr>
      <w:r w:rsidRPr="00D86314">
        <w:rPr>
          <w:rStyle w:val="FootnoteReference"/>
        </w:rPr>
        <w:footnoteRef/>
      </w:r>
      <w:r w:rsidRPr="00D86314">
        <w:t xml:space="preserve"> Technical specifications developed by 3G-NTN cover several use cases. The key use case categories enabled by 6G-NTN are the following: i) service ubiquity and Global Connectivity which targets the digital divide by providing direct connectivity to end-user terminals (including smart phones, household devices and IoT sensors); ii) service continuity and network resilience that ensures </w:t>
      </w:r>
      <w:r w:rsidRPr="00D86314">
        <w:rPr>
          <w:rFonts w:eastAsia="Times New Roman"/>
        </w:rPr>
        <w:t xml:space="preserve">uninterrupted service delivery by integrating terrestrial (TN) and non-terrestrial (NTN) components. Key use cases include maintaining connectivity for high-speed terrestrial platforms, such as trains, autonomous vehicles, and commercial aircraft, where consistent handover and latency-sensitive services are critical. The </w:t>
      </w:r>
      <w:r w:rsidRPr="00D86314">
        <w:t>iii) use case refers to service scalability and efficient broadcast-multicast delivery useful for mission critical public safety, dissemination of software and firmware updates, and Broadcast of alerts, educational content, or media services.</w:t>
      </w:r>
    </w:p>
  </w:footnote>
  <w:footnote w:id="168">
    <w:p w14:paraId="59FBCB5A" w14:textId="77777777" w:rsidR="00AE5479" w:rsidRPr="00D86314" w:rsidRDefault="00AE5479" w:rsidP="00AE5479">
      <w:pPr>
        <w:pStyle w:val="FootnoteText"/>
      </w:pPr>
      <w:r w:rsidRPr="00D86314">
        <w:rPr>
          <w:rStyle w:val="FootnoteReference"/>
        </w:rPr>
        <w:footnoteRef/>
      </w:r>
      <w:r w:rsidRPr="00D86314">
        <w:t xml:space="preserve"> Majoor, R. and Perty, H.-P. (2025). Study on mobile satellite services (MSS) in the 2 GHz band in the EU: Implementation of the current regulatory framework and an overview of the satellite connectivity market, Study by Detecon for the European Commission, pp. 104-109: </w:t>
      </w:r>
      <w:hyperlink r:id="rId105" w:history="1">
        <w:r w:rsidRPr="00D86314">
          <w:rPr>
            <w:rStyle w:val="Hyperlink"/>
          </w:rPr>
          <w:t>https://op.europa.eu/en/publication-detail/-/publication/5c28e25b-41b3-11f0-b9f2-01aa75ed71a1/language-en</w:t>
        </w:r>
      </w:hyperlink>
      <w:r w:rsidRPr="00D86314">
        <w:t xml:space="preserve">. </w:t>
      </w:r>
    </w:p>
  </w:footnote>
  <w:footnote w:id="169">
    <w:p w14:paraId="2BB52618" w14:textId="3F2A66EA" w:rsidR="00AE5479" w:rsidRPr="00D86314" w:rsidRDefault="00AE5479" w:rsidP="00AE5479">
      <w:pPr>
        <w:pStyle w:val="FootnoteText"/>
      </w:pPr>
      <w:r w:rsidRPr="00D86314">
        <w:rPr>
          <w:rStyle w:val="FootnoteReference"/>
        </w:rPr>
        <w:footnoteRef/>
      </w:r>
      <w:r w:rsidRPr="00D86314">
        <w:t xml:space="preserve"> Majoor, R. and Perty, H.-P. (2025). Study on mobile satellite services (MSS) in the 2 GHz band in the EU: Implementation of the current regulatory framework and an overview of the satellite connectivity market, Study by Detecon for the European Commission, pp. 104-109: </w:t>
      </w:r>
      <w:hyperlink r:id="rId106" w:history="1">
        <w:r w:rsidRPr="00D86314">
          <w:rPr>
            <w:rStyle w:val="Hyperlink"/>
          </w:rPr>
          <w:t>https://op.europa.eu/en/publication-detail/-/publication/5c28e25b-41b3-11f0-b9f2-01aa75ed71a1/language-en</w:t>
        </w:r>
      </w:hyperlink>
      <w:r w:rsidR="0061334C" w:rsidRPr="00D86314">
        <w:t>.</w:t>
      </w:r>
    </w:p>
  </w:footnote>
  <w:footnote w:id="170">
    <w:p w14:paraId="16A54F2D" w14:textId="5768D08F" w:rsidR="00C514ED" w:rsidRPr="00D86314" w:rsidRDefault="00C514ED" w:rsidP="00C514ED">
      <w:pPr>
        <w:pStyle w:val="FootnoteText"/>
      </w:pPr>
      <w:r w:rsidRPr="00D86314">
        <w:rPr>
          <w:rStyle w:val="FootnoteReference"/>
        </w:rPr>
        <w:footnoteRef/>
      </w:r>
      <w:r w:rsidRPr="00D86314">
        <w:t xml:space="preserve"> The EU is the world’s third largest player in most aspects of the satellite sector, following the United States and China. As of 2023, Europe’s share of the downstream market was estimated to represent 23.0% (EUR</w:t>
      </w:r>
      <w:r w:rsidR="006A5613" w:rsidRPr="00D86314">
        <w:t> </w:t>
      </w:r>
      <w:r w:rsidRPr="00D86314">
        <w:t>89 billion) of the total global market value (EUR</w:t>
      </w:r>
      <w:r w:rsidR="00D5646F" w:rsidRPr="00D86314">
        <w:t> </w:t>
      </w:r>
      <w:r w:rsidRPr="00D86314">
        <w:t>387 billion) – see Euroconsult (2023) as cited in the European Commission’s Impact Assessment for the Space Act (</w:t>
      </w:r>
      <w:hyperlink r:id="rId107" w:history="1">
        <w:r w:rsidRPr="00D86314">
          <w:rPr>
            <w:rStyle w:val="Hyperlink"/>
          </w:rPr>
          <w:t>SWD(2025) 335 final</w:t>
        </w:r>
      </w:hyperlink>
      <w:r w:rsidRPr="00D86314">
        <w:t>), part 1/2, p. 4</w:t>
      </w:r>
      <w:r w:rsidR="00103933" w:rsidRPr="00D86314">
        <w:t>.</w:t>
      </w:r>
    </w:p>
  </w:footnote>
  <w:footnote w:id="171">
    <w:p w14:paraId="1CB6EB86" w14:textId="77777777" w:rsidR="00DD0433" w:rsidRPr="00D86314" w:rsidRDefault="26411D8B" w:rsidP="00DD0433">
      <w:pPr>
        <w:pStyle w:val="FootnoteText"/>
      </w:pPr>
      <w:r w:rsidRPr="00D86314">
        <w:t xml:space="preserve"> </w:t>
      </w:r>
      <w:hyperlink r:id="rId108" w:history="1">
        <w:r w:rsidR="00DD0433" w:rsidRPr="00D86314">
          <w:rPr>
            <w:rFonts w:eastAsia="Times New Roman"/>
            <w:color w:val="0000FF"/>
            <w:u w:val="single"/>
          </w:rPr>
          <w:t xml:space="preserve">Detecon </w:t>
        </w:r>
        <w:r w:rsidR="00DD0433" w:rsidRPr="00D86314">
          <w:rPr>
            <w:color w:val="0000FF"/>
            <w:u w:val="single"/>
          </w:rPr>
          <w:t>International</w:t>
        </w:r>
        <w:r w:rsidR="00DD0433" w:rsidRPr="00D86314">
          <w:rPr>
            <w:rFonts w:eastAsia="Times New Roman"/>
            <w:color w:val="0000FF"/>
            <w:u w:val="single"/>
          </w:rPr>
          <w:t xml:space="preserve"> GmbH 2025</w:t>
        </w:r>
      </w:hyperlink>
      <w:r w:rsidR="00DD0433" w:rsidRPr="00D86314">
        <w:rPr>
          <w:rFonts w:eastAsia="Times New Roman"/>
        </w:rPr>
        <w:t xml:space="preserve">. </w:t>
      </w:r>
      <w:r w:rsidR="00DD0433" w:rsidRPr="00D86314">
        <w:t>Detecon tabulates the launches and planned satellites Adding up the satellite constellations by country of ownership (ignoring the complexities of multiple shareholders from different countries, unless it is close to a 50/50 split). Note that this metric excludes the most optimistic claims of some of the announcements, including Starlink’s additional 4450 to 12 000 satellites in the USA column (reported as submitted to the ITU in 2019) and the additional 10 700 satellites which the Thousand Sails constellation may expand to which would add to the China column. Note that counting satellites may also not be the most accurate metric, as it does not account for weight. Comparing kilograms in orbit is probably a more meaningful metric, if such ever becomes available.</w:t>
      </w:r>
    </w:p>
    <w:p w14:paraId="572FD1B7" w14:textId="4A61E0A0" w:rsidR="00DD0433" w:rsidRPr="00D86314" w:rsidRDefault="00DD0433" w:rsidP="00DD0433">
      <w:pPr>
        <w:pStyle w:val="FootnoteText"/>
      </w:pPr>
    </w:p>
  </w:footnote>
  <w:footnote w:id="172">
    <w:p w14:paraId="67431B84" w14:textId="26301A1C" w:rsidR="00365C9E" w:rsidRPr="00D86314" w:rsidRDefault="00365C9E" w:rsidP="007227B1">
      <w:pPr>
        <w:pStyle w:val="FootnoteText"/>
      </w:pPr>
      <w:r w:rsidRPr="00D86314">
        <w:rPr>
          <w:rStyle w:val="FootnoteReference"/>
        </w:rPr>
        <w:footnoteRef/>
      </w:r>
      <w:r w:rsidRPr="00D86314">
        <w:t xml:space="preserve"> </w:t>
      </w:r>
      <w:hyperlink r:id="rId109" w:history="1">
        <w:r w:rsidRPr="00D86314">
          <w:rPr>
            <w:rStyle w:val="Hyperlink"/>
          </w:rPr>
          <w:t>Unintended electromagnetic radiation from Starlink satellites detected with LOFAR between 110 and 188 MHz | Astronomy &amp; Astrophysics (A&amp;A)</w:t>
        </w:r>
      </w:hyperlink>
      <w:r w:rsidR="00B102F6" w:rsidRPr="00D86314">
        <w:t>.</w:t>
      </w:r>
    </w:p>
  </w:footnote>
  <w:footnote w:id="173">
    <w:p w14:paraId="7EA9544F" w14:textId="6A589C4F" w:rsidR="00131630" w:rsidRPr="00D86314" w:rsidRDefault="00131630" w:rsidP="00712F99">
      <w:pPr>
        <w:pStyle w:val="FootnoteText"/>
        <w:widowControl w:val="0"/>
        <w:jc w:val="left"/>
      </w:pPr>
      <w:r w:rsidRPr="00D86314">
        <w:rPr>
          <w:rStyle w:val="FootnoteReference"/>
        </w:rPr>
        <w:footnoteRef/>
      </w:r>
      <w:r w:rsidRPr="00D86314">
        <w:t xml:space="preserve"> </w:t>
      </w:r>
      <w:r w:rsidR="00FD3D94" w:rsidRPr="00D86314">
        <w:t>Call to Protect the Dark and Quiet Sky from Harmful Interference by Satellite Constellations:</w:t>
      </w:r>
      <w:r w:rsidRPr="00D86314">
        <w:t xml:space="preserve"> </w:t>
      </w:r>
      <w:hyperlink r:id="rId110" w:history="1">
        <w:r w:rsidRPr="00D86314">
          <w:rPr>
            <w:rStyle w:val="Hyperlink"/>
          </w:rPr>
          <w:t>Draft_IAU_CPS_position_statement_9Z8xEO1.pdf</w:t>
        </w:r>
      </w:hyperlink>
      <w:r w:rsidR="00F832BB" w:rsidRPr="00D86314">
        <w:t>.</w:t>
      </w:r>
    </w:p>
  </w:footnote>
  <w:footnote w:id="174">
    <w:p w14:paraId="29FA28E9" w14:textId="77777777" w:rsidR="00ED0BD2" w:rsidRPr="00D86314" w:rsidRDefault="00ED0BD2" w:rsidP="00712F99">
      <w:pPr>
        <w:pStyle w:val="FootnoteText"/>
        <w:widowControl w:val="0"/>
      </w:pPr>
      <w:r w:rsidRPr="00D86314">
        <w:rPr>
          <w:rStyle w:val="FootnoteReference"/>
        </w:rPr>
        <w:footnoteRef/>
      </w:r>
      <w:r w:rsidRPr="00D86314">
        <w:t xml:space="preserve"> </w:t>
      </w:r>
      <w:r w:rsidRPr="00D86314">
        <w:rPr>
          <w:rFonts w:eastAsia="Times New Roman"/>
        </w:rPr>
        <w:t>Multi-orbital constellation of 290 MEO and LEO satellites, deployed by SpaceRISE, an industry consortium, comprising three major EU satellite operators.</w:t>
      </w:r>
    </w:p>
  </w:footnote>
  <w:footnote w:id="175">
    <w:p w14:paraId="6951C9BC" w14:textId="19B29791" w:rsidR="00444DE3" w:rsidRPr="00D86314" w:rsidRDefault="00444DE3" w:rsidP="00810C46">
      <w:pPr>
        <w:pStyle w:val="FootnoteText"/>
      </w:pPr>
      <w:r w:rsidRPr="00D86314">
        <w:rPr>
          <w:rStyle w:val="FootnoteReference"/>
        </w:rPr>
        <w:footnoteRef/>
      </w:r>
      <w:r w:rsidRPr="00D86314">
        <w:t xml:space="preserve"> Mobile satellite services (MSS) in the 2 GHz band in the EU - Implementation of the current regulatory framework and an overview of the satellite connectivity market, July 2025, Detecon International GmbH, available at </w:t>
      </w:r>
      <w:hyperlink r:id="rId111" w:history="1">
        <w:r w:rsidRPr="00D86314">
          <w:rPr>
            <w:rStyle w:val="Hyperlink"/>
          </w:rPr>
          <w:t>https://op.europa.eu/en/publication-detail/-/publication/4c769094-41b5-11f0-b9f2-01aa75ed71a1/language-en</w:t>
        </w:r>
      </w:hyperlink>
      <w:r w:rsidRPr="00D86314">
        <w:t>.</w:t>
      </w:r>
    </w:p>
  </w:footnote>
  <w:footnote w:id="176">
    <w:p w14:paraId="01B51D33" w14:textId="0F2743C5" w:rsidR="00444DE3" w:rsidRPr="00D86314" w:rsidRDefault="00444DE3" w:rsidP="00810C46">
      <w:pPr>
        <w:pStyle w:val="FootnoteText"/>
      </w:pPr>
      <w:r w:rsidRPr="00D86314">
        <w:rPr>
          <w:rStyle w:val="FootnoteReference"/>
        </w:rPr>
        <w:footnoteRef/>
      </w:r>
      <w:r w:rsidRPr="00D86314">
        <w:t xml:space="preserve"> Gerus, V., Manero, C., Pujol, F.et al., Mobile Satellite Services (MSS) authorisation regimes, authorisations and enforcement in the EU Member States – Final report, Publications Office, 2019, </w:t>
      </w:r>
      <w:hyperlink r:id="rId112" w:history="1">
        <w:r w:rsidRPr="00D86314">
          <w:rPr>
            <w:rStyle w:val="Hyperlink"/>
          </w:rPr>
          <w:t>https://data.europa.eu/doi/10.2759/974409</w:t>
        </w:r>
      </w:hyperlink>
      <w:r w:rsidR="00F832BB" w:rsidRPr="00D86314">
        <w:t>.</w:t>
      </w:r>
    </w:p>
  </w:footnote>
  <w:footnote w:id="177">
    <w:p w14:paraId="6E3E2B5B" w14:textId="77777777" w:rsidR="00A136AC" w:rsidRPr="00D86314" w:rsidRDefault="00A136AC" w:rsidP="00810C46">
      <w:pPr>
        <w:pStyle w:val="FootnoteText"/>
      </w:pPr>
      <w:r w:rsidRPr="00D86314">
        <w:rPr>
          <w:rStyle w:val="FootnoteReference"/>
        </w:rPr>
        <w:footnoteRef/>
      </w:r>
      <w:r w:rsidRPr="00D86314">
        <w:t xml:space="preserve"> Olswang (2014). MSS authorisation regimes, authorisations and enforcement in the EU Member States, study for the European Commission: </w:t>
      </w:r>
      <w:hyperlink r:id="rId113" w:history="1">
        <w:r w:rsidRPr="00D86314">
          <w:rPr>
            <w:rStyle w:val="Hyperlink"/>
          </w:rPr>
          <w:t>https://op.europa.eu/sl/publication-detail/-/publication/0ccf1b70-dbd6-4530-8f09-f44262856dab/language-en</w:t>
        </w:r>
      </w:hyperlink>
      <w:r w:rsidRPr="00D86314">
        <w:t xml:space="preserve">. </w:t>
      </w:r>
    </w:p>
  </w:footnote>
  <w:footnote w:id="178">
    <w:p w14:paraId="62123958" w14:textId="77777777" w:rsidR="00A136AC" w:rsidRPr="00D86314" w:rsidRDefault="00A136AC" w:rsidP="00810C46">
      <w:pPr>
        <w:pStyle w:val="FootnoteText"/>
      </w:pPr>
      <w:r w:rsidRPr="00D86314">
        <w:rPr>
          <w:rStyle w:val="FootnoteReference"/>
        </w:rPr>
        <w:footnoteRef/>
      </w:r>
      <w:r w:rsidRPr="00C20A01">
        <w:t xml:space="preserve"> Pujol, Fr</w:t>
      </w:r>
      <w:r w:rsidRPr="00C20A01">
        <w:rPr>
          <w:rFonts w:hint="eastAsia"/>
        </w:rPr>
        <w:t>é</w:t>
      </w:r>
      <w:r w:rsidRPr="00C20A01">
        <w:t>d</w:t>
      </w:r>
      <w:r w:rsidRPr="00C20A01">
        <w:rPr>
          <w:rFonts w:hint="eastAsia"/>
        </w:rPr>
        <w:t>é</w:t>
      </w:r>
      <w:r w:rsidRPr="00C20A01">
        <w:t xml:space="preserve">ric, Manero, Carole, Enjalbal, Ariane, Carle, Basile and Victoria Gerus (2019). </w:t>
      </w:r>
      <w:r w:rsidRPr="00D86314">
        <w:t xml:space="preserve">Mobile Satellite Services (MSS) authorisation regimes, authorisations and enforcement in the EU Member States, study for the European Commission: </w:t>
      </w:r>
      <w:hyperlink r:id="rId114" w:history="1">
        <w:r w:rsidRPr="00D86314">
          <w:rPr>
            <w:rStyle w:val="Hyperlink"/>
          </w:rPr>
          <w:t>https://op.europa.eu/en/publication-detail/-/publication/7997aa72-d865-11e9-9c4e-01aa75ed71a1/language-en</w:t>
        </w:r>
      </w:hyperlink>
      <w:r w:rsidRPr="00D86314">
        <w:t xml:space="preserve">. </w:t>
      </w:r>
    </w:p>
  </w:footnote>
  <w:footnote w:id="179">
    <w:p w14:paraId="4D57D17D" w14:textId="433B4B46" w:rsidR="00A136AC" w:rsidRPr="00D86314" w:rsidRDefault="00A136AC" w:rsidP="00810C46">
      <w:pPr>
        <w:pStyle w:val="FootnoteText"/>
      </w:pPr>
      <w:r w:rsidRPr="00D86314">
        <w:rPr>
          <w:rStyle w:val="FootnoteReference"/>
        </w:rPr>
        <w:footnoteRef/>
      </w:r>
      <w:r w:rsidRPr="00D86314">
        <w:t xml:space="preserve"> Majoor, R. and Perty, H.-P. (2025). Study on mobile satellite services (MSS) in the 2 GHz band in the EU</w:t>
      </w:r>
      <w:r w:rsidR="00F660C2" w:rsidRPr="00D86314">
        <w:t xml:space="preserve"> </w:t>
      </w:r>
      <w:r w:rsidRPr="00D86314">
        <w:t xml:space="preserve">Implementation of the current regulatory framework and an overview of the satellite connectivity market, Study by Detecon for the European Commission: </w:t>
      </w:r>
      <w:hyperlink r:id="rId115" w:history="1">
        <w:r w:rsidRPr="00D86314">
          <w:rPr>
            <w:rStyle w:val="Hyperlink"/>
          </w:rPr>
          <w:t>https://op.europa.eu/en/publication-detail/-/publication/5c28e25b-41b3-11f0-b9f2-01aa75ed71a1/language-en</w:t>
        </w:r>
      </w:hyperlink>
      <w:r w:rsidRPr="00D86314">
        <w:t>.</w:t>
      </w:r>
    </w:p>
  </w:footnote>
  <w:footnote w:id="180">
    <w:p w14:paraId="567FE6CB" w14:textId="5BDB4CFF" w:rsidR="00CF4389" w:rsidRPr="00D86314" w:rsidRDefault="00CF4389" w:rsidP="00810C46">
      <w:pPr>
        <w:pStyle w:val="FootnoteText"/>
      </w:pPr>
      <w:r w:rsidRPr="00D86314">
        <w:rPr>
          <w:rStyle w:val="FootnoteReference"/>
        </w:rPr>
        <w:footnoteRef/>
      </w:r>
      <w:r w:rsidRPr="00D86314">
        <w:t xml:space="preserve"> </w:t>
      </w:r>
      <w:r w:rsidR="000C7D73" w:rsidRPr="00D86314">
        <w:t xml:space="preserve">The </w:t>
      </w:r>
      <w:r w:rsidRPr="00D86314">
        <w:t xml:space="preserve">quote </w:t>
      </w:r>
      <w:r w:rsidR="000C7D73" w:rsidRPr="00D86314">
        <w:t xml:space="preserve">is </w:t>
      </w:r>
      <w:r w:rsidRPr="00D86314">
        <w:t xml:space="preserve">from the 2019 study rather than the 2025 study because the latter does not provide equivalent tables with Member State details. </w:t>
      </w:r>
      <w:r w:rsidRPr="00C20A01">
        <w:t>Pujol, Fr</w:t>
      </w:r>
      <w:r w:rsidRPr="00C20A01">
        <w:rPr>
          <w:rFonts w:hint="eastAsia"/>
        </w:rPr>
        <w:t>é</w:t>
      </w:r>
      <w:r w:rsidRPr="00C20A01">
        <w:t>d</w:t>
      </w:r>
      <w:r w:rsidRPr="00C20A01">
        <w:rPr>
          <w:rFonts w:hint="eastAsia"/>
        </w:rPr>
        <w:t>é</w:t>
      </w:r>
      <w:r w:rsidRPr="00C20A01">
        <w:t xml:space="preserve">ric, Manero, Carole, Enjalbal, Ariane, Carle, Basile and Victoria Gerus (2019). </w:t>
      </w:r>
      <w:r w:rsidRPr="00D86314">
        <w:t xml:space="preserve">Mobile Satellite Services (MSS) authorisation regimes, authorisations and enforcement in the EU Member States, study for the European Commission, p. 24: </w:t>
      </w:r>
      <w:hyperlink r:id="rId116" w:history="1">
        <w:r w:rsidRPr="00D86314">
          <w:rPr>
            <w:rStyle w:val="Hyperlink"/>
          </w:rPr>
          <w:t>https://op.europa.eu/en/publication-detail/-/publication/7997aa72-d865-11e9-9c4e-01aa75ed71a1/language-en</w:t>
        </w:r>
      </w:hyperlink>
      <w:r w:rsidRPr="00D86314">
        <w:t>.</w:t>
      </w:r>
    </w:p>
  </w:footnote>
  <w:footnote w:id="181">
    <w:p w14:paraId="03C5DD41" w14:textId="77777777" w:rsidR="00CF4389" w:rsidRPr="00D86314" w:rsidRDefault="00CF4389" w:rsidP="002661E0">
      <w:pPr>
        <w:pStyle w:val="FootnoteText"/>
        <w:jc w:val="left"/>
      </w:pPr>
      <w:r w:rsidRPr="00D86314">
        <w:rPr>
          <w:rStyle w:val="FootnoteReference"/>
        </w:rPr>
        <w:footnoteRef/>
      </w:r>
      <w:r w:rsidRPr="00D86314">
        <w:t xml:space="preserve"> Olswang (2014). MSS authorisation regimes, authorisations and enforcement in the EU Member States, study for the European Commission: </w:t>
      </w:r>
      <w:hyperlink r:id="rId117" w:history="1">
        <w:r w:rsidRPr="00D86314">
          <w:rPr>
            <w:rStyle w:val="Hyperlink"/>
          </w:rPr>
          <w:t>https://op.europa.eu/sl/publication-detail/-/publication/0ccf1b70-dbd6-4530-8f09-f44262856dab/language-en</w:t>
        </w:r>
      </w:hyperlink>
      <w:r w:rsidRPr="00D86314">
        <w:t>.</w:t>
      </w:r>
    </w:p>
  </w:footnote>
  <w:footnote w:id="182">
    <w:p w14:paraId="24EBA888" w14:textId="265610CF" w:rsidR="00E55CF7" w:rsidRPr="00D86314" w:rsidRDefault="00E55CF7" w:rsidP="00E55CF7">
      <w:pPr>
        <w:pStyle w:val="FootnoteText"/>
      </w:pPr>
      <w:r w:rsidRPr="00D86314">
        <w:rPr>
          <w:rStyle w:val="FootnoteReference"/>
        </w:rPr>
        <w:footnoteRef/>
      </w:r>
      <w:r w:rsidRPr="00D86314">
        <w:t xml:space="preserve"> </w:t>
      </w:r>
      <w:r w:rsidR="00805C1A" w:rsidRPr="00D86314">
        <w:t>Study on Digital Single Market</w:t>
      </w:r>
      <w:r w:rsidR="004F3BC4" w:rsidRPr="00D86314">
        <w:t>.</w:t>
      </w:r>
    </w:p>
  </w:footnote>
  <w:footnote w:id="183">
    <w:p w14:paraId="7FAD33A8" w14:textId="4513EB4D" w:rsidR="00E55CF7" w:rsidRPr="00D86314" w:rsidRDefault="00E55CF7" w:rsidP="00E55CF7">
      <w:pPr>
        <w:pStyle w:val="FootnoteText"/>
      </w:pPr>
      <w:r w:rsidRPr="00D86314">
        <w:rPr>
          <w:rStyle w:val="FootnoteReference"/>
        </w:rPr>
        <w:footnoteRef/>
      </w:r>
      <w:r w:rsidRPr="00D86314">
        <w:t xml:space="preserve"> S</w:t>
      </w:r>
      <w:r w:rsidR="00805C1A" w:rsidRPr="00D86314">
        <w:t>tudy on Digital Single Market</w:t>
      </w:r>
      <w:r w:rsidR="004F3BC4" w:rsidRPr="00D86314">
        <w:t>.</w:t>
      </w:r>
    </w:p>
  </w:footnote>
  <w:footnote w:id="184">
    <w:p w14:paraId="6318BC0B" w14:textId="5B7F8EB1" w:rsidR="00E8081F" w:rsidRPr="00D86314" w:rsidRDefault="00E8081F" w:rsidP="00031B41">
      <w:pPr>
        <w:pStyle w:val="FootnoteText"/>
      </w:pPr>
      <w:r w:rsidRPr="00D86314">
        <w:rPr>
          <w:rStyle w:val="FootnoteReference"/>
        </w:rPr>
        <w:footnoteRef/>
      </w:r>
      <w:r w:rsidR="00C3061B" w:rsidRPr="00D86314">
        <w:t xml:space="preserve"> Report “Satellite 2.0: going direct to device”: </w:t>
      </w:r>
      <w:hyperlink r:id="rId118" w:history="1">
        <w:r w:rsidR="00C3061B" w:rsidRPr="00D86314">
          <w:rPr>
            <w:rStyle w:val="Hyperlink"/>
          </w:rPr>
          <w:t>https://www.gsmaintelligence.com/research/research-file-download?id=69042417&amp;file=220322-Satellite-2.0-going-direct-to-device.pdf</w:t>
        </w:r>
      </w:hyperlink>
      <w:r w:rsidR="004F3BC4" w:rsidRPr="00D86314">
        <w:t>.</w:t>
      </w:r>
      <w:r w:rsidR="00C3061B" w:rsidRPr="00D86314">
        <w:t xml:space="preserve"> </w:t>
      </w:r>
    </w:p>
  </w:footnote>
  <w:footnote w:id="185">
    <w:p w14:paraId="46F2DF17" w14:textId="2C576979" w:rsidR="000E5E85" w:rsidRPr="00D86314" w:rsidRDefault="000E5E85" w:rsidP="00307EAF">
      <w:pPr>
        <w:pStyle w:val="FootnoteText"/>
      </w:pPr>
      <w:r w:rsidRPr="00D86314">
        <w:rPr>
          <w:rStyle w:val="FootnoteReference"/>
        </w:rPr>
        <w:footnoteRef/>
      </w:r>
      <w:r w:rsidRPr="00D86314">
        <w:t xml:space="preserve"> </w:t>
      </w:r>
      <w:r w:rsidR="00304134" w:rsidRPr="00D86314">
        <w:rPr>
          <w:rFonts w:eastAsia="Times New Roman"/>
        </w:rPr>
        <w:t>With</w:t>
      </w:r>
      <w:r w:rsidRPr="00D86314">
        <w:rPr>
          <w:rFonts w:eastAsia="Times New Roman"/>
        </w:rPr>
        <w:t xml:space="preserve"> a share of </w:t>
      </w:r>
      <w:r w:rsidR="00C3061B" w:rsidRPr="00D86314">
        <w:rPr>
          <w:rFonts w:eastAsia="Times New Roman"/>
        </w:rPr>
        <w:t>3</w:t>
      </w:r>
      <w:r w:rsidRPr="00D86314">
        <w:rPr>
          <w:rFonts w:eastAsia="Times New Roman"/>
        </w:rPr>
        <w:t>% in the total telecom market.</w:t>
      </w:r>
    </w:p>
  </w:footnote>
  <w:footnote w:id="186">
    <w:p w14:paraId="6242B13F" w14:textId="4D7CBA50" w:rsidR="000C405C" w:rsidRPr="00D86314" w:rsidRDefault="004F0F5C" w:rsidP="000C405C">
      <w:pPr>
        <w:pStyle w:val="FootnoteText"/>
        <w:jc w:val="left"/>
      </w:pPr>
      <w:r w:rsidRPr="00D86314">
        <w:rPr>
          <w:rStyle w:val="FootnoteReference"/>
        </w:rPr>
        <w:footnoteRef/>
      </w:r>
      <w:r w:rsidRPr="00D86314">
        <w:t xml:space="preserve"> </w:t>
      </w:r>
      <w:hyperlink r:id="rId119" w:history="1">
        <w:r w:rsidR="000C405C" w:rsidRPr="00D86314">
          <w:rPr>
            <w:rStyle w:val="Hyperlink"/>
          </w:rPr>
          <w:t>https://www.vodafone.com/news/corporate-and-financial/vodafone-and-ast-space-mobile-sign-agreement-to-create-european-direct-to-device-satellite-service-provider</w:t>
        </w:r>
      </w:hyperlink>
    </w:p>
  </w:footnote>
  <w:footnote w:id="187">
    <w:p w14:paraId="7CD16B40" w14:textId="3A90D236" w:rsidR="00EE2B37" w:rsidRPr="00D86314" w:rsidRDefault="00EE2B37">
      <w:pPr>
        <w:pStyle w:val="FootnoteText"/>
      </w:pPr>
      <w:r w:rsidRPr="00D86314">
        <w:rPr>
          <w:rStyle w:val="FootnoteReference"/>
        </w:rPr>
        <w:footnoteRef/>
      </w:r>
      <w:r w:rsidRPr="00D86314">
        <w:t xml:space="preserve"> </w:t>
      </w:r>
      <w:hyperlink r:id="rId120" w:history="1">
        <w:r w:rsidR="009A4E4F" w:rsidRPr="00D86314">
          <w:rPr>
            <w:rStyle w:val="Hyperlink"/>
          </w:rPr>
          <w:t>SpaceX planning first tests of new direct-to-device spectrum next year - SpaceNews</w:t>
        </w:r>
      </w:hyperlink>
      <w:r w:rsidR="009A4E4F" w:rsidRPr="00D86314">
        <w:t xml:space="preserve"> </w:t>
      </w:r>
    </w:p>
  </w:footnote>
  <w:footnote w:id="188">
    <w:p w14:paraId="47299989" w14:textId="77777777" w:rsidR="00C07B58" w:rsidRPr="00D86314" w:rsidRDefault="00C07B58" w:rsidP="00C07B58">
      <w:pPr>
        <w:pStyle w:val="FootnoteText"/>
      </w:pPr>
      <w:r w:rsidRPr="00D86314">
        <w:rPr>
          <w:rStyle w:val="FootnoteReference"/>
        </w:rPr>
        <w:footnoteRef/>
      </w:r>
      <w:r w:rsidRPr="00D86314">
        <w:t xml:space="preserve"> </w:t>
      </w:r>
      <w:r w:rsidRPr="00D86314">
        <w:rPr>
          <w:sz w:val="18"/>
        </w:rPr>
        <w:t>ERT with regard to both copper and fibre LLU and VULA access</w:t>
      </w:r>
    </w:p>
  </w:footnote>
  <w:footnote w:id="189">
    <w:p w14:paraId="21F3E8D3" w14:textId="5FE201DB" w:rsidR="00C07B58" w:rsidRPr="00D86314" w:rsidRDefault="00C07B58" w:rsidP="00C07B58">
      <w:pPr>
        <w:pStyle w:val="FootnoteText"/>
      </w:pPr>
      <w:r w:rsidRPr="00D86314">
        <w:rPr>
          <w:rStyle w:val="FootnoteReference"/>
        </w:rPr>
        <w:footnoteRef/>
      </w:r>
      <w:r w:rsidRPr="00D86314">
        <w:t xml:space="preserve"> The Dutch NRA permitted KPN to agree wholesale contracts with long-term volume discounts for the new FTTC VULA product introduced in 2015. The pricing regime was based on commercial agreement subject to review by the NRA. The Dutch NRA notes that the incumbent was incentivised to reach agreement due to its proposal to prohibit vectoring and to set wholesale charge on the basis of cost-orientation in the absence of agreement</w:t>
      </w:r>
      <w:r w:rsidR="000507E4" w:rsidRPr="00D86314">
        <w:t>.</w:t>
      </w:r>
    </w:p>
  </w:footnote>
  <w:footnote w:id="190">
    <w:p w14:paraId="7A1F6A9A" w14:textId="72B4E81C" w:rsidR="00F95121" w:rsidRPr="00D86314" w:rsidRDefault="00F95121" w:rsidP="00F95121">
      <w:pPr>
        <w:pStyle w:val="FootnoteText"/>
      </w:pPr>
      <w:r w:rsidRPr="00D86314">
        <w:rPr>
          <w:rStyle w:val="FootnoteReference"/>
        </w:rPr>
        <w:footnoteRef/>
      </w:r>
      <w:r w:rsidRPr="00D86314">
        <w:t xml:space="preserve"> The only other similar case is Croatia, but this provision was introduced considerably later, and the Croatian regulatory system differs from that of France in other ways</w:t>
      </w:r>
      <w:r w:rsidR="00333F9A" w:rsidRPr="00D86314">
        <w:t>.</w:t>
      </w:r>
    </w:p>
  </w:footnote>
  <w:footnote w:id="191">
    <w:p w14:paraId="224984C4" w14:textId="77777777" w:rsidR="00F95121" w:rsidRPr="00D86314" w:rsidRDefault="00F95121" w:rsidP="00F95121">
      <w:pPr>
        <w:pStyle w:val="FootnoteText"/>
      </w:pPr>
      <w:r w:rsidRPr="00D86314">
        <w:rPr>
          <w:rStyle w:val="FootnoteReference"/>
        </w:rPr>
        <w:footnoteRef/>
      </w:r>
      <w:r w:rsidRPr="00D86314">
        <w:t xml:space="preserve"> In Italy in contrast, while there are offers for passive access to fibre on the basis of IRU, which supports affordable Gigabit offers, the persistence of FTTC in Italy has deterred migration to FTTH where deployed.</w:t>
      </w:r>
    </w:p>
  </w:footnote>
  <w:footnote w:id="192">
    <w:p w14:paraId="238E7873" w14:textId="77777777" w:rsidR="00A81DA7" w:rsidRPr="00D86314" w:rsidRDefault="00A81DA7" w:rsidP="005A0976">
      <w:pPr>
        <w:pStyle w:val="FootnoteText"/>
      </w:pPr>
      <w:r w:rsidRPr="00D86314">
        <w:rPr>
          <w:rStyle w:val="FootnoteReference"/>
        </w:rPr>
        <w:footnoteRef/>
      </w:r>
      <w:r w:rsidRPr="00D86314">
        <w:t xml:space="preserve"> For example, there has been no successful cases of application of Article 76 (co-investment in VHCN) despite the development of detailed Guidelines on this subject by BEREC. </w:t>
      </w:r>
    </w:p>
  </w:footnote>
  <w:footnote w:id="193">
    <w:p w14:paraId="2BAFA168" w14:textId="4C84E881" w:rsidR="00A81DA7" w:rsidRPr="00D86314" w:rsidRDefault="00A81DA7" w:rsidP="00333F9A">
      <w:pPr>
        <w:pStyle w:val="FootnoteText"/>
        <w:spacing w:after="20"/>
        <w:jc w:val="left"/>
      </w:pPr>
      <w:r w:rsidRPr="00D86314">
        <w:rPr>
          <w:rStyle w:val="FootnoteReference"/>
        </w:rPr>
        <w:footnoteRef/>
      </w:r>
      <w:r w:rsidRPr="00D86314">
        <w:t xml:space="preserve"> Innovation made possible via fibre unbundling is discussed inter alia in WIK (2023) Neutral fibre as a platform for innovation. The study noted that in Stockholm unbundled fibre had enabled Rapid 5G deployment with one of the fastest 5G download speeds of Nordic cities in Q2 2022; Innovation in business communication in Stockholm with low latencies, use of capacities of 10 and 100 Gbps symmetric; trials with quantum communication by KTH Royal institute of Technology and Ericsson; Broadcasting and media application, mobile links on top of DF achieving 1.6 Tbit/s for public events.</w:t>
      </w:r>
    </w:p>
  </w:footnote>
  <w:footnote w:id="194">
    <w:p w14:paraId="0BCFCD27" w14:textId="77777777" w:rsidR="00A81DA7" w:rsidRPr="00D86314" w:rsidRDefault="00A81DA7" w:rsidP="00324862">
      <w:pPr>
        <w:pStyle w:val="FootnoteText"/>
        <w:jc w:val="left"/>
      </w:pPr>
      <w:r w:rsidRPr="00D86314">
        <w:rPr>
          <w:rStyle w:val="FootnoteReference"/>
        </w:rPr>
        <w:footnoteRef/>
      </w:r>
      <w:r w:rsidRPr="00D86314">
        <w:t xml:space="preserve"> Study on access policy including review of the relevant markets recommendation, and review of access provisions of the EECC.</w:t>
      </w:r>
    </w:p>
  </w:footnote>
  <w:footnote w:id="195">
    <w:p w14:paraId="3DFE17C0" w14:textId="004475FD" w:rsidR="00A81DA7" w:rsidRPr="00D86314" w:rsidRDefault="00A81DA7" w:rsidP="00324862">
      <w:pPr>
        <w:pStyle w:val="FootnoteText"/>
        <w:jc w:val="left"/>
      </w:pPr>
      <w:r w:rsidRPr="00D86314">
        <w:rPr>
          <w:rStyle w:val="FootnoteReference"/>
        </w:rPr>
        <w:footnoteRef/>
      </w:r>
      <w:r w:rsidRPr="00D86314">
        <w:t xml:space="preserve"> In Spain </w:t>
      </w:r>
      <w:r w:rsidR="00B11FE1" w:rsidRPr="00D86314">
        <w:t>and</w:t>
      </w:r>
      <w:r w:rsidRPr="00D86314">
        <w:t xml:space="preserve"> in France access seekers can use only regulated access to passive networks, In the remaining regulated markets passive access is regulated together with some forms of active access to the existing regulated networks of SMP operator.</w:t>
      </w:r>
    </w:p>
  </w:footnote>
  <w:footnote w:id="196">
    <w:p w14:paraId="57E1FEA2" w14:textId="77777777" w:rsidR="00A81DA7" w:rsidRPr="00D86314" w:rsidRDefault="00A81DA7" w:rsidP="00324862">
      <w:pPr>
        <w:pStyle w:val="FootnoteText"/>
        <w:jc w:val="left"/>
      </w:pPr>
      <w:r w:rsidRPr="00D86314">
        <w:rPr>
          <w:rStyle w:val="FootnoteReference"/>
        </w:rPr>
        <w:footnoteRef/>
      </w:r>
      <w:r w:rsidRPr="00D86314">
        <w:t xml:space="preserve"> This is noted inter alia in benchmarks conducted for a 2020 study for the Danish authorities – competition and investment in the Danish broadband market </w:t>
      </w:r>
      <w:hyperlink r:id="rId121" w:history="1">
        <w:r w:rsidRPr="00D86314">
          <w:rPr>
            <w:rStyle w:val="Hyperlink"/>
          </w:rPr>
          <w:t>https://www.wik.org/en/publications/publication/competition-and-investment-in-the-danish-broadband-market</w:t>
        </w:r>
      </w:hyperlink>
      <w:r w:rsidRPr="00D86314">
        <w:t>.</w:t>
      </w:r>
    </w:p>
  </w:footnote>
  <w:footnote w:id="197">
    <w:p w14:paraId="13F27D8C" w14:textId="77777777" w:rsidR="00A81DA7" w:rsidRPr="00D86314" w:rsidRDefault="00A81DA7" w:rsidP="00C20A01">
      <w:pPr>
        <w:pStyle w:val="FootnoteText"/>
      </w:pPr>
      <w:r w:rsidRPr="00D86314">
        <w:rPr>
          <w:rStyle w:val="FootnoteReference"/>
        </w:rPr>
        <w:footnoteRef/>
      </w:r>
      <w:r w:rsidRPr="00D86314">
        <w:t xml:space="preserve"> In similar vein, studies show that commercial wholesale access (MVNO) offers on mobile networks often limit differentiation of the access seeker compared with the host. This may not be necessary in cases where mobile markets are competitive at the retail level on the basis of infrastructure competition, but could become relevant in the event of consolidation which limits retail competition. In addition, in particular where there are conflicts of interest or limited competition, availability of the required wholesale capabilities to provide cross-border quality-assured services including for IoT may not be present.</w:t>
      </w:r>
    </w:p>
  </w:footnote>
  <w:footnote w:id="198">
    <w:p w14:paraId="12DE840B" w14:textId="0BAFC818" w:rsidR="007D185E" w:rsidRPr="00C20A01" w:rsidRDefault="007D185E" w:rsidP="00E822A0">
      <w:pPr>
        <w:pStyle w:val="FootnoteText"/>
      </w:pPr>
      <w:r w:rsidRPr="00D86314">
        <w:rPr>
          <w:rStyle w:val="FootnoteReference"/>
        </w:rPr>
        <w:footnoteRef/>
      </w:r>
      <w:r w:rsidRPr="00D86314">
        <w:t xml:space="preserve"> Opinion on Spectrum Sharing – Pioneer initiatives and bands (RSPG21-022) </w:t>
      </w:r>
      <w:r w:rsidR="00B00349" w:rsidRPr="00D86314">
        <w:br/>
      </w:r>
      <w:hyperlink r:id="rId122" w:history="1">
        <w:r w:rsidR="00032385" w:rsidRPr="00C20A01">
          <w:rPr>
            <w:rStyle w:val="Hyperlink"/>
          </w:rPr>
          <w:t>https://radio-spectrum-policy-group.ec.europa.eu/system/files/2023-01/RSPG21-022final_RSPG_Opinion_Spectrum_Sharing.pdf</w:t>
        </w:r>
      </w:hyperlink>
      <w:r w:rsidR="00B00349" w:rsidRPr="00D86314">
        <w:t>.</w:t>
      </w:r>
    </w:p>
  </w:footnote>
  <w:footnote w:id="199">
    <w:p w14:paraId="7D7C59AF" w14:textId="77777777" w:rsidR="007D185E" w:rsidRPr="00D86314" w:rsidRDefault="007D185E" w:rsidP="007D185E">
      <w:pPr>
        <w:pStyle w:val="FootnoteText"/>
      </w:pPr>
      <w:r w:rsidRPr="00D86314">
        <w:rPr>
          <w:rStyle w:val="FootnoteReference"/>
        </w:rPr>
        <w:footnoteRef/>
      </w:r>
      <w:r w:rsidRPr="00D86314">
        <w:t xml:space="preserve"> RSPG Report on 6G Strategic Vision (RSPG26-006).</w:t>
      </w:r>
    </w:p>
  </w:footnote>
  <w:footnote w:id="200">
    <w:p w14:paraId="2689778D" w14:textId="77777777" w:rsidR="007D185E" w:rsidRPr="00D86314" w:rsidRDefault="007D185E" w:rsidP="007D185E">
      <w:pPr>
        <w:pStyle w:val="FootnoteText"/>
      </w:pPr>
      <w:r w:rsidRPr="00D86314">
        <w:rPr>
          <w:rStyle w:val="FootnoteReference"/>
        </w:rPr>
        <w:footnoteRef/>
      </w:r>
      <w:r w:rsidRPr="00D86314">
        <w:rPr>
          <w:rStyle w:val="FootnoteReference"/>
        </w:rPr>
        <w:t xml:space="preserve"> </w:t>
      </w:r>
      <w:r w:rsidRPr="00D86314">
        <w:t>RSPG Report on 6G Strategic Vision (RSPG26-006).</w:t>
      </w:r>
    </w:p>
  </w:footnote>
  <w:footnote w:id="201">
    <w:p w14:paraId="02BC2223" w14:textId="77777777" w:rsidR="007D185E" w:rsidRPr="00C20A01" w:rsidRDefault="007D185E" w:rsidP="007D185E">
      <w:pPr>
        <w:pStyle w:val="FootnoteText"/>
      </w:pPr>
      <w:r w:rsidRPr="00D86314">
        <w:rPr>
          <w:rStyle w:val="FootnoteReference"/>
        </w:rPr>
        <w:footnoteRef/>
      </w:r>
      <w:r w:rsidRPr="00C20A01">
        <w:t xml:space="preserve"> RSPG Opinion on Spectrum Sharing – Pioneer initiatives and band (RSPG21-022).</w:t>
      </w:r>
      <w:r w:rsidRPr="00C20A01" w:rsidDel="002C103A">
        <w:t xml:space="preserve"> </w:t>
      </w:r>
    </w:p>
  </w:footnote>
  <w:footnote w:id="202">
    <w:p w14:paraId="067637E4" w14:textId="77777777" w:rsidR="007D185E" w:rsidRPr="00D86314" w:rsidRDefault="007D185E" w:rsidP="007D185E">
      <w:pPr>
        <w:pStyle w:val="FootnoteText"/>
      </w:pPr>
      <w:r w:rsidRPr="00D86314">
        <w:rPr>
          <w:rStyle w:val="FootnoteReference"/>
        </w:rPr>
        <w:footnoteRef/>
      </w:r>
      <w:r w:rsidRPr="00D86314">
        <w:t xml:space="preserve"> Between 2019 and 2024, usage was extremely low: the inventory was not accessed at all in 2021 and 2024, and in 2019 and 2020, it was accessed fewer than five times. In 2022, usage rose to around 20 accesses, with a further increase to approximately 60 accesses in 2023.</w:t>
      </w:r>
    </w:p>
  </w:footnote>
  <w:footnote w:id="203">
    <w:p w14:paraId="6124B2F2" w14:textId="30A3E755" w:rsidR="00C611C1" w:rsidRPr="00D86314" w:rsidRDefault="00C611C1" w:rsidP="00333F7E">
      <w:pPr>
        <w:pStyle w:val="FootnoteText"/>
        <w:jc w:val="left"/>
      </w:pPr>
      <w:r w:rsidRPr="00D86314">
        <w:rPr>
          <w:rStyle w:val="FootnoteReference"/>
        </w:rPr>
        <w:footnoteRef/>
      </w:r>
      <w:r w:rsidRPr="00D86314">
        <w:t xml:space="preserve"> Based on ‘The BEREC input to the EC on the functioning of BEREC and the BEREC Office in view of the evaluation under Article 48 of the BEREC Regulation’, September 2023: Average 2018-2022: 13.87% (2018: 18.87%; 2019: 24.1%; 2020: 5.48%; 2021: 4.60%; 2022: 16.28% (p. 29) </w:t>
      </w:r>
      <w:hyperlink r:id="rId123">
        <w:r w:rsidRPr="00D86314">
          <w:rPr>
            <w:rStyle w:val="Hyperlink"/>
          </w:rPr>
          <w:t>BoR (23) 114 BEREC input to the European Commission on the functioning of BEREC and the BEREC Office.pdf</w:t>
        </w:r>
      </w:hyperlink>
      <w:r w:rsidR="0046524D" w:rsidRPr="00D86314">
        <w:t>.</w:t>
      </w:r>
    </w:p>
  </w:footnote>
  <w:footnote w:id="204">
    <w:p w14:paraId="5E5A2CCD" w14:textId="77777777" w:rsidR="008A03B5" w:rsidRPr="00D86314" w:rsidRDefault="008A03B5" w:rsidP="008A03B5">
      <w:pPr>
        <w:pStyle w:val="FootnoteText"/>
      </w:pPr>
      <w:r w:rsidRPr="00D86314">
        <w:rPr>
          <w:rStyle w:val="FootnoteReference"/>
        </w:rPr>
        <w:footnoteRef/>
      </w:r>
      <w:r w:rsidRPr="00D86314">
        <w:t xml:space="preserve"> </w:t>
      </w:r>
      <w:r w:rsidRPr="00D86314">
        <w:rPr>
          <w:color w:val="000000" w:themeColor="text1"/>
        </w:rPr>
        <w:t xml:space="preserve">An example could be the harmonisation of spectrum for critical communications for the use by public security or safety authorities. </w:t>
      </w:r>
    </w:p>
  </w:footnote>
  <w:footnote w:id="205">
    <w:p w14:paraId="0A70B172" w14:textId="77777777" w:rsidR="005A2852" w:rsidRPr="00D86314" w:rsidRDefault="005A2852" w:rsidP="00D32BB6">
      <w:pPr>
        <w:pStyle w:val="FootnoteText"/>
      </w:pPr>
      <w:r w:rsidRPr="00D86314">
        <w:rPr>
          <w:rStyle w:val="FootnoteReference"/>
        </w:rPr>
        <w:footnoteRef/>
      </w:r>
      <w:r w:rsidRPr="00D86314">
        <w:t xml:space="preserve"> </w:t>
      </w:r>
      <w:r w:rsidRPr="00D86314">
        <w:rPr>
          <w:sz w:val="18"/>
          <w:szCs w:val="18"/>
        </w:rPr>
        <w:t>RSPG25-020.</w:t>
      </w:r>
    </w:p>
  </w:footnote>
  <w:footnote w:id="206">
    <w:p w14:paraId="021E596B" w14:textId="77777777" w:rsidR="00BF01AF" w:rsidRPr="00D86314" w:rsidRDefault="00BF01AF" w:rsidP="00BF01AF">
      <w:pPr>
        <w:pStyle w:val="FootnoteText"/>
        <w:rPr>
          <w:sz w:val="18"/>
          <w:szCs w:val="18"/>
        </w:rPr>
      </w:pPr>
      <w:r w:rsidRPr="00D86314">
        <w:rPr>
          <w:rStyle w:val="FootnoteReference"/>
          <w:sz w:val="18"/>
          <w:szCs w:val="18"/>
        </w:rPr>
        <w:footnoteRef/>
      </w:r>
      <w:r w:rsidRPr="00D86314">
        <w:rPr>
          <w:sz w:val="18"/>
          <w:szCs w:val="18"/>
        </w:rPr>
        <w:t xml:space="preserve"> The same logic was followed in 2009, when BEREC was created from an EC advisory group.</w:t>
      </w:r>
    </w:p>
  </w:footnote>
  <w:footnote w:id="207">
    <w:p w14:paraId="61591910" w14:textId="2B506DEF" w:rsidR="00BF01AF" w:rsidRPr="00D86314" w:rsidRDefault="00BF01AF" w:rsidP="00BF01AF">
      <w:pPr>
        <w:pStyle w:val="FootnoteText"/>
        <w:spacing w:after="120"/>
        <w:rPr>
          <w:sz w:val="18"/>
          <w:szCs w:val="18"/>
        </w:rPr>
      </w:pPr>
      <w:r w:rsidRPr="00D86314">
        <w:rPr>
          <w:rStyle w:val="FootnoteReference"/>
          <w:sz w:val="18"/>
          <w:szCs w:val="18"/>
        </w:rPr>
        <w:footnoteRef/>
      </w:r>
      <w:r w:rsidRPr="00D86314">
        <w:rPr>
          <w:sz w:val="18"/>
          <w:szCs w:val="18"/>
        </w:rPr>
        <w:t xml:space="preserve"> i.e. a </w:t>
      </w:r>
      <w:r w:rsidR="00873870" w:rsidRPr="00D86314">
        <w:rPr>
          <w:sz w:val="18"/>
          <w:szCs w:val="18"/>
        </w:rPr>
        <w:t>B</w:t>
      </w:r>
      <w:r w:rsidRPr="00D86314">
        <w:rPr>
          <w:sz w:val="18"/>
          <w:szCs w:val="18"/>
        </w:rPr>
        <w:t>oard and working groups</w:t>
      </w:r>
      <w:r w:rsidR="00D32BB6" w:rsidRPr="00D86314">
        <w:rPr>
          <w:sz w:val="18"/>
          <w:szCs w:val="18"/>
        </w:rPr>
        <w:t>.</w:t>
      </w:r>
    </w:p>
  </w:footnote>
  <w:footnote w:id="208">
    <w:p w14:paraId="5BF6D011" w14:textId="568D58F6" w:rsidR="00A42ECC" w:rsidRPr="00D86314" w:rsidRDefault="00A42ECC" w:rsidP="00CE03D8">
      <w:pPr>
        <w:pStyle w:val="FootnoteText"/>
        <w:jc w:val="left"/>
      </w:pPr>
      <w:r w:rsidRPr="00D86314">
        <w:rPr>
          <w:rStyle w:val="FootnoteReference"/>
        </w:rPr>
        <w:footnoteRef/>
      </w:r>
      <w:r w:rsidR="00CE03D8" w:rsidRPr="00D86314">
        <w:t xml:space="preserve"> </w:t>
      </w:r>
      <w:r w:rsidRPr="00D86314">
        <w:t xml:space="preserve">See FTTH Council (2025): FTTH/B Market Panorama in Europe, September 2024, </w:t>
      </w:r>
      <w:hyperlink r:id="rId124" w:history="1">
        <w:r w:rsidRPr="00D86314">
          <w:rPr>
            <w:rStyle w:val="Hyperlink"/>
          </w:rPr>
          <w:t>https://www.ftthcouncil.eu/resources/all-publications-and-assets/2358/european-ftth-b-market-panorama-2025</w:t>
        </w:r>
      </w:hyperlink>
      <w:r w:rsidRPr="00D86314">
        <w:t xml:space="preserve"> (last accessed on 14.07.2025). </w:t>
      </w:r>
    </w:p>
  </w:footnote>
  <w:footnote w:id="209">
    <w:p w14:paraId="26990095" w14:textId="40B45709" w:rsidR="00A42ECC" w:rsidRPr="00D86314" w:rsidRDefault="00A42ECC" w:rsidP="00CE03D8">
      <w:pPr>
        <w:pStyle w:val="FootnoteText"/>
        <w:jc w:val="left"/>
      </w:pPr>
      <w:r w:rsidRPr="00D86314">
        <w:rPr>
          <w:rStyle w:val="FootnoteReference"/>
        </w:rPr>
        <w:footnoteRef/>
      </w:r>
      <w:r w:rsidR="00CE03D8" w:rsidRPr="00D86314">
        <w:t xml:space="preserve"> </w:t>
      </w:r>
      <w:r w:rsidRPr="00D86314">
        <w:t xml:space="preserve">See: OOKLA, Fixed broadband median download speeds as of April 2025 </w:t>
      </w:r>
      <w:hyperlink r:id="rId125" w:history="1">
        <w:r w:rsidRPr="00D86314">
          <w:rPr>
            <w:rStyle w:val="Hyperlink"/>
          </w:rPr>
          <w:t>https://www.speedtest.net/global-index</w:t>
        </w:r>
      </w:hyperlink>
      <w:r w:rsidR="00CE03D8" w:rsidRPr="00D86314">
        <w:t>.</w:t>
      </w:r>
      <w:r w:rsidRPr="00D86314">
        <w:t xml:space="preserve"> </w:t>
      </w:r>
    </w:p>
  </w:footnote>
  <w:footnote w:id="210">
    <w:p w14:paraId="0B4B667D" w14:textId="77777777" w:rsidR="000544A4" w:rsidRPr="00D86314" w:rsidRDefault="000544A4" w:rsidP="000544A4">
      <w:pPr>
        <w:pStyle w:val="FootnoteText"/>
      </w:pPr>
      <w:r w:rsidRPr="00D86314">
        <w:rPr>
          <w:rStyle w:val="FootnoteReference"/>
        </w:rPr>
        <w:footnoteRef/>
      </w:r>
      <w:r w:rsidRPr="00D86314">
        <w:t xml:space="preserve"> The link between strong regulation of incumbent ducts and poles via SMP regulation has been identified in various studies, including the support study associated with the EECC Impact Assessment. Relevant early cases include France, Spain, Portugal. Countries such as the UK which adopted strong SMP PIA regulation at a later phase also subsequently saw an acceleration in FTTH deployment by alternative investors and a response from the incumbent. In certain countries with high FTTH coverage, use of utility or municipal duct infrastructure has also played an important role.</w:t>
      </w:r>
    </w:p>
  </w:footnote>
  <w:footnote w:id="211">
    <w:p w14:paraId="248A76CF" w14:textId="7F368D1C" w:rsidR="00DC5BBF" w:rsidRPr="00D86314" w:rsidRDefault="00DC5BBF" w:rsidP="00DC5BBF">
      <w:pPr>
        <w:pStyle w:val="FootnoteText"/>
      </w:pPr>
      <w:r w:rsidRPr="00D86314">
        <w:rPr>
          <w:rStyle w:val="FootnoteReference"/>
        </w:rPr>
        <w:footnoteRef/>
      </w:r>
      <w:r w:rsidR="00EF204D" w:rsidRPr="00D86314">
        <w:t xml:space="preserve"> </w:t>
      </w:r>
      <w:r w:rsidRPr="00D86314">
        <w:t>This estimate is derived from a questionnaire distributed to a representative set of stakeholders in June 2025</w:t>
      </w:r>
      <w:r w:rsidR="00EF204D" w:rsidRPr="00D86314">
        <w:t>.</w:t>
      </w:r>
    </w:p>
  </w:footnote>
  <w:footnote w:id="212">
    <w:p w14:paraId="501B48A4" w14:textId="5034037B" w:rsidR="00F1435B" w:rsidRPr="00D86314" w:rsidRDefault="00F1435B">
      <w:pPr>
        <w:pStyle w:val="FootnoteText"/>
      </w:pPr>
      <w:r w:rsidRPr="00D86314">
        <w:rPr>
          <w:rStyle w:val="FootnoteReference"/>
        </w:rPr>
        <w:footnoteRef/>
      </w:r>
      <w:r w:rsidRPr="00D86314">
        <w:t xml:space="preserve"> Prices were collected (from 10 November to 17 November 2025) from the websites of the two largest fixed network operators. Installation and activation fees were included when calculating the average 24-month price.</w:t>
      </w:r>
    </w:p>
  </w:footnote>
  <w:footnote w:id="213">
    <w:p w14:paraId="15784D61" w14:textId="21DE886C" w:rsidR="004966F8" w:rsidRPr="00D86314" w:rsidRDefault="004966F8" w:rsidP="004966F8">
      <w:pPr>
        <w:pStyle w:val="FootnoteText"/>
      </w:pPr>
      <w:r w:rsidRPr="00D86314">
        <w:rPr>
          <w:rStyle w:val="FootnoteReference"/>
        </w:rPr>
        <w:footnoteRef/>
      </w:r>
      <w:r w:rsidR="00BF798D" w:rsidRPr="00D86314">
        <w:t xml:space="preserve"> </w:t>
      </w:r>
      <w:r w:rsidRPr="00D86314">
        <w:t xml:space="preserve">See for example experiences from the pilot projects in France and Germany. Strube Martins, S.; Neumann, K.-H.; Schwarz-Schilling, C. (2024): Final evaluation report on the copper migration and switch-off trial Deutsche Telekom (last accessed on 02.08.2025); Strube Martins, S. (2022): Kupfer-Glas-Migration in Frankreich und im Vereinigten Königreich (last accessed on 02.08.2025). </w:t>
      </w:r>
    </w:p>
  </w:footnote>
  <w:footnote w:id="214">
    <w:p w14:paraId="433D418E" w14:textId="43B0038F" w:rsidR="004966F8" w:rsidRPr="00D86314" w:rsidRDefault="004966F8" w:rsidP="004966F8">
      <w:pPr>
        <w:pStyle w:val="FootnoteText"/>
      </w:pPr>
      <w:r w:rsidRPr="00D86314">
        <w:rPr>
          <w:rStyle w:val="FootnoteReference"/>
        </w:rPr>
        <w:footnoteRef/>
      </w:r>
      <w:r w:rsidRPr="00D86314">
        <w:t xml:space="preserve"> See for example experiences from the pilot projects in France and Germany. Strube Martins, S.; Neumann, K.-H.; Schwarz-Schilling, C. (2024): Final evaluation report on the copper migration and switch-off trial Deutsche Telekom (last accessed on 02.08.2025); Strube Martins, S. (2022): Kupfer-Glas-Migration in Frankreich und im Vereinigten Königreich </w:t>
      </w:r>
      <w:bookmarkStart w:id="256" w:name="_Hlk219061685"/>
      <w:r w:rsidRPr="00D86314">
        <w:t>(last accessed on 02.08.2025).</w:t>
      </w:r>
      <w:bookmarkEnd w:id="256"/>
    </w:p>
  </w:footnote>
  <w:footnote w:id="215">
    <w:p w14:paraId="2008AAB9" w14:textId="08EFC911" w:rsidR="004966F8" w:rsidRPr="00D86314" w:rsidRDefault="004966F8" w:rsidP="004966F8">
      <w:pPr>
        <w:pStyle w:val="FootnoteText"/>
      </w:pPr>
      <w:r w:rsidRPr="00D86314">
        <w:rPr>
          <w:rStyle w:val="FootnoteReference"/>
        </w:rPr>
        <w:footnoteRef/>
      </w:r>
      <w:r w:rsidRPr="00D86314">
        <w:t xml:space="preserve"> Frontier Economics (2023): Switching off the PSTN: </w:t>
      </w:r>
      <w:r w:rsidR="006504B5" w:rsidRPr="00D86314">
        <w:t>Migrating</w:t>
      </w:r>
      <w:r w:rsidRPr="00D86314">
        <w:t xml:space="preserve"> from analogue to digital landlines, </w:t>
      </w:r>
      <w:hyperlink r:id="rId126" w:history="1">
        <w:r w:rsidRPr="00D86314">
          <w:rPr>
            <w:rStyle w:val="Hyperlink"/>
          </w:rPr>
          <w:t>https://www.bt.com/bt-plc/assets/documents/about-bt/all-ip/migrating-from-analogue-to-digital-landlines.pdf</w:t>
        </w:r>
      </w:hyperlink>
      <w:r w:rsidRPr="00D86314">
        <w:t xml:space="preserve"> (last accessed on 02.080.2025).</w:t>
      </w:r>
    </w:p>
  </w:footnote>
  <w:footnote w:id="216">
    <w:p w14:paraId="38F85EA4" w14:textId="3CCAB42E" w:rsidR="004966F8" w:rsidRPr="00C20A01" w:rsidRDefault="004966F8" w:rsidP="004966F8">
      <w:pPr>
        <w:pStyle w:val="FootnoteText"/>
        <w:rPr>
          <w:lang w:val="de-DE"/>
        </w:rPr>
      </w:pPr>
      <w:r w:rsidRPr="00D86314">
        <w:rPr>
          <w:rStyle w:val="FootnoteReference"/>
        </w:rPr>
        <w:footnoteRef/>
      </w:r>
      <w:r w:rsidRPr="00C20A01">
        <w:rPr>
          <w:lang w:val="de-DE"/>
        </w:rPr>
        <w:t xml:space="preserve"> </w:t>
      </w:r>
      <w:r w:rsidRPr="00C20A01">
        <w:rPr>
          <w:lang w:val="de-DE"/>
        </w:rPr>
        <w:tab/>
      </w:r>
      <w:r w:rsidR="00FB3A19" w:rsidRPr="00C20A01">
        <w:rPr>
          <w:lang w:val="de-DE"/>
        </w:rPr>
        <w:t>Neumann, K.-H.; Plückebaum, T.; Strube Martins, S. and Schwarz-Schilling, C.</w:t>
      </w:r>
      <w:r w:rsidR="00104E26" w:rsidRPr="00C20A01">
        <w:rPr>
          <w:lang w:val="de-DE"/>
        </w:rPr>
        <w:t xml:space="preserve"> (2021):</w:t>
      </w:r>
      <w:r w:rsidR="008D35F9" w:rsidRPr="00C20A01">
        <w:rPr>
          <w:lang w:val="de-DE"/>
        </w:rPr>
        <w:t xml:space="preserve"> </w:t>
      </w:r>
      <w:r w:rsidR="001C5046" w:rsidRPr="00C20A01">
        <w:rPr>
          <w:lang w:val="de-DE"/>
        </w:rPr>
        <w:t>Übergang von Kupfer- auf Glasfasernetze: Interessen, Spannungsfelder und mögliche Schnittmengen</w:t>
      </w:r>
      <w:r w:rsidR="00FB3A19" w:rsidRPr="00C20A01">
        <w:rPr>
          <w:lang w:val="de-DE"/>
        </w:rPr>
        <w:t xml:space="preserve"> – </w:t>
      </w:r>
      <w:r w:rsidR="00DD7BC4" w:rsidRPr="00C20A01">
        <w:rPr>
          <w:lang w:val="de-DE"/>
        </w:rPr>
        <w:t>Studie</w:t>
      </w:r>
      <w:r w:rsidR="00FB3A19" w:rsidRPr="00C20A01">
        <w:rPr>
          <w:lang w:val="de-DE"/>
        </w:rPr>
        <w:t xml:space="preserve"> zur Erörterung im Gigabit-Forum</w:t>
      </w:r>
      <w:r w:rsidR="001C5046" w:rsidRPr="00C20A01">
        <w:rPr>
          <w:lang w:val="de-DE"/>
        </w:rPr>
        <w:t>,</w:t>
      </w:r>
      <w:r w:rsidR="00540D45" w:rsidRPr="00C20A01">
        <w:rPr>
          <w:lang w:val="de-DE"/>
        </w:rPr>
        <w:tab/>
      </w:r>
      <w:r w:rsidR="001C5046" w:rsidRPr="00C20A01">
        <w:rPr>
          <w:lang w:val="de-DE"/>
        </w:rPr>
        <w:t xml:space="preserve"> </w:t>
      </w:r>
      <w:hyperlink r:id="rId127" w:history="1">
        <w:r w:rsidR="00737E9A" w:rsidRPr="00C20A01">
          <w:rPr>
            <w:rStyle w:val="Hyperlink"/>
            <w:lang w:val="de-DE"/>
          </w:rPr>
          <w:t>https://www.gigabitforum.de/SharedDocs/Downloads/DE/Sachgebiete/Telekommunikation/Breitband/Gigabitforum/WIK-Studie_Uebergang_Kupfer_Glasfaser.pdf?__blob=publicationFile&amp;v=1</w:t>
        </w:r>
      </w:hyperlink>
      <w:r w:rsidR="00737E9A" w:rsidRPr="00C20A01">
        <w:rPr>
          <w:lang w:val="de-DE"/>
        </w:rPr>
        <w:t xml:space="preserve"> (last accessed on </w:t>
      </w:r>
      <w:r w:rsidR="00CD0EAB" w:rsidRPr="00C20A01">
        <w:rPr>
          <w:lang w:val="de-DE"/>
        </w:rPr>
        <w:t>09</w:t>
      </w:r>
      <w:r w:rsidR="00737E9A" w:rsidRPr="00C20A01">
        <w:rPr>
          <w:lang w:val="de-DE"/>
        </w:rPr>
        <w:t>.</w:t>
      </w:r>
      <w:r w:rsidR="00CD0EAB" w:rsidRPr="00C20A01">
        <w:rPr>
          <w:lang w:val="de-DE"/>
        </w:rPr>
        <w:t>10</w:t>
      </w:r>
      <w:r w:rsidR="00737E9A" w:rsidRPr="00C20A01">
        <w:rPr>
          <w:lang w:val="de-DE"/>
        </w:rPr>
        <w:t>.2025).</w:t>
      </w:r>
    </w:p>
  </w:footnote>
  <w:footnote w:id="217">
    <w:p w14:paraId="2B538F86" w14:textId="358140F9" w:rsidR="004966F8" w:rsidRPr="00D86314" w:rsidRDefault="004966F8" w:rsidP="004966F8">
      <w:pPr>
        <w:pStyle w:val="FootnoteText"/>
      </w:pPr>
      <w:r w:rsidRPr="00D86314">
        <w:rPr>
          <w:rStyle w:val="FootnoteReference"/>
        </w:rPr>
        <w:footnoteRef/>
      </w:r>
      <w:r w:rsidRPr="00D86314">
        <w:t xml:space="preserve"> For example, in a 2020 study, WIK noted that a number of countries with limited FTTH coverage such as Germany and the UK </w:t>
      </w:r>
      <w:r w:rsidR="006504B5" w:rsidRPr="00D86314">
        <w:t>nonetheless</w:t>
      </w:r>
      <w:r w:rsidRPr="00D86314">
        <w:t xml:space="preserve"> had targets for PSTN switch-off falling well before 2030. https://www.wik.org/fileadmin/Studien/2020/Copper_switch-off_whitepaper.pdf</w:t>
      </w:r>
    </w:p>
  </w:footnote>
  <w:footnote w:id="218">
    <w:p w14:paraId="53AB6A25" w14:textId="2D181B33" w:rsidR="004966F8" w:rsidRPr="00D86314" w:rsidRDefault="004966F8" w:rsidP="004966F8">
      <w:pPr>
        <w:pStyle w:val="FootnoteText"/>
      </w:pPr>
      <w:r w:rsidRPr="00D86314">
        <w:rPr>
          <w:rStyle w:val="FootnoteReference"/>
        </w:rPr>
        <w:footnoteRef/>
      </w:r>
      <w:r w:rsidRPr="00D86314">
        <w:t xml:space="preserve"> Frontier Economics (2023): Switching off the PSTN: </w:t>
      </w:r>
      <w:r w:rsidR="006504B5" w:rsidRPr="00D86314">
        <w:t>Migrating</w:t>
      </w:r>
      <w:r w:rsidRPr="00D86314">
        <w:t xml:space="preserve"> from analogue to digital </w:t>
      </w:r>
      <w:r w:rsidR="00336BBA" w:rsidRPr="00D86314">
        <w:t>landlines</w:t>
      </w:r>
      <w:r w:rsidRPr="00D86314">
        <w:t xml:space="preserve">, </w:t>
      </w:r>
      <w:hyperlink r:id="rId128" w:history="1">
        <w:r w:rsidRPr="00D86314">
          <w:rPr>
            <w:rStyle w:val="Hyperlink"/>
          </w:rPr>
          <w:t>https://www.bt.com/bt-plc/assets/documents/about-bt/all-ip/migrating-from-analogue-to-digital-landlines.pdf</w:t>
        </w:r>
      </w:hyperlink>
      <w:r w:rsidRPr="00D86314">
        <w:t xml:space="preserve"> (last accessed on 02.080.2025).</w:t>
      </w:r>
    </w:p>
  </w:footnote>
  <w:footnote w:id="219">
    <w:p w14:paraId="7213F6DD" w14:textId="3949462D" w:rsidR="004966F8" w:rsidRPr="00D86314" w:rsidRDefault="004966F8" w:rsidP="004966F8">
      <w:pPr>
        <w:pStyle w:val="FootnoteText"/>
      </w:pPr>
      <w:r w:rsidRPr="00D86314">
        <w:rPr>
          <w:rStyle w:val="FootnoteReference"/>
        </w:rPr>
        <w:footnoteRef/>
      </w:r>
      <w:r w:rsidR="00E60A9C" w:rsidRPr="00D86314">
        <w:t xml:space="preserve"> </w:t>
      </w:r>
      <w:r w:rsidRPr="00D86314">
        <w:t>According to the BEREC progress report on managing copper network switch-off and the NRA survey conducted for the access study 9 countries (DK, FR, LU, MT, PT, RO, SE, ES and CY) are planning to switch-off copper by 2030 or earlier. 16 countries (AT, BG, CZ, DE, EE, EL, FI, HR, HU, IE, LV, LT, the NL, PL, SK and SI) have not set a target date. Estonia and Finland are already advanced in copper switch-off, although high proportions of FTTB in FI may affect copper switch-off readiness. 6 countries (BG, HU, IE, LT, NL, PL and SI) have a fibre coverage of at least 70%, which may limit the need for derogations if they succeed in accelerating FTTH deployment and addressing in-building fibre gaps. Italy has set a copper switch-off date but only with reference to the switch-off of copper exchanges enabling the continued provision of FTTC / VDSL. This means there would be decommissioning of the secondary copper network, but not the primary copper network. Under option 2, switch-off of the full copper network would then be required in Italy. FTTH coverage in Italy has grown significantly, and State Aid has been allocated to provide for near full coverage. Moreover, prices for fibre-based broadband are affordable. There is also a strong imperative to achieve copper switch-off in Italy as it is characterised by high levels of FTTC which has made customers reluctant to switch. Copper switch-off is therefore likely to be triggered across a high proportion of households in Italy in the event of a copper switch-off obligation. However, challenges may remain regarding connections in some areas, in particular less dense areas. Belgium has set a target date of 2035 and is lagging behind in fibre roll-out but copper is switched-off after 5 years at the latest when FTTH is available to customers in an area which means that the progress in copper switch-off will be directly related to FTTH roll-out. However, a further 6 countries (AT, CZ, DE, EL, LT and SK) are lagging behind in fibre roll-out and FTTH penetration (in % of broadband subscriptions). Of these, the situation is most critical in AT, CA, DE and EL.</w:t>
      </w:r>
    </w:p>
  </w:footnote>
  <w:footnote w:id="220">
    <w:p w14:paraId="1AFD2D89" w14:textId="5D3C994B" w:rsidR="00710CFC" w:rsidRPr="00D86314" w:rsidRDefault="00710CFC" w:rsidP="00710CFC">
      <w:pPr>
        <w:pStyle w:val="FootnoteText"/>
      </w:pPr>
      <w:r w:rsidRPr="00D86314">
        <w:rPr>
          <w:rStyle w:val="FootnoteReference"/>
        </w:rPr>
        <w:footnoteRef/>
      </w:r>
      <w:r w:rsidRPr="00D86314">
        <w:t xml:space="preserve"> WIK (2023) for the EC “Investment and funding needs for the Digital Decade connectivity targets” shows that </w:t>
      </w:r>
      <w:r w:rsidR="004F20DA" w:rsidRPr="00D86314">
        <w:t>EUR </w:t>
      </w:r>
      <w:r w:rsidRPr="00D86314">
        <w:t>114</w:t>
      </w:r>
      <w:r w:rsidR="00F53C85" w:rsidRPr="00D86314">
        <w:t xml:space="preserve"> </w:t>
      </w:r>
      <w:r w:rsidRPr="00D86314">
        <w:t>b</w:t>
      </w:r>
      <w:r w:rsidR="00F53C85" w:rsidRPr="00D86314">
        <w:t>il</w:t>
      </w:r>
      <w:r w:rsidRPr="00D86314">
        <w:t>l</w:t>
      </w:r>
      <w:r w:rsidR="00F53C85" w:rsidRPr="00D86314">
        <w:t>io</w:t>
      </w:r>
      <w:r w:rsidRPr="00D86314">
        <w:t xml:space="preserve">n would be required to achieve full FTTH coverage taking into account FTTP coverage present in 2022. This assumed the deployment of only one FTTH network. Models by WIK prepared in the context of previous studies have highlighted that duplication in FTTH is likely to be economically viable only in very dense areas. </w:t>
      </w:r>
    </w:p>
  </w:footnote>
  <w:footnote w:id="221">
    <w:p w14:paraId="7DC8B1EA" w14:textId="77777777" w:rsidR="00710CFC" w:rsidRPr="00D86314" w:rsidRDefault="00710CFC" w:rsidP="00710CFC">
      <w:pPr>
        <w:pStyle w:val="FootnoteText"/>
      </w:pPr>
      <w:r w:rsidRPr="00D86314">
        <w:rPr>
          <w:rStyle w:val="FootnoteReference"/>
        </w:rPr>
        <w:footnoteRef/>
      </w:r>
      <w:r w:rsidRPr="00D86314">
        <w:t xml:space="preserve"> According to written responses to a supplementary questionnaire, network duplication is considered negatively by long term financial investors in fibre infrastructure. They consider that it is highly inefficient, leading to wasteful capital allocation and undermining the economic viability of fibre investments as well as contributing to emissions. The only exception is dense urban areas which may, in very rare cases, sustain limited network duplication, depending on local market conditions, especially population density, legacy infrastructure and investments predictability. One investor notes that the share of households where more than one fixed fibre network can be sustainably supported in the long term is likely to remain modest, under 20%. Another notes that overbuild in rural and suburban regions typically stems from incumbent players seeking to protect legacy market shares, not from sustainable infrastructure logic. Instead, duplication should be avoided and the focus should be on a shared, open access fibre model. One notes that in countries such as Sweden and Denmark where there are functioning wholesale access markets where customers have several ISP options and competitive FWA solutions there should be no overbuild stimulation at all.</w:t>
      </w:r>
    </w:p>
  </w:footnote>
  <w:footnote w:id="222">
    <w:p w14:paraId="68A65D80" w14:textId="11862245" w:rsidR="006661EC" w:rsidRPr="00D86314" w:rsidRDefault="006661EC" w:rsidP="00F633E8">
      <w:pPr>
        <w:pStyle w:val="FootnoteText"/>
        <w:jc w:val="left"/>
      </w:pPr>
      <w:r w:rsidRPr="00D86314">
        <w:rPr>
          <w:rStyle w:val="FootnoteReference"/>
        </w:rPr>
        <w:footnoteRef/>
      </w:r>
      <w:r w:rsidR="00F633E8" w:rsidRPr="00D86314">
        <w:t xml:space="preserve"> </w:t>
      </w:r>
      <w:r w:rsidRPr="00D86314">
        <w:t xml:space="preserve">Mattia Nardotto, Tommaso Valletti, Frank Verbovenht (2015) </w:t>
      </w:r>
      <w:hyperlink r:id="rId129" w:history="1">
        <w:r w:rsidR="0043028A" w:rsidRPr="00D86314">
          <w:rPr>
            <w:rStyle w:val="Hyperlink"/>
          </w:rPr>
          <w:t>UNBUNDLING THE INCUMBENT: EVIDENCE FROM UK BROADBAND - Nardotto - 2015 - Journal of the European Economic Association - Wiley Online Library</w:t>
        </w:r>
      </w:hyperlink>
      <w:r w:rsidR="004F20DA" w:rsidRPr="00D86314">
        <w:t>.</w:t>
      </w:r>
    </w:p>
  </w:footnote>
  <w:footnote w:id="223">
    <w:p w14:paraId="515DE592" w14:textId="0F38ABB9" w:rsidR="006661EC" w:rsidRPr="00D86314" w:rsidRDefault="006661EC" w:rsidP="006661EC">
      <w:pPr>
        <w:pStyle w:val="FootnoteText"/>
      </w:pPr>
      <w:r w:rsidRPr="00D86314">
        <w:rPr>
          <w:rStyle w:val="FootnoteReference"/>
        </w:rPr>
        <w:footnoteRef/>
      </w:r>
      <w:r w:rsidR="00400DE7" w:rsidRPr="00D86314">
        <w:t xml:space="preserve"> </w:t>
      </w:r>
      <w:r w:rsidRPr="00D86314">
        <w:t>Specifically, as a layer 2 bitstream product, VULA does not permit flexibility over the choice of active equipment, leaving this under the control of the access provider.</w:t>
      </w:r>
    </w:p>
  </w:footnote>
  <w:footnote w:id="224">
    <w:p w14:paraId="49295D5B" w14:textId="58AF7DD4" w:rsidR="006661EC" w:rsidRPr="00D86314" w:rsidRDefault="006661EC" w:rsidP="006661EC">
      <w:pPr>
        <w:pStyle w:val="FootnoteText"/>
      </w:pPr>
      <w:r w:rsidRPr="00D86314">
        <w:rPr>
          <w:rStyle w:val="FootnoteReference"/>
        </w:rPr>
        <w:footnoteRef/>
      </w:r>
      <w:r w:rsidR="00400DE7" w:rsidRPr="00D86314">
        <w:t xml:space="preserve"> </w:t>
      </w:r>
      <w:r w:rsidRPr="00D86314">
        <w:t>For example, analysis conducted in the context of the review of the RRM shows that in countries where NRAs have segmented the market for dedicated capacity by geography, incumbent market shares of 70% or more have been observed in the non-competitive zones for dedicated capacity. Limitations in competition have also been found e.g. in Spain in the provision of services to multi-site businesses.</w:t>
      </w:r>
    </w:p>
  </w:footnote>
  <w:footnote w:id="225">
    <w:p w14:paraId="0F31CC96" w14:textId="3C02E160" w:rsidR="005C7FC5" w:rsidRPr="00D86314" w:rsidRDefault="005C7FC5" w:rsidP="00400DE7">
      <w:pPr>
        <w:pStyle w:val="FootnoteText"/>
        <w:jc w:val="left"/>
      </w:pPr>
      <w:r w:rsidRPr="00D86314">
        <w:rPr>
          <w:rStyle w:val="FootnoteReference"/>
        </w:rPr>
        <w:footnoteRef/>
      </w:r>
      <w:r w:rsidR="00400DE7" w:rsidRPr="00D86314">
        <w:t xml:space="preserve"> </w:t>
      </w:r>
      <w:hyperlink r:id="rId130" w:history="1">
        <w:r w:rsidRPr="00D86314">
          <w:rPr>
            <w:rStyle w:val="Hyperlink"/>
          </w:rPr>
          <w:t>https://digital-strategy.ec.europa.eu/en/library/recommendation-regulatory-promotion-gigabit-connectivity</w:t>
        </w:r>
      </w:hyperlink>
      <w:r w:rsidR="00400DE7" w:rsidRPr="00D86314">
        <w:t>.</w:t>
      </w:r>
    </w:p>
  </w:footnote>
  <w:footnote w:id="226">
    <w:p w14:paraId="048247E0" w14:textId="6C7412D2" w:rsidR="005C7FC5" w:rsidRPr="00D86314" w:rsidRDefault="005C7FC5" w:rsidP="005C7FC5">
      <w:pPr>
        <w:pStyle w:val="FootnoteText"/>
      </w:pPr>
      <w:r w:rsidRPr="00D86314">
        <w:rPr>
          <w:rStyle w:val="FootnoteReference"/>
        </w:rPr>
        <w:footnoteRef/>
      </w:r>
      <w:r w:rsidR="00400DE7" w:rsidRPr="00D86314">
        <w:t xml:space="preserve"> </w:t>
      </w:r>
      <w:r w:rsidRPr="00D86314">
        <w:t>SMP PIA has played a very significant role in supporting infrastructure competition in countries such as France, Spain, Portugal and Ireland. For example, in Spain in the second trimester 2024 117,000 km of SMP ducts were used by network operators. In contrast, available data suggests extensive use of BCRD PIA in just two countries – Italy and Slovakia.</w:t>
      </w:r>
    </w:p>
  </w:footnote>
  <w:footnote w:id="227">
    <w:p w14:paraId="150C0464" w14:textId="6EFE05D2" w:rsidR="005C7FC5" w:rsidRPr="00D86314" w:rsidRDefault="005C7FC5" w:rsidP="005C7FC5">
      <w:pPr>
        <w:pStyle w:val="FootnoteText"/>
      </w:pPr>
      <w:r w:rsidRPr="00D86314">
        <w:rPr>
          <w:rStyle w:val="FootnoteReference"/>
        </w:rPr>
        <w:footnoteRef/>
      </w:r>
      <w:r w:rsidR="00A67753" w:rsidRPr="00D86314">
        <w:t xml:space="preserve"> </w:t>
      </w:r>
      <w:r w:rsidRPr="00D86314">
        <w:t>Analysys Mason State of Digital Communications 2025 notes that challenger operators have achieved FTTH coverage levels of 52% in Europe, with cable operators providing coverage of 15%. “Leading” operators (likely incumbents) accounted for 49% coverage.</w:t>
      </w:r>
    </w:p>
  </w:footnote>
  <w:footnote w:id="228">
    <w:p w14:paraId="7191A7C4" w14:textId="230F50A0" w:rsidR="005C7FC5" w:rsidRPr="00D86314" w:rsidRDefault="005C7FC5" w:rsidP="005C7FC5">
      <w:pPr>
        <w:pStyle w:val="FootnoteText"/>
      </w:pPr>
      <w:r w:rsidRPr="00D86314">
        <w:rPr>
          <w:rStyle w:val="FootnoteReference"/>
        </w:rPr>
        <w:footnoteRef/>
      </w:r>
      <w:r w:rsidR="00A67753" w:rsidRPr="00D86314">
        <w:t xml:space="preserve"> </w:t>
      </w:r>
      <w:r w:rsidRPr="00D86314">
        <w:t>In a report by Barclays (Barclays. (2024). On the path to value creation, but not for all) coving 6 incumbents and 18 (mainly fixed and mobile vertically integrated) alternative operators, it can be seen that the ROCE of 4 out of the 6 incumbents (DT, Orange FR, TF Spain, KPN) exceeds the WACC provided by Barclays (whereas TI and BT are not recovering their WACC according to Barclays). For the alternative operators, where an operator-specific WACC has been provided by Barclays, in 12 of the 13 cases, the operators are not covering their WACC, as reported.</w:t>
      </w:r>
    </w:p>
  </w:footnote>
  <w:footnote w:id="229">
    <w:p w14:paraId="7BDDEBD5" w14:textId="043B2C11" w:rsidR="005C7FC5" w:rsidRPr="00D86314" w:rsidRDefault="005C7FC5" w:rsidP="005C7FC5">
      <w:pPr>
        <w:pStyle w:val="FootnoteText"/>
      </w:pPr>
      <w:r w:rsidRPr="00D86314">
        <w:rPr>
          <w:rStyle w:val="FootnoteReference"/>
        </w:rPr>
        <w:footnoteRef/>
      </w:r>
      <w:r w:rsidR="001938AC" w:rsidRPr="00D86314">
        <w:t xml:space="preserve"> </w:t>
      </w:r>
      <w:r w:rsidRPr="00D86314">
        <w:t xml:space="preserve">For example, in Finland the regulator did not set conditions for copper switch-off and the different regional SMP have </w:t>
      </w:r>
      <w:r w:rsidR="00610131" w:rsidRPr="00D86314">
        <w:t>proceeded</w:t>
      </w:r>
      <w:r w:rsidRPr="00D86314">
        <w:t xml:space="preserve"> to switch-off copper. Copper customers were migrated to fibre and mobile networks so that the share of copper in fixed retail broadband lines was 4% in 2024. </w:t>
      </w:r>
    </w:p>
  </w:footnote>
  <w:footnote w:id="230">
    <w:p w14:paraId="59700B2F" w14:textId="77777777" w:rsidR="006244D4" w:rsidRPr="00D86314" w:rsidRDefault="006244D4" w:rsidP="006244D4">
      <w:pPr>
        <w:pStyle w:val="FootnoteText"/>
      </w:pPr>
      <w:r w:rsidRPr="00D86314">
        <w:rPr>
          <w:rStyle w:val="FootnoteReference"/>
        </w:rPr>
        <w:footnoteRef/>
      </w:r>
      <w:r w:rsidRPr="00D86314">
        <w:t xml:space="preserve"> Additional resources might be involved in countries where other competent authorities have been given responsibility for geographic surveys under Art 22 EECC. However, this competence is understood to have been granted to the NRA in the majority of cases. </w:t>
      </w:r>
    </w:p>
  </w:footnote>
  <w:footnote w:id="231">
    <w:p w14:paraId="032BB8A0" w14:textId="5454C7F7" w:rsidR="0036499D" w:rsidRPr="00D86314" w:rsidRDefault="0036499D" w:rsidP="0036499D">
      <w:pPr>
        <w:pStyle w:val="FootnoteText"/>
      </w:pPr>
      <w:r w:rsidRPr="00D86314">
        <w:rPr>
          <w:rStyle w:val="FootnoteReference"/>
        </w:rPr>
        <w:footnoteRef/>
      </w:r>
      <w:r w:rsidR="001938AC" w:rsidRPr="00D86314">
        <w:t xml:space="preserve"> </w:t>
      </w:r>
      <w:r w:rsidRPr="00D86314">
        <w:t>Strube Martins, S.; Neumann, K.-H.; Schwarz-Schilling, C. (2024): Final evaluation report on the copper migration and switch-off trial Deutsche Telekom,</w:t>
      </w:r>
      <w:r w:rsidRPr="00D86314">
        <w:tab/>
        <w:t xml:space="preserve"> </w:t>
      </w:r>
      <w:hyperlink r:id="rId131" w:history="1">
        <w:r w:rsidRPr="00D86314">
          <w:rPr>
            <w:rStyle w:val="Hyperlink"/>
          </w:rPr>
          <w:t>https://www.wik.org/fileadmin/user_upload/Unternehmen/Veroeffentlichungen/Studien/2024/WIK_evaluation_report_pilot_copper_switch-off_Gigabit_Forum.pdf</w:t>
        </w:r>
      </w:hyperlink>
      <w:r w:rsidRPr="00D86314">
        <w:t xml:space="preserve"> (last accessed at 08.10.2025).</w:t>
      </w:r>
    </w:p>
  </w:footnote>
  <w:footnote w:id="232">
    <w:p w14:paraId="14EAE51C" w14:textId="020BC9EF" w:rsidR="0036499D" w:rsidRPr="00F53F9A" w:rsidRDefault="0036499D" w:rsidP="0036499D">
      <w:pPr>
        <w:pStyle w:val="FootnoteText"/>
        <w:rPr>
          <w:lang w:val="de-DE"/>
        </w:rPr>
      </w:pPr>
      <w:r w:rsidRPr="00D86314">
        <w:rPr>
          <w:rStyle w:val="FootnoteReference"/>
        </w:rPr>
        <w:footnoteRef/>
      </w:r>
      <w:r w:rsidRPr="00F53F9A">
        <w:rPr>
          <w:lang w:val="de-DE"/>
        </w:rPr>
        <w:t xml:space="preserve"> See Neumann, K.-H.; Plückebaum, T.; Strube Martins, S. and Schwarz-Schilling, C. (2021): Übergang von Kupfer- auf Glasfasernetze: Interessen, Spannungsfelder und mögliche Schnittmengen – Studie zur Erörterung im Gigabit-Forum,</w:t>
      </w:r>
      <w:r w:rsidRPr="00F53F9A">
        <w:rPr>
          <w:lang w:val="de-DE"/>
        </w:rPr>
        <w:tab/>
        <w:t xml:space="preserve"> </w:t>
      </w:r>
      <w:hyperlink r:id="rId132" w:history="1">
        <w:r w:rsidRPr="00F53F9A">
          <w:rPr>
            <w:rStyle w:val="Hyperlink"/>
            <w:lang w:val="de-DE"/>
          </w:rPr>
          <w:t>https://www.gigabitforum.de/SharedDocs/Downloads/DE/Sachgebiete/Telekommunikation/Breitband/Gigabitforum/WIK-Studie_Uebergang_Kupfer_Glasfaser.pdf?__blob=publicationFile&amp;v=1</w:t>
        </w:r>
      </w:hyperlink>
      <w:r w:rsidRPr="00F53F9A">
        <w:rPr>
          <w:lang w:val="de-DE"/>
        </w:rPr>
        <w:t xml:space="preserve"> (last accessed </w:t>
      </w:r>
      <w:r w:rsidR="00BE6710" w:rsidRPr="00F53F9A">
        <w:rPr>
          <w:lang w:val="de-DE"/>
        </w:rPr>
        <w:t>on</w:t>
      </w:r>
      <w:r w:rsidRPr="00F53F9A">
        <w:rPr>
          <w:lang w:val="de-DE"/>
        </w:rPr>
        <w:t xml:space="preserve"> 09.10.2025).</w:t>
      </w:r>
    </w:p>
  </w:footnote>
  <w:footnote w:id="233">
    <w:p w14:paraId="4694E3F6" w14:textId="77777777" w:rsidR="0036499D" w:rsidRPr="00D86314" w:rsidRDefault="0036499D" w:rsidP="0036499D">
      <w:pPr>
        <w:pStyle w:val="FootnoteText"/>
      </w:pPr>
      <w:r w:rsidRPr="00D86314">
        <w:rPr>
          <w:rStyle w:val="FootnoteReference"/>
        </w:rPr>
        <w:footnoteRef/>
      </w:r>
      <w:r w:rsidRPr="00D86314">
        <w:t xml:space="preserve"> The precise figure cannot be calculated without an understanding of the level of FTTH coverage in different geographic areas in each EU Member State, as costs vary widely depending on national factors such as labour costs as well as on population density. However, it is important to note that option 2 is likely to incentivise both private (and where necessary public) investment to occur earlier and on a more widespread basis, but does not require such costs to be incurred</w:t>
      </w:r>
    </w:p>
  </w:footnote>
  <w:footnote w:id="234">
    <w:p w14:paraId="58FA273D" w14:textId="72B91274" w:rsidR="0036499D" w:rsidRPr="00F53F9A" w:rsidRDefault="0036499D" w:rsidP="00BA2533">
      <w:pPr>
        <w:pStyle w:val="FootnoteText"/>
        <w:jc w:val="left"/>
        <w:rPr>
          <w:lang w:val="de-DE"/>
        </w:rPr>
      </w:pPr>
      <w:r w:rsidRPr="00D86314">
        <w:rPr>
          <w:rStyle w:val="FootnoteReference"/>
        </w:rPr>
        <w:footnoteRef/>
      </w:r>
      <w:r w:rsidR="00BA2533" w:rsidRPr="00F53F9A">
        <w:rPr>
          <w:lang w:val="de-DE"/>
        </w:rPr>
        <w:t xml:space="preserve"> </w:t>
      </w:r>
      <w:r w:rsidRPr="00F53F9A">
        <w:rPr>
          <w:lang w:val="de-DE"/>
        </w:rPr>
        <w:t>Wernick, C.; Knips, J.; Lachmann, R.; Strube Martins, S. (2024): Ursachen für die wachsende Schere zwischen FTTH Homes Passed und FTTH Homes Connected,</w:t>
      </w:r>
      <w:r w:rsidRPr="00F53F9A">
        <w:rPr>
          <w:lang w:val="de-DE"/>
        </w:rPr>
        <w:tab/>
        <w:t xml:space="preserve"> </w:t>
      </w:r>
      <w:hyperlink r:id="rId133" w:history="1">
        <w:r w:rsidRPr="00F53F9A">
          <w:rPr>
            <w:rStyle w:val="Hyperlink"/>
            <w:lang w:val="de-DE"/>
          </w:rPr>
          <w:t>https://www.wik.org/fileadmin/user_upload/Unternehmen/Veroeffentlichungen/Diskus/2024/WIK_Diskussionsbeitrag_Nr_526.pdf</w:t>
        </w:r>
      </w:hyperlink>
      <w:r w:rsidRPr="00F53F9A">
        <w:rPr>
          <w:lang w:val="de-DE"/>
        </w:rPr>
        <w:t xml:space="preserve"> and Plückebaum, T.; Ockenfels, M. (2020): Kosten und andere Hemmnisse der Migration von Kupfer- auf Glasfasernetze, </w:t>
      </w:r>
      <w:hyperlink r:id="rId134" w:history="1">
        <w:r w:rsidRPr="00F53F9A">
          <w:rPr>
            <w:rStyle w:val="Hyperlink"/>
            <w:lang w:val="de-DE"/>
          </w:rPr>
          <w:t>https://www.wik.org/fileadmin/user_upload/Unternehmen/Veroeffentlichungen/Diskus/2022/WIK_Diskussionsbeitrag_Nr_457.pdf</w:t>
        </w:r>
      </w:hyperlink>
      <w:r w:rsidRPr="00F53F9A">
        <w:rPr>
          <w:lang w:val="de-DE"/>
        </w:rPr>
        <w:t xml:space="preserve"> (last access</w:t>
      </w:r>
      <w:r w:rsidR="00FE3824" w:rsidRPr="00F53F9A">
        <w:rPr>
          <w:lang w:val="de-DE"/>
        </w:rPr>
        <w:t>ed on</w:t>
      </w:r>
      <w:r w:rsidRPr="00F53F9A">
        <w:rPr>
          <w:lang w:val="de-DE"/>
        </w:rPr>
        <w:t xml:space="preserve"> 08.10.2025).</w:t>
      </w:r>
    </w:p>
  </w:footnote>
  <w:footnote w:id="235">
    <w:p w14:paraId="0FC024F5" w14:textId="71710A39" w:rsidR="0036499D" w:rsidRPr="00F53F9A" w:rsidRDefault="0036499D" w:rsidP="000C7CC9">
      <w:pPr>
        <w:pStyle w:val="FootnoteText"/>
        <w:jc w:val="left"/>
        <w:rPr>
          <w:lang w:val="de-DE"/>
        </w:rPr>
      </w:pPr>
      <w:r w:rsidRPr="00D86314">
        <w:rPr>
          <w:rStyle w:val="FootnoteReference"/>
        </w:rPr>
        <w:footnoteRef/>
      </w:r>
      <w:r w:rsidR="000C7CC9" w:rsidRPr="00F53F9A">
        <w:rPr>
          <w:lang w:val="de-DE"/>
        </w:rPr>
        <w:t xml:space="preserve"> </w:t>
      </w:r>
      <w:r w:rsidRPr="00F53F9A">
        <w:rPr>
          <w:lang w:val="de-DE"/>
        </w:rPr>
        <w:t xml:space="preserve">See Neumann, K.-H., Strube Martins, S.; Schwarz-Schilling (2024): Kosten und Preise für den Zugang zur Glasfasergebäudeinfrastruktur, </w:t>
      </w:r>
      <w:hyperlink r:id="rId135" w:history="1">
        <w:r w:rsidRPr="00F53F9A">
          <w:rPr>
            <w:rStyle w:val="Hyperlink"/>
            <w:lang w:val="de-DE"/>
          </w:rPr>
          <w:t>https://www.wik.org/fileadmin/user_upload/Unternehmen/Veroeffentlichungen/Kurzstudien/2024/WIK_Kurzstudie_Kosten-und-Preise-Glasfaserinfrastruktur.pdf</w:t>
        </w:r>
      </w:hyperlink>
      <w:r w:rsidRPr="00F53F9A">
        <w:rPr>
          <w:lang w:val="de-DE"/>
        </w:rPr>
        <w:t xml:space="preserve"> and Neumann, K.-H., Strube Martins, S.; Schwarz-Schilling , Eltges, F. (2023): Gebäudeinterne Infrastruktur – ein notwendiger Schritt zur Entwicklung von FTTH, </w:t>
      </w:r>
      <w:hyperlink r:id="rId136" w:history="1">
        <w:r w:rsidRPr="00F53F9A">
          <w:rPr>
            <w:rStyle w:val="Hyperlink"/>
            <w:lang w:val="de-DE"/>
          </w:rPr>
          <w:t>https://www.wik.org/fileadmin/user_upload/Unternehmen/Veroeffentlichungen/Diskus/2023/WIK_Diskussionsbeitrag_Nr_499.pdf</w:t>
        </w:r>
      </w:hyperlink>
      <w:r w:rsidR="008940B2" w:rsidRPr="00F53F9A">
        <w:rPr>
          <w:lang w:val="de-DE"/>
        </w:rPr>
        <w:t>.</w:t>
      </w:r>
    </w:p>
  </w:footnote>
  <w:footnote w:id="236">
    <w:p w14:paraId="4A881719" w14:textId="1D97A027" w:rsidR="0036499D" w:rsidRPr="00F53F9A" w:rsidRDefault="0036499D" w:rsidP="000C7CC9">
      <w:pPr>
        <w:pStyle w:val="FootnoteText"/>
        <w:jc w:val="left"/>
        <w:rPr>
          <w:lang w:val="de-DE"/>
        </w:rPr>
      </w:pPr>
      <w:r w:rsidRPr="00D86314">
        <w:rPr>
          <w:rStyle w:val="FootnoteReference"/>
        </w:rPr>
        <w:footnoteRef/>
      </w:r>
      <w:r w:rsidR="000C7CC9" w:rsidRPr="00D86314">
        <w:t xml:space="preserve"> </w:t>
      </w:r>
      <w:r w:rsidRPr="00D86314">
        <w:t xml:space="preserve">Based on the relation between homes passed and homes connected in 2024. </w:t>
      </w:r>
      <w:r w:rsidRPr="00F53F9A">
        <w:rPr>
          <w:lang w:val="de-DE"/>
        </w:rPr>
        <w:t xml:space="preserve">See Wernick, C.; Knips, J.; Lachmann, M. R.; Strube Martins, S. (2024): Ursachen für die wachsende Schere zwischen FTTH Homes Passed und FTTH Homes Connected, </w:t>
      </w:r>
      <w:hyperlink r:id="rId137" w:history="1">
        <w:r w:rsidRPr="00F53F9A">
          <w:rPr>
            <w:rStyle w:val="Hyperlink"/>
            <w:lang w:val="de-DE"/>
          </w:rPr>
          <w:t>https://www.wik.org/fileadmin/user_upload/Unternehmen/Veroeffentlichungen/Diskus/2024/WIK_Diskussionsbeitrag_Nr_526.pdf</w:t>
        </w:r>
      </w:hyperlink>
      <w:r w:rsidRPr="00F53F9A">
        <w:rPr>
          <w:lang w:val="de-DE"/>
        </w:rPr>
        <w:t>.</w:t>
      </w:r>
    </w:p>
  </w:footnote>
  <w:footnote w:id="237">
    <w:p w14:paraId="661F67C7" w14:textId="4CFA34F1" w:rsidR="0036499D" w:rsidRPr="00F53F9A" w:rsidRDefault="0036499D" w:rsidP="0036499D">
      <w:pPr>
        <w:pStyle w:val="FootnoteText"/>
        <w:rPr>
          <w:lang w:val="de-DE"/>
        </w:rPr>
      </w:pPr>
      <w:r w:rsidRPr="00D86314">
        <w:rPr>
          <w:rStyle w:val="FootnoteReference"/>
        </w:rPr>
        <w:footnoteRef/>
      </w:r>
      <w:r w:rsidR="000C7CC9" w:rsidRPr="00F53F9A">
        <w:rPr>
          <w:lang w:val="de-DE"/>
        </w:rPr>
        <w:t xml:space="preserve"> </w:t>
      </w:r>
      <w:r w:rsidRPr="00F53F9A">
        <w:rPr>
          <w:lang w:val="de-DE"/>
        </w:rPr>
        <w:t>See Neumann, K.-H.; Plückebaum, T.; Strube Martins, S. and Schwarz-Schilling, C. (2021): Übergang von Kupfer- auf Glasfasernetze: Interessen, Spannungsfelder und mögliche Schnittmengen – Studie zur Erörterung im Gigabit-Forum,</w:t>
      </w:r>
      <w:r w:rsidRPr="00F53F9A">
        <w:rPr>
          <w:lang w:val="de-DE"/>
        </w:rPr>
        <w:tab/>
        <w:t xml:space="preserve"> </w:t>
      </w:r>
      <w:hyperlink r:id="rId138" w:history="1">
        <w:r w:rsidRPr="00F53F9A">
          <w:rPr>
            <w:rStyle w:val="Hyperlink"/>
            <w:lang w:val="de-DE"/>
          </w:rPr>
          <w:t>https://www.gigabitforum.de/SharedDocs/Downloads/DE/Sachgebiete/Telekommunikation/Breitband/Gigabitforum/WIK-Studie_Uebergang_Kupfer_Glasfaser.pdf?__blob=publicationFile&amp;v=1</w:t>
        </w:r>
      </w:hyperlink>
      <w:r w:rsidRPr="00F53F9A">
        <w:rPr>
          <w:lang w:val="de-DE"/>
        </w:rPr>
        <w:t xml:space="preserve"> (last accessed at 09.10.2025).</w:t>
      </w:r>
    </w:p>
  </w:footnote>
  <w:footnote w:id="238">
    <w:p w14:paraId="5DDD1DA6" w14:textId="5B4A602C" w:rsidR="0036499D" w:rsidRPr="00F53F9A" w:rsidRDefault="0036499D" w:rsidP="0036499D">
      <w:pPr>
        <w:pStyle w:val="FootnoteText"/>
        <w:rPr>
          <w:lang w:val="de-DE"/>
        </w:rPr>
      </w:pPr>
      <w:r w:rsidRPr="00D86314">
        <w:rPr>
          <w:rStyle w:val="FootnoteReference"/>
        </w:rPr>
        <w:footnoteRef/>
      </w:r>
      <w:r w:rsidRPr="00F53F9A">
        <w:rPr>
          <w:lang w:val="de-DE"/>
        </w:rPr>
        <w:t xml:space="preserve"> </w:t>
      </w:r>
      <w:hyperlink r:id="rId139" w:history="1">
        <w:r w:rsidRPr="00F53F9A">
          <w:rPr>
            <w:rStyle w:val="Hyperlink"/>
            <w:lang w:val="de-DE"/>
          </w:rPr>
          <w:t>https://www.kearney.com/service/digital-analytics/article/a-blueprint-for-copper-decommissioning</w:t>
        </w:r>
      </w:hyperlink>
      <w:r w:rsidR="00EE2EF1" w:rsidRPr="00F53F9A">
        <w:rPr>
          <w:lang w:val="de-DE"/>
        </w:rPr>
        <w:t>.</w:t>
      </w:r>
    </w:p>
  </w:footnote>
  <w:footnote w:id="239">
    <w:p w14:paraId="06C759C7" w14:textId="4F58545F" w:rsidR="0036499D" w:rsidRPr="00C20A01" w:rsidRDefault="0036499D" w:rsidP="0036499D">
      <w:pPr>
        <w:pStyle w:val="FootnoteText"/>
        <w:rPr>
          <w:lang w:val="fr-BE"/>
        </w:rPr>
      </w:pPr>
      <w:r w:rsidRPr="00D86314">
        <w:rPr>
          <w:rStyle w:val="FootnoteReference"/>
        </w:rPr>
        <w:footnoteRef/>
      </w:r>
      <w:r w:rsidRPr="00C20A01">
        <w:rPr>
          <w:lang w:val="fr-BE"/>
        </w:rPr>
        <w:t xml:space="preserve"> Source: </w:t>
      </w:r>
      <w:hyperlink r:id="rId140" w:history="1">
        <w:r w:rsidRPr="00C20A01">
          <w:rPr>
            <w:rStyle w:val="Hyperlink"/>
            <w:lang w:val="fr-BE"/>
          </w:rPr>
          <w:t>https://www.ft.com/content/2e1cbcf8-67c3-48b1-94bf-66c344b155b8</w:t>
        </w:r>
      </w:hyperlink>
      <w:r w:rsidR="00EE2EF1" w:rsidRPr="00C20A01">
        <w:rPr>
          <w:lang w:val="fr-BE"/>
        </w:rPr>
        <w:t>.</w:t>
      </w:r>
    </w:p>
  </w:footnote>
  <w:footnote w:id="240">
    <w:p w14:paraId="2D8680E8" w14:textId="0AA998EE" w:rsidR="0036499D" w:rsidRPr="00C20A01" w:rsidRDefault="0036499D" w:rsidP="00EE2EF1">
      <w:pPr>
        <w:pStyle w:val="FootnoteText"/>
        <w:jc w:val="left"/>
        <w:rPr>
          <w:lang w:val="fr-BE"/>
        </w:rPr>
      </w:pPr>
      <w:r w:rsidRPr="00D86314">
        <w:rPr>
          <w:rStyle w:val="FootnoteReference"/>
        </w:rPr>
        <w:footnoteRef/>
      </w:r>
      <w:r w:rsidRPr="00C20A01">
        <w:rPr>
          <w:lang w:val="fr-BE"/>
        </w:rPr>
        <w:t xml:space="preserve"> </w:t>
      </w:r>
      <w:hyperlink r:id="rId141" w:history="1">
        <w:r w:rsidRPr="00C20A01">
          <w:rPr>
            <w:rStyle w:val="Hyperlink"/>
            <w:lang w:val="fr-BE"/>
          </w:rPr>
          <w:t>https://www.datacenterdynamics.com/en/news/bt-calls-for-uks-critical-national-infrastructure-to-shift-away-from-copper-networks/</w:t>
        </w:r>
      </w:hyperlink>
      <w:r w:rsidR="00EE2EF1" w:rsidRPr="00C20A01">
        <w:rPr>
          <w:lang w:val="fr-BE"/>
        </w:rPr>
        <w:t>.</w:t>
      </w:r>
    </w:p>
  </w:footnote>
  <w:footnote w:id="241">
    <w:p w14:paraId="1C0C1090" w14:textId="335F789C" w:rsidR="0036499D" w:rsidRPr="00C20A01" w:rsidRDefault="0036499D" w:rsidP="006C6F91">
      <w:pPr>
        <w:pStyle w:val="FootnoteText"/>
        <w:jc w:val="left"/>
        <w:rPr>
          <w:lang w:val="fr-BE"/>
        </w:rPr>
      </w:pPr>
      <w:r w:rsidRPr="00D86314">
        <w:rPr>
          <w:rStyle w:val="FootnoteReference"/>
        </w:rPr>
        <w:footnoteRef/>
      </w:r>
      <w:r w:rsidR="006C6F91" w:rsidRPr="00C20A01">
        <w:rPr>
          <w:lang w:val="fr-BE"/>
        </w:rPr>
        <w:t xml:space="preserve"> </w:t>
      </w:r>
      <w:hyperlink r:id="rId142" w:history="1">
        <w:r w:rsidRPr="00C20A01">
          <w:rPr>
            <w:rStyle w:val="Hyperlink"/>
            <w:lang w:val="fr-BE"/>
          </w:rPr>
          <w:t>https://www.telcotitans.com/telefonicawatch/vivo-targets-700m-bonus-from-fixed-line-shutdown/9244.article#:~:text=Brazil's%20Telef%C3%B3nica%7CVivo%20hopes%20to,of%20acquisitions%20over%20recent%20years</w:t>
        </w:r>
      </w:hyperlink>
      <w:r w:rsidRPr="00C20A01">
        <w:rPr>
          <w:lang w:val="fr-BE"/>
        </w:rPr>
        <w:t>.</w:t>
      </w:r>
    </w:p>
  </w:footnote>
  <w:footnote w:id="242">
    <w:p w14:paraId="46AD5DAF" w14:textId="41DB22F6" w:rsidR="00EA737B" w:rsidRPr="00D86314" w:rsidRDefault="00EA737B" w:rsidP="00EA737B">
      <w:pPr>
        <w:pStyle w:val="FootnoteText"/>
      </w:pPr>
      <w:r w:rsidRPr="00D86314">
        <w:rPr>
          <w:rStyle w:val="FootnoteReference"/>
        </w:rPr>
        <w:footnoteRef/>
      </w:r>
      <w:r w:rsidR="00EE2EF1" w:rsidRPr="00D86314">
        <w:t xml:space="preserve"> </w:t>
      </w:r>
      <w:r w:rsidRPr="00D86314">
        <w:t>See:</w:t>
      </w:r>
      <w:r w:rsidRPr="00D86314">
        <w:tab/>
        <w:t xml:space="preserve"> </w:t>
      </w:r>
      <w:hyperlink r:id="rId143" w:history="1">
        <w:r w:rsidRPr="00D86314">
          <w:rPr>
            <w:rStyle w:val="Hyperlink"/>
          </w:rPr>
          <w:t>https://www.wik.org/fileadmin/user_upload/Unternehmen/Veroeffentlichungen/Studien/2024/WIK_evaluation_report_pilot_copper_switch-off_Gigabit_Forum.pdf</w:t>
        </w:r>
      </w:hyperlink>
      <w:r w:rsidRPr="00D86314">
        <w:t>.</w:t>
      </w:r>
    </w:p>
  </w:footnote>
  <w:footnote w:id="243">
    <w:p w14:paraId="03EFDF6A" w14:textId="4A29EC62" w:rsidR="00EA737B" w:rsidRPr="00D86314" w:rsidRDefault="00EA737B" w:rsidP="00EA737B">
      <w:pPr>
        <w:pStyle w:val="FootnoteText"/>
      </w:pPr>
      <w:r w:rsidRPr="00D86314">
        <w:rPr>
          <w:rStyle w:val="FootnoteReference"/>
        </w:rPr>
        <w:footnoteRef/>
      </w:r>
      <w:r w:rsidRPr="00D86314">
        <w:t xml:space="preserve"> </w:t>
      </w:r>
      <w:hyperlink r:id="rId144" w:history="1">
        <w:r w:rsidRPr="00D86314">
          <w:rPr>
            <w:rStyle w:val="Hyperlink"/>
          </w:rPr>
          <w:t>https://op.europa.eu/en/publication-detail/-/publication/ef401042-9a90-11e6-9bca-01aa75ed71a1</w:t>
        </w:r>
      </w:hyperlink>
      <w:r w:rsidR="00C35056" w:rsidRPr="00D86314">
        <w:t>.</w:t>
      </w:r>
    </w:p>
  </w:footnote>
  <w:footnote w:id="244">
    <w:p w14:paraId="22004EE4" w14:textId="77A3FC90" w:rsidR="00BE3CC0" w:rsidRPr="00F53F9A" w:rsidRDefault="00BE3CC0" w:rsidP="000F5687">
      <w:pPr>
        <w:pStyle w:val="FootnoteText"/>
        <w:jc w:val="left"/>
        <w:rPr>
          <w:lang w:val="de-DE"/>
        </w:rPr>
      </w:pPr>
      <w:r w:rsidRPr="00D86314">
        <w:rPr>
          <w:rStyle w:val="FootnoteReference"/>
        </w:rPr>
        <w:footnoteRef/>
      </w:r>
      <w:r w:rsidR="000F5687" w:rsidRPr="00F53F9A">
        <w:rPr>
          <w:lang w:val="de-DE"/>
        </w:rPr>
        <w:t xml:space="preserve"> </w:t>
      </w:r>
      <w:r w:rsidRPr="00F53F9A">
        <w:rPr>
          <w:lang w:val="de-DE"/>
        </w:rPr>
        <w:t xml:space="preserve">See Lachmann, R.; Neumann, K.-H.; Wernick, C. (2025): Eine Modellanalyse zur Abschaltung des Kupfernetzes und zur Kupfer-Glas-Migration, p. 16, </w:t>
      </w:r>
      <w:hyperlink r:id="rId145" w:history="1">
        <w:r w:rsidRPr="00F53F9A">
          <w:rPr>
            <w:rStyle w:val="Hyperlink"/>
            <w:lang w:val="de-DE"/>
          </w:rPr>
          <w:t>https://bmds.bund.de/fileadmin/BMDS/Dokumente/Studie_Modellanalyse_KGM.pdf</w:t>
        </w:r>
      </w:hyperlink>
      <w:r w:rsidRPr="00F53F9A">
        <w:rPr>
          <w:lang w:val="de-DE"/>
        </w:rPr>
        <w:t xml:space="preserve"> (last accessed at 08.10.2025).</w:t>
      </w:r>
    </w:p>
  </w:footnote>
  <w:footnote w:id="245">
    <w:p w14:paraId="06C39878" w14:textId="77777777" w:rsidR="009F4F9B" w:rsidRPr="00D86314" w:rsidRDefault="009F4F9B" w:rsidP="00626E3A">
      <w:pPr>
        <w:pStyle w:val="FootnoteText"/>
        <w:spacing w:after="40"/>
      </w:pPr>
      <w:r w:rsidRPr="00D86314">
        <w:rPr>
          <w:rStyle w:val="FootnoteReference"/>
        </w:rPr>
        <w:footnoteRef/>
      </w:r>
      <w:r w:rsidRPr="00D86314">
        <w:t xml:space="preserve"> To avoid creating additional reporting burdens, these indicators will be </w:t>
      </w:r>
      <w:r w:rsidRPr="00D86314">
        <w:rPr>
          <w:b/>
        </w:rPr>
        <w:t>implemented gradually</w:t>
      </w:r>
      <w:r w:rsidRPr="00D86314">
        <w:t xml:space="preserve">, building on the methodology for mapping QoS of 5G networks, currently being developed by the European Commission in collaboration with BEREC. In the interim, they could be </w:t>
      </w:r>
      <w:r w:rsidRPr="00D86314">
        <w:rPr>
          <w:b/>
        </w:rPr>
        <w:t>complemented by crowdsourced datasets and international benchmarks</w:t>
      </w:r>
      <w:r w:rsidRPr="00D86314">
        <w:t>, currently available on the market, until harmonised NRA reporting is fully established.</w:t>
      </w:r>
    </w:p>
    <w:p w14:paraId="18BCD6F6" w14:textId="77777777" w:rsidR="009F4F9B" w:rsidRPr="00D86314" w:rsidRDefault="009F4F9B" w:rsidP="00626E3A">
      <w:pPr>
        <w:spacing w:after="120"/>
        <w:rPr>
          <w:sz w:val="20"/>
          <w:szCs w:val="20"/>
        </w:rPr>
      </w:pPr>
      <w:r w:rsidRPr="00D86314">
        <w:rPr>
          <w:sz w:val="20"/>
          <w:szCs w:val="20"/>
        </w:rPr>
        <w:t xml:space="preserve">This monitoring framework should be grounded in </w:t>
      </w:r>
      <w:r w:rsidRPr="00D86314">
        <w:rPr>
          <w:b/>
          <w:sz w:val="20"/>
          <w:szCs w:val="20"/>
        </w:rPr>
        <w:t xml:space="preserve">official data from Member States and NRAs </w:t>
      </w:r>
      <w:r w:rsidRPr="00D86314">
        <w:rPr>
          <w:sz w:val="20"/>
          <w:szCs w:val="20"/>
        </w:rPr>
        <w:t>collected through</w:t>
      </w:r>
      <w:r w:rsidRPr="00D86314">
        <w:rPr>
          <w:b/>
          <w:sz w:val="20"/>
          <w:szCs w:val="20"/>
        </w:rPr>
        <w:t xml:space="preserve"> </w:t>
      </w:r>
      <w:r w:rsidRPr="00D86314">
        <w:rPr>
          <w:i/>
          <w:sz w:val="20"/>
          <w:szCs w:val="20"/>
        </w:rPr>
        <w:t>Connectivity (former Broadband) Coverage Europe Study 2025-2027</w:t>
      </w:r>
      <w:r w:rsidRPr="00D86314">
        <w:rPr>
          <w:sz w:val="20"/>
          <w:szCs w:val="20"/>
        </w:rPr>
        <w:t xml:space="preserve">, ensuring regulatory credibility and comparability across the Union. These data will be </w:t>
      </w:r>
      <w:r w:rsidRPr="00D86314">
        <w:rPr>
          <w:b/>
          <w:sz w:val="20"/>
          <w:szCs w:val="20"/>
        </w:rPr>
        <w:t>complemented, not replaced</w:t>
      </w:r>
      <w:r w:rsidRPr="00D86314">
        <w:rPr>
          <w:sz w:val="20"/>
          <w:szCs w:val="20"/>
        </w:rPr>
        <w:t xml:space="preserve">, by international benchmarks (Ericsson, GSMA, GSA) and crowdsourced analytics (Ookla, OpenSignal, MedUX, Mozark, etc.) to validate trends and assess Europe’s positioning against global peers. Importantly, the framework </w:t>
      </w:r>
      <w:r w:rsidRPr="00D86314">
        <w:rPr>
          <w:b/>
          <w:sz w:val="20"/>
          <w:szCs w:val="20"/>
        </w:rPr>
        <w:t>does not increase the reporting burden</w:t>
      </w:r>
      <w:r w:rsidRPr="00D86314">
        <w:rPr>
          <w:sz w:val="20"/>
          <w:szCs w:val="20"/>
        </w:rPr>
        <w:t xml:space="preserve"> for NRAs, as it builds on existing data flows and harmonised methodologies. This approach will allow the Commission to measure the </w:t>
      </w:r>
      <w:r w:rsidRPr="00D86314">
        <w:rPr>
          <w:b/>
          <w:sz w:val="20"/>
          <w:szCs w:val="20"/>
        </w:rPr>
        <w:t>effectiveness of spectrum policy measures</w:t>
      </w:r>
      <w:r w:rsidRPr="00D86314">
        <w:rPr>
          <w:sz w:val="20"/>
          <w:szCs w:val="20"/>
        </w:rPr>
        <w:t xml:space="preserve">, the </w:t>
      </w:r>
      <w:r w:rsidRPr="00D86314">
        <w:rPr>
          <w:b/>
          <w:sz w:val="20"/>
          <w:szCs w:val="20"/>
        </w:rPr>
        <w:t>pace of 5G and 6G deployment</w:t>
      </w:r>
      <w:r w:rsidRPr="00D86314">
        <w:rPr>
          <w:sz w:val="20"/>
          <w:szCs w:val="20"/>
        </w:rPr>
        <w:t xml:space="preserve"> and the </w:t>
      </w:r>
      <w:r w:rsidRPr="00D86314">
        <w:rPr>
          <w:b/>
          <w:sz w:val="20"/>
          <w:szCs w:val="20"/>
        </w:rPr>
        <w:t>real-world benefits delivered to EU citizens and businesses</w:t>
      </w:r>
      <w:r w:rsidRPr="00D86314">
        <w:rPr>
          <w:sz w:val="20"/>
          <w:szCs w:val="20"/>
        </w:rPr>
        <w:t xml:space="preserve">, while supporting Europe’s ambition to lead globally in mobile connectivity. Together, these indicators make it possible to monitor the critical steps on Europe’s path towards the full capabilities of 5G, including advanced applications such as </w:t>
      </w:r>
      <w:r w:rsidRPr="00D86314">
        <w:rPr>
          <w:b/>
          <w:sz w:val="20"/>
          <w:szCs w:val="20"/>
        </w:rPr>
        <w:t>vehicle-to-everything (V2X)</w:t>
      </w:r>
      <w:r w:rsidRPr="00D86314">
        <w:rPr>
          <w:sz w:val="20"/>
          <w:szCs w:val="20"/>
        </w:rPr>
        <w:t xml:space="preserve">, </w:t>
      </w:r>
      <w:r w:rsidRPr="00D86314">
        <w:rPr>
          <w:b/>
          <w:sz w:val="20"/>
          <w:szCs w:val="20"/>
        </w:rPr>
        <w:t>autonomous mobility</w:t>
      </w:r>
      <w:r w:rsidRPr="00D86314">
        <w:rPr>
          <w:sz w:val="20"/>
          <w:szCs w:val="20"/>
        </w:rPr>
        <w:t xml:space="preserve"> and </w:t>
      </w:r>
      <w:r w:rsidRPr="00D86314">
        <w:rPr>
          <w:b/>
          <w:sz w:val="20"/>
          <w:szCs w:val="20"/>
        </w:rPr>
        <w:t>mission-critical services</w:t>
      </w:r>
      <w:r w:rsidRPr="00D86314">
        <w:rPr>
          <w:sz w:val="20"/>
          <w:szCs w:val="20"/>
        </w:rPr>
        <w:t xml:space="preserve">. </w:t>
      </w:r>
    </w:p>
    <w:p w14:paraId="1F8F6B05" w14:textId="77777777" w:rsidR="009F4F9B" w:rsidRPr="00D86314" w:rsidRDefault="009F4F9B" w:rsidP="009F4F9B">
      <w:pPr>
        <w:pStyle w:val="FootnoteText"/>
      </w:pPr>
    </w:p>
  </w:footnote>
  <w:footnote w:id="246">
    <w:p w14:paraId="5C095583" w14:textId="77C39329" w:rsidR="009F4F9B" w:rsidRPr="00D86314" w:rsidRDefault="009F4F9B" w:rsidP="009F4F9B">
      <w:pPr>
        <w:pStyle w:val="FootnoteText"/>
        <w:spacing w:after="120"/>
      </w:pPr>
      <w:r w:rsidRPr="00D86314">
        <w:rPr>
          <w:rStyle w:val="FootnoteReference"/>
        </w:rPr>
        <w:footnoteRef/>
      </w:r>
      <w:r w:rsidRPr="00D86314">
        <w:t xml:space="preserve"> Commission Delegated Regulation (EU) 2019/715 of 18 December 2018 on the framework financial regulation for the bodies set up under the TFEU and Euratom Treaty and referred to in Article</w:t>
      </w:r>
      <w:r w:rsidR="004A758B">
        <w:t> </w:t>
      </w:r>
      <w:r w:rsidRPr="00D86314">
        <w:t>70 of Regulation (EU, Euratom) 2018/1046 of the European Parliament and of the Council, OJ L 122, 10.5.2019, p. 1.</w:t>
      </w:r>
    </w:p>
  </w:footnote>
  <w:footnote w:id="247">
    <w:p w14:paraId="5AB6FA14" w14:textId="766B0B44" w:rsidR="005576AE" w:rsidRPr="00D86314" w:rsidRDefault="005576AE" w:rsidP="005576AE">
      <w:pPr>
        <w:pStyle w:val="FootnoteText"/>
        <w:tabs>
          <w:tab w:val="left" w:pos="7676"/>
        </w:tabs>
      </w:pPr>
      <w:r w:rsidRPr="00D86314">
        <w:rPr>
          <w:rStyle w:val="FootnoteReference"/>
        </w:rPr>
        <w:footnoteRef/>
      </w:r>
      <w:r w:rsidRPr="00D86314">
        <w:t xml:space="preserve"> Accenture “The Impact of 5G on the European Economy”, February 2021, page 46.</w:t>
      </w:r>
    </w:p>
  </w:footnote>
  <w:footnote w:id="248">
    <w:p w14:paraId="38A4B632" w14:textId="25A1070C" w:rsidR="005576AE" w:rsidRPr="00D86314" w:rsidRDefault="005576AE" w:rsidP="00822B16">
      <w:pPr>
        <w:pStyle w:val="FootnoteText"/>
        <w:jc w:val="left"/>
      </w:pPr>
      <w:r w:rsidRPr="00D86314">
        <w:rPr>
          <w:rStyle w:val="FootnoteReference"/>
        </w:rPr>
        <w:footnoteRef/>
      </w:r>
      <w:r w:rsidRPr="00D86314">
        <w:t xml:space="preserve"> A. Moglia </w:t>
      </w:r>
      <w:r w:rsidRPr="00D86314">
        <w:rPr>
          <w:i/>
        </w:rPr>
        <w:t>et al</w:t>
      </w:r>
      <w:r w:rsidRPr="00D86314">
        <w:t>., "5G in Healthcare: From COVID-19 to Future Challenges," in </w:t>
      </w:r>
      <w:r w:rsidRPr="00D86314">
        <w:rPr>
          <w:i/>
        </w:rPr>
        <w:t>IEEE Journal of Biomedical and Health Informatics</w:t>
      </w:r>
      <w:r w:rsidRPr="00D86314">
        <w:t>, vol. 26, no. 8, pp. 4187-4196, Aug. 2022, doi: 10.1109/JBHI.2022.3181205</w:t>
      </w:r>
      <w:r w:rsidR="000007FF" w:rsidRPr="00D86314">
        <w:t>.</w:t>
      </w:r>
    </w:p>
  </w:footnote>
  <w:footnote w:id="249">
    <w:p w14:paraId="21EE6958" w14:textId="77777777" w:rsidR="005576AE" w:rsidRPr="00D86314" w:rsidRDefault="005576AE" w:rsidP="005576AE">
      <w:pPr>
        <w:pStyle w:val="FootnoteText"/>
      </w:pPr>
      <w:r w:rsidRPr="00D86314">
        <w:rPr>
          <w:rStyle w:val="FootnoteReference"/>
        </w:rPr>
        <w:footnoteRef/>
      </w:r>
      <w:r w:rsidRPr="00D86314">
        <w:t xml:space="preserve"> GSMA “Study on Socio-Economic Benefits of 5G Services Provided in mmWave Bands”, December 2018, page 45.</w:t>
      </w:r>
    </w:p>
  </w:footnote>
  <w:footnote w:id="250">
    <w:p w14:paraId="571A4D75" w14:textId="25D1A3A5" w:rsidR="00822B16" w:rsidRPr="00D86314" w:rsidRDefault="005576AE" w:rsidP="005576AE">
      <w:pPr>
        <w:pStyle w:val="FootnoteText"/>
      </w:pPr>
      <w:r w:rsidRPr="00D86314">
        <w:rPr>
          <w:rStyle w:val="FootnoteReference"/>
        </w:rPr>
        <w:footnoteRef/>
      </w:r>
      <w:r w:rsidRPr="00D86314">
        <w:t xml:space="preserve"> Devi, D. H., Duraisamy, K., Armghan, A., Alsharari, M., Aliqab, K., Sorathiya, V., Das, S., &amp; Rashid, N. (2023). 5G Technology in Healthcare and Wearable Devices: A Review. </w:t>
      </w:r>
      <w:r w:rsidRPr="00D86314">
        <w:rPr>
          <w:i/>
          <w:iCs/>
        </w:rPr>
        <w:t>Sensors</w:t>
      </w:r>
      <w:r w:rsidRPr="00D86314">
        <w:t>, </w:t>
      </w:r>
      <w:r w:rsidRPr="00D86314">
        <w:rPr>
          <w:i/>
          <w:iCs/>
        </w:rPr>
        <w:t>23</w:t>
      </w:r>
      <w:r w:rsidRPr="00D86314">
        <w:t xml:space="preserve">(5), 2519. </w:t>
      </w:r>
      <w:hyperlink r:id="rId146" w:history="1">
        <w:r w:rsidR="00822B16" w:rsidRPr="00D86314">
          <w:rPr>
            <w:rStyle w:val="Hyperlink"/>
          </w:rPr>
          <w:t>https://doi.org/10.3390/s23052519</w:t>
        </w:r>
      </w:hyperlink>
      <w:r w:rsidR="006E38C1" w:rsidRPr="00D86314">
        <w:t>.</w:t>
      </w:r>
    </w:p>
  </w:footnote>
  <w:footnote w:id="251">
    <w:p w14:paraId="09444866" w14:textId="25AAC01D" w:rsidR="00822B16" w:rsidRPr="00D86314" w:rsidRDefault="005576AE" w:rsidP="005576AE">
      <w:pPr>
        <w:pStyle w:val="FootnoteText"/>
      </w:pPr>
      <w:r w:rsidRPr="00D86314">
        <w:rPr>
          <w:rStyle w:val="FootnoteReference"/>
        </w:rPr>
        <w:footnoteRef/>
      </w:r>
      <w:r w:rsidRPr="00D86314">
        <w:t xml:space="preserve"> PwC (2021): The global economic impact of 5G, available at: </w:t>
      </w:r>
      <w:hyperlink r:id="rId147" w:history="1">
        <w:r w:rsidR="00822B16" w:rsidRPr="00D86314">
          <w:rPr>
            <w:rStyle w:val="Hyperlink"/>
          </w:rPr>
          <w:t>https://www.pwc.com/gx/en/tmt/5g/global-economic-impact-5g.pdf</w:t>
        </w:r>
      </w:hyperlink>
      <w:r w:rsidR="006E38C1" w:rsidRPr="00D86314">
        <w:t>.</w:t>
      </w:r>
    </w:p>
  </w:footnote>
  <w:footnote w:id="252">
    <w:p w14:paraId="6D785F5A" w14:textId="77777777" w:rsidR="005576AE" w:rsidRPr="00D86314" w:rsidRDefault="005576AE" w:rsidP="005576AE">
      <w:pPr>
        <w:pStyle w:val="FootnoteText"/>
      </w:pPr>
      <w:r w:rsidRPr="00D86314">
        <w:rPr>
          <w:rStyle w:val="FootnoteReference"/>
        </w:rPr>
        <w:footnoteRef/>
      </w:r>
      <w:r w:rsidRPr="00D86314">
        <w:t xml:space="preserve"> World Economic Forum and PwC Report page 12.</w:t>
      </w:r>
    </w:p>
  </w:footnote>
  <w:footnote w:id="253">
    <w:p w14:paraId="3DEEDF28" w14:textId="77777777" w:rsidR="005576AE" w:rsidRPr="00C20A01" w:rsidRDefault="005576AE" w:rsidP="005576AE">
      <w:pPr>
        <w:pStyle w:val="FootnoteText"/>
        <w:rPr>
          <w:lang w:val="fr-BE"/>
        </w:rPr>
      </w:pPr>
      <w:r w:rsidRPr="00D86314">
        <w:rPr>
          <w:rStyle w:val="FootnoteReference"/>
        </w:rPr>
        <w:footnoteRef/>
      </w:r>
      <w:r w:rsidRPr="00C20A01">
        <w:rPr>
          <w:lang w:val="fr-BE"/>
        </w:rPr>
        <w:t xml:space="preserve"> Accenture report page 29.</w:t>
      </w:r>
    </w:p>
  </w:footnote>
  <w:footnote w:id="254">
    <w:p w14:paraId="0FF3C4E5" w14:textId="77777777" w:rsidR="005576AE" w:rsidRPr="00C20A01" w:rsidRDefault="005576AE" w:rsidP="005576AE">
      <w:pPr>
        <w:pStyle w:val="FootnoteText"/>
        <w:rPr>
          <w:lang w:val="fr-BE"/>
        </w:rPr>
      </w:pPr>
      <w:r w:rsidRPr="00D86314">
        <w:rPr>
          <w:rStyle w:val="FootnoteReference"/>
        </w:rPr>
        <w:footnoteRef/>
      </w:r>
      <w:r w:rsidRPr="00C20A01">
        <w:rPr>
          <w:lang w:val="fr-BE"/>
        </w:rPr>
        <w:t xml:space="preserve"> GSMA report page 53.</w:t>
      </w:r>
    </w:p>
  </w:footnote>
  <w:footnote w:id="255">
    <w:p w14:paraId="15D543FC" w14:textId="5F0D7DA5" w:rsidR="005576AE" w:rsidRPr="00D86314" w:rsidRDefault="005576AE" w:rsidP="005576AE">
      <w:pPr>
        <w:pStyle w:val="FootnoteText"/>
      </w:pPr>
      <w:r w:rsidRPr="00D86314">
        <w:rPr>
          <w:rStyle w:val="FootnoteReference"/>
        </w:rPr>
        <w:footnoteRef/>
      </w:r>
      <w:r w:rsidRPr="00F57DAF">
        <w:rPr>
          <w:lang w:val="en-IE"/>
        </w:rPr>
        <w:t xml:space="preserve"> Noor-A-Rahim, M., John, J., Firyaguna, F., Sherazi, H. H. R., Kushch, S., Vijayan, A., O’Connell, E., Pesch, D., O’Flynn, B., O’Brien, W., Hayes, M., &amp; Armstrong, E. (2023). </w:t>
      </w:r>
      <w:r w:rsidRPr="00D86314">
        <w:t>Wireless Communications for Smart Manufacturing and Industrial IoT: Existing Technologies, 5G and Beyond. </w:t>
      </w:r>
      <w:r w:rsidRPr="00D86314">
        <w:rPr>
          <w:i/>
        </w:rPr>
        <w:t>Sensors</w:t>
      </w:r>
      <w:r w:rsidRPr="00D86314">
        <w:t>, </w:t>
      </w:r>
      <w:r w:rsidRPr="00D86314">
        <w:rPr>
          <w:i/>
        </w:rPr>
        <w:t>23</w:t>
      </w:r>
      <w:r w:rsidRPr="00D86314">
        <w:t xml:space="preserve">(1), 73. </w:t>
      </w:r>
      <w:hyperlink r:id="rId148" w:history="1">
        <w:r w:rsidRPr="00D86314">
          <w:rPr>
            <w:rStyle w:val="Hyperlink"/>
          </w:rPr>
          <w:t>https://doi.org/10.3390/s23010073</w:t>
        </w:r>
      </w:hyperlink>
      <w:r w:rsidR="006E38C1" w:rsidRPr="00D86314">
        <w:t>.</w:t>
      </w:r>
    </w:p>
  </w:footnote>
  <w:footnote w:id="256">
    <w:p w14:paraId="319DD644" w14:textId="3EB14628" w:rsidR="005576AE" w:rsidRPr="00D86314" w:rsidRDefault="005576AE" w:rsidP="0033189C">
      <w:pPr>
        <w:pStyle w:val="FootnoteText"/>
        <w:jc w:val="left"/>
      </w:pPr>
      <w:r w:rsidRPr="00D86314">
        <w:rPr>
          <w:rStyle w:val="FootnoteReference"/>
        </w:rPr>
        <w:footnoteRef/>
      </w:r>
      <w:r w:rsidRPr="00D86314">
        <w:t xml:space="preserve"> McKinsey (2020): Smarter factories: How 5G can jump-start Industry 4.0, available at: </w:t>
      </w:r>
      <w:hyperlink r:id="rId149" w:history="1">
        <w:r w:rsidRPr="00D86314">
          <w:rPr>
            <w:rStyle w:val="Hyperlink"/>
          </w:rPr>
          <w:t>https://www.mckinsey.com/capabilities/mckinsey-digital/our-insights/digital-blog/smarter-factories-how-5g-can-jump-start-industry-40</w:t>
        </w:r>
      </w:hyperlink>
      <w:r w:rsidR="007473B0" w:rsidRPr="00D86314">
        <w:t>.</w:t>
      </w:r>
      <w:r w:rsidRPr="00D86314">
        <w:t xml:space="preserve"> </w:t>
      </w:r>
    </w:p>
  </w:footnote>
  <w:footnote w:id="257">
    <w:p w14:paraId="0F31BFA1" w14:textId="1B8CC9A8" w:rsidR="005576AE" w:rsidRPr="00D86314" w:rsidRDefault="005576AE" w:rsidP="005576AE">
      <w:pPr>
        <w:pStyle w:val="FootnoteText"/>
      </w:pPr>
      <w:r w:rsidRPr="00D86314">
        <w:rPr>
          <w:rStyle w:val="FootnoteReference"/>
        </w:rPr>
        <w:footnoteRef/>
      </w:r>
      <w:r w:rsidRPr="00D86314">
        <w:t xml:space="preserve"> PwC (2021): The global economic impact of 5G, available at: </w:t>
      </w:r>
      <w:hyperlink r:id="rId150" w:history="1">
        <w:r w:rsidRPr="00D86314">
          <w:rPr>
            <w:rStyle w:val="Hyperlink"/>
          </w:rPr>
          <w:t>https://www.pwc.com/gx/en/tmt/5g/global-economic-impact-5g.pdf</w:t>
        </w:r>
      </w:hyperlink>
      <w:r w:rsidR="006E38C1" w:rsidRPr="00D86314">
        <w:t>.</w:t>
      </w:r>
    </w:p>
  </w:footnote>
  <w:footnote w:id="258">
    <w:p w14:paraId="02913D90" w14:textId="77777777" w:rsidR="005576AE" w:rsidRPr="00D86314" w:rsidRDefault="005576AE" w:rsidP="005576AE">
      <w:pPr>
        <w:pStyle w:val="FootnoteText"/>
      </w:pPr>
      <w:r w:rsidRPr="00D86314">
        <w:rPr>
          <w:rStyle w:val="FootnoteReference"/>
        </w:rPr>
        <w:footnoteRef/>
      </w:r>
      <w:r w:rsidRPr="00D86314">
        <w:t xml:space="preserve"> GSMA report page 47.</w:t>
      </w:r>
    </w:p>
  </w:footnote>
  <w:footnote w:id="259">
    <w:p w14:paraId="18F36806" w14:textId="77777777" w:rsidR="005576AE" w:rsidRPr="00D86314" w:rsidRDefault="005576AE" w:rsidP="005576AE">
      <w:pPr>
        <w:pStyle w:val="FootnoteText"/>
      </w:pPr>
      <w:r w:rsidRPr="00D86314">
        <w:rPr>
          <w:rStyle w:val="FootnoteReference"/>
        </w:rPr>
        <w:footnoteRef/>
      </w:r>
      <w:r w:rsidRPr="00D86314">
        <w:t xml:space="preserve"> Analysys Mason report for Ericsson and Qualcomm “Costs and benefits of 5G geographical coverage in Europe”, March 2021, page 48.</w:t>
      </w:r>
    </w:p>
  </w:footnote>
  <w:footnote w:id="260">
    <w:p w14:paraId="4CEA7630" w14:textId="5356D103" w:rsidR="005576AE" w:rsidRPr="00D86314" w:rsidRDefault="005576AE" w:rsidP="0033189C">
      <w:pPr>
        <w:pStyle w:val="FootnoteText"/>
        <w:jc w:val="left"/>
      </w:pPr>
      <w:r w:rsidRPr="00D86314">
        <w:rPr>
          <w:rStyle w:val="FootnoteReference"/>
        </w:rPr>
        <w:footnoteRef/>
      </w:r>
      <w:r w:rsidRPr="00D86314">
        <w:t xml:space="preserve"> McKinsey (2022): The future of automotive computing: Cloud and edge, available at: </w:t>
      </w:r>
      <w:hyperlink r:id="rId151" w:history="1">
        <w:r w:rsidRPr="00D86314">
          <w:rPr>
            <w:rStyle w:val="Hyperlink"/>
          </w:rPr>
          <w:t>https://www.mckinsey.com/industries/semiconductors/our-insights/the-future-of-automotive-computing-cloud-and-edge</w:t>
        </w:r>
      </w:hyperlink>
      <w:r w:rsidR="006E38C1" w:rsidRPr="00D86314">
        <w:t>.</w:t>
      </w:r>
    </w:p>
  </w:footnote>
  <w:footnote w:id="261">
    <w:p w14:paraId="59C4EF45" w14:textId="77777777" w:rsidR="005576AE" w:rsidRPr="00D86314" w:rsidRDefault="005576AE" w:rsidP="005576AE">
      <w:pPr>
        <w:pStyle w:val="FootnoteText"/>
      </w:pPr>
      <w:r w:rsidRPr="00D86314">
        <w:rPr>
          <w:rStyle w:val="FootnoteReference"/>
        </w:rPr>
        <w:footnoteRef/>
      </w:r>
      <w:r w:rsidRPr="00D86314">
        <w:t xml:space="preserve"> World Economic Forum and PwC Report page 18.</w:t>
      </w:r>
    </w:p>
  </w:footnote>
  <w:footnote w:id="262">
    <w:p w14:paraId="731C101E" w14:textId="77777777" w:rsidR="005576AE" w:rsidRPr="00D86314" w:rsidRDefault="005576AE" w:rsidP="005576AE">
      <w:pPr>
        <w:pStyle w:val="FootnoteText"/>
      </w:pPr>
      <w:r w:rsidRPr="00D86314">
        <w:rPr>
          <w:rStyle w:val="FootnoteReference"/>
        </w:rPr>
        <w:footnoteRef/>
      </w:r>
      <w:r w:rsidRPr="00D86314">
        <w:t xml:space="preserve"> Accenture report page 54.</w:t>
      </w:r>
    </w:p>
  </w:footnote>
  <w:footnote w:id="263">
    <w:p w14:paraId="16A337E0" w14:textId="77777777" w:rsidR="005576AE" w:rsidRPr="00D86314" w:rsidRDefault="005576AE" w:rsidP="005576AE">
      <w:pPr>
        <w:pStyle w:val="FootnoteText"/>
      </w:pPr>
      <w:r w:rsidRPr="00D86314">
        <w:rPr>
          <w:rStyle w:val="FootnoteReference"/>
        </w:rPr>
        <w:footnoteRef/>
      </w:r>
      <w:r w:rsidRPr="00D86314">
        <w:t xml:space="preserve"> PwC (2021): The global economic impact of 5G, available at: </w:t>
      </w:r>
      <w:hyperlink r:id="rId152" w:history="1">
        <w:r w:rsidRPr="00D86314">
          <w:rPr>
            <w:rStyle w:val="Hyperlink"/>
          </w:rPr>
          <w:t>https://www.pwc.com/gx/en/tmt/5g/global-economic-impact-5g.pdf</w:t>
        </w:r>
      </w:hyperlink>
      <w:r w:rsidRPr="00D86314">
        <w:t xml:space="preserve"> </w:t>
      </w:r>
    </w:p>
  </w:footnote>
  <w:footnote w:id="264">
    <w:p w14:paraId="0EA35249" w14:textId="319BE30A" w:rsidR="005576AE" w:rsidRPr="00D86314" w:rsidRDefault="005576AE" w:rsidP="005576AE">
      <w:pPr>
        <w:pStyle w:val="FootnoteText"/>
      </w:pPr>
      <w:r w:rsidRPr="00D86314">
        <w:rPr>
          <w:rStyle w:val="FootnoteReference"/>
        </w:rPr>
        <w:footnoteRef/>
      </w:r>
      <w:r w:rsidRPr="00D86314">
        <w:t xml:space="preserve"> Ericsson (2020): Bringing 5G to power: Opportunities and challenges with connected power distribution grids, available at: </w:t>
      </w:r>
      <w:hyperlink r:id="rId153" w:history="1">
        <w:r w:rsidRPr="00D86314">
          <w:rPr>
            <w:rStyle w:val="Hyperlink"/>
          </w:rPr>
          <w:t>https://www.ericsson.com/4ac680/assets/local/reports-papers/industrylab/doc/bringing-5g-to-power---industrylab-report.pdf</w:t>
        </w:r>
      </w:hyperlink>
      <w:r w:rsidR="00492FE7" w:rsidRPr="00D86314">
        <w:t>.</w:t>
      </w:r>
    </w:p>
  </w:footnote>
  <w:footnote w:id="265">
    <w:p w14:paraId="2A98800E" w14:textId="77777777" w:rsidR="005576AE" w:rsidRPr="00D86314" w:rsidRDefault="005576AE" w:rsidP="005576AE">
      <w:pPr>
        <w:pStyle w:val="FootnoteText"/>
      </w:pPr>
      <w:r w:rsidRPr="00D86314">
        <w:rPr>
          <w:rStyle w:val="FootnoteReference"/>
        </w:rPr>
        <w:footnoteRef/>
      </w:r>
      <w:r w:rsidRPr="00D86314">
        <w:t xml:space="preserve"> </w:t>
      </w:r>
      <w:r w:rsidRPr="00D86314">
        <w:rPr>
          <w:i/>
        </w:rPr>
        <w:t>Ibid</w:t>
      </w:r>
      <w:r w:rsidRPr="00D86314">
        <w:t xml:space="preserve"> page 63.</w:t>
      </w:r>
    </w:p>
  </w:footnote>
  <w:footnote w:id="266">
    <w:p w14:paraId="1ECDDE27" w14:textId="2682BE84" w:rsidR="00CB67C3" w:rsidRPr="00D86314" w:rsidRDefault="005576AE" w:rsidP="005576AE">
      <w:pPr>
        <w:pStyle w:val="FootnoteText"/>
      </w:pPr>
      <w:r w:rsidRPr="00D86314">
        <w:rPr>
          <w:rStyle w:val="FootnoteReference"/>
        </w:rPr>
        <w:footnoteRef/>
      </w:r>
      <w:r w:rsidRPr="00D86314">
        <w:t xml:space="preserve"> </w:t>
      </w:r>
      <w:hyperlink r:id="rId154" w:history="1">
        <w:r w:rsidR="00CB67C3" w:rsidRPr="00D86314">
          <w:rPr>
            <w:rStyle w:val="Hyperlink"/>
          </w:rPr>
          <w:t>https://www.gsma.com/5ghub/smartagri/</w:t>
        </w:r>
      </w:hyperlink>
    </w:p>
  </w:footnote>
  <w:footnote w:id="267">
    <w:p w14:paraId="289EE631" w14:textId="3888A564" w:rsidR="003261EC" w:rsidRPr="00D86314" w:rsidRDefault="003261EC" w:rsidP="003261EC">
      <w:pPr>
        <w:pStyle w:val="FootnoteText"/>
      </w:pPr>
      <w:r w:rsidRPr="00D86314">
        <w:rPr>
          <w:rStyle w:val="FootnoteReference"/>
        </w:rPr>
        <w:footnoteRef/>
      </w:r>
      <w:r w:rsidRPr="00D86314">
        <w:t xml:space="preserve"> RSPG (2024). Opinion on Spectrum Policy for Next-Generation Wireless Systems (6G). Available at: </w:t>
      </w:r>
      <w:hyperlink r:id="rId155" w:history="1">
        <w:r w:rsidR="00133EEA" w:rsidRPr="00D86314">
          <w:rPr>
            <w:rStyle w:val="Hyperlink"/>
          </w:rPr>
          <w:t>https://rspg-spectrum.eu</w:t>
        </w:r>
      </w:hyperlink>
      <w:r w:rsidR="006D62FC" w:rsidRPr="00D86314">
        <w:t>.</w:t>
      </w:r>
    </w:p>
  </w:footnote>
  <w:footnote w:id="268">
    <w:p w14:paraId="72F1B213" w14:textId="4E6F3AA7" w:rsidR="003261EC" w:rsidRPr="00D86314" w:rsidRDefault="003261EC" w:rsidP="00CB67C3">
      <w:pPr>
        <w:pStyle w:val="FootnoteText"/>
        <w:jc w:val="left"/>
      </w:pPr>
      <w:r w:rsidRPr="00D86314">
        <w:rPr>
          <w:rStyle w:val="FootnoteReference"/>
        </w:rPr>
        <w:footnoteRef/>
      </w:r>
      <w:r w:rsidRPr="00D86314">
        <w:t xml:space="preserve"> LS Telcom, PolicyTracker &amp; VVA (2023). Study on Assessing the Efficiency of Radio Spectrum Award Processes in the Member States. Available at: </w:t>
      </w:r>
      <w:hyperlink r:id="rId156" w:history="1">
        <w:r w:rsidR="00133EEA" w:rsidRPr="00D86314">
          <w:rPr>
            <w:rStyle w:val="Hyperlink"/>
          </w:rPr>
          <w:t>https://op.europa.eu/en/publication-detail/-/publication/036d50f1-a1e2-11ed-b508-01aa75ed71a1</w:t>
        </w:r>
      </w:hyperlink>
      <w:r w:rsidR="00133EEA" w:rsidRPr="00D86314">
        <w:t xml:space="preserve"> </w:t>
      </w:r>
      <w:r w:rsidR="00BE399E" w:rsidRPr="00D86314">
        <w:t>.</w:t>
      </w:r>
    </w:p>
  </w:footnote>
  <w:footnote w:id="269">
    <w:p w14:paraId="3D497FA9" w14:textId="043904A4" w:rsidR="003261EC" w:rsidRPr="00D86314" w:rsidRDefault="003261EC" w:rsidP="003261EC">
      <w:pPr>
        <w:pStyle w:val="FootnoteText"/>
      </w:pPr>
      <w:r w:rsidRPr="00D86314">
        <w:rPr>
          <w:rStyle w:val="FootnoteReference"/>
        </w:rPr>
        <w:footnoteRef/>
      </w:r>
      <w:r w:rsidRPr="00D86314">
        <w:t xml:space="preserve"> European Commission (2022). Strategic Roadmap Towards 6G for Europe. Available at: </w:t>
      </w:r>
      <w:hyperlink r:id="rId157" w:history="1">
        <w:r w:rsidR="00133EEA" w:rsidRPr="00D86314">
          <w:rPr>
            <w:rStyle w:val="Hyperlink"/>
          </w:rPr>
          <w:t>https://digital-strategy.ec.europa.eu/en/policies/6g</w:t>
        </w:r>
      </w:hyperlink>
      <w:r w:rsidR="00BE399E" w:rsidRPr="00D86314">
        <w:t>.</w:t>
      </w:r>
    </w:p>
  </w:footnote>
  <w:footnote w:id="270">
    <w:p w14:paraId="47B33A81" w14:textId="2855DCD1" w:rsidR="003261EC" w:rsidRPr="00D86314" w:rsidRDefault="003261EC" w:rsidP="003261EC">
      <w:pPr>
        <w:pStyle w:val="FootnoteText"/>
      </w:pPr>
      <w:r w:rsidRPr="00D86314">
        <w:rPr>
          <w:rStyle w:val="FootnoteReference"/>
        </w:rPr>
        <w:footnoteRef/>
      </w:r>
      <w:r w:rsidRPr="00D86314">
        <w:t xml:space="preserve"> CEPT/ECC (2024). CEPT Roadmap for 6G Spectrum. Available at: </w:t>
      </w:r>
      <w:hyperlink r:id="rId158" w:history="1">
        <w:r w:rsidR="00133EEA" w:rsidRPr="00D86314">
          <w:rPr>
            <w:rStyle w:val="Hyperlink"/>
          </w:rPr>
          <w:t>https://cept.org/ecc</w:t>
        </w:r>
      </w:hyperlink>
      <w:r w:rsidR="00010A7B" w:rsidRPr="00D86314">
        <w:t>.</w:t>
      </w:r>
      <w:r w:rsidR="00133EEA" w:rsidRPr="00D86314">
        <w:t xml:space="preserve"> </w:t>
      </w:r>
    </w:p>
  </w:footnote>
  <w:footnote w:id="271">
    <w:p w14:paraId="412F1250" w14:textId="20235F36" w:rsidR="003A593A" w:rsidRPr="00C20A01" w:rsidRDefault="003A593A" w:rsidP="00271373">
      <w:pPr>
        <w:pStyle w:val="FootnoteText"/>
        <w:widowControl w:val="0"/>
      </w:pPr>
      <w:r w:rsidRPr="00D86314">
        <w:rPr>
          <w:rStyle w:val="FootnoteReference"/>
        </w:rPr>
        <w:footnoteRef/>
      </w:r>
      <w:r w:rsidRPr="00D86314">
        <w:t xml:space="preserve"> For more details on Space Bureau responsibilities see</w:t>
      </w:r>
      <w:r w:rsidR="00933B9A" w:rsidRPr="00D86314">
        <w:t xml:space="preserve"> Study on Digital Single Market (DSM).</w:t>
      </w:r>
    </w:p>
  </w:footnote>
  <w:footnote w:id="272">
    <w:p w14:paraId="4D2BAC07" w14:textId="4B9710CF" w:rsidR="00014768" w:rsidRPr="00C20A01" w:rsidRDefault="00014768" w:rsidP="00014768">
      <w:pPr>
        <w:pStyle w:val="FootnoteText"/>
      </w:pPr>
      <w:r w:rsidRPr="00D86314">
        <w:rPr>
          <w:rStyle w:val="FootnoteReference"/>
        </w:rPr>
        <w:footnoteRef/>
      </w:r>
      <w:r w:rsidRPr="00C20A01">
        <w:t xml:space="preserve"> FCC (n.d.). Space: </w:t>
      </w:r>
      <w:hyperlink r:id="rId159" w:history="1">
        <w:r w:rsidRPr="00C20A01">
          <w:rPr>
            <w:rStyle w:val="Hyperlink"/>
          </w:rPr>
          <w:t>https://www.fcc.gov/space</w:t>
        </w:r>
      </w:hyperlink>
      <w:r w:rsidRPr="00C20A01">
        <w:t>.</w:t>
      </w:r>
    </w:p>
  </w:footnote>
  <w:footnote w:id="273">
    <w:p w14:paraId="5A68B70F" w14:textId="77777777" w:rsidR="009A4716" w:rsidRPr="00D86314" w:rsidRDefault="009A4716" w:rsidP="009A4716">
      <w:pPr>
        <w:pStyle w:val="FootnoteText"/>
        <w:jc w:val="left"/>
      </w:pPr>
      <w:r w:rsidRPr="00D86314">
        <w:rPr>
          <w:rStyle w:val="FootnoteReference"/>
        </w:rPr>
        <w:footnoteRef/>
      </w:r>
      <w:r w:rsidRPr="00D86314">
        <w:t xml:space="preserve"> FCC (2023). FCC Space Bureau &amp; Office of International Affairs to Launch Next Week: </w:t>
      </w:r>
      <w:hyperlink r:id="rId160" w:history="1">
        <w:r w:rsidRPr="00D86314">
          <w:rPr>
            <w:rStyle w:val="Hyperlink"/>
          </w:rPr>
          <w:t>https://docs.fcc.gov/public/attachments/DOC-392418A1.pdf</w:t>
        </w:r>
      </w:hyperlink>
      <w:r w:rsidRPr="00D86314">
        <w:t>.</w:t>
      </w:r>
    </w:p>
  </w:footnote>
  <w:footnote w:id="274">
    <w:p w14:paraId="14CA1B41" w14:textId="77777777" w:rsidR="00EF63B4" w:rsidRPr="00C20A01" w:rsidRDefault="00EF63B4"/>
    <w:p w14:paraId="1A00E0DC" w14:textId="07CB1008" w:rsidR="00717277" w:rsidRPr="00C20A01" w:rsidRDefault="00717277" w:rsidP="00717277">
      <w:pPr>
        <w:pStyle w:val="FootnoteText"/>
      </w:pPr>
    </w:p>
  </w:footnote>
  <w:footnote w:id="275">
    <w:p w14:paraId="288449FB" w14:textId="77777777" w:rsidR="00EF63B4" w:rsidRPr="00C20A01" w:rsidRDefault="00EF63B4"/>
    <w:p w14:paraId="3EBDA76A" w14:textId="77777777" w:rsidR="000C4476" w:rsidRPr="00C20A01" w:rsidRDefault="000C4476" w:rsidP="000C4476"/>
  </w:footnote>
  <w:footnote w:id="276">
    <w:p w14:paraId="78B2A2DD" w14:textId="77777777" w:rsidR="00AA4A3E" w:rsidRPr="00C20A01" w:rsidRDefault="00AA4A3E" w:rsidP="00AA4A3E">
      <w:pPr>
        <w:pStyle w:val="FootnoteText"/>
        <w:rPr>
          <w:lang w:val="fr-BE"/>
        </w:rPr>
      </w:pPr>
      <w:r w:rsidRPr="00D86314">
        <w:rPr>
          <w:rStyle w:val="FootnoteReference"/>
        </w:rPr>
        <w:footnoteRef/>
      </w:r>
      <w:r w:rsidRPr="00C20A01">
        <w:rPr>
          <w:lang w:val="fr-BE"/>
        </w:rPr>
        <w:t xml:space="preserve"> SES (2024), “SES &amp; Spacerise sign IRIS2 concession contract”.</w:t>
      </w:r>
    </w:p>
  </w:footnote>
  <w:footnote w:id="277">
    <w:p w14:paraId="6225F72A" w14:textId="60B556F8" w:rsidR="00FE4980" w:rsidRPr="00D86314" w:rsidRDefault="00FE4980" w:rsidP="00FE4980">
      <w:pPr>
        <w:pStyle w:val="FootnoteText"/>
        <w:jc w:val="left"/>
      </w:pPr>
      <w:r w:rsidRPr="00D86314">
        <w:rPr>
          <w:rStyle w:val="FootnoteReference"/>
        </w:rPr>
        <w:footnoteRef/>
      </w:r>
      <w:r w:rsidRPr="00D86314">
        <w:t xml:space="preserve"> Article</w:t>
      </w:r>
      <w:r w:rsidR="004A758B">
        <w:t> </w:t>
      </w:r>
      <w:r w:rsidRPr="00D86314">
        <w:t>2 Decision No 676/2002/EC of the European Parliament and of the Council of 7 March 2002 on a regulatory framework for radio spectrum policy in the European Community</w:t>
      </w:r>
      <w:r w:rsidR="005C6A47" w:rsidRPr="00D86314">
        <w:t>.</w:t>
      </w:r>
    </w:p>
  </w:footnote>
  <w:footnote w:id="278">
    <w:p w14:paraId="179999C4" w14:textId="77777777" w:rsidR="00F56CA6" w:rsidRPr="00D86314" w:rsidRDefault="00F56CA6" w:rsidP="00CA7523">
      <w:pPr>
        <w:pStyle w:val="FootnoteText"/>
        <w:jc w:val="left"/>
      </w:pPr>
      <w:r w:rsidRPr="00D86314">
        <w:rPr>
          <w:rStyle w:val="FootnoteReference"/>
        </w:rPr>
        <w:footnoteRef/>
      </w:r>
      <w:r w:rsidRPr="00D86314">
        <w:t xml:space="preserve"> The electromagnetic spectrum is the range of all types of electromagnetic radiation, arranged according to their frequency. This includes Radio waves, infrared, ultraviolet, X-Rays, etc.</w:t>
      </w:r>
    </w:p>
  </w:footnote>
  <w:footnote w:id="279">
    <w:p w14:paraId="30148E1A" w14:textId="12AE6D4A" w:rsidR="0062650C" w:rsidRPr="00D86314" w:rsidRDefault="0062650C" w:rsidP="0062650C">
      <w:pPr>
        <w:pStyle w:val="FootnoteText"/>
      </w:pPr>
      <w:r w:rsidRPr="00D86314">
        <w:rPr>
          <w:rStyle w:val="FootnoteReference"/>
        </w:rPr>
        <w:footnoteRef/>
      </w:r>
      <w:r w:rsidRPr="00D86314">
        <w:t xml:space="preserve"> </w:t>
      </w:r>
      <w:hyperlink r:id="rId161" w:history="1">
        <w:r w:rsidRPr="00D86314">
          <w:rPr>
            <w:rStyle w:val="Hyperlink"/>
          </w:rPr>
          <w:t>see 2024 US national spectrum strategy implementation plan</w:t>
        </w:r>
      </w:hyperlink>
      <w:r w:rsidR="000B0B0C" w:rsidRPr="00D86314">
        <w:t>.</w:t>
      </w:r>
    </w:p>
  </w:footnote>
  <w:footnote w:id="280">
    <w:p w14:paraId="3A81143B" w14:textId="4BC4A21F" w:rsidR="00F469D7" w:rsidRPr="00D86314" w:rsidRDefault="00F469D7">
      <w:pPr>
        <w:pStyle w:val="FootnoteText"/>
      </w:pPr>
      <w:r w:rsidRPr="00D86314">
        <w:rPr>
          <w:rStyle w:val="FootnoteReference"/>
        </w:rPr>
        <w:footnoteRef/>
      </w:r>
      <w:r w:rsidRPr="00D86314">
        <w:t xml:space="preserve"> </w:t>
      </w:r>
      <w:hyperlink r:id="rId162" w:history="1">
        <w:r w:rsidRPr="00D86314">
          <w:rPr>
            <w:rStyle w:val="Hyperlink"/>
            <w:sz w:val="18"/>
            <w:szCs w:val="18"/>
          </w:rPr>
          <w:t>Memorandum of Understanding Between the FCC and NTIA | National Telecommunications and Information Administration</w:t>
        </w:r>
      </w:hyperlink>
      <w:r w:rsidR="000B0B0C" w:rsidRPr="00D86314">
        <w:t>.</w:t>
      </w:r>
    </w:p>
  </w:footnote>
  <w:footnote w:id="281">
    <w:p w14:paraId="73F41BAD" w14:textId="17B896D9" w:rsidR="001E5B8D" w:rsidRPr="00C20A01" w:rsidRDefault="001E5B8D">
      <w:pPr>
        <w:pStyle w:val="FootnoteText"/>
        <w:rPr>
          <w:sz w:val="18"/>
          <w:szCs w:val="18"/>
        </w:rPr>
      </w:pPr>
      <w:r w:rsidRPr="00D86314">
        <w:rPr>
          <w:rStyle w:val="FootnoteReference"/>
          <w:sz w:val="18"/>
          <w:szCs w:val="18"/>
        </w:rPr>
        <w:footnoteRef/>
      </w:r>
      <w:r w:rsidRPr="00D86314">
        <w:rPr>
          <w:sz w:val="18"/>
          <w:szCs w:val="18"/>
        </w:rPr>
        <w:t xml:space="preserve"> </w:t>
      </w:r>
      <w:r w:rsidRPr="00C20A01">
        <w:rPr>
          <w:sz w:val="18"/>
          <w:szCs w:val="18"/>
        </w:rPr>
        <w:t>FCC Communication</w:t>
      </w:r>
      <w:r w:rsidR="002C7EAE" w:rsidRPr="00C20A01">
        <w:rPr>
          <w:sz w:val="18"/>
          <w:szCs w:val="18"/>
        </w:rPr>
        <w:t>s</w:t>
      </w:r>
      <w:r w:rsidRPr="00C20A01">
        <w:rPr>
          <w:sz w:val="18"/>
          <w:szCs w:val="18"/>
        </w:rPr>
        <w:t xml:space="preserve"> Market</w:t>
      </w:r>
      <w:r w:rsidR="002C7EAE" w:rsidRPr="00C20A01">
        <w:rPr>
          <w:sz w:val="18"/>
          <w:szCs w:val="18"/>
        </w:rPr>
        <w:t>place</w:t>
      </w:r>
      <w:r w:rsidRPr="00C20A01">
        <w:rPr>
          <w:sz w:val="18"/>
          <w:szCs w:val="18"/>
        </w:rPr>
        <w:t xml:space="preserve"> Report</w:t>
      </w:r>
      <w:r w:rsidR="002C7EAE" w:rsidRPr="00C20A01">
        <w:rPr>
          <w:sz w:val="18"/>
          <w:szCs w:val="18"/>
        </w:rPr>
        <w:t xml:space="preserve"> </w:t>
      </w:r>
      <w:hyperlink r:id="rId163" w:history="1">
        <w:r w:rsidR="002C7EAE" w:rsidRPr="00D86314">
          <w:rPr>
            <w:rFonts w:eastAsiaTheme="minorHAnsi"/>
            <w:color w:val="0000FF"/>
            <w:sz w:val="18"/>
            <w:szCs w:val="18"/>
            <w:u w:val="single"/>
          </w:rPr>
          <w:t>FCC-24-136A1.pdf</w:t>
        </w:r>
      </w:hyperlink>
      <w:r w:rsidR="000B0B0C" w:rsidRPr="00D86314">
        <w:rPr>
          <w:rFonts w:eastAsiaTheme="minorHAnsi"/>
          <w:sz w:val="18"/>
          <w:szCs w:val="18"/>
        </w:rPr>
        <w:t>.</w:t>
      </w:r>
    </w:p>
  </w:footnote>
  <w:footnote w:id="282">
    <w:p w14:paraId="58BBF0A2" w14:textId="2C42671D" w:rsidR="000306DA" w:rsidRPr="00C20A01" w:rsidRDefault="000306DA">
      <w:pPr>
        <w:pStyle w:val="FootnoteText"/>
        <w:rPr>
          <w:sz w:val="18"/>
          <w:szCs w:val="18"/>
        </w:rPr>
      </w:pPr>
      <w:r w:rsidRPr="00D86314">
        <w:rPr>
          <w:rStyle w:val="FootnoteReference"/>
          <w:sz w:val="18"/>
          <w:szCs w:val="18"/>
        </w:rPr>
        <w:footnoteRef/>
      </w:r>
      <w:r w:rsidRPr="00D86314">
        <w:rPr>
          <w:sz w:val="18"/>
          <w:szCs w:val="18"/>
        </w:rPr>
        <w:t xml:space="preserve"> </w:t>
      </w:r>
      <w:r w:rsidR="002B194F" w:rsidRPr="00C20A01">
        <w:rPr>
          <w:sz w:val="18"/>
          <w:szCs w:val="18"/>
        </w:rPr>
        <w:t>Two of the largest MVNOs are owned by cable providers who have entered the mobile wireless marketplace through these MVNO arrangements, and also have begun to deploy their own facilities-based networks</w:t>
      </w:r>
      <w:r w:rsidR="000B0B0C" w:rsidRPr="00C20A01">
        <w:rPr>
          <w:sz w:val="18"/>
          <w:szCs w:val="18"/>
        </w:rPr>
        <w:t>.</w:t>
      </w:r>
    </w:p>
  </w:footnote>
  <w:footnote w:id="283">
    <w:p w14:paraId="04706017" w14:textId="6BC6198F" w:rsidR="007252ED" w:rsidRPr="001F0EE4" w:rsidRDefault="007252ED" w:rsidP="007252ED">
      <w:pPr>
        <w:pStyle w:val="FootnoteText"/>
        <w:rPr>
          <w:lang w:val="en-IE"/>
        </w:rPr>
      </w:pPr>
      <w:r w:rsidRPr="00D86314">
        <w:rPr>
          <w:rStyle w:val="FootnoteReference"/>
        </w:rPr>
        <w:footnoteRef/>
      </w:r>
      <w:r w:rsidRPr="00D86314">
        <w:t xml:space="preserve"> </w:t>
      </w:r>
      <w:r w:rsidRPr="00C20A01">
        <w:t xml:space="preserve">82% does not include the </w:t>
      </w:r>
      <w:r w:rsidR="00C03156" w:rsidRPr="00C20A01">
        <w:t xml:space="preserve">50MHZ spectrum sent from EchoStar to </w:t>
      </w:r>
      <w:r w:rsidR="00205F95" w:rsidRPr="00C20A01">
        <w:t>AT&amp;T.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B3106" w14:textId="77777777" w:rsidR="00B046D9" w:rsidRPr="00B046D9" w:rsidRDefault="00B046D9" w:rsidP="00B046D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F84F2" w14:textId="77777777" w:rsidR="00B046D9" w:rsidRPr="00B046D9" w:rsidRDefault="00B046D9" w:rsidP="00B046D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88266" w14:textId="77777777" w:rsidR="00B046D9" w:rsidRPr="00B046D9" w:rsidRDefault="00B046D9" w:rsidP="00B046D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35CD9" w14:textId="458D7A93" w:rsidR="00B9392F" w:rsidRPr="00D86314" w:rsidRDefault="00B9392F" w:rsidP="002928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0C906" w14:textId="74EE4679" w:rsidR="00CB14B2" w:rsidRPr="00D86314" w:rsidRDefault="00CB14B2" w:rsidP="006618F4">
    <w:pPr>
      <w:pStyle w:val="HeaderSensitivity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EDC51" w14:textId="3C5D1305" w:rsidR="00CB14B2" w:rsidRPr="00D86314" w:rsidRDefault="00CB14B2" w:rsidP="003F77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0772612"/>
      <w:docPartObj>
        <w:docPartGallery w:val="Page Numbers (Top of Page)"/>
        <w:docPartUnique/>
      </w:docPartObj>
    </w:sdtPr>
    <w:sdtEndPr/>
    <w:sdtContent>
      <w:p w14:paraId="68B9DB94" w14:textId="18632641" w:rsidR="00C778BA" w:rsidRPr="00D86314" w:rsidRDefault="00C778BA" w:rsidP="00283D9F">
        <w:pPr>
          <w:pStyle w:val="Header"/>
        </w:pPr>
        <w:r w:rsidRPr="00D86314">
          <w:fldChar w:fldCharType="begin"/>
        </w:r>
        <w:r w:rsidRPr="00D86314">
          <w:instrText>PAGE   \* MERGEFORMAT</w:instrText>
        </w:r>
        <w:r w:rsidRPr="00D86314">
          <w:fldChar w:fldCharType="separate"/>
        </w:r>
        <w:r w:rsidRPr="00D86314">
          <w:t>2</w:t>
        </w:r>
        <w:r w:rsidRPr="00D86314">
          <w:fldChar w:fldCharType="end"/>
        </w:r>
        <w:r w:rsidRPr="00D86314">
          <w:ptab w:relativeTo="margin" w:alignment="center" w:leader="none"/>
        </w:r>
        <w:r w:rsidRPr="00D86314">
          <w:rPr>
            <w:sz w:val="16"/>
          </w:rPr>
          <w:t>Support study for the Digital Network Act – Annex 4</w:t>
        </w:r>
        <w:r w:rsidRPr="00D86314">
          <w:rPr>
            <w:sz w:val="16"/>
          </w:rPr>
          <w:ptab w:relativeTo="margin" w:alignment="right" w:leader="none"/>
        </w:r>
        <w:r w:rsidRPr="00613A8C">
          <w:rPr>
            <w:noProof/>
            <w:lang w:eastAsia="en-GB"/>
          </w:rPr>
          <w:drawing>
            <wp:inline distT="0" distB="0" distL="0" distR="0" wp14:anchorId="5981DD61" wp14:editId="6616A70E">
              <wp:extent cx="632844" cy="257175"/>
              <wp:effectExtent l="0" t="0" r="0" b="0"/>
              <wp:docPr id="1030340605" name="Grafik 174222022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5132" cy="266232"/>
                      </a:xfrm>
                      <a:prstGeom prst="rect">
                        <a:avLst/>
                      </a:prstGeom>
                    </pic:spPr>
                  </pic:pic>
                </a:graphicData>
              </a:graphic>
            </wp:inline>
          </w:drawing>
        </w:r>
      </w:p>
    </w:sdtContent>
  </w:sdt>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5F7E1" w14:textId="5807CBA3" w:rsidR="00C778BA" w:rsidRPr="00D86314" w:rsidRDefault="00C778BA" w:rsidP="00283D9F">
    <w:pPr>
      <w:pStyle w:val="Header"/>
      <w:jc w:val="right"/>
    </w:pPr>
    <w:r w:rsidRPr="00D86314">
      <w:rPr>
        <w:sz w:val="16"/>
      </w:rPr>
      <w:ptab w:relativeTo="margin" w:alignment="center" w:leader="none"/>
    </w:r>
    <w:r w:rsidRPr="00D86314">
      <w:rPr>
        <w:sz w:val="16"/>
      </w:rPr>
      <w:t xml:space="preserve"> Methodology for the Digital Network Act – Annex 4</w:t>
    </w:r>
    <w:r w:rsidRPr="00D86314">
      <w:rPr>
        <w:sz w:val="16"/>
      </w:rPr>
      <w:ptab w:relativeTo="margin" w:alignment="right" w:leader="none"/>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ACF9A" w14:textId="4E7C101C" w:rsidR="006618F4" w:rsidRPr="00D86314" w:rsidRDefault="006618F4" w:rsidP="006618F4">
    <w:pPr>
      <w:pStyle w:val="HeaderSensitivityRight"/>
    </w:pPr>
  </w:p>
  <w:p w14:paraId="233F5F5C" w14:textId="2BB04086" w:rsidR="0063721D" w:rsidRPr="00D86314" w:rsidRDefault="0063721D" w:rsidP="00283D9F">
    <w:pPr>
      <w:pStyle w:val="Header"/>
      <w:jc w:val="right"/>
    </w:pPr>
    <w:r w:rsidRPr="00D86314">
      <w:rPr>
        <w:sz w:val="16"/>
      </w:rPr>
      <w:ptab w:relativeTo="margin" w:alignment="center" w:leader="none"/>
    </w:r>
    <w:r w:rsidRPr="00D86314">
      <w:rPr>
        <w:sz w:val="16"/>
      </w:rPr>
      <w:t xml:space="preserve"> Methodology for the Digital Network Act – Annex 4</w:t>
    </w:r>
    <w:r w:rsidRPr="00D86314">
      <w:rPr>
        <w:sz w:val="16"/>
      </w:rPr>
      <w:ptab w:relativeTo="margin" w:alignment="right" w:leader="none"/>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6E1B6" w14:textId="66ADBFC7" w:rsidR="0063721D" w:rsidRPr="00D86314" w:rsidRDefault="0063721D" w:rsidP="003F77A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9796E" w14:textId="01A05367" w:rsidR="0063721D" w:rsidRPr="00D86314" w:rsidRDefault="0063721D" w:rsidP="00283D9F">
    <w:pPr>
      <w:pStyle w:val="Header"/>
      <w:jc w:val="right"/>
    </w:pPr>
    <w:r w:rsidRPr="00D86314">
      <w:rPr>
        <w:sz w:val="16"/>
      </w:rPr>
      <w:ptab w:relativeTo="margin" w:alignment="center" w:leader="none"/>
    </w:r>
    <w:r w:rsidRPr="00D86314">
      <w:rPr>
        <w:sz w:val="16"/>
      </w:rPr>
      <w:t xml:space="preserve"> Methodology for the Digital Network Act – Annex 4</w:t>
    </w:r>
    <w:r w:rsidRPr="00D86314">
      <w:rPr>
        <w:sz w:val="16"/>
      </w:rPr>
      <w:ptab w:relativeTo="margin" w:alignment="right" w:leader="none"/>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20F22" w14:textId="3B40D6CD" w:rsidR="0063721D" w:rsidRPr="00D86314" w:rsidRDefault="0063721D" w:rsidP="00283D9F">
    <w:pPr>
      <w:pStyle w:val="Header"/>
      <w:jc w:val="right"/>
    </w:pPr>
    <w:r w:rsidRPr="00D86314">
      <w:rPr>
        <w:sz w:val="16"/>
      </w:rPr>
      <w:ptab w:relativeTo="margin" w:alignment="center" w:leader="none"/>
    </w:r>
    <w:r w:rsidRPr="00D86314">
      <w:rPr>
        <w:sz w:val="16"/>
      </w:rPr>
      <w:t xml:space="preserve"> Methodology for the Digital Network Act – Annex 4</w:t>
    </w:r>
    <w:r w:rsidRPr="00D86314">
      <w:rPr>
        <w:sz w:val="16"/>
      </w:rPr>
      <w:ptab w:relativeTo="margin" w:alignment="right" w:leader="none"/>
    </w:r>
    <w:sdt>
      <w:sdtPr>
        <w:id w:val="1008328273"/>
        <w:docPartObj>
          <w:docPartGallery w:val="Page Numbers (Top of Page)"/>
          <w:docPartUnique/>
        </w:docPartObj>
      </w:sdtPr>
      <w:sdtEndPr/>
      <w:sdtContent>
        <w:r w:rsidRPr="00D86314">
          <w:fldChar w:fldCharType="begin"/>
        </w:r>
        <w:r w:rsidRPr="00D86314">
          <w:instrText>PAGE   \* MERGEFORMAT</w:instrText>
        </w:r>
        <w:r w:rsidRPr="00D86314">
          <w:fldChar w:fldCharType="separate"/>
        </w:r>
        <w:r w:rsidRPr="00D86314">
          <w:t>2</w:t>
        </w:r>
        <w:r w:rsidRPr="00D86314">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84CC4" w14:textId="3F50B91E" w:rsidR="0063721D" w:rsidRPr="00D86314" w:rsidRDefault="0063721D" w:rsidP="003F77A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32104" w14:textId="5998A74B" w:rsidR="00C778BA" w:rsidRPr="00D86314" w:rsidRDefault="00C778BA" w:rsidP="002431F6">
    <w:pPr>
      <w:pStyle w:val="Header"/>
      <w:spacing w:after="720" w:line="312" w:lineRule="atLeast"/>
    </w:pPr>
    <w:r w:rsidRPr="00D86314">
      <w:fldChar w:fldCharType="begin"/>
    </w:r>
    <w:r w:rsidRPr="00D86314">
      <w:instrText>PAGE</w:instrText>
    </w:r>
    <w:r w:rsidRPr="00D86314">
      <w:fldChar w:fldCharType="separate"/>
    </w:r>
    <w:r w:rsidRPr="00D86314">
      <w:t>2</w:t>
    </w:r>
    <w:r w:rsidRPr="00D86314">
      <w:fldChar w:fldCharType="end"/>
    </w:r>
    <w:r w:rsidRPr="00D86314">
      <w:ptab w:relativeTo="margin" w:alignment="center" w:leader="none"/>
    </w:r>
    <w:r w:rsidRPr="00D86314">
      <w:t xml:space="preserve"> </w:t>
    </w:r>
    <w:r w:rsidRPr="00D86314">
      <w:rPr>
        <w:sz w:val="16"/>
      </w:rPr>
      <w:t xml:space="preserve">Financial conditions, investment, demand and universal service </w:t>
    </w:r>
    <w:r w:rsidRPr="00D86314">
      <w:rPr>
        <w:sz w:val="16"/>
      </w:rPr>
      <w:ptab w:relativeTo="margin" w:alignment="right" w:leader="none"/>
    </w:r>
    <w:r w:rsidRPr="00613A8C">
      <w:rPr>
        <w:noProof/>
        <w:lang w:eastAsia="en-GB"/>
      </w:rPr>
      <w:drawing>
        <wp:inline distT="0" distB="0" distL="0" distR="0" wp14:anchorId="0E13B59B" wp14:editId="252AB5E8">
          <wp:extent cx="1026000" cy="262800"/>
          <wp:effectExtent l="0" t="0" r="3175" b="4445"/>
          <wp:docPr id="1176208109" name="Grafik 9"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95302" name="Grafik 9"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26000" cy="262800"/>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4999D" w14:textId="16DA887F" w:rsidR="00C778BA" w:rsidRPr="00D86314" w:rsidRDefault="00C778BA" w:rsidP="003F77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C83E0" w14:textId="5FA4429A" w:rsidR="0063721D" w:rsidRPr="00D86314" w:rsidRDefault="0063721D" w:rsidP="002928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892E7" w14:textId="58B32662" w:rsidR="0063721D" w:rsidRPr="00D86314" w:rsidRDefault="0063721D" w:rsidP="003F77A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FBB74" w14:textId="1E4B4720" w:rsidR="00727829" w:rsidRPr="00D86314" w:rsidRDefault="00727829" w:rsidP="002431F6">
    <w:pPr>
      <w:pStyle w:val="Header"/>
      <w:spacing w:after="720" w:line="312" w:lineRule="atLeast"/>
    </w:pPr>
    <w:r w:rsidRPr="00D86314">
      <w:fldChar w:fldCharType="begin"/>
    </w:r>
    <w:r w:rsidRPr="00D86314">
      <w:instrText>PAGE</w:instrText>
    </w:r>
    <w:r w:rsidRPr="00D86314">
      <w:fldChar w:fldCharType="separate"/>
    </w:r>
    <w:r w:rsidRPr="00D86314">
      <w:t>2</w:t>
    </w:r>
    <w:r w:rsidRPr="00D86314">
      <w:fldChar w:fldCharType="end"/>
    </w:r>
    <w:r w:rsidRPr="00D86314">
      <w:ptab w:relativeTo="margin" w:alignment="center" w:leader="none"/>
    </w:r>
    <w:r w:rsidRPr="00D86314">
      <w:t xml:space="preserve"> </w:t>
    </w:r>
    <w:r w:rsidRPr="00D86314">
      <w:rPr>
        <w:sz w:val="16"/>
      </w:rPr>
      <w:t xml:space="preserve">Financial conditions, investment, demand and universal service </w:t>
    </w:r>
    <w:r w:rsidRPr="00D86314">
      <w:rPr>
        <w:sz w:val="16"/>
      </w:rPr>
      <w:ptab w:relativeTo="margin" w:alignment="right" w:leader="none"/>
    </w:r>
    <w:r w:rsidRPr="00613A8C">
      <w:rPr>
        <w:noProof/>
        <w:lang w:eastAsia="en-GB"/>
      </w:rPr>
      <w:drawing>
        <wp:inline distT="0" distB="0" distL="0" distR="0" wp14:anchorId="13203B69" wp14:editId="5693D76D">
          <wp:extent cx="1026000" cy="262800"/>
          <wp:effectExtent l="0" t="0" r="3175" b="4445"/>
          <wp:docPr id="1785355583" name="Grafik 9"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95302" name="Grafik 9"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26000" cy="262800"/>
                  </a:xfrm>
                  <a:prstGeom prst="rect">
                    <a:avLst/>
                  </a:prstGeom>
                </pic:spPr>
              </pic:pic>
            </a:graphicData>
          </a:graphic>
        </wp:inline>
      </w:drawing>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8F752" w14:textId="4F16BA19" w:rsidR="00727829" w:rsidRPr="00D86314" w:rsidRDefault="00727829" w:rsidP="003F77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7126" w14:textId="6BD46AEB" w:rsidR="0063721D" w:rsidRPr="00D86314" w:rsidRDefault="0063721D" w:rsidP="003F77A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3B9BE8AF" w:rsidR="00CB14B2" w:rsidRPr="00D86314" w:rsidRDefault="00CB14B2" w:rsidP="0029287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0D4D6D45" w:rsidR="00CB14B2" w:rsidRPr="00D86314" w:rsidRDefault="00CB14B2" w:rsidP="003F77A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35EE2D52" w:rsidR="00CB14B2" w:rsidRPr="00D86314" w:rsidRDefault="00CB14B2" w:rsidP="003F77A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F048C" w14:textId="4F6A78B3" w:rsidR="0063721D" w:rsidRPr="00D86314" w:rsidRDefault="0063721D" w:rsidP="003F77A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BE20E" w14:textId="6E65B8AB" w:rsidR="0063721D" w:rsidRPr="00D86314" w:rsidRDefault="0063721D" w:rsidP="003F77A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2A42" w14:textId="578F5E7E" w:rsidR="0063721D" w:rsidRPr="00D86314" w:rsidRDefault="0063721D" w:rsidP="003F77A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616CF" w14:textId="42A5392D" w:rsidR="0063721D" w:rsidRPr="00D86314" w:rsidRDefault="0063721D" w:rsidP="003F7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B42"/>
    <w:multiLevelType w:val="hybridMultilevel"/>
    <w:tmpl w:val="2402C8E8"/>
    <w:lvl w:ilvl="0" w:tplc="63E25CB6">
      <w:start w:val="1"/>
      <w:numFmt w:val="bullet"/>
      <w:lvlText w:val=""/>
      <w:lvlJc w:val="left"/>
      <w:pPr>
        <w:ind w:left="720" w:hanging="360"/>
      </w:pPr>
      <w:rPr>
        <w:rFonts w:ascii="Symbol" w:hAnsi="Symbol" w:hint="default"/>
      </w:rPr>
    </w:lvl>
    <w:lvl w:ilvl="1" w:tplc="125A4E82" w:tentative="1">
      <w:start w:val="1"/>
      <w:numFmt w:val="bullet"/>
      <w:lvlText w:val="o"/>
      <w:lvlJc w:val="left"/>
      <w:pPr>
        <w:ind w:left="1440" w:hanging="360"/>
      </w:pPr>
      <w:rPr>
        <w:rFonts w:ascii="Courier New" w:hAnsi="Courier New" w:hint="default"/>
      </w:rPr>
    </w:lvl>
    <w:lvl w:ilvl="2" w:tplc="4E08FD98" w:tentative="1">
      <w:start w:val="1"/>
      <w:numFmt w:val="bullet"/>
      <w:lvlText w:val=""/>
      <w:lvlJc w:val="left"/>
      <w:pPr>
        <w:ind w:left="2160" w:hanging="360"/>
      </w:pPr>
      <w:rPr>
        <w:rFonts w:ascii="Wingdings" w:hAnsi="Wingdings" w:hint="default"/>
      </w:rPr>
    </w:lvl>
    <w:lvl w:ilvl="3" w:tplc="688667F6" w:tentative="1">
      <w:start w:val="1"/>
      <w:numFmt w:val="bullet"/>
      <w:lvlText w:val=""/>
      <w:lvlJc w:val="left"/>
      <w:pPr>
        <w:ind w:left="2880" w:hanging="360"/>
      </w:pPr>
      <w:rPr>
        <w:rFonts w:ascii="Symbol" w:hAnsi="Symbol" w:hint="default"/>
      </w:rPr>
    </w:lvl>
    <w:lvl w:ilvl="4" w:tplc="B8B2F64C" w:tentative="1">
      <w:start w:val="1"/>
      <w:numFmt w:val="bullet"/>
      <w:lvlText w:val="o"/>
      <w:lvlJc w:val="left"/>
      <w:pPr>
        <w:ind w:left="3600" w:hanging="360"/>
      </w:pPr>
      <w:rPr>
        <w:rFonts w:ascii="Courier New" w:hAnsi="Courier New" w:hint="default"/>
      </w:rPr>
    </w:lvl>
    <w:lvl w:ilvl="5" w:tplc="48B0E116" w:tentative="1">
      <w:start w:val="1"/>
      <w:numFmt w:val="bullet"/>
      <w:lvlText w:val=""/>
      <w:lvlJc w:val="left"/>
      <w:pPr>
        <w:ind w:left="4320" w:hanging="360"/>
      </w:pPr>
      <w:rPr>
        <w:rFonts w:ascii="Wingdings" w:hAnsi="Wingdings" w:hint="default"/>
      </w:rPr>
    </w:lvl>
    <w:lvl w:ilvl="6" w:tplc="9F9816C8" w:tentative="1">
      <w:start w:val="1"/>
      <w:numFmt w:val="bullet"/>
      <w:lvlText w:val=""/>
      <w:lvlJc w:val="left"/>
      <w:pPr>
        <w:ind w:left="5040" w:hanging="360"/>
      </w:pPr>
      <w:rPr>
        <w:rFonts w:ascii="Symbol" w:hAnsi="Symbol" w:hint="default"/>
      </w:rPr>
    </w:lvl>
    <w:lvl w:ilvl="7" w:tplc="43B846C6" w:tentative="1">
      <w:start w:val="1"/>
      <w:numFmt w:val="bullet"/>
      <w:lvlText w:val="o"/>
      <w:lvlJc w:val="left"/>
      <w:pPr>
        <w:ind w:left="5760" w:hanging="360"/>
      </w:pPr>
      <w:rPr>
        <w:rFonts w:ascii="Courier New" w:hAnsi="Courier New" w:hint="default"/>
      </w:rPr>
    </w:lvl>
    <w:lvl w:ilvl="8" w:tplc="82FA352C" w:tentative="1">
      <w:start w:val="1"/>
      <w:numFmt w:val="bullet"/>
      <w:lvlText w:val=""/>
      <w:lvlJc w:val="left"/>
      <w:pPr>
        <w:ind w:left="6480" w:hanging="360"/>
      </w:pPr>
      <w:rPr>
        <w:rFonts w:ascii="Wingdings" w:hAnsi="Wingdings" w:hint="default"/>
      </w:rPr>
    </w:lvl>
  </w:abstractNum>
  <w:abstractNum w:abstractNumId="1" w15:restartNumberingAfterBreak="0">
    <w:nsid w:val="035D4673"/>
    <w:multiLevelType w:val="hybridMultilevel"/>
    <w:tmpl w:val="FC0E4760"/>
    <w:lvl w:ilvl="0" w:tplc="216232EC">
      <w:start w:val="1"/>
      <w:numFmt w:val="bullet"/>
      <w:lvlText w:val=""/>
      <w:lvlJc w:val="left"/>
      <w:pPr>
        <w:ind w:left="720" w:hanging="360"/>
      </w:pPr>
      <w:rPr>
        <w:rFonts w:ascii="Symbol" w:hAnsi="Symbol" w:hint="default"/>
      </w:rPr>
    </w:lvl>
    <w:lvl w:ilvl="1" w:tplc="D69497B8" w:tentative="1">
      <w:start w:val="1"/>
      <w:numFmt w:val="bullet"/>
      <w:lvlText w:val="o"/>
      <w:lvlJc w:val="left"/>
      <w:pPr>
        <w:ind w:left="1440" w:hanging="360"/>
      </w:pPr>
      <w:rPr>
        <w:rFonts w:ascii="Courier New" w:hAnsi="Courier New" w:hint="default"/>
      </w:rPr>
    </w:lvl>
    <w:lvl w:ilvl="2" w:tplc="0C3EF996" w:tentative="1">
      <w:start w:val="1"/>
      <w:numFmt w:val="bullet"/>
      <w:lvlText w:val=""/>
      <w:lvlJc w:val="left"/>
      <w:pPr>
        <w:ind w:left="2160" w:hanging="360"/>
      </w:pPr>
      <w:rPr>
        <w:rFonts w:ascii="Wingdings" w:hAnsi="Wingdings" w:hint="default"/>
      </w:rPr>
    </w:lvl>
    <w:lvl w:ilvl="3" w:tplc="7FA4488C" w:tentative="1">
      <w:start w:val="1"/>
      <w:numFmt w:val="bullet"/>
      <w:lvlText w:val=""/>
      <w:lvlJc w:val="left"/>
      <w:pPr>
        <w:ind w:left="2880" w:hanging="360"/>
      </w:pPr>
      <w:rPr>
        <w:rFonts w:ascii="Symbol" w:hAnsi="Symbol" w:hint="default"/>
      </w:rPr>
    </w:lvl>
    <w:lvl w:ilvl="4" w:tplc="908A7806" w:tentative="1">
      <w:start w:val="1"/>
      <w:numFmt w:val="bullet"/>
      <w:lvlText w:val="o"/>
      <w:lvlJc w:val="left"/>
      <w:pPr>
        <w:ind w:left="3600" w:hanging="360"/>
      </w:pPr>
      <w:rPr>
        <w:rFonts w:ascii="Courier New" w:hAnsi="Courier New" w:hint="default"/>
      </w:rPr>
    </w:lvl>
    <w:lvl w:ilvl="5" w:tplc="D944B434" w:tentative="1">
      <w:start w:val="1"/>
      <w:numFmt w:val="bullet"/>
      <w:lvlText w:val=""/>
      <w:lvlJc w:val="left"/>
      <w:pPr>
        <w:ind w:left="4320" w:hanging="360"/>
      </w:pPr>
      <w:rPr>
        <w:rFonts w:ascii="Wingdings" w:hAnsi="Wingdings" w:hint="default"/>
      </w:rPr>
    </w:lvl>
    <w:lvl w:ilvl="6" w:tplc="AB623B9E" w:tentative="1">
      <w:start w:val="1"/>
      <w:numFmt w:val="bullet"/>
      <w:lvlText w:val=""/>
      <w:lvlJc w:val="left"/>
      <w:pPr>
        <w:ind w:left="5040" w:hanging="360"/>
      </w:pPr>
      <w:rPr>
        <w:rFonts w:ascii="Symbol" w:hAnsi="Symbol" w:hint="default"/>
      </w:rPr>
    </w:lvl>
    <w:lvl w:ilvl="7" w:tplc="851CE5A0" w:tentative="1">
      <w:start w:val="1"/>
      <w:numFmt w:val="bullet"/>
      <w:lvlText w:val="o"/>
      <w:lvlJc w:val="left"/>
      <w:pPr>
        <w:ind w:left="5760" w:hanging="360"/>
      </w:pPr>
      <w:rPr>
        <w:rFonts w:ascii="Courier New" w:hAnsi="Courier New" w:hint="default"/>
      </w:rPr>
    </w:lvl>
    <w:lvl w:ilvl="8" w:tplc="F07A37BC" w:tentative="1">
      <w:start w:val="1"/>
      <w:numFmt w:val="bullet"/>
      <w:lvlText w:val=""/>
      <w:lvlJc w:val="left"/>
      <w:pPr>
        <w:ind w:left="6480" w:hanging="360"/>
      </w:pPr>
      <w:rPr>
        <w:rFonts w:ascii="Wingdings" w:hAnsi="Wingdings" w:hint="default"/>
      </w:rPr>
    </w:lvl>
  </w:abstractNum>
  <w:abstractNum w:abstractNumId="2" w15:restartNumberingAfterBreak="0">
    <w:nsid w:val="03A9268D"/>
    <w:multiLevelType w:val="hybridMultilevel"/>
    <w:tmpl w:val="4498DF16"/>
    <w:lvl w:ilvl="0" w:tplc="3FFE4CD8">
      <w:start w:val="1"/>
      <w:numFmt w:val="bullet"/>
      <w:lvlText w:val=""/>
      <w:lvlJc w:val="left"/>
      <w:pPr>
        <w:ind w:left="720" w:hanging="360"/>
      </w:pPr>
      <w:rPr>
        <w:rFonts w:ascii="Symbol" w:hAnsi="Symbol" w:hint="default"/>
      </w:rPr>
    </w:lvl>
    <w:lvl w:ilvl="1" w:tplc="5FDCF678">
      <w:start w:val="1"/>
      <w:numFmt w:val="bullet"/>
      <w:lvlText w:val="o"/>
      <w:lvlJc w:val="left"/>
      <w:pPr>
        <w:ind w:left="1440" w:hanging="360"/>
      </w:pPr>
      <w:rPr>
        <w:rFonts w:ascii="Courier New" w:hAnsi="Courier New" w:hint="default"/>
      </w:rPr>
    </w:lvl>
    <w:lvl w:ilvl="2" w:tplc="E4262C58">
      <w:start w:val="1"/>
      <w:numFmt w:val="bullet"/>
      <w:lvlText w:val=""/>
      <w:lvlJc w:val="left"/>
      <w:pPr>
        <w:ind w:left="2160" w:hanging="360"/>
      </w:pPr>
      <w:rPr>
        <w:rFonts w:ascii="Wingdings" w:hAnsi="Wingdings" w:hint="default"/>
      </w:rPr>
    </w:lvl>
    <w:lvl w:ilvl="3" w:tplc="7AF47AD6">
      <w:start w:val="1"/>
      <w:numFmt w:val="bullet"/>
      <w:lvlText w:val=""/>
      <w:lvlJc w:val="left"/>
      <w:pPr>
        <w:ind w:left="2880" w:hanging="360"/>
      </w:pPr>
      <w:rPr>
        <w:rFonts w:ascii="Symbol" w:hAnsi="Symbol" w:hint="default"/>
      </w:rPr>
    </w:lvl>
    <w:lvl w:ilvl="4" w:tplc="0242FDA2">
      <w:start w:val="1"/>
      <w:numFmt w:val="bullet"/>
      <w:lvlText w:val="o"/>
      <w:lvlJc w:val="left"/>
      <w:pPr>
        <w:ind w:left="3600" w:hanging="360"/>
      </w:pPr>
      <w:rPr>
        <w:rFonts w:ascii="Courier New" w:hAnsi="Courier New" w:hint="default"/>
      </w:rPr>
    </w:lvl>
    <w:lvl w:ilvl="5" w:tplc="EC3EBB08">
      <w:start w:val="1"/>
      <w:numFmt w:val="bullet"/>
      <w:lvlText w:val=""/>
      <w:lvlJc w:val="left"/>
      <w:pPr>
        <w:ind w:left="4320" w:hanging="360"/>
      </w:pPr>
      <w:rPr>
        <w:rFonts w:ascii="Wingdings" w:hAnsi="Wingdings" w:hint="default"/>
      </w:rPr>
    </w:lvl>
    <w:lvl w:ilvl="6" w:tplc="C5CA8292">
      <w:start w:val="1"/>
      <w:numFmt w:val="bullet"/>
      <w:lvlText w:val=""/>
      <w:lvlJc w:val="left"/>
      <w:pPr>
        <w:ind w:left="5040" w:hanging="360"/>
      </w:pPr>
      <w:rPr>
        <w:rFonts w:ascii="Symbol" w:hAnsi="Symbol" w:hint="default"/>
      </w:rPr>
    </w:lvl>
    <w:lvl w:ilvl="7" w:tplc="8C3A0F14">
      <w:start w:val="1"/>
      <w:numFmt w:val="bullet"/>
      <w:lvlText w:val="o"/>
      <w:lvlJc w:val="left"/>
      <w:pPr>
        <w:ind w:left="5760" w:hanging="360"/>
      </w:pPr>
      <w:rPr>
        <w:rFonts w:ascii="Courier New" w:hAnsi="Courier New" w:hint="default"/>
      </w:rPr>
    </w:lvl>
    <w:lvl w:ilvl="8" w:tplc="CB18D5A2">
      <w:start w:val="1"/>
      <w:numFmt w:val="bullet"/>
      <w:lvlText w:val=""/>
      <w:lvlJc w:val="left"/>
      <w:pPr>
        <w:ind w:left="6480" w:hanging="360"/>
      </w:pPr>
      <w:rPr>
        <w:rFonts w:ascii="Wingdings" w:hAnsi="Wingdings" w:hint="default"/>
      </w:rPr>
    </w:lvl>
  </w:abstractNum>
  <w:abstractNum w:abstractNumId="3" w15:restartNumberingAfterBreak="0">
    <w:nsid w:val="04F84685"/>
    <w:multiLevelType w:val="hybridMultilevel"/>
    <w:tmpl w:val="5880AD32"/>
    <w:lvl w:ilvl="0" w:tplc="DD5C9B06">
      <w:start w:val="1"/>
      <w:numFmt w:val="bullet"/>
      <w:lvlText w:val=""/>
      <w:lvlJc w:val="left"/>
      <w:pPr>
        <w:ind w:left="720" w:hanging="360"/>
      </w:pPr>
      <w:rPr>
        <w:rFonts w:ascii="Symbol" w:hAnsi="Symbol" w:hint="default"/>
      </w:rPr>
    </w:lvl>
    <w:lvl w:ilvl="1" w:tplc="B4303BBC" w:tentative="1">
      <w:start w:val="1"/>
      <w:numFmt w:val="bullet"/>
      <w:lvlText w:val="o"/>
      <w:lvlJc w:val="left"/>
      <w:pPr>
        <w:ind w:left="1440" w:hanging="360"/>
      </w:pPr>
      <w:rPr>
        <w:rFonts w:ascii="Courier New" w:hAnsi="Courier New" w:hint="default"/>
      </w:rPr>
    </w:lvl>
    <w:lvl w:ilvl="2" w:tplc="FF7855C8" w:tentative="1">
      <w:start w:val="1"/>
      <w:numFmt w:val="bullet"/>
      <w:lvlText w:val=""/>
      <w:lvlJc w:val="left"/>
      <w:pPr>
        <w:ind w:left="2160" w:hanging="360"/>
      </w:pPr>
      <w:rPr>
        <w:rFonts w:ascii="Wingdings" w:hAnsi="Wingdings" w:hint="default"/>
      </w:rPr>
    </w:lvl>
    <w:lvl w:ilvl="3" w:tplc="4A6A24A0" w:tentative="1">
      <w:start w:val="1"/>
      <w:numFmt w:val="bullet"/>
      <w:lvlText w:val=""/>
      <w:lvlJc w:val="left"/>
      <w:pPr>
        <w:ind w:left="2880" w:hanging="360"/>
      </w:pPr>
      <w:rPr>
        <w:rFonts w:ascii="Symbol" w:hAnsi="Symbol" w:hint="default"/>
      </w:rPr>
    </w:lvl>
    <w:lvl w:ilvl="4" w:tplc="88DE45C8" w:tentative="1">
      <w:start w:val="1"/>
      <w:numFmt w:val="bullet"/>
      <w:lvlText w:val="o"/>
      <w:lvlJc w:val="left"/>
      <w:pPr>
        <w:ind w:left="3600" w:hanging="360"/>
      </w:pPr>
      <w:rPr>
        <w:rFonts w:ascii="Courier New" w:hAnsi="Courier New" w:hint="default"/>
      </w:rPr>
    </w:lvl>
    <w:lvl w:ilvl="5" w:tplc="69323FFC" w:tentative="1">
      <w:start w:val="1"/>
      <w:numFmt w:val="bullet"/>
      <w:lvlText w:val=""/>
      <w:lvlJc w:val="left"/>
      <w:pPr>
        <w:ind w:left="4320" w:hanging="360"/>
      </w:pPr>
      <w:rPr>
        <w:rFonts w:ascii="Wingdings" w:hAnsi="Wingdings" w:hint="default"/>
      </w:rPr>
    </w:lvl>
    <w:lvl w:ilvl="6" w:tplc="32CC11EE" w:tentative="1">
      <w:start w:val="1"/>
      <w:numFmt w:val="bullet"/>
      <w:lvlText w:val=""/>
      <w:lvlJc w:val="left"/>
      <w:pPr>
        <w:ind w:left="5040" w:hanging="360"/>
      </w:pPr>
      <w:rPr>
        <w:rFonts w:ascii="Symbol" w:hAnsi="Symbol" w:hint="default"/>
      </w:rPr>
    </w:lvl>
    <w:lvl w:ilvl="7" w:tplc="3B826664" w:tentative="1">
      <w:start w:val="1"/>
      <w:numFmt w:val="bullet"/>
      <w:lvlText w:val="o"/>
      <w:lvlJc w:val="left"/>
      <w:pPr>
        <w:ind w:left="5760" w:hanging="360"/>
      </w:pPr>
      <w:rPr>
        <w:rFonts w:ascii="Courier New" w:hAnsi="Courier New" w:hint="default"/>
      </w:rPr>
    </w:lvl>
    <w:lvl w:ilvl="8" w:tplc="6396DEE6" w:tentative="1">
      <w:start w:val="1"/>
      <w:numFmt w:val="bullet"/>
      <w:lvlText w:val=""/>
      <w:lvlJc w:val="left"/>
      <w:pPr>
        <w:ind w:left="6480" w:hanging="360"/>
      </w:pPr>
      <w:rPr>
        <w:rFonts w:ascii="Wingdings" w:hAnsi="Wingdings" w:hint="default"/>
      </w:rPr>
    </w:lvl>
  </w:abstractNum>
  <w:abstractNum w:abstractNumId="4" w15:restartNumberingAfterBreak="0">
    <w:nsid w:val="05066EB0"/>
    <w:multiLevelType w:val="multilevel"/>
    <w:tmpl w:val="D26C25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6215C33"/>
    <w:multiLevelType w:val="hybridMultilevel"/>
    <w:tmpl w:val="543A9458"/>
    <w:lvl w:ilvl="0" w:tplc="18090011">
      <w:start w:val="1"/>
      <w:numFmt w:val="decimal"/>
      <w:lvlText w:val="%1)"/>
      <w:lvlJc w:val="left"/>
      <w:pPr>
        <w:ind w:left="1922" w:hanging="360"/>
      </w:pPr>
    </w:lvl>
    <w:lvl w:ilvl="1" w:tplc="18090019" w:tentative="1">
      <w:start w:val="1"/>
      <w:numFmt w:val="lowerLetter"/>
      <w:lvlText w:val="%2."/>
      <w:lvlJc w:val="left"/>
      <w:pPr>
        <w:ind w:left="2642" w:hanging="360"/>
      </w:pPr>
    </w:lvl>
    <w:lvl w:ilvl="2" w:tplc="1809001B" w:tentative="1">
      <w:start w:val="1"/>
      <w:numFmt w:val="lowerRoman"/>
      <w:lvlText w:val="%3."/>
      <w:lvlJc w:val="right"/>
      <w:pPr>
        <w:ind w:left="3362" w:hanging="180"/>
      </w:pPr>
    </w:lvl>
    <w:lvl w:ilvl="3" w:tplc="1809000F" w:tentative="1">
      <w:start w:val="1"/>
      <w:numFmt w:val="decimal"/>
      <w:lvlText w:val="%4."/>
      <w:lvlJc w:val="left"/>
      <w:pPr>
        <w:ind w:left="4082" w:hanging="360"/>
      </w:pPr>
    </w:lvl>
    <w:lvl w:ilvl="4" w:tplc="18090019" w:tentative="1">
      <w:start w:val="1"/>
      <w:numFmt w:val="lowerLetter"/>
      <w:lvlText w:val="%5."/>
      <w:lvlJc w:val="left"/>
      <w:pPr>
        <w:ind w:left="4802" w:hanging="360"/>
      </w:pPr>
    </w:lvl>
    <w:lvl w:ilvl="5" w:tplc="1809001B" w:tentative="1">
      <w:start w:val="1"/>
      <w:numFmt w:val="lowerRoman"/>
      <w:lvlText w:val="%6."/>
      <w:lvlJc w:val="right"/>
      <w:pPr>
        <w:ind w:left="5522" w:hanging="180"/>
      </w:pPr>
    </w:lvl>
    <w:lvl w:ilvl="6" w:tplc="1809000F" w:tentative="1">
      <w:start w:val="1"/>
      <w:numFmt w:val="decimal"/>
      <w:lvlText w:val="%7."/>
      <w:lvlJc w:val="left"/>
      <w:pPr>
        <w:ind w:left="6242" w:hanging="360"/>
      </w:pPr>
    </w:lvl>
    <w:lvl w:ilvl="7" w:tplc="18090019" w:tentative="1">
      <w:start w:val="1"/>
      <w:numFmt w:val="lowerLetter"/>
      <w:lvlText w:val="%8."/>
      <w:lvlJc w:val="left"/>
      <w:pPr>
        <w:ind w:left="6962" w:hanging="360"/>
      </w:pPr>
    </w:lvl>
    <w:lvl w:ilvl="8" w:tplc="1809001B" w:tentative="1">
      <w:start w:val="1"/>
      <w:numFmt w:val="lowerRoman"/>
      <w:lvlText w:val="%9."/>
      <w:lvlJc w:val="right"/>
      <w:pPr>
        <w:ind w:left="7682" w:hanging="180"/>
      </w:pPr>
    </w:lvl>
  </w:abstractNum>
  <w:abstractNum w:abstractNumId="6" w15:restartNumberingAfterBreak="0">
    <w:nsid w:val="06423999"/>
    <w:multiLevelType w:val="multilevel"/>
    <w:tmpl w:val="CB82F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2E7FF1"/>
    <w:multiLevelType w:val="hybridMultilevel"/>
    <w:tmpl w:val="FFFFFFFF"/>
    <w:lvl w:ilvl="0" w:tplc="A7920148">
      <w:start w:val="1"/>
      <w:numFmt w:val="bullet"/>
      <w:lvlText w:val=""/>
      <w:lvlJc w:val="left"/>
      <w:pPr>
        <w:ind w:left="720" w:hanging="360"/>
      </w:pPr>
      <w:rPr>
        <w:rFonts w:ascii="Symbol" w:hAnsi="Symbol" w:hint="default"/>
      </w:rPr>
    </w:lvl>
    <w:lvl w:ilvl="1" w:tplc="6EE4BE42">
      <w:start w:val="1"/>
      <w:numFmt w:val="bullet"/>
      <w:lvlText w:val="o"/>
      <w:lvlJc w:val="left"/>
      <w:pPr>
        <w:ind w:left="1440" w:hanging="360"/>
      </w:pPr>
      <w:rPr>
        <w:rFonts w:ascii="Courier New" w:hAnsi="Courier New" w:hint="default"/>
      </w:rPr>
    </w:lvl>
    <w:lvl w:ilvl="2" w:tplc="909C58DA">
      <w:start w:val="1"/>
      <w:numFmt w:val="bullet"/>
      <w:lvlText w:val=""/>
      <w:lvlJc w:val="left"/>
      <w:pPr>
        <w:ind w:left="2160" w:hanging="360"/>
      </w:pPr>
      <w:rPr>
        <w:rFonts w:ascii="Wingdings" w:hAnsi="Wingdings" w:hint="default"/>
      </w:rPr>
    </w:lvl>
    <w:lvl w:ilvl="3" w:tplc="3434382A">
      <w:start w:val="1"/>
      <w:numFmt w:val="bullet"/>
      <w:lvlText w:val=""/>
      <w:lvlJc w:val="left"/>
      <w:pPr>
        <w:ind w:left="2880" w:hanging="360"/>
      </w:pPr>
      <w:rPr>
        <w:rFonts w:ascii="Symbol" w:hAnsi="Symbol" w:hint="default"/>
      </w:rPr>
    </w:lvl>
    <w:lvl w:ilvl="4" w:tplc="344A73D0">
      <w:start w:val="1"/>
      <w:numFmt w:val="bullet"/>
      <w:lvlText w:val="o"/>
      <w:lvlJc w:val="left"/>
      <w:pPr>
        <w:ind w:left="3600" w:hanging="360"/>
      </w:pPr>
      <w:rPr>
        <w:rFonts w:ascii="Courier New" w:hAnsi="Courier New" w:hint="default"/>
      </w:rPr>
    </w:lvl>
    <w:lvl w:ilvl="5" w:tplc="7EF84D1E">
      <w:start w:val="1"/>
      <w:numFmt w:val="bullet"/>
      <w:lvlText w:val=""/>
      <w:lvlJc w:val="left"/>
      <w:pPr>
        <w:ind w:left="4320" w:hanging="360"/>
      </w:pPr>
      <w:rPr>
        <w:rFonts w:ascii="Wingdings" w:hAnsi="Wingdings" w:hint="default"/>
      </w:rPr>
    </w:lvl>
    <w:lvl w:ilvl="6" w:tplc="111EF336">
      <w:start w:val="1"/>
      <w:numFmt w:val="bullet"/>
      <w:lvlText w:val=""/>
      <w:lvlJc w:val="left"/>
      <w:pPr>
        <w:ind w:left="5040" w:hanging="360"/>
      </w:pPr>
      <w:rPr>
        <w:rFonts w:ascii="Symbol" w:hAnsi="Symbol" w:hint="default"/>
      </w:rPr>
    </w:lvl>
    <w:lvl w:ilvl="7" w:tplc="2654BEA4">
      <w:start w:val="1"/>
      <w:numFmt w:val="bullet"/>
      <w:lvlText w:val="o"/>
      <w:lvlJc w:val="left"/>
      <w:pPr>
        <w:ind w:left="5760" w:hanging="360"/>
      </w:pPr>
      <w:rPr>
        <w:rFonts w:ascii="Courier New" w:hAnsi="Courier New" w:hint="default"/>
      </w:rPr>
    </w:lvl>
    <w:lvl w:ilvl="8" w:tplc="0F268A84">
      <w:start w:val="1"/>
      <w:numFmt w:val="bullet"/>
      <w:lvlText w:val=""/>
      <w:lvlJc w:val="left"/>
      <w:pPr>
        <w:ind w:left="6480" w:hanging="360"/>
      </w:pPr>
      <w:rPr>
        <w:rFonts w:ascii="Wingdings" w:hAnsi="Wingdings" w:hint="default"/>
      </w:rPr>
    </w:lvl>
  </w:abstractNum>
  <w:abstractNum w:abstractNumId="8" w15:restartNumberingAfterBreak="0">
    <w:nsid w:val="096CD83F"/>
    <w:multiLevelType w:val="hybridMultilevel"/>
    <w:tmpl w:val="FFFFFFFF"/>
    <w:lvl w:ilvl="0" w:tplc="FE6287F8">
      <w:start w:val="1"/>
      <w:numFmt w:val="bullet"/>
      <w:lvlText w:val="·"/>
      <w:lvlJc w:val="left"/>
      <w:pPr>
        <w:ind w:left="720" w:hanging="360"/>
      </w:pPr>
      <w:rPr>
        <w:rFonts w:ascii="Symbol" w:hAnsi="Symbol" w:hint="default"/>
      </w:rPr>
    </w:lvl>
    <w:lvl w:ilvl="1" w:tplc="BF0243A6">
      <w:start w:val="1"/>
      <w:numFmt w:val="bullet"/>
      <w:lvlText w:val="o"/>
      <w:lvlJc w:val="left"/>
      <w:pPr>
        <w:ind w:left="1440" w:hanging="360"/>
      </w:pPr>
      <w:rPr>
        <w:rFonts w:ascii="Courier New" w:hAnsi="Courier New" w:hint="default"/>
      </w:rPr>
    </w:lvl>
    <w:lvl w:ilvl="2" w:tplc="BC00CE34">
      <w:start w:val="1"/>
      <w:numFmt w:val="bullet"/>
      <w:lvlText w:val=""/>
      <w:lvlJc w:val="left"/>
      <w:pPr>
        <w:ind w:left="2160" w:hanging="360"/>
      </w:pPr>
      <w:rPr>
        <w:rFonts w:ascii="Wingdings" w:hAnsi="Wingdings" w:hint="default"/>
      </w:rPr>
    </w:lvl>
    <w:lvl w:ilvl="3" w:tplc="2E4A57A6">
      <w:start w:val="1"/>
      <w:numFmt w:val="bullet"/>
      <w:lvlText w:val=""/>
      <w:lvlJc w:val="left"/>
      <w:pPr>
        <w:ind w:left="2880" w:hanging="360"/>
      </w:pPr>
      <w:rPr>
        <w:rFonts w:ascii="Symbol" w:hAnsi="Symbol" w:hint="default"/>
      </w:rPr>
    </w:lvl>
    <w:lvl w:ilvl="4" w:tplc="F940B638">
      <w:start w:val="1"/>
      <w:numFmt w:val="bullet"/>
      <w:lvlText w:val="o"/>
      <w:lvlJc w:val="left"/>
      <w:pPr>
        <w:ind w:left="3600" w:hanging="360"/>
      </w:pPr>
      <w:rPr>
        <w:rFonts w:ascii="Courier New" w:hAnsi="Courier New" w:hint="default"/>
      </w:rPr>
    </w:lvl>
    <w:lvl w:ilvl="5" w:tplc="056C5E34">
      <w:start w:val="1"/>
      <w:numFmt w:val="bullet"/>
      <w:lvlText w:val=""/>
      <w:lvlJc w:val="left"/>
      <w:pPr>
        <w:ind w:left="4320" w:hanging="360"/>
      </w:pPr>
      <w:rPr>
        <w:rFonts w:ascii="Wingdings" w:hAnsi="Wingdings" w:hint="default"/>
      </w:rPr>
    </w:lvl>
    <w:lvl w:ilvl="6" w:tplc="4C221C2E">
      <w:start w:val="1"/>
      <w:numFmt w:val="bullet"/>
      <w:lvlText w:val=""/>
      <w:lvlJc w:val="left"/>
      <w:pPr>
        <w:ind w:left="5040" w:hanging="360"/>
      </w:pPr>
      <w:rPr>
        <w:rFonts w:ascii="Symbol" w:hAnsi="Symbol" w:hint="default"/>
      </w:rPr>
    </w:lvl>
    <w:lvl w:ilvl="7" w:tplc="8FDEBB2A">
      <w:start w:val="1"/>
      <w:numFmt w:val="bullet"/>
      <w:lvlText w:val="o"/>
      <w:lvlJc w:val="left"/>
      <w:pPr>
        <w:ind w:left="5760" w:hanging="360"/>
      </w:pPr>
      <w:rPr>
        <w:rFonts w:ascii="Courier New" w:hAnsi="Courier New" w:hint="default"/>
      </w:rPr>
    </w:lvl>
    <w:lvl w:ilvl="8" w:tplc="F3DA9CB0">
      <w:start w:val="1"/>
      <w:numFmt w:val="bullet"/>
      <w:lvlText w:val=""/>
      <w:lvlJc w:val="left"/>
      <w:pPr>
        <w:ind w:left="6480" w:hanging="360"/>
      </w:pPr>
      <w:rPr>
        <w:rFonts w:ascii="Wingdings" w:hAnsi="Wingdings" w:hint="default"/>
      </w:rPr>
    </w:lvl>
  </w:abstractNum>
  <w:abstractNum w:abstractNumId="9" w15:restartNumberingAfterBreak="0">
    <w:nsid w:val="0A52F5DC"/>
    <w:multiLevelType w:val="hybridMultilevel"/>
    <w:tmpl w:val="FFFFFFFF"/>
    <w:lvl w:ilvl="0" w:tplc="3062B0C0">
      <w:start w:val="1"/>
      <w:numFmt w:val="bullet"/>
      <w:lvlText w:val="·"/>
      <w:lvlJc w:val="left"/>
      <w:pPr>
        <w:ind w:left="720" w:hanging="360"/>
      </w:pPr>
      <w:rPr>
        <w:rFonts w:ascii="Symbol" w:hAnsi="Symbol" w:hint="default"/>
      </w:rPr>
    </w:lvl>
    <w:lvl w:ilvl="1" w:tplc="3C6E9522">
      <w:start w:val="1"/>
      <w:numFmt w:val="bullet"/>
      <w:lvlText w:val="o"/>
      <w:lvlJc w:val="left"/>
      <w:pPr>
        <w:ind w:left="1440" w:hanging="360"/>
      </w:pPr>
      <w:rPr>
        <w:rFonts w:ascii="Courier New" w:hAnsi="Courier New" w:hint="default"/>
      </w:rPr>
    </w:lvl>
    <w:lvl w:ilvl="2" w:tplc="C03E8810">
      <w:start w:val="1"/>
      <w:numFmt w:val="bullet"/>
      <w:lvlText w:val=""/>
      <w:lvlJc w:val="left"/>
      <w:pPr>
        <w:ind w:left="2160" w:hanging="360"/>
      </w:pPr>
      <w:rPr>
        <w:rFonts w:ascii="Wingdings" w:hAnsi="Wingdings" w:hint="default"/>
      </w:rPr>
    </w:lvl>
    <w:lvl w:ilvl="3" w:tplc="5950D050">
      <w:start w:val="1"/>
      <w:numFmt w:val="bullet"/>
      <w:lvlText w:val=""/>
      <w:lvlJc w:val="left"/>
      <w:pPr>
        <w:ind w:left="2880" w:hanging="360"/>
      </w:pPr>
      <w:rPr>
        <w:rFonts w:ascii="Symbol" w:hAnsi="Symbol" w:hint="default"/>
      </w:rPr>
    </w:lvl>
    <w:lvl w:ilvl="4" w:tplc="3700793C">
      <w:start w:val="1"/>
      <w:numFmt w:val="bullet"/>
      <w:lvlText w:val="o"/>
      <w:lvlJc w:val="left"/>
      <w:pPr>
        <w:ind w:left="3600" w:hanging="360"/>
      </w:pPr>
      <w:rPr>
        <w:rFonts w:ascii="Courier New" w:hAnsi="Courier New" w:hint="default"/>
      </w:rPr>
    </w:lvl>
    <w:lvl w:ilvl="5" w:tplc="64F09FC6">
      <w:start w:val="1"/>
      <w:numFmt w:val="bullet"/>
      <w:lvlText w:val=""/>
      <w:lvlJc w:val="left"/>
      <w:pPr>
        <w:ind w:left="4320" w:hanging="360"/>
      </w:pPr>
      <w:rPr>
        <w:rFonts w:ascii="Wingdings" w:hAnsi="Wingdings" w:hint="default"/>
      </w:rPr>
    </w:lvl>
    <w:lvl w:ilvl="6" w:tplc="1A4296F8">
      <w:start w:val="1"/>
      <w:numFmt w:val="bullet"/>
      <w:lvlText w:val=""/>
      <w:lvlJc w:val="left"/>
      <w:pPr>
        <w:ind w:left="5040" w:hanging="360"/>
      </w:pPr>
      <w:rPr>
        <w:rFonts w:ascii="Symbol" w:hAnsi="Symbol" w:hint="default"/>
      </w:rPr>
    </w:lvl>
    <w:lvl w:ilvl="7" w:tplc="4C222BD6">
      <w:start w:val="1"/>
      <w:numFmt w:val="bullet"/>
      <w:lvlText w:val="o"/>
      <w:lvlJc w:val="left"/>
      <w:pPr>
        <w:ind w:left="5760" w:hanging="360"/>
      </w:pPr>
      <w:rPr>
        <w:rFonts w:ascii="Courier New" w:hAnsi="Courier New" w:hint="default"/>
      </w:rPr>
    </w:lvl>
    <w:lvl w:ilvl="8" w:tplc="FEB0601C">
      <w:start w:val="1"/>
      <w:numFmt w:val="bullet"/>
      <w:lvlText w:val=""/>
      <w:lvlJc w:val="left"/>
      <w:pPr>
        <w:ind w:left="6480" w:hanging="360"/>
      </w:pPr>
      <w:rPr>
        <w:rFonts w:ascii="Wingdings" w:hAnsi="Wingdings" w:hint="default"/>
      </w:rPr>
    </w:lvl>
  </w:abstractNum>
  <w:abstractNum w:abstractNumId="10" w15:restartNumberingAfterBreak="0">
    <w:nsid w:val="0BAB51A4"/>
    <w:multiLevelType w:val="hybridMultilevel"/>
    <w:tmpl w:val="743EC7FE"/>
    <w:lvl w:ilvl="0" w:tplc="C9068EFE">
      <w:start w:val="1"/>
      <w:numFmt w:val="bullet"/>
      <w:lvlText w:val=""/>
      <w:lvlJc w:val="left"/>
      <w:pPr>
        <w:ind w:left="720" w:hanging="360"/>
      </w:pPr>
      <w:rPr>
        <w:rFonts w:ascii="Symbol" w:hAnsi="Symbol" w:hint="default"/>
      </w:rPr>
    </w:lvl>
    <w:lvl w:ilvl="1" w:tplc="2F88BAFE" w:tentative="1">
      <w:start w:val="1"/>
      <w:numFmt w:val="bullet"/>
      <w:lvlText w:val="o"/>
      <w:lvlJc w:val="left"/>
      <w:pPr>
        <w:ind w:left="1440" w:hanging="360"/>
      </w:pPr>
      <w:rPr>
        <w:rFonts w:ascii="Courier New" w:hAnsi="Courier New" w:hint="default"/>
      </w:rPr>
    </w:lvl>
    <w:lvl w:ilvl="2" w:tplc="4B4869AA" w:tentative="1">
      <w:start w:val="1"/>
      <w:numFmt w:val="bullet"/>
      <w:lvlText w:val=""/>
      <w:lvlJc w:val="left"/>
      <w:pPr>
        <w:ind w:left="2160" w:hanging="360"/>
      </w:pPr>
      <w:rPr>
        <w:rFonts w:ascii="Wingdings" w:hAnsi="Wingdings" w:hint="default"/>
      </w:rPr>
    </w:lvl>
    <w:lvl w:ilvl="3" w:tplc="326E236E" w:tentative="1">
      <w:start w:val="1"/>
      <w:numFmt w:val="bullet"/>
      <w:lvlText w:val=""/>
      <w:lvlJc w:val="left"/>
      <w:pPr>
        <w:ind w:left="2880" w:hanging="360"/>
      </w:pPr>
      <w:rPr>
        <w:rFonts w:ascii="Symbol" w:hAnsi="Symbol" w:hint="default"/>
      </w:rPr>
    </w:lvl>
    <w:lvl w:ilvl="4" w:tplc="B6A8BC96" w:tentative="1">
      <w:start w:val="1"/>
      <w:numFmt w:val="bullet"/>
      <w:lvlText w:val="o"/>
      <w:lvlJc w:val="left"/>
      <w:pPr>
        <w:ind w:left="3600" w:hanging="360"/>
      </w:pPr>
      <w:rPr>
        <w:rFonts w:ascii="Courier New" w:hAnsi="Courier New" w:hint="default"/>
      </w:rPr>
    </w:lvl>
    <w:lvl w:ilvl="5" w:tplc="7E3C200A" w:tentative="1">
      <w:start w:val="1"/>
      <w:numFmt w:val="bullet"/>
      <w:lvlText w:val=""/>
      <w:lvlJc w:val="left"/>
      <w:pPr>
        <w:ind w:left="4320" w:hanging="360"/>
      </w:pPr>
      <w:rPr>
        <w:rFonts w:ascii="Wingdings" w:hAnsi="Wingdings" w:hint="default"/>
      </w:rPr>
    </w:lvl>
    <w:lvl w:ilvl="6" w:tplc="6FB4D674" w:tentative="1">
      <w:start w:val="1"/>
      <w:numFmt w:val="bullet"/>
      <w:lvlText w:val=""/>
      <w:lvlJc w:val="left"/>
      <w:pPr>
        <w:ind w:left="5040" w:hanging="360"/>
      </w:pPr>
      <w:rPr>
        <w:rFonts w:ascii="Symbol" w:hAnsi="Symbol" w:hint="default"/>
      </w:rPr>
    </w:lvl>
    <w:lvl w:ilvl="7" w:tplc="A428FF5C" w:tentative="1">
      <w:start w:val="1"/>
      <w:numFmt w:val="bullet"/>
      <w:lvlText w:val="o"/>
      <w:lvlJc w:val="left"/>
      <w:pPr>
        <w:ind w:left="5760" w:hanging="360"/>
      </w:pPr>
      <w:rPr>
        <w:rFonts w:ascii="Courier New" w:hAnsi="Courier New" w:hint="default"/>
      </w:rPr>
    </w:lvl>
    <w:lvl w:ilvl="8" w:tplc="04C680A4" w:tentative="1">
      <w:start w:val="1"/>
      <w:numFmt w:val="bullet"/>
      <w:lvlText w:val=""/>
      <w:lvlJc w:val="left"/>
      <w:pPr>
        <w:ind w:left="6480" w:hanging="360"/>
      </w:pPr>
      <w:rPr>
        <w:rFonts w:ascii="Wingdings" w:hAnsi="Wingdings" w:hint="default"/>
      </w:rPr>
    </w:lvl>
  </w:abstractNum>
  <w:abstractNum w:abstractNumId="11" w15:restartNumberingAfterBreak="0">
    <w:nsid w:val="0C473BD0"/>
    <w:multiLevelType w:val="hybridMultilevel"/>
    <w:tmpl w:val="D6F6212A"/>
    <w:lvl w:ilvl="0" w:tplc="C59EEAB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C9313A0"/>
    <w:multiLevelType w:val="hybridMultilevel"/>
    <w:tmpl w:val="087E07F0"/>
    <w:lvl w:ilvl="0" w:tplc="AC70DDCC">
      <w:start w:val="1"/>
      <w:numFmt w:val="bullet"/>
      <w:lvlText w:val=""/>
      <w:lvlJc w:val="left"/>
      <w:pPr>
        <w:ind w:left="1922" w:hanging="360"/>
      </w:pPr>
      <w:rPr>
        <w:rFonts w:ascii="Symbol" w:hAnsi="Symbol" w:hint="default"/>
      </w:rPr>
    </w:lvl>
    <w:lvl w:ilvl="1" w:tplc="57F4AD22" w:tentative="1">
      <w:start w:val="1"/>
      <w:numFmt w:val="bullet"/>
      <w:lvlText w:val="o"/>
      <w:lvlJc w:val="left"/>
      <w:pPr>
        <w:ind w:left="2642" w:hanging="360"/>
      </w:pPr>
      <w:rPr>
        <w:rFonts w:ascii="Courier New" w:hAnsi="Courier New" w:hint="default"/>
      </w:rPr>
    </w:lvl>
    <w:lvl w:ilvl="2" w:tplc="800CBD26" w:tentative="1">
      <w:start w:val="1"/>
      <w:numFmt w:val="bullet"/>
      <w:lvlText w:val=""/>
      <w:lvlJc w:val="left"/>
      <w:pPr>
        <w:ind w:left="3362" w:hanging="360"/>
      </w:pPr>
      <w:rPr>
        <w:rFonts w:ascii="Wingdings" w:hAnsi="Wingdings" w:hint="default"/>
      </w:rPr>
    </w:lvl>
    <w:lvl w:ilvl="3" w:tplc="E7A439C4" w:tentative="1">
      <w:start w:val="1"/>
      <w:numFmt w:val="bullet"/>
      <w:lvlText w:val=""/>
      <w:lvlJc w:val="left"/>
      <w:pPr>
        <w:ind w:left="4082" w:hanging="360"/>
      </w:pPr>
      <w:rPr>
        <w:rFonts w:ascii="Symbol" w:hAnsi="Symbol" w:hint="default"/>
      </w:rPr>
    </w:lvl>
    <w:lvl w:ilvl="4" w:tplc="968E4D96" w:tentative="1">
      <w:start w:val="1"/>
      <w:numFmt w:val="bullet"/>
      <w:lvlText w:val="o"/>
      <w:lvlJc w:val="left"/>
      <w:pPr>
        <w:ind w:left="4802" w:hanging="360"/>
      </w:pPr>
      <w:rPr>
        <w:rFonts w:ascii="Courier New" w:hAnsi="Courier New" w:hint="default"/>
      </w:rPr>
    </w:lvl>
    <w:lvl w:ilvl="5" w:tplc="FA9CF358" w:tentative="1">
      <w:start w:val="1"/>
      <w:numFmt w:val="bullet"/>
      <w:lvlText w:val=""/>
      <w:lvlJc w:val="left"/>
      <w:pPr>
        <w:ind w:left="5522" w:hanging="360"/>
      </w:pPr>
      <w:rPr>
        <w:rFonts w:ascii="Wingdings" w:hAnsi="Wingdings" w:hint="default"/>
      </w:rPr>
    </w:lvl>
    <w:lvl w:ilvl="6" w:tplc="2D801382" w:tentative="1">
      <w:start w:val="1"/>
      <w:numFmt w:val="bullet"/>
      <w:lvlText w:val=""/>
      <w:lvlJc w:val="left"/>
      <w:pPr>
        <w:ind w:left="6242" w:hanging="360"/>
      </w:pPr>
      <w:rPr>
        <w:rFonts w:ascii="Symbol" w:hAnsi="Symbol" w:hint="default"/>
      </w:rPr>
    </w:lvl>
    <w:lvl w:ilvl="7" w:tplc="C206135A" w:tentative="1">
      <w:start w:val="1"/>
      <w:numFmt w:val="bullet"/>
      <w:lvlText w:val="o"/>
      <w:lvlJc w:val="left"/>
      <w:pPr>
        <w:ind w:left="6962" w:hanging="360"/>
      </w:pPr>
      <w:rPr>
        <w:rFonts w:ascii="Courier New" w:hAnsi="Courier New" w:hint="default"/>
      </w:rPr>
    </w:lvl>
    <w:lvl w:ilvl="8" w:tplc="D6309C14" w:tentative="1">
      <w:start w:val="1"/>
      <w:numFmt w:val="bullet"/>
      <w:lvlText w:val=""/>
      <w:lvlJc w:val="left"/>
      <w:pPr>
        <w:ind w:left="7682" w:hanging="360"/>
      </w:pPr>
      <w:rPr>
        <w:rFonts w:ascii="Wingdings" w:hAnsi="Wingdings" w:hint="default"/>
      </w:rPr>
    </w:lvl>
  </w:abstractNum>
  <w:abstractNum w:abstractNumId="13" w15:restartNumberingAfterBreak="0">
    <w:nsid w:val="0DF81714"/>
    <w:multiLevelType w:val="hybridMultilevel"/>
    <w:tmpl w:val="26CE1170"/>
    <w:lvl w:ilvl="0" w:tplc="0A24408E">
      <w:start w:val="1"/>
      <w:numFmt w:val="bullet"/>
      <w:lvlText w:val=""/>
      <w:lvlJc w:val="left"/>
      <w:pPr>
        <w:ind w:left="720" w:hanging="360"/>
      </w:pPr>
      <w:rPr>
        <w:rFonts w:ascii="Symbol" w:hAnsi="Symbol" w:hint="default"/>
      </w:rPr>
    </w:lvl>
    <w:lvl w:ilvl="1" w:tplc="E9CA8940" w:tentative="1">
      <w:start w:val="1"/>
      <w:numFmt w:val="bullet"/>
      <w:lvlText w:val="o"/>
      <w:lvlJc w:val="left"/>
      <w:pPr>
        <w:ind w:left="1440" w:hanging="360"/>
      </w:pPr>
      <w:rPr>
        <w:rFonts w:ascii="Courier New" w:hAnsi="Courier New" w:hint="default"/>
      </w:rPr>
    </w:lvl>
    <w:lvl w:ilvl="2" w:tplc="06623C70" w:tentative="1">
      <w:start w:val="1"/>
      <w:numFmt w:val="bullet"/>
      <w:lvlText w:val=""/>
      <w:lvlJc w:val="left"/>
      <w:pPr>
        <w:ind w:left="2160" w:hanging="360"/>
      </w:pPr>
      <w:rPr>
        <w:rFonts w:ascii="Wingdings" w:hAnsi="Wingdings" w:hint="default"/>
      </w:rPr>
    </w:lvl>
    <w:lvl w:ilvl="3" w:tplc="27ECFC72" w:tentative="1">
      <w:start w:val="1"/>
      <w:numFmt w:val="bullet"/>
      <w:lvlText w:val=""/>
      <w:lvlJc w:val="left"/>
      <w:pPr>
        <w:ind w:left="2880" w:hanging="360"/>
      </w:pPr>
      <w:rPr>
        <w:rFonts w:ascii="Symbol" w:hAnsi="Symbol" w:hint="default"/>
      </w:rPr>
    </w:lvl>
    <w:lvl w:ilvl="4" w:tplc="48CAE5E2" w:tentative="1">
      <w:start w:val="1"/>
      <w:numFmt w:val="bullet"/>
      <w:lvlText w:val="o"/>
      <w:lvlJc w:val="left"/>
      <w:pPr>
        <w:ind w:left="3600" w:hanging="360"/>
      </w:pPr>
      <w:rPr>
        <w:rFonts w:ascii="Courier New" w:hAnsi="Courier New" w:hint="default"/>
      </w:rPr>
    </w:lvl>
    <w:lvl w:ilvl="5" w:tplc="BB3C80C0" w:tentative="1">
      <w:start w:val="1"/>
      <w:numFmt w:val="bullet"/>
      <w:lvlText w:val=""/>
      <w:lvlJc w:val="left"/>
      <w:pPr>
        <w:ind w:left="4320" w:hanging="360"/>
      </w:pPr>
      <w:rPr>
        <w:rFonts w:ascii="Wingdings" w:hAnsi="Wingdings" w:hint="default"/>
      </w:rPr>
    </w:lvl>
    <w:lvl w:ilvl="6" w:tplc="DECE080C" w:tentative="1">
      <w:start w:val="1"/>
      <w:numFmt w:val="bullet"/>
      <w:lvlText w:val=""/>
      <w:lvlJc w:val="left"/>
      <w:pPr>
        <w:ind w:left="5040" w:hanging="360"/>
      </w:pPr>
      <w:rPr>
        <w:rFonts w:ascii="Symbol" w:hAnsi="Symbol" w:hint="default"/>
      </w:rPr>
    </w:lvl>
    <w:lvl w:ilvl="7" w:tplc="EE061566" w:tentative="1">
      <w:start w:val="1"/>
      <w:numFmt w:val="bullet"/>
      <w:lvlText w:val="o"/>
      <w:lvlJc w:val="left"/>
      <w:pPr>
        <w:ind w:left="5760" w:hanging="360"/>
      </w:pPr>
      <w:rPr>
        <w:rFonts w:ascii="Courier New" w:hAnsi="Courier New" w:hint="default"/>
      </w:rPr>
    </w:lvl>
    <w:lvl w:ilvl="8" w:tplc="62164C10" w:tentative="1">
      <w:start w:val="1"/>
      <w:numFmt w:val="bullet"/>
      <w:lvlText w:val=""/>
      <w:lvlJc w:val="left"/>
      <w:pPr>
        <w:ind w:left="6480" w:hanging="360"/>
      </w:pPr>
      <w:rPr>
        <w:rFonts w:ascii="Wingdings" w:hAnsi="Wingdings" w:hint="default"/>
      </w:rPr>
    </w:lvl>
  </w:abstractNum>
  <w:abstractNum w:abstractNumId="14" w15:restartNumberingAfterBreak="0">
    <w:nsid w:val="0E645726"/>
    <w:multiLevelType w:val="hybridMultilevel"/>
    <w:tmpl w:val="247AAB8A"/>
    <w:lvl w:ilvl="0" w:tplc="5282E0B2">
      <w:start w:val="1"/>
      <w:numFmt w:val="bullet"/>
      <w:lvlText w:val=""/>
      <w:lvlJc w:val="left"/>
      <w:pPr>
        <w:ind w:left="720" w:hanging="360"/>
      </w:pPr>
      <w:rPr>
        <w:rFonts w:ascii="Symbol" w:hAnsi="Symbol" w:hint="default"/>
      </w:rPr>
    </w:lvl>
    <w:lvl w:ilvl="1" w:tplc="A5202B30">
      <w:start w:val="1"/>
      <w:numFmt w:val="bullet"/>
      <w:lvlText w:val="o"/>
      <w:lvlJc w:val="left"/>
      <w:pPr>
        <w:ind w:left="1440" w:hanging="360"/>
      </w:pPr>
      <w:rPr>
        <w:rFonts w:ascii="Courier New" w:hAnsi="Courier New" w:hint="default"/>
      </w:rPr>
    </w:lvl>
    <w:lvl w:ilvl="2" w:tplc="1E7868BC">
      <w:start w:val="1"/>
      <w:numFmt w:val="lowerLetter"/>
      <w:lvlText w:val="%3)"/>
      <w:lvlJc w:val="left"/>
      <w:pPr>
        <w:ind w:left="2160" w:hanging="360"/>
      </w:pPr>
    </w:lvl>
    <w:lvl w:ilvl="3" w:tplc="4C3E4AD0">
      <w:start w:val="1"/>
      <w:numFmt w:val="bullet"/>
      <w:lvlText w:val=""/>
      <w:lvlJc w:val="left"/>
      <w:pPr>
        <w:ind w:left="2880" w:hanging="360"/>
      </w:pPr>
      <w:rPr>
        <w:rFonts w:ascii="Symbol" w:hAnsi="Symbol" w:hint="default"/>
      </w:rPr>
    </w:lvl>
    <w:lvl w:ilvl="4" w:tplc="78605E72">
      <w:start w:val="1"/>
      <w:numFmt w:val="bullet"/>
      <w:lvlText w:val="o"/>
      <w:lvlJc w:val="left"/>
      <w:pPr>
        <w:ind w:left="3600" w:hanging="360"/>
      </w:pPr>
      <w:rPr>
        <w:rFonts w:ascii="Courier New" w:hAnsi="Courier New" w:hint="default"/>
      </w:rPr>
    </w:lvl>
    <w:lvl w:ilvl="5" w:tplc="CB9E05B6">
      <w:start w:val="1"/>
      <w:numFmt w:val="bullet"/>
      <w:lvlText w:val=""/>
      <w:lvlJc w:val="left"/>
      <w:pPr>
        <w:ind w:left="4320" w:hanging="360"/>
      </w:pPr>
      <w:rPr>
        <w:rFonts w:ascii="Wingdings" w:hAnsi="Wingdings" w:hint="default"/>
      </w:rPr>
    </w:lvl>
    <w:lvl w:ilvl="6" w:tplc="550C1EB4">
      <w:start w:val="1"/>
      <w:numFmt w:val="bullet"/>
      <w:lvlText w:val=""/>
      <w:lvlJc w:val="left"/>
      <w:pPr>
        <w:ind w:left="5040" w:hanging="360"/>
      </w:pPr>
      <w:rPr>
        <w:rFonts w:ascii="Symbol" w:hAnsi="Symbol" w:hint="default"/>
      </w:rPr>
    </w:lvl>
    <w:lvl w:ilvl="7" w:tplc="25709F76">
      <w:start w:val="1"/>
      <w:numFmt w:val="bullet"/>
      <w:lvlText w:val="o"/>
      <w:lvlJc w:val="left"/>
      <w:pPr>
        <w:ind w:left="5760" w:hanging="360"/>
      </w:pPr>
      <w:rPr>
        <w:rFonts w:ascii="Courier New" w:hAnsi="Courier New" w:hint="default"/>
      </w:rPr>
    </w:lvl>
    <w:lvl w:ilvl="8" w:tplc="1DA6B7BC">
      <w:start w:val="1"/>
      <w:numFmt w:val="bullet"/>
      <w:lvlText w:val=""/>
      <w:lvlJc w:val="left"/>
      <w:pPr>
        <w:ind w:left="6480" w:hanging="360"/>
      </w:pPr>
      <w:rPr>
        <w:rFonts w:ascii="Wingdings" w:hAnsi="Wingdings" w:hint="default"/>
      </w:rPr>
    </w:lvl>
  </w:abstractNum>
  <w:abstractNum w:abstractNumId="15" w15:restartNumberingAfterBreak="0">
    <w:nsid w:val="0EB91295"/>
    <w:multiLevelType w:val="hybridMultilevel"/>
    <w:tmpl w:val="0C9E4510"/>
    <w:lvl w:ilvl="0" w:tplc="7E3EB1CE">
      <w:start w:val="1"/>
      <w:numFmt w:val="bullet"/>
      <w:lvlText w:val=""/>
      <w:lvlJc w:val="left"/>
      <w:pPr>
        <w:ind w:left="720" w:hanging="360"/>
      </w:pPr>
      <w:rPr>
        <w:rFonts w:ascii="Symbol" w:hAnsi="Symbol" w:hint="default"/>
      </w:rPr>
    </w:lvl>
    <w:lvl w:ilvl="1" w:tplc="A49EB57C" w:tentative="1">
      <w:start w:val="1"/>
      <w:numFmt w:val="bullet"/>
      <w:lvlText w:val="o"/>
      <w:lvlJc w:val="left"/>
      <w:pPr>
        <w:ind w:left="1440" w:hanging="360"/>
      </w:pPr>
      <w:rPr>
        <w:rFonts w:ascii="Courier New" w:hAnsi="Courier New" w:hint="default"/>
      </w:rPr>
    </w:lvl>
    <w:lvl w:ilvl="2" w:tplc="06C61E08" w:tentative="1">
      <w:start w:val="1"/>
      <w:numFmt w:val="bullet"/>
      <w:lvlText w:val=""/>
      <w:lvlJc w:val="left"/>
      <w:pPr>
        <w:ind w:left="2160" w:hanging="360"/>
      </w:pPr>
      <w:rPr>
        <w:rFonts w:ascii="Wingdings" w:hAnsi="Wingdings" w:hint="default"/>
      </w:rPr>
    </w:lvl>
    <w:lvl w:ilvl="3" w:tplc="7B26D14C" w:tentative="1">
      <w:start w:val="1"/>
      <w:numFmt w:val="bullet"/>
      <w:lvlText w:val=""/>
      <w:lvlJc w:val="left"/>
      <w:pPr>
        <w:ind w:left="2880" w:hanging="360"/>
      </w:pPr>
      <w:rPr>
        <w:rFonts w:ascii="Symbol" w:hAnsi="Symbol" w:hint="default"/>
      </w:rPr>
    </w:lvl>
    <w:lvl w:ilvl="4" w:tplc="074418B2" w:tentative="1">
      <w:start w:val="1"/>
      <w:numFmt w:val="bullet"/>
      <w:lvlText w:val="o"/>
      <w:lvlJc w:val="left"/>
      <w:pPr>
        <w:ind w:left="3600" w:hanging="360"/>
      </w:pPr>
      <w:rPr>
        <w:rFonts w:ascii="Courier New" w:hAnsi="Courier New" w:hint="default"/>
      </w:rPr>
    </w:lvl>
    <w:lvl w:ilvl="5" w:tplc="BFF82E4E" w:tentative="1">
      <w:start w:val="1"/>
      <w:numFmt w:val="bullet"/>
      <w:lvlText w:val=""/>
      <w:lvlJc w:val="left"/>
      <w:pPr>
        <w:ind w:left="4320" w:hanging="360"/>
      </w:pPr>
      <w:rPr>
        <w:rFonts w:ascii="Wingdings" w:hAnsi="Wingdings" w:hint="default"/>
      </w:rPr>
    </w:lvl>
    <w:lvl w:ilvl="6" w:tplc="D7044C50" w:tentative="1">
      <w:start w:val="1"/>
      <w:numFmt w:val="bullet"/>
      <w:lvlText w:val=""/>
      <w:lvlJc w:val="left"/>
      <w:pPr>
        <w:ind w:left="5040" w:hanging="360"/>
      </w:pPr>
      <w:rPr>
        <w:rFonts w:ascii="Symbol" w:hAnsi="Symbol" w:hint="default"/>
      </w:rPr>
    </w:lvl>
    <w:lvl w:ilvl="7" w:tplc="EDE8934C" w:tentative="1">
      <w:start w:val="1"/>
      <w:numFmt w:val="bullet"/>
      <w:lvlText w:val="o"/>
      <w:lvlJc w:val="left"/>
      <w:pPr>
        <w:ind w:left="5760" w:hanging="360"/>
      </w:pPr>
      <w:rPr>
        <w:rFonts w:ascii="Courier New" w:hAnsi="Courier New" w:hint="default"/>
      </w:rPr>
    </w:lvl>
    <w:lvl w:ilvl="8" w:tplc="491C316E" w:tentative="1">
      <w:start w:val="1"/>
      <w:numFmt w:val="bullet"/>
      <w:lvlText w:val=""/>
      <w:lvlJc w:val="left"/>
      <w:pPr>
        <w:ind w:left="6480" w:hanging="360"/>
      </w:pPr>
      <w:rPr>
        <w:rFonts w:ascii="Wingdings" w:hAnsi="Wingdings" w:hint="default"/>
      </w:rPr>
    </w:lvl>
  </w:abstractNum>
  <w:abstractNum w:abstractNumId="16" w15:restartNumberingAfterBreak="0">
    <w:nsid w:val="0EFF3F3D"/>
    <w:multiLevelType w:val="hybridMultilevel"/>
    <w:tmpl w:val="FFFFFFFF"/>
    <w:lvl w:ilvl="0" w:tplc="6008ABDC">
      <w:start w:val="1"/>
      <w:numFmt w:val="bullet"/>
      <w:lvlText w:val=""/>
      <w:lvlJc w:val="left"/>
      <w:pPr>
        <w:ind w:left="720" w:hanging="360"/>
      </w:pPr>
      <w:rPr>
        <w:rFonts w:ascii="Symbol" w:hAnsi="Symbol" w:hint="default"/>
      </w:rPr>
    </w:lvl>
    <w:lvl w:ilvl="1" w:tplc="A7A4BC10">
      <w:start w:val="1"/>
      <w:numFmt w:val="bullet"/>
      <w:lvlText w:val="o"/>
      <w:lvlJc w:val="left"/>
      <w:pPr>
        <w:ind w:left="1440" w:hanging="360"/>
      </w:pPr>
      <w:rPr>
        <w:rFonts w:ascii="Courier New" w:hAnsi="Courier New" w:hint="default"/>
      </w:rPr>
    </w:lvl>
    <w:lvl w:ilvl="2" w:tplc="695A43B8">
      <w:start w:val="1"/>
      <w:numFmt w:val="bullet"/>
      <w:lvlText w:val=""/>
      <w:lvlJc w:val="left"/>
      <w:pPr>
        <w:ind w:left="2160" w:hanging="360"/>
      </w:pPr>
      <w:rPr>
        <w:rFonts w:ascii="Wingdings" w:hAnsi="Wingdings" w:hint="default"/>
      </w:rPr>
    </w:lvl>
    <w:lvl w:ilvl="3" w:tplc="77C2B29C">
      <w:start w:val="1"/>
      <w:numFmt w:val="bullet"/>
      <w:lvlText w:val=""/>
      <w:lvlJc w:val="left"/>
      <w:pPr>
        <w:ind w:left="2880" w:hanging="360"/>
      </w:pPr>
      <w:rPr>
        <w:rFonts w:ascii="Symbol" w:hAnsi="Symbol" w:hint="default"/>
      </w:rPr>
    </w:lvl>
    <w:lvl w:ilvl="4" w:tplc="A9ACCBEE">
      <w:start w:val="1"/>
      <w:numFmt w:val="bullet"/>
      <w:lvlText w:val="o"/>
      <w:lvlJc w:val="left"/>
      <w:pPr>
        <w:ind w:left="3600" w:hanging="360"/>
      </w:pPr>
      <w:rPr>
        <w:rFonts w:ascii="Courier New" w:hAnsi="Courier New" w:hint="default"/>
      </w:rPr>
    </w:lvl>
    <w:lvl w:ilvl="5" w:tplc="EEB055A8">
      <w:start w:val="1"/>
      <w:numFmt w:val="bullet"/>
      <w:lvlText w:val=""/>
      <w:lvlJc w:val="left"/>
      <w:pPr>
        <w:ind w:left="4320" w:hanging="360"/>
      </w:pPr>
      <w:rPr>
        <w:rFonts w:ascii="Wingdings" w:hAnsi="Wingdings" w:hint="default"/>
      </w:rPr>
    </w:lvl>
    <w:lvl w:ilvl="6" w:tplc="7056FE48">
      <w:start w:val="1"/>
      <w:numFmt w:val="bullet"/>
      <w:lvlText w:val=""/>
      <w:lvlJc w:val="left"/>
      <w:pPr>
        <w:ind w:left="5040" w:hanging="360"/>
      </w:pPr>
      <w:rPr>
        <w:rFonts w:ascii="Symbol" w:hAnsi="Symbol" w:hint="default"/>
      </w:rPr>
    </w:lvl>
    <w:lvl w:ilvl="7" w:tplc="CBC6E54E">
      <w:start w:val="1"/>
      <w:numFmt w:val="bullet"/>
      <w:lvlText w:val="o"/>
      <w:lvlJc w:val="left"/>
      <w:pPr>
        <w:ind w:left="5760" w:hanging="360"/>
      </w:pPr>
      <w:rPr>
        <w:rFonts w:ascii="Courier New" w:hAnsi="Courier New" w:hint="default"/>
      </w:rPr>
    </w:lvl>
    <w:lvl w:ilvl="8" w:tplc="8FAC2424">
      <w:start w:val="1"/>
      <w:numFmt w:val="bullet"/>
      <w:lvlText w:val=""/>
      <w:lvlJc w:val="left"/>
      <w:pPr>
        <w:ind w:left="6480" w:hanging="360"/>
      </w:pPr>
      <w:rPr>
        <w:rFonts w:ascii="Wingdings" w:hAnsi="Wingdings" w:hint="default"/>
      </w:rPr>
    </w:lvl>
  </w:abstractNum>
  <w:abstractNum w:abstractNumId="17" w15:restartNumberingAfterBreak="0">
    <w:nsid w:val="0F4E5E35"/>
    <w:multiLevelType w:val="multilevel"/>
    <w:tmpl w:val="1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F5B44BB"/>
    <w:multiLevelType w:val="multilevel"/>
    <w:tmpl w:val="44E67B0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0F834A15"/>
    <w:multiLevelType w:val="hybridMultilevel"/>
    <w:tmpl w:val="A086C4E6"/>
    <w:lvl w:ilvl="0" w:tplc="3092DCDA">
      <w:start w:val="1"/>
      <w:numFmt w:val="bullet"/>
      <w:lvlText w:val=""/>
      <w:lvlJc w:val="left"/>
      <w:pPr>
        <w:ind w:left="1440" w:hanging="360"/>
      </w:pPr>
      <w:rPr>
        <w:rFonts w:ascii="Symbol" w:hAnsi="Symbol" w:hint="default"/>
      </w:rPr>
    </w:lvl>
    <w:lvl w:ilvl="1" w:tplc="4490D76A" w:tentative="1">
      <w:start w:val="1"/>
      <w:numFmt w:val="bullet"/>
      <w:lvlText w:val="o"/>
      <w:lvlJc w:val="left"/>
      <w:pPr>
        <w:ind w:left="2160" w:hanging="360"/>
      </w:pPr>
      <w:rPr>
        <w:rFonts w:ascii="Courier New" w:hAnsi="Courier New" w:hint="default"/>
      </w:rPr>
    </w:lvl>
    <w:lvl w:ilvl="2" w:tplc="BEF44E5A" w:tentative="1">
      <w:start w:val="1"/>
      <w:numFmt w:val="bullet"/>
      <w:lvlText w:val=""/>
      <w:lvlJc w:val="left"/>
      <w:pPr>
        <w:ind w:left="2880" w:hanging="360"/>
      </w:pPr>
      <w:rPr>
        <w:rFonts w:ascii="Wingdings" w:hAnsi="Wingdings" w:hint="default"/>
      </w:rPr>
    </w:lvl>
    <w:lvl w:ilvl="3" w:tplc="665E9372" w:tentative="1">
      <w:start w:val="1"/>
      <w:numFmt w:val="bullet"/>
      <w:lvlText w:val=""/>
      <w:lvlJc w:val="left"/>
      <w:pPr>
        <w:ind w:left="3600" w:hanging="360"/>
      </w:pPr>
      <w:rPr>
        <w:rFonts w:ascii="Symbol" w:hAnsi="Symbol" w:hint="default"/>
      </w:rPr>
    </w:lvl>
    <w:lvl w:ilvl="4" w:tplc="0EFAFE14" w:tentative="1">
      <w:start w:val="1"/>
      <w:numFmt w:val="bullet"/>
      <w:lvlText w:val="o"/>
      <w:lvlJc w:val="left"/>
      <w:pPr>
        <w:ind w:left="4320" w:hanging="360"/>
      </w:pPr>
      <w:rPr>
        <w:rFonts w:ascii="Courier New" w:hAnsi="Courier New" w:hint="default"/>
      </w:rPr>
    </w:lvl>
    <w:lvl w:ilvl="5" w:tplc="C8448D1A" w:tentative="1">
      <w:start w:val="1"/>
      <w:numFmt w:val="bullet"/>
      <w:lvlText w:val=""/>
      <w:lvlJc w:val="left"/>
      <w:pPr>
        <w:ind w:left="5040" w:hanging="360"/>
      </w:pPr>
      <w:rPr>
        <w:rFonts w:ascii="Wingdings" w:hAnsi="Wingdings" w:hint="default"/>
      </w:rPr>
    </w:lvl>
    <w:lvl w:ilvl="6" w:tplc="C1E4DAF6" w:tentative="1">
      <w:start w:val="1"/>
      <w:numFmt w:val="bullet"/>
      <w:lvlText w:val=""/>
      <w:lvlJc w:val="left"/>
      <w:pPr>
        <w:ind w:left="5760" w:hanging="360"/>
      </w:pPr>
      <w:rPr>
        <w:rFonts w:ascii="Symbol" w:hAnsi="Symbol" w:hint="default"/>
      </w:rPr>
    </w:lvl>
    <w:lvl w:ilvl="7" w:tplc="C1543086" w:tentative="1">
      <w:start w:val="1"/>
      <w:numFmt w:val="bullet"/>
      <w:lvlText w:val="o"/>
      <w:lvlJc w:val="left"/>
      <w:pPr>
        <w:ind w:left="6480" w:hanging="360"/>
      </w:pPr>
      <w:rPr>
        <w:rFonts w:ascii="Courier New" w:hAnsi="Courier New" w:hint="default"/>
      </w:rPr>
    </w:lvl>
    <w:lvl w:ilvl="8" w:tplc="04A815D8" w:tentative="1">
      <w:start w:val="1"/>
      <w:numFmt w:val="bullet"/>
      <w:lvlText w:val=""/>
      <w:lvlJc w:val="left"/>
      <w:pPr>
        <w:ind w:left="7200" w:hanging="360"/>
      </w:pPr>
      <w:rPr>
        <w:rFonts w:ascii="Wingdings" w:hAnsi="Wingdings" w:hint="default"/>
      </w:rPr>
    </w:lvl>
  </w:abstractNum>
  <w:abstractNum w:abstractNumId="20" w15:restartNumberingAfterBreak="0">
    <w:nsid w:val="0FA28B7B"/>
    <w:multiLevelType w:val="hybridMultilevel"/>
    <w:tmpl w:val="FFFFFFFF"/>
    <w:lvl w:ilvl="0" w:tplc="68FC2D5E">
      <w:start w:val="1"/>
      <w:numFmt w:val="bullet"/>
      <w:lvlText w:val=""/>
      <w:lvlJc w:val="left"/>
      <w:pPr>
        <w:ind w:left="720" w:hanging="360"/>
      </w:pPr>
      <w:rPr>
        <w:rFonts w:ascii="Symbol" w:hAnsi="Symbol" w:hint="default"/>
      </w:rPr>
    </w:lvl>
    <w:lvl w:ilvl="1" w:tplc="FC0A98F6">
      <w:start w:val="1"/>
      <w:numFmt w:val="bullet"/>
      <w:lvlText w:val="o"/>
      <w:lvlJc w:val="left"/>
      <w:pPr>
        <w:ind w:left="1440" w:hanging="360"/>
      </w:pPr>
      <w:rPr>
        <w:rFonts w:ascii="Courier New" w:hAnsi="Courier New" w:hint="default"/>
      </w:rPr>
    </w:lvl>
    <w:lvl w:ilvl="2" w:tplc="80AE1088">
      <w:start w:val="1"/>
      <w:numFmt w:val="bullet"/>
      <w:lvlText w:val=""/>
      <w:lvlJc w:val="left"/>
      <w:pPr>
        <w:ind w:left="2160" w:hanging="360"/>
      </w:pPr>
      <w:rPr>
        <w:rFonts w:ascii="Wingdings" w:hAnsi="Wingdings" w:hint="default"/>
      </w:rPr>
    </w:lvl>
    <w:lvl w:ilvl="3" w:tplc="B4BACC52">
      <w:start w:val="1"/>
      <w:numFmt w:val="bullet"/>
      <w:lvlText w:val=""/>
      <w:lvlJc w:val="left"/>
      <w:pPr>
        <w:ind w:left="2880" w:hanging="360"/>
      </w:pPr>
      <w:rPr>
        <w:rFonts w:ascii="Symbol" w:hAnsi="Symbol" w:hint="default"/>
      </w:rPr>
    </w:lvl>
    <w:lvl w:ilvl="4" w:tplc="102E2984">
      <w:start w:val="1"/>
      <w:numFmt w:val="bullet"/>
      <w:lvlText w:val="o"/>
      <w:lvlJc w:val="left"/>
      <w:pPr>
        <w:ind w:left="3600" w:hanging="360"/>
      </w:pPr>
      <w:rPr>
        <w:rFonts w:ascii="Courier New" w:hAnsi="Courier New" w:hint="default"/>
      </w:rPr>
    </w:lvl>
    <w:lvl w:ilvl="5" w:tplc="30B04B50">
      <w:start w:val="1"/>
      <w:numFmt w:val="bullet"/>
      <w:lvlText w:val=""/>
      <w:lvlJc w:val="left"/>
      <w:pPr>
        <w:ind w:left="4320" w:hanging="360"/>
      </w:pPr>
      <w:rPr>
        <w:rFonts w:ascii="Wingdings" w:hAnsi="Wingdings" w:hint="default"/>
      </w:rPr>
    </w:lvl>
    <w:lvl w:ilvl="6" w:tplc="B2865F60">
      <w:start w:val="1"/>
      <w:numFmt w:val="bullet"/>
      <w:lvlText w:val=""/>
      <w:lvlJc w:val="left"/>
      <w:pPr>
        <w:ind w:left="5040" w:hanging="360"/>
      </w:pPr>
      <w:rPr>
        <w:rFonts w:ascii="Symbol" w:hAnsi="Symbol" w:hint="default"/>
      </w:rPr>
    </w:lvl>
    <w:lvl w:ilvl="7" w:tplc="7938FB9E">
      <w:start w:val="1"/>
      <w:numFmt w:val="bullet"/>
      <w:lvlText w:val="o"/>
      <w:lvlJc w:val="left"/>
      <w:pPr>
        <w:ind w:left="5760" w:hanging="360"/>
      </w:pPr>
      <w:rPr>
        <w:rFonts w:ascii="Courier New" w:hAnsi="Courier New" w:hint="default"/>
      </w:rPr>
    </w:lvl>
    <w:lvl w:ilvl="8" w:tplc="A63264C8">
      <w:start w:val="1"/>
      <w:numFmt w:val="bullet"/>
      <w:lvlText w:val=""/>
      <w:lvlJc w:val="left"/>
      <w:pPr>
        <w:ind w:left="6480" w:hanging="360"/>
      </w:pPr>
      <w:rPr>
        <w:rFonts w:ascii="Wingdings" w:hAnsi="Wingdings" w:hint="default"/>
      </w:rPr>
    </w:lvl>
  </w:abstractNum>
  <w:abstractNum w:abstractNumId="21" w15:restartNumberingAfterBreak="0">
    <w:nsid w:val="10B9337C"/>
    <w:multiLevelType w:val="hybridMultilevel"/>
    <w:tmpl w:val="BBFC69C4"/>
    <w:lvl w:ilvl="0" w:tplc="663C6700">
      <w:start w:val="1"/>
      <w:numFmt w:val="bullet"/>
      <w:lvlText w:val=""/>
      <w:lvlJc w:val="left"/>
      <w:pPr>
        <w:ind w:left="1440" w:hanging="360"/>
      </w:pPr>
      <w:rPr>
        <w:rFonts w:ascii="Wingdings" w:hAnsi="Wingdings" w:hint="default"/>
      </w:rPr>
    </w:lvl>
    <w:lvl w:ilvl="1" w:tplc="0B60D8D4" w:tentative="1">
      <w:start w:val="1"/>
      <w:numFmt w:val="bullet"/>
      <w:lvlText w:val="o"/>
      <w:lvlJc w:val="left"/>
      <w:pPr>
        <w:ind w:left="2160" w:hanging="360"/>
      </w:pPr>
      <w:rPr>
        <w:rFonts w:ascii="Courier New" w:hAnsi="Courier New" w:hint="default"/>
      </w:rPr>
    </w:lvl>
    <w:lvl w:ilvl="2" w:tplc="BB322040" w:tentative="1">
      <w:start w:val="1"/>
      <w:numFmt w:val="bullet"/>
      <w:lvlText w:val=""/>
      <w:lvlJc w:val="left"/>
      <w:pPr>
        <w:ind w:left="2880" w:hanging="360"/>
      </w:pPr>
      <w:rPr>
        <w:rFonts w:ascii="Wingdings" w:hAnsi="Wingdings" w:hint="default"/>
      </w:rPr>
    </w:lvl>
    <w:lvl w:ilvl="3" w:tplc="BB80AA6C" w:tentative="1">
      <w:start w:val="1"/>
      <w:numFmt w:val="bullet"/>
      <w:lvlText w:val=""/>
      <w:lvlJc w:val="left"/>
      <w:pPr>
        <w:ind w:left="3600" w:hanging="360"/>
      </w:pPr>
      <w:rPr>
        <w:rFonts w:ascii="Symbol" w:hAnsi="Symbol" w:hint="default"/>
      </w:rPr>
    </w:lvl>
    <w:lvl w:ilvl="4" w:tplc="6CA8CAAA" w:tentative="1">
      <w:start w:val="1"/>
      <w:numFmt w:val="bullet"/>
      <w:lvlText w:val="o"/>
      <w:lvlJc w:val="left"/>
      <w:pPr>
        <w:ind w:left="4320" w:hanging="360"/>
      </w:pPr>
      <w:rPr>
        <w:rFonts w:ascii="Courier New" w:hAnsi="Courier New" w:hint="default"/>
      </w:rPr>
    </w:lvl>
    <w:lvl w:ilvl="5" w:tplc="5EBCCC7C" w:tentative="1">
      <w:start w:val="1"/>
      <w:numFmt w:val="bullet"/>
      <w:lvlText w:val=""/>
      <w:lvlJc w:val="left"/>
      <w:pPr>
        <w:ind w:left="5040" w:hanging="360"/>
      </w:pPr>
      <w:rPr>
        <w:rFonts w:ascii="Wingdings" w:hAnsi="Wingdings" w:hint="default"/>
      </w:rPr>
    </w:lvl>
    <w:lvl w:ilvl="6" w:tplc="40509DF4" w:tentative="1">
      <w:start w:val="1"/>
      <w:numFmt w:val="bullet"/>
      <w:lvlText w:val=""/>
      <w:lvlJc w:val="left"/>
      <w:pPr>
        <w:ind w:left="5760" w:hanging="360"/>
      </w:pPr>
      <w:rPr>
        <w:rFonts w:ascii="Symbol" w:hAnsi="Symbol" w:hint="default"/>
      </w:rPr>
    </w:lvl>
    <w:lvl w:ilvl="7" w:tplc="421A3CF8" w:tentative="1">
      <w:start w:val="1"/>
      <w:numFmt w:val="bullet"/>
      <w:lvlText w:val="o"/>
      <w:lvlJc w:val="left"/>
      <w:pPr>
        <w:ind w:left="6480" w:hanging="360"/>
      </w:pPr>
      <w:rPr>
        <w:rFonts w:ascii="Courier New" w:hAnsi="Courier New" w:hint="default"/>
      </w:rPr>
    </w:lvl>
    <w:lvl w:ilvl="8" w:tplc="777EA32A" w:tentative="1">
      <w:start w:val="1"/>
      <w:numFmt w:val="bullet"/>
      <w:lvlText w:val=""/>
      <w:lvlJc w:val="left"/>
      <w:pPr>
        <w:ind w:left="7200" w:hanging="360"/>
      </w:pPr>
      <w:rPr>
        <w:rFonts w:ascii="Wingdings" w:hAnsi="Wingdings" w:hint="default"/>
      </w:rPr>
    </w:lvl>
  </w:abstractNum>
  <w:abstractNum w:abstractNumId="22" w15:restartNumberingAfterBreak="0">
    <w:nsid w:val="10FCCF19"/>
    <w:multiLevelType w:val="hybridMultilevel"/>
    <w:tmpl w:val="FFFFFFFF"/>
    <w:lvl w:ilvl="0" w:tplc="9DC86E40">
      <w:start w:val="1"/>
      <w:numFmt w:val="bullet"/>
      <w:lvlText w:val="·"/>
      <w:lvlJc w:val="left"/>
      <w:pPr>
        <w:ind w:left="720" w:hanging="360"/>
      </w:pPr>
      <w:rPr>
        <w:rFonts w:ascii="Symbol" w:hAnsi="Symbol" w:hint="default"/>
      </w:rPr>
    </w:lvl>
    <w:lvl w:ilvl="1" w:tplc="1DB2A64E">
      <w:start w:val="1"/>
      <w:numFmt w:val="bullet"/>
      <w:lvlText w:val="o"/>
      <w:lvlJc w:val="left"/>
      <w:pPr>
        <w:ind w:left="1440" w:hanging="360"/>
      </w:pPr>
      <w:rPr>
        <w:rFonts w:ascii="Courier New" w:hAnsi="Courier New" w:hint="default"/>
      </w:rPr>
    </w:lvl>
    <w:lvl w:ilvl="2" w:tplc="A85C4A6E">
      <w:start w:val="1"/>
      <w:numFmt w:val="bullet"/>
      <w:lvlText w:val=""/>
      <w:lvlJc w:val="left"/>
      <w:pPr>
        <w:ind w:left="2160" w:hanging="360"/>
      </w:pPr>
      <w:rPr>
        <w:rFonts w:ascii="Wingdings" w:hAnsi="Wingdings" w:hint="default"/>
      </w:rPr>
    </w:lvl>
    <w:lvl w:ilvl="3" w:tplc="ED5EE620">
      <w:start w:val="1"/>
      <w:numFmt w:val="bullet"/>
      <w:lvlText w:val=""/>
      <w:lvlJc w:val="left"/>
      <w:pPr>
        <w:ind w:left="2880" w:hanging="360"/>
      </w:pPr>
      <w:rPr>
        <w:rFonts w:ascii="Symbol" w:hAnsi="Symbol" w:hint="default"/>
      </w:rPr>
    </w:lvl>
    <w:lvl w:ilvl="4" w:tplc="DB62CC58">
      <w:start w:val="1"/>
      <w:numFmt w:val="bullet"/>
      <w:lvlText w:val="o"/>
      <w:lvlJc w:val="left"/>
      <w:pPr>
        <w:ind w:left="3600" w:hanging="360"/>
      </w:pPr>
      <w:rPr>
        <w:rFonts w:ascii="Courier New" w:hAnsi="Courier New" w:hint="default"/>
      </w:rPr>
    </w:lvl>
    <w:lvl w:ilvl="5" w:tplc="C38095CC">
      <w:start w:val="1"/>
      <w:numFmt w:val="bullet"/>
      <w:lvlText w:val=""/>
      <w:lvlJc w:val="left"/>
      <w:pPr>
        <w:ind w:left="4320" w:hanging="360"/>
      </w:pPr>
      <w:rPr>
        <w:rFonts w:ascii="Wingdings" w:hAnsi="Wingdings" w:hint="default"/>
      </w:rPr>
    </w:lvl>
    <w:lvl w:ilvl="6" w:tplc="3F5E5086">
      <w:start w:val="1"/>
      <w:numFmt w:val="bullet"/>
      <w:lvlText w:val=""/>
      <w:lvlJc w:val="left"/>
      <w:pPr>
        <w:ind w:left="5040" w:hanging="360"/>
      </w:pPr>
      <w:rPr>
        <w:rFonts w:ascii="Symbol" w:hAnsi="Symbol" w:hint="default"/>
      </w:rPr>
    </w:lvl>
    <w:lvl w:ilvl="7" w:tplc="AE3EF78A">
      <w:start w:val="1"/>
      <w:numFmt w:val="bullet"/>
      <w:lvlText w:val="o"/>
      <w:lvlJc w:val="left"/>
      <w:pPr>
        <w:ind w:left="5760" w:hanging="360"/>
      </w:pPr>
      <w:rPr>
        <w:rFonts w:ascii="Courier New" w:hAnsi="Courier New" w:hint="default"/>
      </w:rPr>
    </w:lvl>
    <w:lvl w:ilvl="8" w:tplc="1990013E">
      <w:start w:val="1"/>
      <w:numFmt w:val="bullet"/>
      <w:lvlText w:val=""/>
      <w:lvlJc w:val="left"/>
      <w:pPr>
        <w:ind w:left="6480" w:hanging="360"/>
      </w:pPr>
      <w:rPr>
        <w:rFonts w:ascii="Wingdings" w:hAnsi="Wingdings" w:hint="default"/>
      </w:rPr>
    </w:lvl>
  </w:abstractNum>
  <w:abstractNum w:abstractNumId="23" w15:restartNumberingAfterBreak="0">
    <w:nsid w:val="114232A7"/>
    <w:multiLevelType w:val="hybridMultilevel"/>
    <w:tmpl w:val="01823992"/>
    <w:lvl w:ilvl="0" w:tplc="3E0A8716">
      <w:start w:val="1"/>
      <w:numFmt w:val="bullet"/>
      <w:lvlText w:val=""/>
      <w:lvlJc w:val="left"/>
      <w:pPr>
        <w:ind w:left="1440" w:hanging="360"/>
      </w:pPr>
      <w:rPr>
        <w:rFonts w:ascii="Symbol" w:hAnsi="Symbol" w:hint="default"/>
      </w:rPr>
    </w:lvl>
    <w:lvl w:ilvl="1" w:tplc="FE2811BA" w:tentative="1">
      <w:start w:val="1"/>
      <w:numFmt w:val="bullet"/>
      <w:lvlText w:val="o"/>
      <w:lvlJc w:val="left"/>
      <w:pPr>
        <w:ind w:left="2160" w:hanging="360"/>
      </w:pPr>
      <w:rPr>
        <w:rFonts w:ascii="Courier New" w:hAnsi="Courier New" w:hint="default"/>
      </w:rPr>
    </w:lvl>
    <w:lvl w:ilvl="2" w:tplc="849E37C6" w:tentative="1">
      <w:start w:val="1"/>
      <w:numFmt w:val="bullet"/>
      <w:lvlText w:val=""/>
      <w:lvlJc w:val="left"/>
      <w:pPr>
        <w:ind w:left="2880" w:hanging="360"/>
      </w:pPr>
      <w:rPr>
        <w:rFonts w:ascii="Wingdings" w:hAnsi="Wingdings" w:hint="default"/>
      </w:rPr>
    </w:lvl>
    <w:lvl w:ilvl="3" w:tplc="F5A090AE" w:tentative="1">
      <w:start w:val="1"/>
      <w:numFmt w:val="bullet"/>
      <w:lvlText w:val=""/>
      <w:lvlJc w:val="left"/>
      <w:pPr>
        <w:ind w:left="3600" w:hanging="360"/>
      </w:pPr>
      <w:rPr>
        <w:rFonts w:ascii="Symbol" w:hAnsi="Symbol" w:hint="default"/>
      </w:rPr>
    </w:lvl>
    <w:lvl w:ilvl="4" w:tplc="D5524E5E" w:tentative="1">
      <w:start w:val="1"/>
      <w:numFmt w:val="bullet"/>
      <w:lvlText w:val="o"/>
      <w:lvlJc w:val="left"/>
      <w:pPr>
        <w:ind w:left="4320" w:hanging="360"/>
      </w:pPr>
      <w:rPr>
        <w:rFonts w:ascii="Courier New" w:hAnsi="Courier New" w:hint="default"/>
      </w:rPr>
    </w:lvl>
    <w:lvl w:ilvl="5" w:tplc="0474183C" w:tentative="1">
      <w:start w:val="1"/>
      <w:numFmt w:val="bullet"/>
      <w:lvlText w:val=""/>
      <w:lvlJc w:val="left"/>
      <w:pPr>
        <w:ind w:left="5040" w:hanging="360"/>
      </w:pPr>
      <w:rPr>
        <w:rFonts w:ascii="Wingdings" w:hAnsi="Wingdings" w:hint="default"/>
      </w:rPr>
    </w:lvl>
    <w:lvl w:ilvl="6" w:tplc="2BB899C2" w:tentative="1">
      <w:start w:val="1"/>
      <w:numFmt w:val="bullet"/>
      <w:lvlText w:val=""/>
      <w:lvlJc w:val="left"/>
      <w:pPr>
        <w:ind w:left="5760" w:hanging="360"/>
      </w:pPr>
      <w:rPr>
        <w:rFonts w:ascii="Symbol" w:hAnsi="Symbol" w:hint="default"/>
      </w:rPr>
    </w:lvl>
    <w:lvl w:ilvl="7" w:tplc="24A4273A" w:tentative="1">
      <w:start w:val="1"/>
      <w:numFmt w:val="bullet"/>
      <w:lvlText w:val="o"/>
      <w:lvlJc w:val="left"/>
      <w:pPr>
        <w:ind w:left="6480" w:hanging="360"/>
      </w:pPr>
      <w:rPr>
        <w:rFonts w:ascii="Courier New" w:hAnsi="Courier New" w:hint="default"/>
      </w:rPr>
    </w:lvl>
    <w:lvl w:ilvl="8" w:tplc="67E8A1EE" w:tentative="1">
      <w:start w:val="1"/>
      <w:numFmt w:val="bullet"/>
      <w:lvlText w:val=""/>
      <w:lvlJc w:val="left"/>
      <w:pPr>
        <w:ind w:left="7200" w:hanging="360"/>
      </w:pPr>
      <w:rPr>
        <w:rFonts w:ascii="Wingdings" w:hAnsi="Wingdings" w:hint="default"/>
      </w:rPr>
    </w:lvl>
  </w:abstractNum>
  <w:abstractNum w:abstractNumId="24" w15:restartNumberingAfterBreak="0">
    <w:nsid w:val="11A054A3"/>
    <w:multiLevelType w:val="hybridMultilevel"/>
    <w:tmpl w:val="7A7EA1E4"/>
    <w:lvl w:ilvl="0" w:tplc="7D9C4880">
      <w:start w:val="1"/>
      <w:numFmt w:val="bullet"/>
      <w:lvlText w:val="–"/>
      <w:lvlJc w:val="left"/>
      <w:pPr>
        <w:ind w:left="720" w:hanging="360"/>
      </w:pPr>
      <w:rPr>
        <w:rFonts w:ascii="Calibri" w:hAnsi="Calibri" w:hint="default"/>
      </w:rPr>
    </w:lvl>
    <w:lvl w:ilvl="1" w:tplc="E44E4852" w:tentative="1">
      <w:start w:val="1"/>
      <w:numFmt w:val="bullet"/>
      <w:lvlText w:val="o"/>
      <w:lvlJc w:val="left"/>
      <w:pPr>
        <w:ind w:left="1440" w:hanging="360"/>
      </w:pPr>
      <w:rPr>
        <w:rFonts w:ascii="Courier New" w:hAnsi="Courier New" w:hint="default"/>
      </w:rPr>
    </w:lvl>
    <w:lvl w:ilvl="2" w:tplc="CFFC85A8" w:tentative="1">
      <w:start w:val="1"/>
      <w:numFmt w:val="bullet"/>
      <w:lvlText w:val=""/>
      <w:lvlJc w:val="left"/>
      <w:pPr>
        <w:ind w:left="2160" w:hanging="360"/>
      </w:pPr>
      <w:rPr>
        <w:rFonts w:ascii="Wingdings" w:hAnsi="Wingdings" w:hint="default"/>
      </w:rPr>
    </w:lvl>
    <w:lvl w:ilvl="3" w:tplc="DE842BD2" w:tentative="1">
      <w:start w:val="1"/>
      <w:numFmt w:val="bullet"/>
      <w:lvlText w:val=""/>
      <w:lvlJc w:val="left"/>
      <w:pPr>
        <w:ind w:left="2880" w:hanging="360"/>
      </w:pPr>
      <w:rPr>
        <w:rFonts w:ascii="Symbol" w:hAnsi="Symbol" w:hint="default"/>
      </w:rPr>
    </w:lvl>
    <w:lvl w:ilvl="4" w:tplc="765E4E4E" w:tentative="1">
      <w:start w:val="1"/>
      <w:numFmt w:val="bullet"/>
      <w:lvlText w:val="o"/>
      <w:lvlJc w:val="left"/>
      <w:pPr>
        <w:ind w:left="3600" w:hanging="360"/>
      </w:pPr>
      <w:rPr>
        <w:rFonts w:ascii="Courier New" w:hAnsi="Courier New" w:hint="default"/>
      </w:rPr>
    </w:lvl>
    <w:lvl w:ilvl="5" w:tplc="85CC6F10" w:tentative="1">
      <w:start w:val="1"/>
      <w:numFmt w:val="bullet"/>
      <w:lvlText w:val=""/>
      <w:lvlJc w:val="left"/>
      <w:pPr>
        <w:ind w:left="4320" w:hanging="360"/>
      </w:pPr>
      <w:rPr>
        <w:rFonts w:ascii="Wingdings" w:hAnsi="Wingdings" w:hint="default"/>
      </w:rPr>
    </w:lvl>
    <w:lvl w:ilvl="6" w:tplc="555E6486" w:tentative="1">
      <w:start w:val="1"/>
      <w:numFmt w:val="bullet"/>
      <w:lvlText w:val=""/>
      <w:lvlJc w:val="left"/>
      <w:pPr>
        <w:ind w:left="5040" w:hanging="360"/>
      </w:pPr>
      <w:rPr>
        <w:rFonts w:ascii="Symbol" w:hAnsi="Symbol" w:hint="default"/>
      </w:rPr>
    </w:lvl>
    <w:lvl w:ilvl="7" w:tplc="F84AC948" w:tentative="1">
      <w:start w:val="1"/>
      <w:numFmt w:val="bullet"/>
      <w:lvlText w:val="o"/>
      <w:lvlJc w:val="left"/>
      <w:pPr>
        <w:ind w:left="5760" w:hanging="360"/>
      </w:pPr>
      <w:rPr>
        <w:rFonts w:ascii="Courier New" w:hAnsi="Courier New" w:hint="default"/>
      </w:rPr>
    </w:lvl>
    <w:lvl w:ilvl="8" w:tplc="48A2D660" w:tentative="1">
      <w:start w:val="1"/>
      <w:numFmt w:val="bullet"/>
      <w:lvlText w:val=""/>
      <w:lvlJc w:val="left"/>
      <w:pPr>
        <w:ind w:left="6480" w:hanging="360"/>
      </w:pPr>
      <w:rPr>
        <w:rFonts w:ascii="Wingdings" w:hAnsi="Wingdings" w:hint="default"/>
      </w:rPr>
    </w:lvl>
  </w:abstractNum>
  <w:abstractNum w:abstractNumId="25" w15:restartNumberingAfterBreak="0">
    <w:nsid w:val="145AA256"/>
    <w:multiLevelType w:val="hybridMultilevel"/>
    <w:tmpl w:val="FFFFFFFF"/>
    <w:lvl w:ilvl="0" w:tplc="D0FE4184">
      <w:start w:val="1"/>
      <w:numFmt w:val="bullet"/>
      <w:lvlText w:val=""/>
      <w:lvlJc w:val="left"/>
      <w:pPr>
        <w:ind w:left="720" w:hanging="360"/>
      </w:pPr>
      <w:rPr>
        <w:rFonts w:ascii="Symbol" w:hAnsi="Symbol" w:hint="default"/>
      </w:rPr>
    </w:lvl>
    <w:lvl w:ilvl="1" w:tplc="F0BAC328">
      <w:start w:val="1"/>
      <w:numFmt w:val="bullet"/>
      <w:lvlText w:val="o"/>
      <w:lvlJc w:val="left"/>
      <w:pPr>
        <w:ind w:left="1440" w:hanging="360"/>
      </w:pPr>
      <w:rPr>
        <w:rFonts w:ascii="Courier New" w:hAnsi="Courier New" w:hint="default"/>
      </w:rPr>
    </w:lvl>
    <w:lvl w:ilvl="2" w:tplc="770EEAD4">
      <w:start w:val="1"/>
      <w:numFmt w:val="bullet"/>
      <w:lvlText w:val=""/>
      <w:lvlJc w:val="left"/>
      <w:pPr>
        <w:ind w:left="2160" w:hanging="360"/>
      </w:pPr>
      <w:rPr>
        <w:rFonts w:ascii="Wingdings" w:hAnsi="Wingdings" w:hint="default"/>
      </w:rPr>
    </w:lvl>
    <w:lvl w:ilvl="3" w:tplc="7070DB66">
      <w:start w:val="1"/>
      <w:numFmt w:val="bullet"/>
      <w:lvlText w:val=""/>
      <w:lvlJc w:val="left"/>
      <w:pPr>
        <w:ind w:left="2880" w:hanging="360"/>
      </w:pPr>
      <w:rPr>
        <w:rFonts w:ascii="Symbol" w:hAnsi="Symbol" w:hint="default"/>
      </w:rPr>
    </w:lvl>
    <w:lvl w:ilvl="4" w:tplc="7CD47594">
      <w:start w:val="1"/>
      <w:numFmt w:val="bullet"/>
      <w:lvlText w:val="o"/>
      <w:lvlJc w:val="left"/>
      <w:pPr>
        <w:ind w:left="3600" w:hanging="360"/>
      </w:pPr>
      <w:rPr>
        <w:rFonts w:ascii="Courier New" w:hAnsi="Courier New" w:hint="default"/>
      </w:rPr>
    </w:lvl>
    <w:lvl w:ilvl="5" w:tplc="35AC5FE6">
      <w:start w:val="1"/>
      <w:numFmt w:val="bullet"/>
      <w:lvlText w:val=""/>
      <w:lvlJc w:val="left"/>
      <w:pPr>
        <w:ind w:left="4320" w:hanging="360"/>
      </w:pPr>
      <w:rPr>
        <w:rFonts w:ascii="Wingdings" w:hAnsi="Wingdings" w:hint="default"/>
      </w:rPr>
    </w:lvl>
    <w:lvl w:ilvl="6" w:tplc="7D1863B0">
      <w:start w:val="1"/>
      <w:numFmt w:val="bullet"/>
      <w:lvlText w:val=""/>
      <w:lvlJc w:val="left"/>
      <w:pPr>
        <w:ind w:left="5040" w:hanging="360"/>
      </w:pPr>
      <w:rPr>
        <w:rFonts w:ascii="Symbol" w:hAnsi="Symbol" w:hint="default"/>
      </w:rPr>
    </w:lvl>
    <w:lvl w:ilvl="7" w:tplc="F594EEC0">
      <w:start w:val="1"/>
      <w:numFmt w:val="bullet"/>
      <w:lvlText w:val="o"/>
      <w:lvlJc w:val="left"/>
      <w:pPr>
        <w:ind w:left="5760" w:hanging="360"/>
      </w:pPr>
      <w:rPr>
        <w:rFonts w:ascii="Courier New" w:hAnsi="Courier New" w:hint="default"/>
      </w:rPr>
    </w:lvl>
    <w:lvl w:ilvl="8" w:tplc="EC0899DC">
      <w:start w:val="1"/>
      <w:numFmt w:val="bullet"/>
      <w:lvlText w:val=""/>
      <w:lvlJc w:val="left"/>
      <w:pPr>
        <w:ind w:left="6480" w:hanging="360"/>
      </w:pPr>
      <w:rPr>
        <w:rFonts w:ascii="Wingdings" w:hAnsi="Wingdings" w:hint="default"/>
      </w:rPr>
    </w:lvl>
  </w:abstractNum>
  <w:abstractNum w:abstractNumId="26" w15:restartNumberingAfterBreak="0">
    <w:nsid w:val="197A2377"/>
    <w:multiLevelType w:val="hybridMultilevel"/>
    <w:tmpl w:val="C3E4B378"/>
    <w:lvl w:ilvl="0" w:tplc="A72240C8">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19865C99"/>
    <w:multiLevelType w:val="multilevel"/>
    <w:tmpl w:val="1BF85CE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7808"/>
        </w:tabs>
        <w:ind w:left="7808" w:hanging="720"/>
      </w:pPr>
      <w:rPr>
        <w:rFonts w:hint="default"/>
        <w:b w:val="0"/>
        <w:bCs/>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19B2353F"/>
    <w:multiLevelType w:val="hybridMultilevel"/>
    <w:tmpl w:val="FFFFFFFF"/>
    <w:lvl w:ilvl="0" w:tplc="915C0A90">
      <w:start w:val="1"/>
      <w:numFmt w:val="bullet"/>
      <w:lvlText w:val=""/>
      <w:lvlJc w:val="left"/>
      <w:pPr>
        <w:ind w:left="720" w:hanging="360"/>
      </w:pPr>
      <w:rPr>
        <w:rFonts w:ascii="Symbol" w:hAnsi="Symbol" w:hint="default"/>
      </w:rPr>
    </w:lvl>
    <w:lvl w:ilvl="1" w:tplc="AA481214">
      <w:start w:val="1"/>
      <w:numFmt w:val="bullet"/>
      <w:lvlText w:val="o"/>
      <w:lvlJc w:val="left"/>
      <w:pPr>
        <w:ind w:left="1440" w:hanging="360"/>
      </w:pPr>
      <w:rPr>
        <w:rFonts w:ascii="Courier New" w:hAnsi="Courier New" w:hint="default"/>
      </w:rPr>
    </w:lvl>
    <w:lvl w:ilvl="2" w:tplc="DED676D6">
      <w:start w:val="1"/>
      <w:numFmt w:val="bullet"/>
      <w:lvlText w:val=""/>
      <w:lvlJc w:val="left"/>
      <w:pPr>
        <w:ind w:left="2160" w:hanging="360"/>
      </w:pPr>
      <w:rPr>
        <w:rFonts w:ascii="Wingdings" w:hAnsi="Wingdings" w:hint="default"/>
      </w:rPr>
    </w:lvl>
    <w:lvl w:ilvl="3" w:tplc="5D3A0984">
      <w:start w:val="1"/>
      <w:numFmt w:val="bullet"/>
      <w:lvlText w:val=""/>
      <w:lvlJc w:val="left"/>
      <w:pPr>
        <w:ind w:left="2880" w:hanging="360"/>
      </w:pPr>
      <w:rPr>
        <w:rFonts w:ascii="Symbol" w:hAnsi="Symbol" w:hint="default"/>
      </w:rPr>
    </w:lvl>
    <w:lvl w:ilvl="4" w:tplc="91782AC0">
      <w:start w:val="1"/>
      <w:numFmt w:val="bullet"/>
      <w:lvlText w:val="o"/>
      <w:lvlJc w:val="left"/>
      <w:pPr>
        <w:ind w:left="3600" w:hanging="360"/>
      </w:pPr>
      <w:rPr>
        <w:rFonts w:ascii="Courier New" w:hAnsi="Courier New" w:hint="default"/>
      </w:rPr>
    </w:lvl>
    <w:lvl w:ilvl="5" w:tplc="7E0E604C">
      <w:start w:val="1"/>
      <w:numFmt w:val="bullet"/>
      <w:lvlText w:val=""/>
      <w:lvlJc w:val="left"/>
      <w:pPr>
        <w:ind w:left="4320" w:hanging="360"/>
      </w:pPr>
      <w:rPr>
        <w:rFonts w:ascii="Wingdings" w:hAnsi="Wingdings" w:hint="default"/>
      </w:rPr>
    </w:lvl>
    <w:lvl w:ilvl="6" w:tplc="D548AAD2">
      <w:start w:val="1"/>
      <w:numFmt w:val="bullet"/>
      <w:lvlText w:val=""/>
      <w:lvlJc w:val="left"/>
      <w:pPr>
        <w:ind w:left="5040" w:hanging="360"/>
      </w:pPr>
      <w:rPr>
        <w:rFonts w:ascii="Symbol" w:hAnsi="Symbol" w:hint="default"/>
      </w:rPr>
    </w:lvl>
    <w:lvl w:ilvl="7" w:tplc="AF0E370E">
      <w:start w:val="1"/>
      <w:numFmt w:val="bullet"/>
      <w:lvlText w:val="o"/>
      <w:lvlJc w:val="left"/>
      <w:pPr>
        <w:ind w:left="5760" w:hanging="360"/>
      </w:pPr>
      <w:rPr>
        <w:rFonts w:ascii="Courier New" w:hAnsi="Courier New" w:hint="default"/>
      </w:rPr>
    </w:lvl>
    <w:lvl w:ilvl="8" w:tplc="702E0F8E">
      <w:start w:val="1"/>
      <w:numFmt w:val="bullet"/>
      <w:lvlText w:val=""/>
      <w:lvlJc w:val="left"/>
      <w:pPr>
        <w:ind w:left="6480" w:hanging="360"/>
      </w:pPr>
      <w:rPr>
        <w:rFonts w:ascii="Wingdings" w:hAnsi="Wingdings" w:hint="default"/>
      </w:rPr>
    </w:lvl>
  </w:abstractNum>
  <w:abstractNum w:abstractNumId="29" w15:restartNumberingAfterBreak="0">
    <w:nsid w:val="1AFC7AC2"/>
    <w:multiLevelType w:val="hybridMultilevel"/>
    <w:tmpl w:val="52642836"/>
    <w:lvl w:ilvl="0" w:tplc="0DD895E8">
      <w:start w:val="1"/>
      <w:numFmt w:val="bullet"/>
      <w:lvlText w:val=""/>
      <w:lvlJc w:val="left"/>
      <w:pPr>
        <w:ind w:left="720" w:hanging="360"/>
      </w:pPr>
      <w:rPr>
        <w:rFonts w:ascii="Symbol" w:hAnsi="Symbol" w:hint="default"/>
      </w:rPr>
    </w:lvl>
    <w:lvl w:ilvl="1" w:tplc="4C1C3FCE" w:tentative="1">
      <w:start w:val="1"/>
      <w:numFmt w:val="bullet"/>
      <w:lvlText w:val="o"/>
      <w:lvlJc w:val="left"/>
      <w:pPr>
        <w:ind w:left="1440" w:hanging="360"/>
      </w:pPr>
      <w:rPr>
        <w:rFonts w:ascii="Courier New" w:hAnsi="Courier New" w:hint="default"/>
      </w:rPr>
    </w:lvl>
    <w:lvl w:ilvl="2" w:tplc="4D8A0B7C" w:tentative="1">
      <w:start w:val="1"/>
      <w:numFmt w:val="bullet"/>
      <w:lvlText w:val=""/>
      <w:lvlJc w:val="left"/>
      <w:pPr>
        <w:ind w:left="2160" w:hanging="360"/>
      </w:pPr>
      <w:rPr>
        <w:rFonts w:ascii="Wingdings" w:hAnsi="Wingdings" w:hint="default"/>
      </w:rPr>
    </w:lvl>
    <w:lvl w:ilvl="3" w:tplc="EDF212C4" w:tentative="1">
      <w:start w:val="1"/>
      <w:numFmt w:val="bullet"/>
      <w:lvlText w:val=""/>
      <w:lvlJc w:val="left"/>
      <w:pPr>
        <w:ind w:left="2880" w:hanging="360"/>
      </w:pPr>
      <w:rPr>
        <w:rFonts w:ascii="Symbol" w:hAnsi="Symbol" w:hint="default"/>
      </w:rPr>
    </w:lvl>
    <w:lvl w:ilvl="4" w:tplc="4D9A70C8" w:tentative="1">
      <w:start w:val="1"/>
      <w:numFmt w:val="bullet"/>
      <w:lvlText w:val="o"/>
      <w:lvlJc w:val="left"/>
      <w:pPr>
        <w:ind w:left="3600" w:hanging="360"/>
      </w:pPr>
      <w:rPr>
        <w:rFonts w:ascii="Courier New" w:hAnsi="Courier New" w:hint="default"/>
      </w:rPr>
    </w:lvl>
    <w:lvl w:ilvl="5" w:tplc="453A4186" w:tentative="1">
      <w:start w:val="1"/>
      <w:numFmt w:val="bullet"/>
      <w:lvlText w:val=""/>
      <w:lvlJc w:val="left"/>
      <w:pPr>
        <w:ind w:left="4320" w:hanging="360"/>
      </w:pPr>
      <w:rPr>
        <w:rFonts w:ascii="Wingdings" w:hAnsi="Wingdings" w:hint="default"/>
      </w:rPr>
    </w:lvl>
    <w:lvl w:ilvl="6" w:tplc="129A0642" w:tentative="1">
      <w:start w:val="1"/>
      <w:numFmt w:val="bullet"/>
      <w:lvlText w:val=""/>
      <w:lvlJc w:val="left"/>
      <w:pPr>
        <w:ind w:left="5040" w:hanging="360"/>
      </w:pPr>
      <w:rPr>
        <w:rFonts w:ascii="Symbol" w:hAnsi="Symbol" w:hint="default"/>
      </w:rPr>
    </w:lvl>
    <w:lvl w:ilvl="7" w:tplc="85ACB77A" w:tentative="1">
      <w:start w:val="1"/>
      <w:numFmt w:val="bullet"/>
      <w:lvlText w:val="o"/>
      <w:lvlJc w:val="left"/>
      <w:pPr>
        <w:ind w:left="5760" w:hanging="360"/>
      </w:pPr>
      <w:rPr>
        <w:rFonts w:ascii="Courier New" w:hAnsi="Courier New" w:hint="default"/>
      </w:rPr>
    </w:lvl>
    <w:lvl w:ilvl="8" w:tplc="31B45654" w:tentative="1">
      <w:start w:val="1"/>
      <w:numFmt w:val="bullet"/>
      <w:lvlText w:val=""/>
      <w:lvlJc w:val="left"/>
      <w:pPr>
        <w:ind w:left="6480" w:hanging="360"/>
      </w:pPr>
      <w:rPr>
        <w:rFonts w:ascii="Wingdings" w:hAnsi="Wingdings" w:hint="default"/>
      </w:rPr>
    </w:lvl>
  </w:abstractNum>
  <w:abstractNum w:abstractNumId="30" w15:restartNumberingAfterBreak="0">
    <w:nsid w:val="1B472841"/>
    <w:multiLevelType w:val="hybridMultilevel"/>
    <w:tmpl w:val="6C765D76"/>
    <w:lvl w:ilvl="0" w:tplc="1C30DF80">
      <w:start w:val="1"/>
      <w:numFmt w:val="bullet"/>
      <w:pStyle w:val="ListeSpiegelstrich"/>
      <w:lvlText w:val="–"/>
      <w:lvlJc w:val="left"/>
      <w:pPr>
        <w:ind w:left="720" w:hanging="360"/>
      </w:pPr>
      <w:rPr>
        <w:rFonts w:ascii="Arial" w:hAnsi="Arial" w:hint="default"/>
        <w:sz w:val="22"/>
      </w:rPr>
    </w:lvl>
    <w:lvl w:ilvl="1" w:tplc="B462AC22" w:tentative="1">
      <w:start w:val="1"/>
      <w:numFmt w:val="bullet"/>
      <w:lvlText w:val="o"/>
      <w:lvlJc w:val="left"/>
      <w:pPr>
        <w:ind w:left="1440" w:hanging="360"/>
      </w:pPr>
      <w:rPr>
        <w:rFonts w:ascii="Courier New" w:hAnsi="Courier New" w:hint="default"/>
      </w:rPr>
    </w:lvl>
    <w:lvl w:ilvl="2" w:tplc="25DE24A0" w:tentative="1">
      <w:start w:val="1"/>
      <w:numFmt w:val="bullet"/>
      <w:lvlText w:val=""/>
      <w:lvlJc w:val="left"/>
      <w:pPr>
        <w:ind w:left="2160" w:hanging="360"/>
      </w:pPr>
      <w:rPr>
        <w:rFonts w:ascii="Wingdings" w:hAnsi="Wingdings" w:hint="default"/>
      </w:rPr>
    </w:lvl>
    <w:lvl w:ilvl="3" w:tplc="97A06A6A" w:tentative="1">
      <w:start w:val="1"/>
      <w:numFmt w:val="bullet"/>
      <w:lvlText w:val=""/>
      <w:lvlJc w:val="left"/>
      <w:pPr>
        <w:ind w:left="2880" w:hanging="360"/>
      </w:pPr>
      <w:rPr>
        <w:rFonts w:ascii="Symbol" w:hAnsi="Symbol" w:hint="default"/>
      </w:rPr>
    </w:lvl>
    <w:lvl w:ilvl="4" w:tplc="DB8C1646" w:tentative="1">
      <w:start w:val="1"/>
      <w:numFmt w:val="bullet"/>
      <w:lvlText w:val="o"/>
      <w:lvlJc w:val="left"/>
      <w:pPr>
        <w:ind w:left="3600" w:hanging="360"/>
      </w:pPr>
      <w:rPr>
        <w:rFonts w:ascii="Courier New" w:hAnsi="Courier New" w:hint="default"/>
      </w:rPr>
    </w:lvl>
    <w:lvl w:ilvl="5" w:tplc="CA5008F4" w:tentative="1">
      <w:start w:val="1"/>
      <w:numFmt w:val="bullet"/>
      <w:lvlText w:val=""/>
      <w:lvlJc w:val="left"/>
      <w:pPr>
        <w:ind w:left="4320" w:hanging="360"/>
      </w:pPr>
      <w:rPr>
        <w:rFonts w:ascii="Wingdings" w:hAnsi="Wingdings" w:hint="default"/>
      </w:rPr>
    </w:lvl>
    <w:lvl w:ilvl="6" w:tplc="F3DA9808" w:tentative="1">
      <w:start w:val="1"/>
      <w:numFmt w:val="bullet"/>
      <w:lvlText w:val=""/>
      <w:lvlJc w:val="left"/>
      <w:pPr>
        <w:ind w:left="5040" w:hanging="360"/>
      </w:pPr>
      <w:rPr>
        <w:rFonts w:ascii="Symbol" w:hAnsi="Symbol" w:hint="default"/>
      </w:rPr>
    </w:lvl>
    <w:lvl w:ilvl="7" w:tplc="0FD60C2E" w:tentative="1">
      <w:start w:val="1"/>
      <w:numFmt w:val="bullet"/>
      <w:lvlText w:val="o"/>
      <w:lvlJc w:val="left"/>
      <w:pPr>
        <w:ind w:left="5760" w:hanging="360"/>
      </w:pPr>
      <w:rPr>
        <w:rFonts w:ascii="Courier New" w:hAnsi="Courier New" w:hint="default"/>
      </w:rPr>
    </w:lvl>
    <w:lvl w:ilvl="8" w:tplc="B538CE42" w:tentative="1">
      <w:start w:val="1"/>
      <w:numFmt w:val="bullet"/>
      <w:lvlText w:val=""/>
      <w:lvlJc w:val="left"/>
      <w:pPr>
        <w:ind w:left="6480" w:hanging="360"/>
      </w:pPr>
      <w:rPr>
        <w:rFonts w:ascii="Wingdings" w:hAnsi="Wingdings" w:hint="default"/>
      </w:rPr>
    </w:lvl>
  </w:abstractNum>
  <w:abstractNum w:abstractNumId="31" w15:restartNumberingAfterBreak="0">
    <w:nsid w:val="1CBF7822"/>
    <w:multiLevelType w:val="hybridMultilevel"/>
    <w:tmpl w:val="5F2218B6"/>
    <w:lvl w:ilvl="0" w:tplc="5232A40E">
      <w:start w:val="2"/>
      <w:numFmt w:val="bullet"/>
      <w:lvlText w:val="-"/>
      <w:lvlJc w:val="left"/>
      <w:pPr>
        <w:ind w:left="720" w:hanging="360"/>
      </w:pPr>
      <w:rPr>
        <w:rFonts w:ascii="Times New Roman" w:hAnsi="Times New Roman" w:hint="default"/>
      </w:rPr>
    </w:lvl>
    <w:lvl w:ilvl="1" w:tplc="52A8474A" w:tentative="1">
      <w:start w:val="1"/>
      <w:numFmt w:val="bullet"/>
      <w:lvlText w:val="o"/>
      <w:lvlJc w:val="left"/>
      <w:pPr>
        <w:ind w:left="1440" w:hanging="360"/>
      </w:pPr>
      <w:rPr>
        <w:rFonts w:ascii="Courier New" w:hAnsi="Courier New" w:hint="default"/>
      </w:rPr>
    </w:lvl>
    <w:lvl w:ilvl="2" w:tplc="4020779E" w:tentative="1">
      <w:start w:val="1"/>
      <w:numFmt w:val="bullet"/>
      <w:lvlText w:val=""/>
      <w:lvlJc w:val="left"/>
      <w:pPr>
        <w:ind w:left="2160" w:hanging="360"/>
      </w:pPr>
      <w:rPr>
        <w:rFonts w:ascii="Wingdings" w:hAnsi="Wingdings" w:hint="default"/>
      </w:rPr>
    </w:lvl>
    <w:lvl w:ilvl="3" w:tplc="6A2E05E4" w:tentative="1">
      <w:start w:val="1"/>
      <w:numFmt w:val="bullet"/>
      <w:lvlText w:val=""/>
      <w:lvlJc w:val="left"/>
      <w:pPr>
        <w:ind w:left="2880" w:hanging="360"/>
      </w:pPr>
      <w:rPr>
        <w:rFonts w:ascii="Symbol" w:hAnsi="Symbol" w:hint="default"/>
      </w:rPr>
    </w:lvl>
    <w:lvl w:ilvl="4" w:tplc="346A4CC4" w:tentative="1">
      <w:start w:val="1"/>
      <w:numFmt w:val="bullet"/>
      <w:lvlText w:val="o"/>
      <w:lvlJc w:val="left"/>
      <w:pPr>
        <w:ind w:left="3600" w:hanging="360"/>
      </w:pPr>
      <w:rPr>
        <w:rFonts w:ascii="Courier New" w:hAnsi="Courier New" w:hint="default"/>
      </w:rPr>
    </w:lvl>
    <w:lvl w:ilvl="5" w:tplc="8CD661BA" w:tentative="1">
      <w:start w:val="1"/>
      <w:numFmt w:val="bullet"/>
      <w:lvlText w:val=""/>
      <w:lvlJc w:val="left"/>
      <w:pPr>
        <w:ind w:left="4320" w:hanging="360"/>
      </w:pPr>
      <w:rPr>
        <w:rFonts w:ascii="Wingdings" w:hAnsi="Wingdings" w:hint="default"/>
      </w:rPr>
    </w:lvl>
    <w:lvl w:ilvl="6" w:tplc="A5E0FC26" w:tentative="1">
      <w:start w:val="1"/>
      <w:numFmt w:val="bullet"/>
      <w:lvlText w:val=""/>
      <w:lvlJc w:val="left"/>
      <w:pPr>
        <w:ind w:left="5040" w:hanging="360"/>
      </w:pPr>
      <w:rPr>
        <w:rFonts w:ascii="Symbol" w:hAnsi="Symbol" w:hint="default"/>
      </w:rPr>
    </w:lvl>
    <w:lvl w:ilvl="7" w:tplc="EFD207F0" w:tentative="1">
      <w:start w:val="1"/>
      <w:numFmt w:val="bullet"/>
      <w:lvlText w:val="o"/>
      <w:lvlJc w:val="left"/>
      <w:pPr>
        <w:ind w:left="5760" w:hanging="360"/>
      </w:pPr>
      <w:rPr>
        <w:rFonts w:ascii="Courier New" w:hAnsi="Courier New" w:hint="default"/>
      </w:rPr>
    </w:lvl>
    <w:lvl w:ilvl="8" w:tplc="EDFC7770" w:tentative="1">
      <w:start w:val="1"/>
      <w:numFmt w:val="bullet"/>
      <w:lvlText w:val=""/>
      <w:lvlJc w:val="left"/>
      <w:pPr>
        <w:ind w:left="6480" w:hanging="360"/>
      </w:pPr>
      <w:rPr>
        <w:rFonts w:ascii="Wingdings" w:hAnsi="Wingdings" w:hint="default"/>
      </w:rPr>
    </w:lvl>
  </w:abstractNum>
  <w:abstractNum w:abstractNumId="32" w15:restartNumberingAfterBreak="0">
    <w:nsid w:val="1EE911F5"/>
    <w:multiLevelType w:val="hybridMultilevel"/>
    <w:tmpl w:val="09009A2E"/>
    <w:lvl w:ilvl="0" w:tplc="080C0001">
      <w:start w:val="1"/>
      <w:numFmt w:val="bullet"/>
      <w:lvlText w:val=""/>
      <w:lvlJc w:val="left"/>
      <w:pPr>
        <w:ind w:left="720" w:hanging="360"/>
      </w:pPr>
      <w:rPr>
        <w:rFonts w:ascii="Symbol" w:hAnsi="Symbol" w:hint="default"/>
      </w:rPr>
    </w:lvl>
    <w:lvl w:ilvl="1" w:tplc="04070001">
      <w:start w:val="1"/>
      <w:numFmt w:val="bullet"/>
      <w:lvlText w:val=""/>
      <w:lvlJc w:val="left"/>
      <w:pPr>
        <w:ind w:left="1069" w:hanging="360"/>
      </w:pPr>
      <w:rPr>
        <w:rFonts w:ascii="Symbol" w:hAnsi="Symbol" w:hint="default"/>
      </w:rPr>
    </w:lvl>
    <w:lvl w:ilvl="2" w:tplc="04070017">
      <w:start w:val="1"/>
      <w:numFmt w:val="lowerLetter"/>
      <w:lvlText w:val="%3)"/>
      <w:lvlJc w:val="left"/>
      <w:pPr>
        <w:ind w:left="2340" w:hanging="36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1F734306"/>
    <w:multiLevelType w:val="multilevel"/>
    <w:tmpl w:val="1BF85CE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7808"/>
        </w:tabs>
        <w:ind w:left="7808" w:hanging="720"/>
      </w:pPr>
      <w:rPr>
        <w:rFonts w:hint="default"/>
        <w:b w:val="0"/>
        <w:bCs/>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23510FE8"/>
    <w:multiLevelType w:val="hybridMultilevel"/>
    <w:tmpl w:val="86AE3250"/>
    <w:lvl w:ilvl="0" w:tplc="18090011">
      <w:start w:val="1"/>
      <w:numFmt w:val="decimal"/>
      <w:lvlText w:val="%1)"/>
      <w:lvlJc w:val="left"/>
      <w:pPr>
        <w:ind w:left="1922" w:hanging="360"/>
      </w:pPr>
    </w:lvl>
    <w:lvl w:ilvl="1" w:tplc="18090019" w:tentative="1">
      <w:start w:val="1"/>
      <w:numFmt w:val="lowerLetter"/>
      <w:lvlText w:val="%2."/>
      <w:lvlJc w:val="left"/>
      <w:pPr>
        <w:ind w:left="2642" w:hanging="360"/>
      </w:pPr>
    </w:lvl>
    <w:lvl w:ilvl="2" w:tplc="1809001B" w:tentative="1">
      <w:start w:val="1"/>
      <w:numFmt w:val="lowerRoman"/>
      <w:lvlText w:val="%3."/>
      <w:lvlJc w:val="right"/>
      <w:pPr>
        <w:ind w:left="3362" w:hanging="180"/>
      </w:pPr>
    </w:lvl>
    <w:lvl w:ilvl="3" w:tplc="1809000F" w:tentative="1">
      <w:start w:val="1"/>
      <w:numFmt w:val="decimal"/>
      <w:lvlText w:val="%4."/>
      <w:lvlJc w:val="left"/>
      <w:pPr>
        <w:ind w:left="4082" w:hanging="360"/>
      </w:pPr>
    </w:lvl>
    <w:lvl w:ilvl="4" w:tplc="18090019" w:tentative="1">
      <w:start w:val="1"/>
      <w:numFmt w:val="lowerLetter"/>
      <w:lvlText w:val="%5."/>
      <w:lvlJc w:val="left"/>
      <w:pPr>
        <w:ind w:left="4802" w:hanging="360"/>
      </w:pPr>
    </w:lvl>
    <w:lvl w:ilvl="5" w:tplc="1809001B" w:tentative="1">
      <w:start w:val="1"/>
      <w:numFmt w:val="lowerRoman"/>
      <w:lvlText w:val="%6."/>
      <w:lvlJc w:val="right"/>
      <w:pPr>
        <w:ind w:left="5522" w:hanging="180"/>
      </w:pPr>
    </w:lvl>
    <w:lvl w:ilvl="6" w:tplc="1809000F" w:tentative="1">
      <w:start w:val="1"/>
      <w:numFmt w:val="decimal"/>
      <w:lvlText w:val="%7."/>
      <w:lvlJc w:val="left"/>
      <w:pPr>
        <w:ind w:left="6242" w:hanging="360"/>
      </w:pPr>
    </w:lvl>
    <w:lvl w:ilvl="7" w:tplc="18090019" w:tentative="1">
      <w:start w:val="1"/>
      <w:numFmt w:val="lowerLetter"/>
      <w:lvlText w:val="%8."/>
      <w:lvlJc w:val="left"/>
      <w:pPr>
        <w:ind w:left="6962" w:hanging="360"/>
      </w:pPr>
    </w:lvl>
    <w:lvl w:ilvl="8" w:tplc="1809001B" w:tentative="1">
      <w:start w:val="1"/>
      <w:numFmt w:val="lowerRoman"/>
      <w:lvlText w:val="%9."/>
      <w:lvlJc w:val="right"/>
      <w:pPr>
        <w:ind w:left="7682" w:hanging="180"/>
      </w:pPr>
    </w:lvl>
  </w:abstractNum>
  <w:abstractNum w:abstractNumId="36" w15:restartNumberingAfterBreak="0">
    <w:nsid w:val="236052F9"/>
    <w:multiLevelType w:val="hybridMultilevel"/>
    <w:tmpl w:val="C0B8EEE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7" w15:restartNumberingAfterBreak="0">
    <w:nsid w:val="264605B7"/>
    <w:multiLevelType w:val="hybridMultilevel"/>
    <w:tmpl w:val="C37A99B2"/>
    <w:lvl w:ilvl="0" w:tplc="96DE41B6">
      <w:start w:val="1"/>
      <w:numFmt w:val="bullet"/>
      <w:lvlText w:val=""/>
      <w:lvlJc w:val="left"/>
      <w:pPr>
        <w:ind w:left="720" w:hanging="360"/>
      </w:pPr>
      <w:rPr>
        <w:rFonts w:ascii="Symbol" w:hAnsi="Symbol" w:hint="default"/>
      </w:rPr>
    </w:lvl>
    <w:lvl w:ilvl="1" w:tplc="67CA2B88" w:tentative="1">
      <w:start w:val="1"/>
      <w:numFmt w:val="bullet"/>
      <w:lvlText w:val="o"/>
      <w:lvlJc w:val="left"/>
      <w:pPr>
        <w:ind w:left="1440" w:hanging="360"/>
      </w:pPr>
      <w:rPr>
        <w:rFonts w:ascii="Courier New" w:hAnsi="Courier New" w:hint="default"/>
      </w:rPr>
    </w:lvl>
    <w:lvl w:ilvl="2" w:tplc="8146007C" w:tentative="1">
      <w:start w:val="1"/>
      <w:numFmt w:val="bullet"/>
      <w:lvlText w:val=""/>
      <w:lvlJc w:val="left"/>
      <w:pPr>
        <w:ind w:left="2160" w:hanging="360"/>
      </w:pPr>
      <w:rPr>
        <w:rFonts w:ascii="Wingdings" w:hAnsi="Wingdings" w:hint="default"/>
      </w:rPr>
    </w:lvl>
    <w:lvl w:ilvl="3" w:tplc="E3A24E06" w:tentative="1">
      <w:start w:val="1"/>
      <w:numFmt w:val="bullet"/>
      <w:lvlText w:val=""/>
      <w:lvlJc w:val="left"/>
      <w:pPr>
        <w:ind w:left="2880" w:hanging="360"/>
      </w:pPr>
      <w:rPr>
        <w:rFonts w:ascii="Symbol" w:hAnsi="Symbol" w:hint="default"/>
      </w:rPr>
    </w:lvl>
    <w:lvl w:ilvl="4" w:tplc="C428C4DA" w:tentative="1">
      <w:start w:val="1"/>
      <w:numFmt w:val="bullet"/>
      <w:lvlText w:val="o"/>
      <w:lvlJc w:val="left"/>
      <w:pPr>
        <w:ind w:left="3600" w:hanging="360"/>
      </w:pPr>
      <w:rPr>
        <w:rFonts w:ascii="Courier New" w:hAnsi="Courier New" w:hint="default"/>
      </w:rPr>
    </w:lvl>
    <w:lvl w:ilvl="5" w:tplc="909AFEF2" w:tentative="1">
      <w:start w:val="1"/>
      <w:numFmt w:val="bullet"/>
      <w:lvlText w:val=""/>
      <w:lvlJc w:val="left"/>
      <w:pPr>
        <w:ind w:left="4320" w:hanging="360"/>
      </w:pPr>
      <w:rPr>
        <w:rFonts w:ascii="Wingdings" w:hAnsi="Wingdings" w:hint="default"/>
      </w:rPr>
    </w:lvl>
    <w:lvl w:ilvl="6" w:tplc="1CC4CE7C" w:tentative="1">
      <w:start w:val="1"/>
      <w:numFmt w:val="bullet"/>
      <w:lvlText w:val=""/>
      <w:lvlJc w:val="left"/>
      <w:pPr>
        <w:ind w:left="5040" w:hanging="360"/>
      </w:pPr>
      <w:rPr>
        <w:rFonts w:ascii="Symbol" w:hAnsi="Symbol" w:hint="default"/>
      </w:rPr>
    </w:lvl>
    <w:lvl w:ilvl="7" w:tplc="04E62A76" w:tentative="1">
      <w:start w:val="1"/>
      <w:numFmt w:val="bullet"/>
      <w:lvlText w:val="o"/>
      <w:lvlJc w:val="left"/>
      <w:pPr>
        <w:ind w:left="5760" w:hanging="360"/>
      </w:pPr>
      <w:rPr>
        <w:rFonts w:ascii="Courier New" w:hAnsi="Courier New" w:hint="default"/>
      </w:rPr>
    </w:lvl>
    <w:lvl w:ilvl="8" w:tplc="761A3D84" w:tentative="1">
      <w:start w:val="1"/>
      <w:numFmt w:val="bullet"/>
      <w:lvlText w:val=""/>
      <w:lvlJc w:val="left"/>
      <w:pPr>
        <w:ind w:left="6480" w:hanging="360"/>
      </w:pPr>
      <w:rPr>
        <w:rFonts w:ascii="Wingdings" w:hAnsi="Wingdings" w:hint="default"/>
      </w:rPr>
    </w:lvl>
  </w:abstractNum>
  <w:abstractNum w:abstractNumId="38" w15:restartNumberingAfterBreak="0">
    <w:nsid w:val="266F3B17"/>
    <w:multiLevelType w:val="hybridMultilevel"/>
    <w:tmpl w:val="2792876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9" w15:restartNumberingAfterBreak="0">
    <w:nsid w:val="26B77705"/>
    <w:multiLevelType w:val="hybridMultilevel"/>
    <w:tmpl w:val="9642F8A2"/>
    <w:lvl w:ilvl="0" w:tplc="44AAA9BC">
      <w:start w:val="1"/>
      <w:numFmt w:val="bullet"/>
      <w:lvlText w:val=""/>
      <w:lvlJc w:val="left"/>
      <w:pPr>
        <w:ind w:left="720" w:hanging="360"/>
      </w:pPr>
      <w:rPr>
        <w:rFonts w:ascii="Symbol" w:hAnsi="Symbol" w:hint="default"/>
      </w:rPr>
    </w:lvl>
    <w:lvl w:ilvl="1" w:tplc="32AC6B70" w:tentative="1">
      <w:start w:val="1"/>
      <w:numFmt w:val="bullet"/>
      <w:lvlText w:val="o"/>
      <w:lvlJc w:val="left"/>
      <w:pPr>
        <w:ind w:left="1440" w:hanging="360"/>
      </w:pPr>
      <w:rPr>
        <w:rFonts w:ascii="Courier New" w:hAnsi="Courier New" w:hint="default"/>
      </w:rPr>
    </w:lvl>
    <w:lvl w:ilvl="2" w:tplc="2E221FFA" w:tentative="1">
      <w:start w:val="1"/>
      <w:numFmt w:val="bullet"/>
      <w:lvlText w:val=""/>
      <w:lvlJc w:val="left"/>
      <w:pPr>
        <w:ind w:left="2160" w:hanging="360"/>
      </w:pPr>
      <w:rPr>
        <w:rFonts w:ascii="Wingdings" w:hAnsi="Wingdings" w:hint="default"/>
      </w:rPr>
    </w:lvl>
    <w:lvl w:ilvl="3" w:tplc="01CADABC" w:tentative="1">
      <w:start w:val="1"/>
      <w:numFmt w:val="bullet"/>
      <w:lvlText w:val=""/>
      <w:lvlJc w:val="left"/>
      <w:pPr>
        <w:ind w:left="2880" w:hanging="360"/>
      </w:pPr>
      <w:rPr>
        <w:rFonts w:ascii="Symbol" w:hAnsi="Symbol" w:hint="default"/>
      </w:rPr>
    </w:lvl>
    <w:lvl w:ilvl="4" w:tplc="FAE00A52" w:tentative="1">
      <w:start w:val="1"/>
      <w:numFmt w:val="bullet"/>
      <w:lvlText w:val="o"/>
      <w:lvlJc w:val="left"/>
      <w:pPr>
        <w:ind w:left="3600" w:hanging="360"/>
      </w:pPr>
      <w:rPr>
        <w:rFonts w:ascii="Courier New" w:hAnsi="Courier New" w:hint="default"/>
      </w:rPr>
    </w:lvl>
    <w:lvl w:ilvl="5" w:tplc="2AA0B684" w:tentative="1">
      <w:start w:val="1"/>
      <w:numFmt w:val="bullet"/>
      <w:lvlText w:val=""/>
      <w:lvlJc w:val="left"/>
      <w:pPr>
        <w:ind w:left="4320" w:hanging="360"/>
      </w:pPr>
      <w:rPr>
        <w:rFonts w:ascii="Wingdings" w:hAnsi="Wingdings" w:hint="default"/>
      </w:rPr>
    </w:lvl>
    <w:lvl w:ilvl="6" w:tplc="9BB266CE" w:tentative="1">
      <w:start w:val="1"/>
      <w:numFmt w:val="bullet"/>
      <w:lvlText w:val=""/>
      <w:lvlJc w:val="left"/>
      <w:pPr>
        <w:ind w:left="5040" w:hanging="360"/>
      </w:pPr>
      <w:rPr>
        <w:rFonts w:ascii="Symbol" w:hAnsi="Symbol" w:hint="default"/>
      </w:rPr>
    </w:lvl>
    <w:lvl w:ilvl="7" w:tplc="77F42B68" w:tentative="1">
      <w:start w:val="1"/>
      <w:numFmt w:val="bullet"/>
      <w:lvlText w:val="o"/>
      <w:lvlJc w:val="left"/>
      <w:pPr>
        <w:ind w:left="5760" w:hanging="360"/>
      </w:pPr>
      <w:rPr>
        <w:rFonts w:ascii="Courier New" w:hAnsi="Courier New" w:hint="default"/>
      </w:rPr>
    </w:lvl>
    <w:lvl w:ilvl="8" w:tplc="C2AE257E" w:tentative="1">
      <w:start w:val="1"/>
      <w:numFmt w:val="bullet"/>
      <w:lvlText w:val=""/>
      <w:lvlJc w:val="left"/>
      <w:pPr>
        <w:ind w:left="6480" w:hanging="360"/>
      </w:pPr>
      <w:rPr>
        <w:rFonts w:ascii="Wingdings" w:hAnsi="Wingdings" w:hint="default"/>
      </w:rPr>
    </w:lvl>
  </w:abstractNum>
  <w:abstractNum w:abstractNumId="40" w15:restartNumberingAfterBreak="0">
    <w:nsid w:val="2716C319"/>
    <w:multiLevelType w:val="hybridMultilevel"/>
    <w:tmpl w:val="FFFFFFFF"/>
    <w:lvl w:ilvl="0" w:tplc="1CC893C6">
      <w:start w:val="1"/>
      <w:numFmt w:val="bullet"/>
      <w:lvlText w:val="-"/>
      <w:lvlJc w:val="left"/>
      <w:pPr>
        <w:ind w:left="720" w:hanging="360"/>
      </w:pPr>
      <w:rPr>
        <w:rFonts w:ascii="Aptos" w:hAnsi="Aptos" w:hint="default"/>
      </w:rPr>
    </w:lvl>
    <w:lvl w:ilvl="1" w:tplc="BD3E97B0">
      <w:start w:val="1"/>
      <w:numFmt w:val="bullet"/>
      <w:lvlText w:val="o"/>
      <w:lvlJc w:val="left"/>
      <w:pPr>
        <w:ind w:left="1440" w:hanging="360"/>
      </w:pPr>
      <w:rPr>
        <w:rFonts w:ascii="Courier New" w:hAnsi="Courier New" w:hint="default"/>
      </w:rPr>
    </w:lvl>
    <w:lvl w:ilvl="2" w:tplc="D730CEB4">
      <w:start w:val="1"/>
      <w:numFmt w:val="bullet"/>
      <w:lvlText w:val=""/>
      <w:lvlJc w:val="left"/>
      <w:pPr>
        <w:ind w:left="2160" w:hanging="360"/>
      </w:pPr>
      <w:rPr>
        <w:rFonts w:ascii="Wingdings" w:hAnsi="Wingdings" w:hint="default"/>
      </w:rPr>
    </w:lvl>
    <w:lvl w:ilvl="3" w:tplc="82F8FED8">
      <w:start w:val="1"/>
      <w:numFmt w:val="bullet"/>
      <w:lvlText w:val=""/>
      <w:lvlJc w:val="left"/>
      <w:pPr>
        <w:ind w:left="2880" w:hanging="360"/>
      </w:pPr>
      <w:rPr>
        <w:rFonts w:ascii="Symbol" w:hAnsi="Symbol" w:hint="default"/>
      </w:rPr>
    </w:lvl>
    <w:lvl w:ilvl="4" w:tplc="6B669652">
      <w:start w:val="1"/>
      <w:numFmt w:val="bullet"/>
      <w:lvlText w:val="o"/>
      <w:lvlJc w:val="left"/>
      <w:pPr>
        <w:ind w:left="3600" w:hanging="360"/>
      </w:pPr>
      <w:rPr>
        <w:rFonts w:ascii="Courier New" w:hAnsi="Courier New" w:hint="default"/>
      </w:rPr>
    </w:lvl>
    <w:lvl w:ilvl="5" w:tplc="65561F26">
      <w:start w:val="1"/>
      <w:numFmt w:val="bullet"/>
      <w:lvlText w:val=""/>
      <w:lvlJc w:val="left"/>
      <w:pPr>
        <w:ind w:left="4320" w:hanging="360"/>
      </w:pPr>
      <w:rPr>
        <w:rFonts w:ascii="Wingdings" w:hAnsi="Wingdings" w:hint="default"/>
      </w:rPr>
    </w:lvl>
    <w:lvl w:ilvl="6" w:tplc="4B988512">
      <w:start w:val="1"/>
      <w:numFmt w:val="bullet"/>
      <w:lvlText w:val=""/>
      <w:lvlJc w:val="left"/>
      <w:pPr>
        <w:ind w:left="5040" w:hanging="360"/>
      </w:pPr>
      <w:rPr>
        <w:rFonts w:ascii="Symbol" w:hAnsi="Symbol" w:hint="default"/>
      </w:rPr>
    </w:lvl>
    <w:lvl w:ilvl="7" w:tplc="760076CE">
      <w:start w:val="1"/>
      <w:numFmt w:val="bullet"/>
      <w:lvlText w:val="o"/>
      <w:lvlJc w:val="left"/>
      <w:pPr>
        <w:ind w:left="5760" w:hanging="360"/>
      </w:pPr>
      <w:rPr>
        <w:rFonts w:ascii="Courier New" w:hAnsi="Courier New" w:hint="default"/>
      </w:rPr>
    </w:lvl>
    <w:lvl w:ilvl="8" w:tplc="1794FD4A">
      <w:start w:val="1"/>
      <w:numFmt w:val="bullet"/>
      <w:lvlText w:val=""/>
      <w:lvlJc w:val="left"/>
      <w:pPr>
        <w:ind w:left="6480" w:hanging="360"/>
      </w:pPr>
      <w:rPr>
        <w:rFonts w:ascii="Wingdings" w:hAnsi="Wingdings" w:hint="default"/>
      </w:rPr>
    </w:lvl>
  </w:abstractNum>
  <w:abstractNum w:abstractNumId="41" w15:restartNumberingAfterBreak="0">
    <w:nsid w:val="2AFA7FEF"/>
    <w:multiLevelType w:val="hybridMultilevel"/>
    <w:tmpl w:val="861A296E"/>
    <w:lvl w:ilvl="0" w:tplc="B19069F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2C4D43F2"/>
    <w:multiLevelType w:val="hybridMultilevel"/>
    <w:tmpl w:val="A0765436"/>
    <w:lvl w:ilvl="0" w:tplc="B7CCC0B2">
      <w:start w:val="1"/>
      <w:numFmt w:val="bullet"/>
      <w:lvlText w:val=""/>
      <w:lvlJc w:val="left"/>
      <w:pPr>
        <w:ind w:left="720" w:hanging="360"/>
      </w:pPr>
      <w:rPr>
        <w:rFonts w:ascii="Symbol" w:hAnsi="Symbol" w:hint="default"/>
      </w:rPr>
    </w:lvl>
    <w:lvl w:ilvl="1" w:tplc="FBF44F7A" w:tentative="1">
      <w:start w:val="1"/>
      <w:numFmt w:val="bullet"/>
      <w:lvlText w:val="o"/>
      <w:lvlJc w:val="left"/>
      <w:pPr>
        <w:ind w:left="1440" w:hanging="360"/>
      </w:pPr>
      <w:rPr>
        <w:rFonts w:ascii="Courier New" w:hAnsi="Courier New" w:hint="default"/>
      </w:rPr>
    </w:lvl>
    <w:lvl w:ilvl="2" w:tplc="6B784C28" w:tentative="1">
      <w:start w:val="1"/>
      <w:numFmt w:val="bullet"/>
      <w:lvlText w:val=""/>
      <w:lvlJc w:val="left"/>
      <w:pPr>
        <w:ind w:left="2160" w:hanging="360"/>
      </w:pPr>
      <w:rPr>
        <w:rFonts w:ascii="Wingdings" w:hAnsi="Wingdings" w:hint="default"/>
      </w:rPr>
    </w:lvl>
    <w:lvl w:ilvl="3" w:tplc="142425AC" w:tentative="1">
      <w:start w:val="1"/>
      <w:numFmt w:val="bullet"/>
      <w:lvlText w:val=""/>
      <w:lvlJc w:val="left"/>
      <w:pPr>
        <w:ind w:left="2880" w:hanging="360"/>
      </w:pPr>
      <w:rPr>
        <w:rFonts w:ascii="Symbol" w:hAnsi="Symbol" w:hint="default"/>
      </w:rPr>
    </w:lvl>
    <w:lvl w:ilvl="4" w:tplc="7D0CA3CA" w:tentative="1">
      <w:start w:val="1"/>
      <w:numFmt w:val="bullet"/>
      <w:lvlText w:val="o"/>
      <w:lvlJc w:val="left"/>
      <w:pPr>
        <w:ind w:left="3600" w:hanging="360"/>
      </w:pPr>
      <w:rPr>
        <w:rFonts w:ascii="Courier New" w:hAnsi="Courier New" w:hint="default"/>
      </w:rPr>
    </w:lvl>
    <w:lvl w:ilvl="5" w:tplc="F3C209CE" w:tentative="1">
      <w:start w:val="1"/>
      <w:numFmt w:val="bullet"/>
      <w:lvlText w:val=""/>
      <w:lvlJc w:val="left"/>
      <w:pPr>
        <w:ind w:left="4320" w:hanging="360"/>
      </w:pPr>
      <w:rPr>
        <w:rFonts w:ascii="Wingdings" w:hAnsi="Wingdings" w:hint="default"/>
      </w:rPr>
    </w:lvl>
    <w:lvl w:ilvl="6" w:tplc="672A2572" w:tentative="1">
      <w:start w:val="1"/>
      <w:numFmt w:val="bullet"/>
      <w:lvlText w:val=""/>
      <w:lvlJc w:val="left"/>
      <w:pPr>
        <w:ind w:left="5040" w:hanging="360"/>
      </w:pPr>
      <w:rPr>
        <w:rFonts w:ascii="Symbol" w:hAnsi="Symbol" w:hint="default"/>
      </w:rPr>
    </w:lvl>
    <w:lvl w:ilvl="7" w:tplc="F3A2428A" w:tentative="1">
      <w:start w:val="1"/>
      <w:numFmt w:val="bullet"/>
      <w:lvlText w:val="o"/>
      <w:lvlJc w:val="left"/>
      <w:pPr>
        <w:ind w:left="5760" w:hanging="360"/>
      </w:pPr>
      <w:rPr>
        <w:rFonts w:ascii="Courier New" w:hAnsi="Courier New" w:hint="default"/>
      </w:rPr>
    </w:lvl>
    <w:lvl w:ilvl="8" w:tplc="340613E8" w:tentative="1">
      <w:start w:val="1"/>
      <w:numFmt w:val="bullet"/>
      <w:lvlText w:val=""/>
      <w:lvlJc w:val="left"/>
      <w:pPr>
        <w:ind w:left="6480" w:hanging="360"/>
      </w:pPr>
      <w:rPr>
        <w:rFonts w:ascii="Wingdings" w:hAnsi="Wingdings" w:hint="default"/>
      </w:rPr>
    </w:lvl>
  </w:abstractNum>
  <w:abstractNum w:abstractNumId="4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2D332CFA"/>
    <w:multiLevelType w:val="multilevel"/>
    <w:tmpl w:val="4D4CAB6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2DB124FC"/>
    <w:multiLevelType w:val="hybridMultilevel"/>
    <w:tmpl w:val="2EB4115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6" w15:restartNumberingAfterBreak="0">
    <w:nsid w:val="2DC4DC86"/>
    <w:multiLevelType w:val="hybridMultilevel"/>
    <w:tmpl w:val="FFFFFFFF"/>
    <w:lvl w:ilvl="0" w:tplc="B650A048">
      <w:start w:val="1"/>
      <w:numFmt w:val="bullet"/>
      <w:lvlText w:val="·"/>
      <w:lvlJc w:val="left"/>
      <w:pPr>
        <w:ind w:left="720" w:hanging="360"/>
      </w:pPr>
      <w:rPr>
        <w:rFonts w:ascii="Symbol" w:hAnsi="Symbol" w:hint="default"/>
      </w:rPr>
    </w:lvl>
    <w:lvl w:ilvl="1" w:tplc="63C84774">
      <w:start w:val="1"/>
      <w:numFmt w:val="bullet"/>
      <w:lvlText w:val="o"/>
      <w:lvlJc w:val="left"/>
      <w:pPr>
        <w:ind w:left="1440" w:hanging="360"/>
      </w:pPr>
      <w:rPr>
        <w:rFonts w:ascii="Courier New" w:hAnsi="Courier New" w:hint="default"/>
      </w:rPr>
    </w:lvl>
    <w:lvl w:ilvl="2" w:tplc="BF780D2A">
      <w:start w:val="1"/>
      <w:numFmt w:val="bullet"/>
      <w:lvlText w:val=""/>
      <w:lvlJc w:val="left"/>
      <w:pPr>
        <w:ind w:left="2160" w:hanging="360"/>
      </w:pPr>
      <w:rPr>
        <w:rFonts w:ascii="Wingdings" w:hAnsi="Wingdings" w:hint="default"/>
      </w:rPr>
    </w:lvl>
    <w:lvl w:ilvl="3" w:tplc="5948A74C">
      <w:start w:val="1"/>
      <w:numFmt w:val="bullet"/>
      <w:lvlText w:val=""/>
      <w:lvlJc w:val="left"/>
      <w:pPr>
        <w:ind w:left="2880" w:hanging="360"/>
      </w:pPr>
      <w:rPr>
        <w:rFonts w:ascii="Symbol" w:hAnsi="Symbol" w:hint="default"/>
      </w:rPr>
    </w:lvl>
    <w:lvl w:ilvl="4" w:tplc="89F87BBA">
      <w:start w:val="1"/>
      <w:numFmt w:val="bullet"/>
      <w:lvlText w:val="o"/>
      <w:lvlJc w:val="left"/>
      <w:pPr>
        <w:ind w:left="3600" w:hanging="360"/>
      </w:pPr>
      <w:rPr>
        <w:rFonts w:ascii="Courier New" w:hAnsi="Courier New" w:hint="default"/>
      </w:rPr>
    </w:lvl>
    <w:lvl w:ilvl="5" w:tplc="18827136">
      <w:start w:val="1"/>
      <w:numFmt w:val="bullet"/>
      <w:lvlText w:val=""/>
      <w:lvlJc w:val="left"/>
      <w:pPr>
        <w:ind w:left="4320" w:hanging="360"/>
      </w:pPr>
      <w:rPr>
        <w:rFonts w:ascii="Wingdings" w:hAnsi="Wingdings" w:hint="default"/>
      </w:rPr>
    </w:lvl>
    <w:lvl w:ilvl="6" w:tplc="A0205CF8">
      <w:start w:val="1"/>
      <w:numFmt w:val="bullet"/>
      <w:lvlText w:val=""/>
      <w:lvlJc w:val="left"/>
      <w:pPr>
        <w:ind w:left="5040" w:hanging="360"/>
      </w:pPr>
      <w:rPr>
        <w:rFonts w:ascii="Symbol" w:hAnsi="Symbol" w:hint="default"/>
      </w:rPr>
    </w:lvl>
    <w:lvl w:ilvl="7" w:tplc="EBDAC108">
      <w:start w:val="1"/>
      <w:numFmt w:val="bullet"/>
      <w:lvlText w:val="o"/>
      <w:lvlJc w:val="left"/>
      <w:pPr>
        <w:ind w:left="5760" w:hanging="360"/>
      </w:pPr>
      <w:rPr>
        <w:rFonts w:ascii="Courier New" w:hAnsi="Courier New" w:hint="default"/>
      </w:rPr>
    </w:lvl>
    <w:lvl w:ilvl="8" w:tplc="016E3FD8">
      <w:start w:val="1"/>
      <w:numFmt w:val="bullet"/>
      <w:lvlText w:val=""/>
      <w:lvlJc w:val="left"/>
      <w:pPr>
        <w:ind w:left="6480" w:hanging="360"/>
      </w:pPr>
      <w:rPr>
        <w:rFonts w:ascii="Wingdings" w:hAnsi="Wingdings" w:hint="default"/>
      </w:rPr>
    </w:lvl>
  </w:abstractNum>
  <w:abstractNum w:abstractNumId="47" w15:restartNumberingAfterBreak="0">
    <w:nsid w:val="2F2F5C29"/>
    <w:multiLevelType w:val="hybridMultilevel"/>
    <w:tmpl w:val="996A2156"/>
    <w:lvl w:ilvl="0" w:tplc="37646586">
      <w:start w:val="1"/>
      <w:numFmt w:val="bullet"/>
      <w:lvlText w:val="–"/>
      <w:lvlJc w:val="left"/>
      <w:pPr>
        <w:ind w:left="720" w:hanging="360"/>
      </w:pPr>
      <w:rPr>
        <w:rFonts w:ascii="Calibri" w:hAnsi="Calibri" w:hint="default"/>
      </w:rPr>
    </w:lvl>
    <w:lvl w:ilvl="1" w:tplc="63C05C88" w:tentative="1">
      <w:start w:val="1"/>
      <w:numFmt w:val="bullet"/>
      <w:lvlText w:val="o"/>
      <w:lvlJc w:val="left"/>
      <w:pPr>
        <w:ind w:left="1440" w:hanging="360"/>
      </w:pPr>
      <w:rPr>
        <w:rFonts w:ascii="Courier New" w:hAnsi="Courier New" w:hint="default"/>
      </w:rPr>
    </w:lvl>
    <w:lvl w:ilvl="2" w:tplc="5532CDC4" w:tentative="1">
      <w:start w:val="1"/>
      <w:numFmt w:val="bullet"/>
      <w:lvlText w:val=""/>
      <w:lvlJc w:val="left"/>
      <w:pPr>
        <w:ind w:left="2160" w:hanging="360"/>
      </w:pPr>
      <w:rPr>
        <w:rFonts w:ascii="Wingdings" w:hAnsi="Wingdings" w:hint="default"/>
      </w:rPr>
    </w:lvl>
    <w:lvl w:ilvl="3" w:tplc="7E4A5B86" w:tentative="1">
      <w:start w:val="1"/>
      <w:numFmt w:val="bullet"/>
      <w:lvlText w:val=""/>
      <w:lvlJc w:val="left"/>
      <w:pPr>
        <w:ind w:left="2880" w:hanging="360"/>
      </w:pPr>
      <w:rPr>
        <w:rFonts w:ascii="Symbol" w:hAnsi="Symbol" w:hint="default"/>
      </w:rPr>
    </w:lvl>
    <w:lvl w:ilvl="4" w:tplc="7B782C86" w:tentative="1">
      <w:start w:val="1"/>
      <w:numFmt w:val="bullet"/>
      <w:lvlText w:val="o"/>
      <w:lvlJc w:val="left"/>
      <w:pPr>
        <w:ind w:left="3600" w:hanging="360"/>
      </w:pPr>
      <w:rPr>
        <w:rFonts w:ascii="Courier New" w:hAnsi="Courier New" w:hint="default"/>
      </w:rPr>
    </w:lvl>
    <w:lvl w:ilvl="5" w:tplc="969432F8" w:tentative="1">
      <w:start w:val="1"/>
      <w:numFmt w:val="bullet"/>
      <w:lvlText w:val=""/>
      <w:lvlJc w:val="left"/>
      <w:pPr>
        <w:ind w:left="4320" w:hanging="360"/>
      </w:pPr>
      <w:rPr>
        <w:rFonts w:ascii="Wingdings" w:hAnsi="Wingdings" w:hint="default"/>
      </w:rPr>
    </w:lvl>
    <w:lvl w:ilvl="6" w:tplc="CB307A6A" w:tentative="1">
      <w:start w:val="1"/>
      <w:numFmt w:val="bullet"/>
      <w:lvlText w:val=""/>
      <w:lvlJc w:val="left"/>
      <w:pPr>
        <w:ind w:left="5040" w:hanging="360"/>
      </w:pPr>
      <w:rPr>
        <w:rFonts w:ascii="Symbol" w:hAnsi="Symbol" w:hint="default"/>
      </w:rPr>
    </w:lvl>
    <w:lvl w:ilvl="7" w:tplc="CE065922" w:tentative="1">
      <w:start w:val="1"/>
      <w:numFmt w:val="bullet"/>
      <w:lvlText w:val="o"/>
      <w:lvlJc w:val="left"/>
      <w:pPr>
        <w:ind w:left="5760" w:hanging="360"/>
      </w:pPr>
      <w:rPr>
        <w:rFonts w:ascii="Courier New" w:hAnsi="Courier New" w:hint="default"/>
      </w:rPr>
    </w:lvl>
    <w:lvl w:ilvl="8" w:tplc="E73ED3EA" w:tentative="1">
      <w:start w:val="1"/>
      <w:numFmt w:val="bullet"/>
      <w:lvlText w:val=""/>
      <w:lvlJc w:val="left"/>
      <w:pPr>
        <w:ind w:left="6480" w:hanging="360"/>
      </w:pPr>
      <w:rPr>
        <w:rFonts w:ascii="Wingdings" w:hAnsi="Wingdings" w:hint="default"/>
      </w:rPr>
    </w:lvl>
  </w:abstractNum>
  <w:abstractNum w:abstractNumId="48" w15:restartNumberingAfterBreak="0">
    <w:nsid w:val="2F465E08"/>
    <w:multiLevelType w:val="hybridMultilevel"/>
    <w:tmpl w:val="686C530C"/>
    <w:lvl w:ilvl="0" w:tplc="9ECEF058">
      <w:start w:val="1"/>
      <w:numFmt w:val="bullet"/>
      <w:lvlText w:val=""/>
      <w:lvlJc w:val="left"/>
      <w:pPr>
        <w:ind w:left="720" w:hanging="360"/>
      </w:pPr>
      <w:rPr>
        <w:rFonts w:ascii="Symbol" w:hAnsi="Symbol" w:hint="default"/>
      </w:rPr>
    </w:lvl>
    <w:lvl w:ilvl="1" w:tplc="1C9E58A6" w:tentative="1">
      <w:start w:val="1"/>
      <w:numFmt w:val="bullet"/>
      <w:lvlText w:val="o"/>
      <w:lvlJc w:val="left"/>
      <w:pPr>
        <w:ind w:left="1440" w:hanging="360"/>
      </w:pPr>
      <w:rPr>
        <w:rFonts w:ascii="Courier New" w:hAnsi="Courier New" w:hint="default"/>
      </w:rPr>
    </w:lvl>
    <w:lvl w:ilvl="2" w:tplc="3E743452" w:tentative="1">
      <w:start w:val="1"/>
      <w:numFmt w:val="bullet"/>
      <w:lvlText w:val=""/>
      <w:lvlJc w:val="left"/>
      <w:pPr>
        <w:ind w:left="2160" w:hanging="360"/>
      </w:pPr>
      <w:rPr>
        <w:rFonts w:ascii="Wingdings" w:hAnsi="Wingdings" w:hint="default"/>
      </w:rPr>
    </w:lvl>
    <w:lvl w:ilvl="3" w:tplc="B9CE97FC" w:tentative="1">
      <w:start w:val="1"/>
      <w:numFmt w:val="bullet"/>
      <w:lvlText w:val=""/>
      <w:lvlJc w:val="left"/>
      <w:pPr>
        <w:ind w:left="2880" w:hanging="360"/>
      </w:pPr>
      <w:rPr>
        <w:rFonts w:ascii="Symbol" w:hAnsi="Symbol" w:hint="default"/>
      </w:rPr>
    </w:lvl>
    <w:lvl w:ilvl="4" w:tplc="0B3EA17E" w:tentative="1">
      <w:start w:val="1"/>
      <w:numFmt w:val="bullet"/>
      <w:lvlText w:val="o"/>
      <w:lvlJc w:val="left"/>
      <w:pPr>
        <w:ind w:left="3600" w:hanging="360"/>
      </w:pPr>
      <w:rPr>
        <w:rFonts w:ascii="Courier New" w:hAnsi="Courier New" w:hint="default"/>
      </w:rPr>
    </w:lvl>
    <w:lvl w:ilvl="5" w:tplc="DF567C16" w:tentative="1">
      <w:start w:val="1"/>
      <w:numFmt w:val="bullet"/>
      <w:lvlText w:val=""/>
      <w:lvlJc w:val="left"/>
      <w:pPr>
        <w:ind w:left="4320" w:hanging="360"/>
      </w:pPr>
      <w:rPr>
        <w:rFonts w:ascii="Wingdings" w:hAnsi="Wingdings" w:hint="default"/>
      </w:rPr>
    </w:lvl>
    <w:lvl w:ilvl="6" w:tplc="E436AFE2" w:tentative="1">
      <w:start w:val="1"/>
      <w:numFmt w:val="bullet"/>
      <w:lvlText w:val=""/>
      <w:lvlJc w:val="left"/>
      <w:pPr>
        <w:ind w:left="5040" w:hanging="360"/>
      </w:pPr>
      <w:rPr>
        <w:rFonts w:ascii="Symbol" w:hAnsi="Symbol" w:hint="default"/>
      </w:rPr>
    </w:lvl>
    <w:lvl w:ilvl="7" w:tplc="1BB08614" w:tentative="1">
      <w:start w:val="1"/>
      <w:numFmt w:val="bullet"/>
      <w:lvlText w:val="o"/>
      <w:lvlJc w:val="left"/>
      <w:pPr>
        <w:ind w:left="5760" w:hanging="360"/>
      </w:pPr>
      <w:rPr>
        <w:rFonts w:ascii="Courier New" w:hAnsi="Courier New" w:hint="default"/>
      </w:rPr>
    </w:lvl>
    <w:lvl w:ilvl="8" w:tplc="1F2AD084" w:tentative="1">
      <w:start w:val="1"/>
      <w:numFmt w:val="bullet"/>
      <w:lvlText w:val=""/>
      <w:lvlJc w:val="left"/>
      <w:pPr>
        <w:ind w:left="6480" w:hanging="360"/>
      </w:pPr>
      <w:rPr>
        <w:rFonts w:ascii="Wingdings" w:hAnsi="Wingdings" w:hint="default"/>
      </w:rPr>
    </w:lvl>
  </w:abstractNum>
  <w:abstractNum w:abstractNumId="49" w15:restartNumberingAfterBreak="0">
    <w:nsid w:val="303F1CE5"/>
    <w:multiLevelType w:val="hybridMultilevel"/>
    <w:tmpl w:val="17882AE6"/>
    <w:lvl w:ilvl="0" w:tplc="FFFFFFFF">
      <w:start w:val="1"/>
      <w:numFmt w:val="bullet"/>
      <w:lvlText w:val=""/>
      <w:lvlJc w:val="left"/>
      <w:pPr>
        <w:ind w:left="720" w:hanging="360"/>
      </w:pPr>
      <w:rPr>
        <w:rFonts w:ascii="Symbol" w:hAnsi="Symbol" w:hint="default"/>
        <w:b/>
        <w:i w:val="0"/>
        <w:color w:val="auto"/>
        <w:sz w:val="24"/>
      </w:rPr>
    </w:lvl>
    <w:lvl w:ilvl="1" w:tplc="C59EEABE">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181508F"/>
    <w:multiLevelType w:val="hybridMultilevel"/>
    <w:tmpl w:val="7C0A32C8"/>
    <w:lvl w:ilvl="0" w:tplc="74FC8CC6">
      <w:start w:val="1"/>
      <w:numFmt w:val="bullet"/>
      <w:pStyle w:val="bullettext"/>
      <w:lvlText w:val=""/>
      <w:lvlJc w:val="left"/>
      <w:pPr>
        <w:ind w:left="720" w:hanging="360"/>
      </w:pPr>
      <w:rPr>
        <w:rFonts w:ascii="Symbol" w:hAnsi="Symbol" w:hint="default"/>
        <w:b/>
        <w:i w:val="0"/>
        <w:color w:val="auto"/>
        <w:sz w:val="24"/>
      </w:rPr>
    </w:lvl>
    <w:lvl w:ilvl="1" w:tplc="18090001">
      <w:start w:val="1"/>
      <w:numFmt w:val="bullet"/>
      <w:lvlText w:val=""/>
      <w:lvlJc w:val="left"/>
      <w:pPr>
        <w:ind w:left="720" w:hanging="360"/>
      </w:pPr>
      <w:rPr>
        <w:rFonts w:ascii="Symbol" w:hAnsi="Symbol" w:hint="default"/>
      </w:rPr>
    </w:lvl>
    <w:lvl w:ilvl="2" w:tplc="649E5970" w:tentative="1">
      <w:start w:val="1"/>
      <w:numFmt w:val="bullet"/>
      <w:lvlText w:val=""/>
      <w:lvlJc w:val="left"/>
      <w:pPr>
        <w:ind w:left="2160" w:hanging="360"/>
      </w:pPr>
      <w:rPr>
        <w:rFonts w:ascii="Wingdings" w:hAnsi="Wingdings" w:hint="default"/>
      </w:rPr>
    </w:lvl>
    <w:lvl w:ilvl="3" w:tplc="B7BA0E90" w:tentative="1">
      <w:start w:val="1"/>
      <w:numFmt w:val="bullet"/>
      <w:lvlText w:val=""/>
      <w:lvlJc w:val="left"/>
      <w:pPr>
        <w:ind w:left="2880" w:hanging="360"/>
      </w:pPr>
      <w:rPr>
        <w:rFonts w:ascii="Symbol" w:hAnsi="Symbol" w:hint="default"/>
      </w:rPr>
    </w:lvl>
    <w:lvl w:ilvl="4" w:tplc="04C2FE4C" w:tentative="1">
      <w:start w:val="1"/>
      <w:numFmt w:val="bullet"/>
      <w:lvlText w:val="o"/>
      <w:lvlJc w:val="left"/>
      <w:pPr>
        <w:ind w:left="3600" w:hanging="360"/>
      </w:pPr>
      <w:rPr>
        <w:rFonts w:ascii="Courier New" w:hAnsi="Courier New" w:hint="default"/>
      </w:rPr>
    </w:lvl>
    <w:lvl w:ilvl="5" w:tplc="3A2C2D34" w:tentative="1">
      <w:start w:val="1"/>
      <w:numFmt w:val="bullet"/>
      <w:lvlText w:val=""/>
      <w:lvlJc w:val="left"/>
      <w:pPr>
        <w:ind w:left="4320" w:hanging="360"/>
      </w:pPr>
      <w:rPr>
        <w:rFonts w:ascii="Wingdings" w:hAnsi="Wingdings" w:hint="default"/>
      </w:rPr>
    </w:lvl>
    <w:lvl w:ilvl="6" w:tplc="96DCE13E" w:tentative="1">
      <w:start w:val="1"/>
      <w:numFmt w:val="bullet"/>
      <w:lvlText w:val=""/>
      <w:lvlJc w:val="left"/>
      <w:pPr>
        <w:ind w:left="5040" w:hanging="360"/>
      </w:pPr>
      <w:rPr>
        <w:rFonts w:ascii="Symbol" w:hAnsi="Symbol" w:hint="default"/>
      </w:rPr>
    </w:lvl>
    <w:lvl w:ilvl="7" w:tplc="B562EEB6" w:tentative="1">
      <w:start w:val="1"/>
      <w:numFmt w:val="bullet"/>
      <w:lvlText w:val="o"/>
      <w:lvlJc w:val="left"/>
      <w:pPr>
        <w:ind w:left="5760" w:hanging="360"/>
      </w:pPr>
      <w:rPr>
        <w:rFonts w:ascii="Courier New" w:hAnsi="Courier New" w:hint="default"/>
      </w:rPr>
    </w:lvl>
    <w:lvl w:ilvl="8" w:tplc="58BC985E" w:tentative="1">
      <w:start w:val="1"/>
      <w:numFmt w:val="bullet"/>
      <w:lvlText w:val=""/>
      <w:lvlJc w:val="left"/>
      <w:pPr>
        <w:ind w:left="6480" w:hanging="360"/>
      </w:pPr>
      <w:rPr>
        <w:rFonts w:ascii="Wingdings" w:hAnsi="Wingdings" w:hint="default"/>
      </w:rPr>
    </w:lvl>
  </w:abstractNum>
  <w:abstractNum w:abstractNumId="51" w15:restartNumberingAfterBreak="0">
    <w:nsid w:val="31BE040A"/>
    <w:multiLevelType w:val="hybridMultilevel"/>
    <w:tmpl w:val="E95C2F32"/>
    <w:lvl w:ilvl="0" w:tplc="969A282C">
      <w:start w:val="1"/>
      <w:numFmt w:val="bullet"/>
      <w:lvlText w:val=""/>
      <w:lvlJc w:val="left"/>
      <w:pPr>
        <w:ind w:left="720" w:hanging="360"/>
      </w:pPr>
      <w:rPr>
        <w:rFonts w:ascii="Symbol" w:hAnsi="Symbol" w:hint="default"/>
      </w:rPr>
    </w:lvl>
    <w:lvl w:ilvl="1" w:tplc="A0380FB6" w:tentative="1">
      <w:start w:val="1"/>
      <w:numFmt w:val="bullet"/>
      <w:lvlText w:val="o"/>
      <w:lvlJc w:val="left"/>
      <w:pPr>
        <w:ind w:left="1440" w:hanging="360"/>
      </w:pPr>
      <w:rPr>
        <w:rFonts w:ascii="Courier New" w:hAnsi="Courier New" w:hint="default"/>
      </w:rPr>
    </w:lvl>
    <w:lvl w:ilvl="2" w:tplc="0A1636EE" w:tentative="1">
      <w:start w:val="1"/>
      <w:numFmt w:val="bullet"/>
      <w:lvlText w:val=""/>
      <w:lvlJc w:val="left"/>
      <w:pPr>
        <w:ind w:left="2160" w:hanging="360"/>
      </w:pPr>
      <w:rPr>
        <w:rFonts w:ascii="Wingdings" w:hAnsi="Wingdings" w:hint="default"/>
      </w:rPr>
    </w:lvl>
    <w:lvl w:ilvl="3" w:tplc="C102FF36" w:tentative="1">
      <w:start w:val="1"/>
      <w:numFmt w:val="bullet"/>
      <w:lvlText w:val=""/>
      <w:lvlJc w:val="left"/>
      <w:pPr>
        <w:ind w:left="2880" w:hanging="360"/>
      </w:pPr>
      <w:rPr>
        <w:rFonts w:ascii="Symbol" w:hAnsi="Symbol" w:hint="default"/>
      </w:rPr>
    </w:lvl>
    <w:lvl w:ilvl="4" w:tplc="3D96FCA2" w:tentative="1">
      <w:start w:val="1"/>
      <w:numFmt w:val="bullet"/>
      <w:lvlText w:val="o"/>
      <w:lvlJc w:val="left"/>
      <w:pPr>
        <w:ind w:left="3600" w:hanging="360"/>
      </w:pPr>
      <w:rPr>
        <w:rFonts w:ascii="Courier New" w:hAnsi="Courier New" w:hint="default"/>
      </w:rPr>
    </w:lvl>
    <w:lvl w:ilvl="5" w:tplc="8620E60A" w:tentative="1">
      <w:start w:val="1"/>
      <w:numFmt w:val="bullet"/>
      <w:lvlText w:val=""/>
      <w:lvlJc w:val="left"/>
      <w:pPr>
        <w:ind w:left="4320" w:hanging="360"/>
      </w:pPr>
      <w:rPr>
        <w:rFonts w:ascii="Wingdings" w:hAnsi="Wingdings" w:hint="default"/>
      </w:rPr>
    </w:lvl>
    <w:lvl w:ilvl="6" w:tplc="99A016A4" w:tentative="1">
      <w:start w:val="1"/>
      <w:numFmt w:val="bullet"/>
      <w:lvlText w:val=""/>
      <w:lvlJc w:val="left"/>
      <w:pPr>
        <w:ind w:left="5040" w:hanging="360"/>
      </w:pPr>
      <w:rPr>
        <w:rFonts w:ascii="Symbol" w:hAnsi="Symbol" w:hint="default"/>
      </w:rPr>
    </w:lvl>
    <w:lvl w:ilvl="7" w:tplc="DFCC3C38" w:tentative="1">
      <w:start w:val="1"/>
      <w:numFmt w:val="bullet"/>
      <w:lvlText w:val="o"/>
      <w:lvlJc w:val="left"/>
      <w:pPr>
        <w:ind w:left="5760" w:hanging="360"/>
      </w:pPr>
      <w:rPr>
        <w:rFonts w:ascii="Courier New" w:hAnsi="Courier New" w:hint="default"/>
      </w:rPr>
    </w:lvl>
    <w:lvl w:ilvl="8" w:tplc="907EAC88" w:tentative="1">
      <w:start w:val="1"/>
      <w:numFmt w:val="bullet"/>
      <w:lvlText w:val=""/>
      <w:lvlJc w:val="left"/>
      <w:pPr>
        <w:ind w:left="6480" w:hanging="360"/>
      </w:pPr>
      <w:rPr>
        <w:rFonts w:ascii="Wingdings" w:hAnsi="Wingdings" w:hint="default"/>
      </w:rPr>
    </w:lvl>
  </w:abstractNum>
  <w:abstractNum w:abstractNumId="52" w15:restartNumberingAfterBreak="0">
    <w:nsid w:val="338DC794"/>
    <w:multiLevelType w:val="hybridMultilevel"/>
    <w:tmpl w:val="FFFFFFFF"/>
    <w:lvl w:ilvl="0" w:tplc="6032BD94">
      <w:start w:val="1"/>
      <w:numFmt w:val="bullet"/>
      <w:lvlText w:val=""/>
      <w:lvlJc w:val="left"/>
      <w:pPr>
        <w:ind w:left="720" w:hanging="360"/>
      </w:pPr>
      <w:rPr>
        <w:rFonts w:ascii="Symbol" w:hAnsi="Symbol" w:hint="default"/>
      </w:rPr>
    </w:lvl>
    <w:lvl w:ilvl="1" w:tplc="8298647C">
      <w:start w:val="1"/>
      <w:numFmt w:val="bullet"/>
      <w:lvlText w:val="o"/>
      <w:lvlJc w:val="left"/>
      <w:pPr>
        <w:ind w:left="1440" w:hanging="360"/>
      </w:pPr>
      <w:rPr>
        <w:rFonts w:ascii="Courier New" w:hAnsi="Courier New" w:hint="default"/>
      </w:rPr>
    </w:lvl>
    <w:lvl w:ilvl="2" w:tplc="764CC824">
      <w:start w:val="1"/>
      <w:numFmt w:val="bullet"/>
      <w:lvlText w:val=""/>
      <w:lvlJc w:val="left"/>
      <w:pPr>
        <w:ind w:left="2160" w:hanging="360"/>
      </w:pPr>
      <w:rPr>
        <w:rFonts w:ascii="Wingdings" w:hAnsi="Wingdings" w:hint="default"/>
      </w:rPr>
    </w:lvl>
    <w:lvl w:ilvl="3" w:tplc="8286E026">
      <w:start w:val="1"/>
      <w:numFmt w:val="bullet"/>
      <w:lvlText w:val=""/>
      <w:lvlJc w:val="left"/>
      <w:pPr>
        <w:ind w:left="2880" w:hanging="360"/>
      </w:pPr>
      <w:rPr>
        <w:rFonts w:ascii="Symbol" w:hAnsi="Symbol" w:hint="default"/>
      </w:rPr>
    </w:lvl>
    <w:lvl w:ilvl="4" w:tplc="B62C5E8C">
      <w:start w:val="1"/>
      <w:numFmt w:val="bullet"/>
      <w:lvlText w:val="o"/>
      <w:lvlJc w:val="left"/>
      <w:pPr>
        <w:ind w:left="3600" w:hanging="360"/>
      </w:pPr>
      <w:rPr>
        <w:rFonts w:ascii="Courier New" w:hAnsi="Courier New" w:hint="default"/>
      </w:rPr>
    </w:lvl>
    <w:lvl w:ilvl="5" w:tplc="BDC83712">
      <w:start w:val="1"/>
      <w:numFmt w:val="bullet"/>
      <w:lvlText w:val=""/>
      <w:lvlJc w:val="left"/>
      <w:pPr>
        <w:ind w:left="4320" w:hanging="360"/>
      </w:pPr>
      <w:rPr>
        <w:rFonts w:ascii="Wingdings" w:hAnsi="Wingdings" w:hint="default"/>
      </w:rPr>
    </w:lvl>
    <w:lvl w:ilvl="6" w:tplc="1EAAB3F2">
      <w:start w:val="1"/>
      <w:numFmt w:val="bullet"/>
      <w:lvlText w:val=""/>
      <w:lvlJc w:val="left"/>
      <w:pPr>
        <w:ind w:left="5040" w:hanging="360"/>
      </w:pPr>
      <w:rPr>
        <w:rFonts w:ascii="Symbol" w:hAnsi="Symbol" w:hint="default"/>
      </w:rPr>
    </w:lvl>
    <w:lvl w:ilvl="7" w:tplc="C750DC04">
      <w:start w:val="1"/>
      <w:numFmt w:val="bullet"/>
      <w:lvlText w:val="o"/>
      <w:lvlJc w:val="left"/>
      <w:pPr>
        <w:ind w:left="5760" w:hanging="360"/>
      </w:pPr>
      <w:rPr>
        <w:rFonts w:ascii="Courier New" w:hAnsi="Courier New" w:hint="default"/>
      </w:rPr>
    </w:lvl>
    <w:lvl w:ilvl="8" w:tplc="37E26A0E">
      <w:start w:val="1"/>
      <w:numFmt w:val="bullet"/>
      <w:lvlText w:val=""/>
      <w:lvlJc w:val="left"/>
      <w:pPr>
        <w:ind w:left="6480" w:hanging="360"/>
      </w:pPr>
      <w:rPr>
        <w:rFonts w:ascii="Wingdings" w:hAnsi="Wingdings" w:hint="default"/>
      </w:rPr>
    </w:lvl>
  </w:abstractNum>
  <w:abstractNum w:abstractNumId="53" w15:restartNumberingAfterBreak="0">
    <w:nsid w:val="33910DBA"/>
    <w:multiLevelType w:val="hybridMultilevel"/>
    <w:tmpl w:val="9D8800E2"/>
    <w:lvl w:ilvl="0" w:tplc="66C87BFA">
      <w:start w:val="1"/>
      <w:numFmt w:val="bullet"/>
      <w:lvlText w:val=""/>
      <w:lvlJc w:val="left"/>
      <w:pPr>
        <w:ind w:left="720" w:hanging="360"/>
      </w:pPr>
      <w:rPr>
        <w:rFonts w:ascii="Symbol" w:hAnsi="Symbol" w:hint="default"/>
      </w:rPr>
    </w:lvl>
    <w:lvl w:ilvl="1" w:tplc="A4BC40DE" w:tentative="1">
      <w:start w:val="1"/>
      <w:numFmt w:val="bullet"/>
      <w:lvlText w:val="o"/>
      <w:lvlJc w:val="left"/>
      <w:pPr>
        <w:ind w:left="1440" w:hanging="360"/>
      </w:pPr>
      <w:rPr>
        <w:rFonts w:ascii="Courier New" w:hAnsi="Courier New" w:hint="default"/>
      </w:rPr>
    </w:lvl>
    <w:lvl w:ilvl="2" w:tplc="0A4079DE" w:tentative="1">
      <w:start w:val="1"/>
      <w:numFmt w:val="bullet"/>
      <w:lvlText w:val=""/>
      <w:lvlJc w:val="left"/>
      <w:pPr>
        <w:ind w:left="2160" w:hanging="360"/>
      </w:pPr>
      <w:rPr>
        <w:rFonts w:ascii="Wingdings" w:hAnsi="Wingdings" w:hint="default"/>
      </w:rPr>
    </w:lvl>
    <w:lvl w:ilvl="3" w:tplc="AB0A3B7C" w:tentative="1">
      <w:start w:val="1"/>
      <w:numFmt w:val="bullet"/>
      <w:lvlText w:val=""/>
      <w:lvlJc w:val="left"/>
      <w:pPr>
        <w:ind w:left="2880" w:hanging="360"/>
      </w:pPr>
      <w:rPr>
        <w:rFonts w:ascii="Symbol" w:hAnsi="Symbol" w:hint="default"/>
      </w:rPr>
    </w:lvl>
    <w:lvl w:ilvl="4" w:tplc="6804FA8E" w:tentative="1">
      <w:start w:val="1"/>
      <w:numFmt w:val="bullet"/>
      <w:lvlText w:val="o"/>
      <w:lvlJc w:val="left"/>
      <w:pPr>
        <w:ind w:left="3600" w:hanging="360"/>
      </w:pPr>
      <w:rPr>
        <w:rFonts w:ascii="Courier New" w:hAnsi="Courier New" w:hint="default"/>
      </w:rPr>
    </w:lvl>
    <w:lvl w:ilvl="5" w:tplc="D180CEA4" w:tentative="1">
      <w:start w:val="1"/>
      <w:numFmt w:val="bullet"/>
      <w:lvlText w:val=""/>
      <w:lvlJc w:val="left"/>
      <w:pPr>
        <w:ind w:left="4320" w:hanging="360"/>
      </w:pPr>
      <w:rPr>
        <w:rFonts w:ascii="Wingdings" w:hAnsi="Wingdings" w:hint="default"/>
      </w:rPr>
    </w:lvl>
    <w:lvl w:ilvl="6" w:tplc="EF36A866" w:tentative="1">
      <w:start w:val="1"/>
      <w:numFmt w:val="bullet"/>
      <w:lvlText w:val=""/>
      <w:lvlJc w:val="left"/>
      <w:pPr>
        <w:ind w:left="5040" w:hanging="360"/>
      </w:pPr>
      <w:rPr>
        <w:rFonts w:ascii="Symbol" w:hAnsi="Symbol" w:hint="default"/>
      </w:rPr>
    </w:lvl>
    <w:lvl w:ilvl="7" w:tplc="D7F462FE" w:tentative="1">
      <w:start w:val="1"/>
      <w:numFmt w:val="bullet"/>
      <w:lvlText w:val="o"/>
      <w:lvlJc w:val="left"/>
      <w:pPr>
        <w:ind w:left="5760" w:hanging="360"/>
      </w:pPr>
      <w:rPr>
        <w:rFonts w:ascii="Courier New" w:hAnsi="Courier New" w:hint="default"/>
      </w:rPr>
    </w:lvl>
    <w:lvl w:ilvl="8" w:tplc="3D5444A8" w:tentative="1">
      <w:start w:val="1"/>
      <w:numFmt w:val="bullet"/>
      <w:lvlText w:val=""/>
      <w:lvlJc w:val="left"/>
      <w:pPr>
        <w:ind w:left="6480" w:hanging="360"/>
      </w:pPr>
      <w:rPr>
        <w:rFonts w:ascii="Wingdings" w:hAnsi="Wingdings" w:hint="default"/>
      </w:rPr>
    </w:lvl>
  </w:abstractNum>
  <w:abstractNum w:abstractNumId="54" w15:restartNumberingAfterBreak="0">
    <w:nsid w:val="374B7B24"/>
    <w:multiLevelType w:val="hybridMultilevel"/>
    <w:tmpl w:val="9412F620"/>
    <w:lvl w:ilvl="0" w:tplc="BABC553C">
      <w:start w:val="5"/>
      <w:numFmt w:val="bullet"/>
      <w:lvlText w:val="-"/>
      <w:lvlJc w:val="left"/>
      <w:pPr>
        <w:ind w:left="360" w:hanging="360"/>
      </w:pPr>
      <w:rPr>
        <w:rFonts w:ascii="Arial" w:hAnsi="Arial" w:hint="default"/>
      </w:rPr>
    </w:lvl>
    <w:lvl w:ilvl="1" w:tplc="2E80637A">
      <w:start w:val="1"/>
      <w:numFmt w:val="bullet"/>
      <w:lvlText w:val="o"/>
      <w:lvlJc w:val="left"/>
      <w:pPr>
        <w:ind w:left="1080" w:hanging="360"/>
      </w:pPr>
      <w:rPr>
        <w:rFonts w:ascii="Courier New" w:hAnsi="Courier New" w:hint="default"/>
      </w:rPr>
    </w:lvl>
    <w:lvl w:ilvl="2" w:tplc="A6463F40">
      <w:start w:val="1"/>
      <w:numFmt w:val="bullet"/>
      <w:lvlText w:val=""/>
      <w:lvlJc w:val="left"/>
      <w:pPr>
        <w:ind w:left="1800" w:hanging="360"/>
      </w:pPr>
      <w:rPr>
        <w:rFonts w:ascii="Wingdings" w:hAnsi="Wingdings" w:hint="default"/>
      </w:rPr>
    </w:lvl>
    <w:lvl w:ilvl="3" w:tplc="02E0A93E" w:tentative="1">
      <w:start w:val="1"/>
      <w:numFmt w:val="bullet"/>
      <w:lvlText w:val=""/>
      <w:lvlJc w:val="left"/>
      <w:pPr>
        <w:ind w:left="2520" w:hanging="360"/>
      </w:pPr>
      <w:rPr>
        <w:rFonts w:ascii="Symbol" w:hAnsi="Symbol" w:hint="default"/>
      </w:rPr>
    </w:lvl>
    <w:lvl w:ilvl="4" w:tplc="47CCDD1A" w:tentative="1">
      <w:start w:val="1"/>
      <w:numFmt w:val="bullet"/>
      <w:lvlText w:val="o"/>
      <w:lvlJc w:val="left"/>
      <w:pPr>
        <w:ind w:left="3240" w:hanging="360"/>
      </w:pPr>
      <w:rPr>
        <w:rFonts w:ascii="Courier New" w:hAnsi="Courier New" w:hint="default"/>
      </w:rPr>
    </w:lvl>
    <w:lvl w:ilvl="5" w:tplc="BBDC9E48" w:tentative="1">
      <w:start w:val="1"/>
      <w:numFmt w:val="bullet"/>
      <w:lvlText w:val=""/>
      <w:lvlJc w:val="left"/>
      <w:pPr>
        <w:ind w:left="3960" w:hanging="360"/>
      </w:pPr>
      <w:rPr>
        <w:rFonts w:ascii="Wingdings" w:hAnsi="Wingdings" w:hint="default"/>
      </w:rPr>
    </w:lvl>
    <w:lvl w:ilvl="6" w:tplc="BB2E5EF6" w:tentative="1">
      <w:start w:val="1"/>
      <w:numFmt w:val="bullet"/>
      <w:lvlText w:val=""/>
      <w:lvlJc w:val="left"/>
      <w:pPr>
        <w:ind w:left="4680" w:hanging="360"/>
      </w:pPr>
      <w:rPr>
        <w:rFonts w:ascii="Symbol" w:hAnsi="Symbol" w:hint="default"/>
      </w:rPr>
    </w:lvl>
    <w:lvl w:ilvl="7" w:tplc="734002D4" w:tentative="1">
      <w:start w:val="1"/>
      <w:numFmt w:val="bullet"/>
      <w:lvlText w:val="o"/>
      <w:lvlJc w:val="left"/>
      <w:pPr>
        <w:ind w:left="5400" w:hanging="360"/>
      </w:pPr>
      <w:rPr>
        <w:rFonts w:ascii="Courier New" w:hAnsi="Courier New" w:hint="default"/>
      </w:rPr>
    </w:lvl>
    <w:lvl w:ilvl="8" w:tplc="B848112C" w:tentative="1">
      <w:start w:val="1"/>
      <w:numFmt w:val="bullet"/>
      <w:lvlText w:val=""/>
      <w:lvlJc w:val="left"/>
      <w:pPr>
        <w:ind w:left="6120" w:hanging="360"/>
      </w:pPr>
      <w:rPr>
        <w:rFonts w:ascii="Wingdings" w:hAnsi="Wingdings" w:hint="default"/>
      </w:rPr>
    </w:lvl>
  </w:abstractNum>
  <w:abstractNum w:abstractNumId="55" w15:restartNumberingAfterBreak="0">
    <w:nsid w:val="399F037D"/>
    <w:multiLevelType w:val="hybridMultilevel"/>
    <w:tmpl w:val="FFFFFFFF"/>
    <w:lvl w:ilvl="0" w:tplc="F7A29896">
      <w:start w:val="1"/>
      <w:numFmt w:val="bullet"/>
      <w:lvlText w:val="·"/>
      <w:lvlJc w:val="left"/>
      <w:pPr>
        <w:ind w:left="720" w:hanging="360"/>
      </w:pPr>
      <w:rPr>
        <w:rFonts w:ascii="Symbol" w:hAnsi="Symbol" w:hint="default"/>
      </w:rPr>
    </w:lvl>
    <w:lvl w:ilvl="1" w:tplc="2836F040">
      <w:start w:val="1"/>
      <w:numFmt w:val="bullet"/>
      <w:lvlText w:val="o"/>
      <w:lvlJc w:val="left"/>
      <w:pPr>
        <w:ind w:left="1440" w:hanging="360"/>
      </w:pPr>
      <w:rPr>
        <w:rFonts w:ascii="Courier New" w:hAnsi="Courier New" w:hint="default"/>
      </w:rPr>
    </w:lvl>
    <w:lvl w:ilvl="2" w:tplc="8288324E">
      <w:start w:val="1"/>
      <w:numFmt w:val="bullet"/>
      <w:lvlText w:val=""/>
      <w:lvlJc w:val="left"/>
      <w:pPr>
        <w:ind w:left="2160" w:hanging="360"/>
      </w:pPr>
      <w:rPr>
        <w:rFonts w:ascii="Wingdings" w:hAnsi="Wingdings" w:hint="default"/>
      </w:rPr>
    </w:lvl>
    <w:lvl w:ilvl="3" w:tplc="41CCBF00">
      <w:start w:val="1"/>
      <w:numFmt w:val="bullet"/>
      <w:lvlText w:val=""/>
      <w:lvlJc w:val="left"/>
      <w:pPr>
        <w:ind w:left="2880" w:hanging="360"/>
      </w:pPr>
      <w:rPr>
        <w:rFonts w:ascii="Symbol" w:hAnsi="Symbol" w:hint="default"/>
      </w:rPr>
    </w:lvl>
    <w:lvl w:ilvl="4" w:tplc="EFC0328A">
      <w:start w:val="1"/>
      <w:numFmt w:val="bullet"/>
      <w:lvlText w:val="o"/>
      <w:lvlJc w:val="left"/>
      <w:pPr>
        <w:ind w:left="3600" w:hanging="360"/>
      </w:pPr>
      <w:rPr>
        <w:rFonts w:ascii="Courier New" w:hAnsi="Courier New" w:hint="default"/>
      </w:rPr>
    </w:lvl>
    <w:lvl w:ilvl="5" w:tplc="3328D51E">
      <w:start w:val="1"/>
      <w:numFmt w:val="bullet"/>
      <w:lvlText w:val=""/>
      <w:lvlJc w:val="left"/>
      <w:pPr>
        <w:ind w:left="4320" w:hanging="360"/>
      </w:pPr>
      <w:rPr>
        <w:rFonts w:ascii="Wingdings" w:hAnsi="Wingdings" w:hint="default"/>
      </w:rPr>
    </w:lvl>
    <w:lvl w:ilvl="6" w:tplc="9B2673F6">
      <w:start w:val="1"/>
      <w:numFmt w:val="bullet"/>
      <w:lvlText w:val=""/>
      <w:lvlJc w:val="left"/>
      <w:pPr>
        <w:ind w:left="5040" w:hanging="360"/>
      </w:pPr>
      <w:rPr>
        <w:rFonts w:ascii="Symbol" w:hAnsi="Symbol" w:hint="default"/>
      </w:rPr>
    </w:lvl>
    <w:lvl w:ilvl="7" w:tplc="0898E8E8">
      <w:start w:val="1"/>
      <w:numFmt w:val="bullet"/>
      <w:lvlText w:val="o"/>
      <w:lvlJc w:val="left"/>
      <w:pPr>
        <w:ind w:left="5760" w:hanging="360"/>
      </w:pPr>
      <w:rPr>
        <w:rFonts w:ascii="Courier New" w:hAnsi="Courier New" w:hint="default"/>
      </w:rPr>
    </w:lvl>
    <w:lvl w:ilvl="8" w:tplc="B5E4A116">
      <w:start w:val="1"/>
      <w:numFmt w:val="bullet"/>
      <w:lvlText w:val=""/>
      <w:lvlJc w:val="left"/>
      <w:pPr>
        <w:ind w:left="6480" w:hanging="360"/>
      </w:pPr>
      <w:rPr>
        <w:rFonts w:ascii="Wingdings" w:hAnsi="Wingdings" w:hint="default"/>
      </w:rPr>
    </w:lvl>
  </w:abstractNum>
  <w:abstractNum w:abstractNumId="56" w15:restartNumberingAfterBreak="0">
    <w:nsid w:val="3A3950C6"/>
    <w:multiLevelType w:val="hybridMultilevel"/>
    <w:tmpl w:val="FFFFFFFF"/>
    <w:lvl w:ilvl="0" w:tplc="58DC4BA4">
      <w:start w:val="1"/>
      <w:numFmt w:val="bullet"/>
      <w:lvlText w:val="·"/>
      <w:lvlJc w:val="left"/>
      <w:pPr>
        <w:ind w:left="720" w:hanging="360"/>
      </w:pPr>
      <w:rPr>
        <w:rFonts w:ascii="Symbol" w:hAnsi="Symbol" w:hint="default"/>
      </w:rPr>
    </w:lvl>
    <w:lvl w:ilvl="1" w:tplc="4B2C25FC">
      <w:start w:val="1"/>
      <w:numFmt w:val="bullet"/>
      <w:lvlText w:val="o"/>
      <w:lvlJc w:val="left"/>
      <w:pPr>
        <w:ind w:left="1440" w:hanging="360"/>
      </w:pPr>
      <w:rPr>
        <w:rFonts w:ascii="Courier New" w:hAnsi="Courier New" w:hint="default"/>
      </w:rPr>
    </w:lvl>
    <w:lvl w:ilvl="2" w:tplc="BF8873D0">
      <w:start w:val="1"/>
      <w:numFmt w:val="bullet"/>
      <w:lvlText w:val=""/>
      <w:lvlJc w:val="left"/>
      <w:pPr>
        <w:ind w:left="2160" w:hanging="360"/>
      </w:pPr>
      <w:rPr>
        <w:rFonts w:ascii="Wingdings" w:hAnsi="Wingdings" w:hint="default"/>
      </w:rPr>
    </w:lvl>
    <w:lvl w:ilvl="3" w:tplc="5DF889CE">
      <w:start w:val="1"/>
      <w:numFmt w:val="bullet"/>
      <w:lvlText w:val=""/>
      <w:lvlJc w:val="left"/>
      <w:pPr>
        <w:ind w:left="2880" w:hanging="360"/>
      </w:pPr>
      <w:rPr>
        <w:rFonts w:ascii="Symbol" w:hAnsi="Symbol" w:hint="default"/>
      </w:rPr>
    </w:lvl>
    <w:lvl w:ilvl="4" w:tplc="4AFAB81A">
      <w:start w:val="1"/>
      <w:numFmt w:val="bullet"/>
      <w:lvlText w:val="o"/>
      <w:lvlJc w:val="left"/>
      <w:pPr>
        <w:ind w:left="3600" w:hanging="360"/>
      </w:pPr>
      <w:rPr>
        <w:rFonts w:ascii="Courier New" w:hAnsi="Courier New" w:hint="default"/>
      </w:rPr>
    </w:lvl>
    <w:lvl w:ilvl="5" w:tplc="6766432C">
      <w:start w:val="1"/>
      <w:numFmt w:val="bullet"/>
      <w:lvlText w:val=""/>
      <w:lvlJc w:val="left"/>
      <w:pPr>
        <w:ind w:left="4320" w:hanging="360"/>
      </w:pPr>
      <w:rPr>
        <w:rFonts w:ascii="Wingdings" w:hAnsi="Wingdings" w:hint="default"/>
      </w:rPr>
    </w:lvl>
    <w:lvl w:ilvl="6" w:tplc="647091DA">
      <w:start w:val="1"/>
      <w:numFmt w:val="bullet"/>
      <w:lvlText w:val=""/>
      <w:lvlJc w:val="left"/>
      <w:pPr>
        <w:ind w:left="5040" w:hanging="360"/>
      </w:pPr>
      <w:rPr>
        <w:rFonts w:ascii="Symbol" w:hAnsi="Symbol" w:hint="default"/>
      </w:rPr>
    </w:lvl>
    <w:lvl w:ilvl="7" w:tplc="CF5C957C">
      <w:start w:val="1"/>
      <w:numFmt w:val="bullet"/>
      <w:lvlText w:val="o"/>
      <w:lvlJc w:val="left"/>
      <w:pPr>
        <w:ind w:left="5760" w:hanging="360"/>
      </w:pPr>
      <w:rPr>
        <w:rFonts w:ascii="Courier New" w:hAnsi="Courier New" w:hint="default"/>
      </w:rPr>
    </w:lvl>
    <w:lvl w:ilvl="8" w:tplc="295858C4">
      <w:start w:val="1"/>
      <w:numFmt w:val="bullet"/>
      <w:lvlText w:val=""/>
      <w:lvlJc w:val="left"/>
      <w:pPr>
        <w:ind w:left="6480" w:hanging="360"/>
      </w:pPr>
      <w:rPr>
        <w:rFonts w:ascii="Wingdings" w:hAnsi="Wingdings" w:hint="default"/>
      </w:rPr>
    </w:lvl>
  </w:abstractNum>
  <w:abstractNum w:abstractNumId="5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58" w15:restartNumberingAfterBreak="0">
    <w:nsid w:val="3D482685"/>
    <w:multiLevelType w:val="hybridMultilevel"/>
    <w:tmpl w:val="418E32B4"/>
    <w:lvl w:ilvl="0" w:tplc="84E60B22">
      <w:start w:val="1"/>
      <w:numFmt w:val="bullet"/>
      <w:lvlText w:val=""/>
      <w:lvlJc w:val="left"/>
      <w:pPr>
        <w:ind w:left="720" w:hanging="360"/>
      </w:pPr>
      <w:rPr>
        <w:rFonts w:ascii="Symbol" w:hAnsi="Symbol" w:hint="default"/>
        <w:u w:val="none"/>
      </w:rPr>
    </w:lvl>
    <w:lvl w:ilvl="1" w:tplc="8834A2CA" w:tentative="1">
      <w:start w:val="1"/>
      <w:numFmt w:val="bullet"/>
      <w:lvlText w:val="o"/>
      <w:lvlJc w:val="left"/>
      <w:pPr>
        <w:ind w:left="1440" w:hanging="360"/>
      </w:pPr>
      <w:rPr>
        <w:rFonts w:ascii="Courier New" w:hAnsi="Courier New" w:hint="default"/>
      </w:rPr>
    </w:lvl>
    <w:lvl w:ilvl="2" w:tplc="A82C0CE4" w:tentative="1">
      <w:start w:val="1"/>
      <w:numFmt w:val="bullet"/>
      <w:lvlText w:val=""/>
      <w:lvlJc w:val="left"/>
      <w:pPr>
        <w:ind w:left="2160" w:hanging="360"/>
      </w:pPr>
      <w:rPr>
        <w:rFonts w:ascii="Wingdings" w:hAnsi="Wingdings" w:hint="default"/>
      </w:rPr>
    </w:lvl>
    <w:lvl w:ilvl="3" w:tplc="DF1A9A34" w:tentative="1">
      <w:start w:val="1"/>
      <w:numFmt w:val="bullet"/>
      <w:lvlText w:val=""/>
      <w:lvlJc w:val="left"/>
      <w:pPr>
        <w:ind w:left="2880" w:hanging="360"/>
      </w:pPr>
      <w:rPr>
        <w:rFonts w:ascii="Symbol" w:hAnsi="Symbol" w:hint="default"/>
      </w:rPr>
    </w:lvl>
    <w:lvl w:ilvl="4" w:tplc="45A8C68C" w:tentative="1">
      <w:start w:val="1"/>
      <w:numFmt w:val="bullet"/>
      <w:lvlText w:val="o"/>
      <w:lvlJc w:val="left"/>
      <w:pPr>
        <w:ind w:left="3600" w:hanging="360"/>
      </w:pPr>
      <w:rPr>
        <w:rFonts w:ascii="Courier New" w:hAnsi="Courier New" w:hint="default"/>
      </w:rPr>
    </w:lvl>
    <w:lvl w:ilvl="5" w:tplc="9238D40A" w:tentative="1">
      <w:start w:val="1"/>
      <w:numFmt w:val="bullet"/>
      <w:lvlText w:val=""/>
      <w:lvlJc w:val="left"/>
      <w:pPr>
        <w:ind w:left="4320" w:hanging="360"/>
      </w:pPr>
      <w:rPr>
        <w:rFonts w:ascii="Wingdings" w:hAnsi="Wingdings" w:hint="default"/>
      </w:rPr>
    </w:lvl>
    <w:lvl w:ilvl="6" w:tplc="148229AC" w:tentative="1">
      <w:start w:val="1"/>
      <w:numFmt w:val="bullet"/>
      <w:lvlText w:val=""/>
      <w:lvlJc w:val="left"/>
      <w:pPr>
        <w:ind w:left="5040" w:hanging="360"/>
      </w:pPr>
      <w:rPr>
        <w:rFonts w:ascii="Symbol" w:hAnsi="Symbol" w:hint="default"/>
      </w:rPr>
    </w:lvl>
    <w:lvl w:ilvl="7" w:tplc="35A46512" w:tentative="1">
      <w:start w:val="1"/>
      <w:numFmt w:val="bullet"/>
      <w:lvlText w:val="o"/>
      <w:lvlJc w:val="left"/>
      <w:pPr>
        <w:ind w:left="5760" w:hanging="360"/>
      </w:pPr>
      <w:rPr>
        <w:rFonts w:ascii="Courier New" w:hAnsi="Courier New" w:hint="default"/>
      </w:rPr>
    </w:lvl>
    <w:lvl w:ilvl="8" w:tplc="00E25936" w:tentative="1">
      <w:start w:val="1"/>
      <w:numFmt w:val="bullet"/>
      <w:lvlText w:val=""/>
      <w:lvlJc w:val="left"/>
      <w:pPr>
        <w:ind w:left="6480" w:hanging="360"/>
      </w:pPr>
      <w:rPr>
        <w:rFonts w:ascii="Wingdings" w:hAnsi="Wingdings" w:hint="default"/>
      </w:rPr>
    </w:lvl>
  </w:abstractNum>
  <w:abstractNum w:abstractNumId="59" w15:restartNumberingAfterBreak="0">
    <w:nsid w:val="40873138"/>
    <w:multiLevelType w:val="hybridMultilevel"/>
    <w:tmpl w:val="CDC6C350"/>
    <w:lvl w:ilvl="0" w:tplc="71FA0AF8">
      <w:start w:val="1"/>
      <w:numFmt w:val="bullet"/>
      <w:lvlText w:val=""/>
      <w:lvlJc w:val="left"/>
      <w:pPr>
        <w:ind w:left="1440" w:hanging="360"/>
      </w:pPr>
      <w:rPr>
        <w:rFonts w:ascii="Symbol" w:hAnsi="Symbol" w:hint="default"/>
      </w:rPr>
    </w:lvl>
    <w:lvl w:ilvl="1" w:tplc="16B0B4C0" w:tentative="1">
      <w:start w:val="1"/>
      <w:numFmt w:val="bullet"/>
      <w:lvlText w:val="o"/>
      <w:lvlJc w:val="left"/>
      <w:pPr>
        <w:ind w:left="2160" w:hanging="360"/>
      </w:pPr>
      <w:rPr>
        <w:rFonts w:ascii="Courier New" w:hAnsi="Courier New" w:hint="default"/>
      </w:rPr>
    </w:lvl>
    <w:lvl w:ilvl="2" w:tplc="A9FA47DA" w:tentative="1">
      <w:start w:val="1"/>
      <w:numFmt w:val="bullet"/>
      <w:lvlText w:val=""/>
      <w:lvlJc w:val="left"/>
      <w:pPr>
        <w:ind w:left="2880" w:hanging="360"/>
      </w:pPr>
      <w:rPr>
        <w:rFonts w:ascii="Wingdings" w:hAnsi="Wingdings" w:hint="default"/>
      </w:rPr>
    </w:lvl>
    <w:lvl w:ilvl="3" w:tplc="C1DC8ADA" w:tentative="1">
      <w:start w:val="1"/>
      <w:numFmt w:val="bullet"/>
      <w:lvlText w:val=""/>
      <w:lvlJc w:val="left"/>
      <w:pPr>
        <w:ind w:left="3600" w:hanging="360"/>
      </w:pPr>
      <w:rPr>
        <w:rFonts w:ascii="Symbol" w:hAnsi="Symbol" w:hint="default"/>
      </w:rPr>
    </w:lvl>
    <w:lvl w:ilvl="4" w:tplc="67663548" w:tentative="1">
      <w:start w:val="1"/>
      <w:numFmt w:val="bullet"/>
      <w:lvlText w:val="o"/>
      <w:lvlJc w:val="left"/>
      <w:pPr>
        <w:ind w:left="4320" w:hanging="360"/>
      </w:pPr>
      <w:rPr>
        <w:rFonts w:ascii="Courier New" w:hAnsi="Courier New" w:hint="default"/>
      </w:rPr>
    </w:lvl>
    <w:lvl w:ilvl="5" w:tplc="5DA2706A" w:tentative="1">
      <w:start w:val="1"/>
      <w:numFmt w:val="bullet"/>
      <w:lvlText w:val=""/>
      <w:lvlJc w:val="left"/>
      <w:pPr>
        <w:ind w:left="5040" w:hanging="360"/>
      </w:pPr>
      <w:rPr>
        <w:rFonts w:ascii="Wingdings" w:hAnsi="Wingdings" w:hint="default"/>
      </w:rPr>
    </w:lvl>
    <w:lvl w:ilvl="6" w:tplc="2606FBAE" w:tentative="1">
      <w:start w:val="1"/>
      <w:numFmt w:val="bullet"/>
      <w:lvlText w:val=""/>
      <w:lvlJc w:val="left"/>
      <w:pPr>
        <w:ind w:left="5760" w:hanging="360"/>
      </w:pPr>
      <w:rPr>
        <w:rFonts w:ascii="Symbol" w:hAnsi="Symbol" w:hint="default"/>
      </w:rPr>
    </w:lvl>
    <w:lvl w:ilvl="7" w:tplc="F49EE94E" w:tentative="1">
      <w:start w:val="1"/>
      <w:numFmt w:val="bullet"/>
      <w:lvlText w:val="o"/>
      <w:lvlJc w:val="left"/>
      <w:pPr>
        <w:ind w:left="6480" w:hanging="360"/>
      </w:pPr>
      <w:rPr>
        <w:rFonts w:ascii="Courier New" w:hAnsi="Courier New" w:hint="default"/>
      </w:rPr>
    </w:lvl>
    <w:lvl w:ilvl="8" w:tplc="D652996C" w:tentative="1">
      <w:start w:val="1"/>
      <w:numFmt w:val="bullet"/>
      <w:lvlText w:val=""/>
      <w:lvlJc w:val="left"/>
      <w:pPr>
        <w:ind w:left="7200" w:hanging="360"/>
      </w:pPr>
      <w:rPr>
        <w:rFonts w:ascii="Wingdings" w:hAnsi="Wingdings" w:hint="default"/>
      </w:rPr>
    </w:lvl>
  </w:abstractNum>
  <w:abstractNum w:abstractNumId="60" w15:restartNumberingAfterBreak="0">
    <w:nsid w:val="43666DFA"/>
    <w:multiLevelType w:val="hybridMultilevel"/>
    <w:tmpl w:val="BF5A9A2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1" w15:restartNumberingAfterBreak="0">
    <w:nsid w:val="45050A0C"/>
    <w:multiLevelType w:val="multilevel"/>
    <w:tmpl w:val="D478B1A0"/>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3"/>
      <w:numFmt w:val="decimal"/>
      <w:lvlText w:val="%1.%2.%3.%4."/>
      <w:lvlJc w:val="left"/>
      <w:pPr>
        <w:ind w:left="1789" w:hanging="720"/>
      </w:pPr>
    </w:lvl>
    <w:lvl w:ilvl="4">
      <w:start w:val="1"/>
      <w:numFmt w:val="decimal"/>
      <w:lvlText w:val="%1.%2.%3.%4.%5."/>
      <w:lvlJc w:val="left"/>
      <w:pPr>
        <w:ind w:left="2149" w:hanging="1080"/>
      </w:pPr>
    </w:lvl>
    <w:lvl w:ilvl="5">
      <w:start w:val="1"/>
      <w:numFmt w:val="decimal"/>
      <w:lvlText w:val="%1.%2.%3.%4.%5.%6."/>
      <w:lvlJc w:val="left"/>
      <w:pPr>
        <w:ind w:left="2149" w:hanging="1080"/>
      </w:pPr>
    </w:lvl>
    <w:lvl w:ilvl="6">
      <w:start w:val="1"/>
      <w:numFmt w:val="decimal"/>
      <w:lvlText w:val="%1.%2.%3.%4.%5.%6.%7."/>
      <w:lvlJc w:val="left"/>
      <w:pPr>
        <w:ind w:left="2509" w:hanging="1440"/>
      </w:pPr>
    </w:lvl>
    <w:lvl w:ilvl="7">
      <w:start w:val="1"/>
      <w:numFmt w:val="decimal"/>
      <w:lvlText w:val="%1.%2.%3.%4.%5.%6.%7.%8."/>
      <w:lvlJc w:val="left"/>
      <w:pPr>
        <w:ind w:left="2509" w:hanging="1440"/>
      </w:pPr>
    </w:lvl>
    <w:lvl w:ilvl="8">
      <w:start w:val="1"/>
      <w:numFmt w:val="decimal"/>
      <w:lvlText w:val="%1.%2.%3.%4.%5.%6.%7.%8.%9."/>
      <w:lvlJc w:val="left"/>
      <w:pPr>
        <w:ind w:left="2869" w:hanging="1800"/>
      </w:pPr>
    </w:lvl>
  </w:abstractNum>
  <w:abstractNum w:abstractNumId="62" w15:restartNumberingAfterBreak="0">
    <w:nsid w:val="455E589E"/>
    <w:multiLevelType w:val="hybridMultilevel"/>
    <w:tmpl w:val="5C8CC45A"/>
    <w:lvl w:ilvl="0" w:tplc="6032BD9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3" w15:restartNumberingAfterBreak="0">
    <w:nsid w:val="4571CD7D"/>
    <w:multiLevelType w:val="hybridMultilevel"/>
    <w:tmpl w:val="FFFFFFFF"/>
    <w:lvl w:ilvl="0" w:tplc="D4C05C62">
      <w:start w:val="1"/>
      <w:numFmt w:val="bullet"/>
      <w:lvlText w:val="-"/>
      <w:lvlJc w:val="left"/>
      <w:pPr>
        <w:ind w:left="720" w:hanging="360"/>
      </w:pPr>
      <w:rPr>
        <w:rFonts w:ascii="Aptos" w:hAnsi="Aptos" w:hint="default"/>
      </w:rPr>
    </w:lvl>
    <w:lvl w:ilvl="1" w:tplc="7F823F42">
      <w:start w:val="1"/>
      <w:numFmt w:val="bullet"/>
      <w:lvlText w:val="o"/>
      <w:lvlJc w:val="left"/>
      <w:pPr>
        <w:ind w:left="1440" w:hanging="360"/>
      </w:pPr>
      <w:rPr>
        <w:rFonts w:ascii="Courier New" w:hAnsi="Courier New" w:hint="default"/>
      </w:rPr>
    </w:lvl>
    <w:lvl w:ilvl="2" w:tplc="3C200702">
      <w:start w:val="1"/>
      <w:numFmt w:val="bullet"/>
      <w:lvlText w:val=""/>
      <w:lvlJc w:val="left"/>
      <w:pPr>
        <w:ind w:left="2160" w:hanging="360"/>
      </w:pPr>
      <w:rPr>
        <w:rFonts w:ascii="Wingdings" w:hAnsi="Wingdings" w:hint="default"/>
      </w:rPr>
    </w:lvl>
    <w:lvl w:ilvl="3" w:tplc="2DD24C16">
      <w:start w:val="1"/>
      <w:numFmt w:val="bullet"/>
      <w:lvlText w:val=""/>
      <w:lvlJc w:val="left"/>
      <w:pPr>
        <w:ind w:left="2880" w:hanging="360"/>
      </w:pPr>
      <w:rPr>
        <w:rFonts w:ascii="Symbol" w:hAnsi="Symbol" w:hint="default"/>
      </w:rPr>
    </w:lvl>
    <w:lvl w:ilvl="4" w:tplc="56FEA386">
      <w:start w:val="1"/>
      <w:numFmt w:val="bullet"/>
      <w:lvlText w:val="o"/>
      <w:lvlJc w:val="left"/>
      <w:pPr>
        <w:ind w:left="3600" w:hanging="360"/>
      </w:pPr>
      <w:rPr>
        <w:rFonts w:ascii="Courier New" w:hAnsi="Courier New" w:hint="default"/>
      </w:rPr>
    </w:lvl>
    <w:lvl w:ilvl="5" w:tplc="C400BCF0">
      <w:start w:val="1"/>
      <w:numFmt w:val="bullet"/>
      <w:lvlText w:val=""/>
      <w:lvlJc w:val="left"/>
      <w:pPr>
        <w:ind w:left="4320" w:hanging="360"/>
      </w:pPr>
      <w:rPr>
        <w:rFonts w:ascii="Wingdings" w:hAnsi="Wingdings" w:hint="default"/>
      </w:rPr>
    </w:lvl>
    <w:lvl w:ilvl="6" w:tplc="DFEE6F9A">
      <w:start w:val="1"/>
      <w:numFmt w:val="bullet"/>
      <w:lvlText w:val=""/>
      <w:lvlJc w:val="left"/>
      <w:pPr>
        <w:ind w:left="5040" w:hanging="360"/>
      </w:pPr>
      <w:rPr>
        <w:rFonts w:ascii="Symbol" w:hAnsi="Symbol" w:hint="default"/>
      </w:rPr>
    </w:lvl>
    <w:lvl w:ilvl="7" w:tplc="F9F48CD6">
      <w:start w:val="1"/>
      <w:numFmt w:val="bullet"/>
      <w:lvlText w:val="o"/>
      <w:lvlJc w:val="left"/>
      <w:pPr>
        <w:ind w:left="5760" w:hanging="360"/>
      </w:pPr>
      <w:rPr>
        <w:rFonts w:ascii="Courier New" w:hAnsi="Courier New" w:hint="default"/>
      </w:rPr>
    </w:lvl>
    <w:lvl w:ilvl="8" w:tplc="5D8E7564">
      <w:start w:val="1"/>
      <w:numFmt w:val="bullet"/>
      <w:lvlText w:val=""/>
      <w:lvlJc w:val="left"/>
      <w:pPr>
        <w:ind w:left="6480" w:hanging="360"/>
      </w:pPr>
      <w:rPr>
        <w:rFonts w:ascii="Wingdings" w:hAnsi="Wingdings" w:hint="default"/>
      </w:rPr>
    </w:lvl>
  </w:abstractNum>
  <w:abstractNum w:abstractNumId="64" w15:restartNumberingAfterBreak="0">
    <w:nsid w:val="476F287D"/>
    <w:multiLevelType w:val="hybridMultilevel"/>
    <w:tmpl w:val="8B20AFCA"/>
    <w:lvl w:ilvl="0" w:tplc="E9200664">
      <w:start w:val="1"/>
      <w:numFmt w:val="bullet"/>
      <w:pStyle w:val="Spiegelstrichnotbarrier-free"/>
      <w:lvlText w:val=""/>
      <w:lvlJc w:val="left"/>
      <w:pPr>
        <w:ind w:left="720" w:hanging="360"/>
      </w:pPr>
      <w:rPr>
        <w:rFonts w:ascii="Symbol" w:hAnsi="Symbol" w:hint="default"/>
      </w:rPr>
    </w:lvl>
    <w:lvl w:ilvl="1" w:tplc="6EF65428" w:tentative="1">
      <w:start w:val="1"/>
      <w:numFmt w:val="bullet"/>
      <w:lvlText w:val="o"/>
      <w:lvlJc w:val="left"/>
      <w:pPr>
        <w:ind w:left="1440" w:hanging="360"/>
      </w:pPr>
      <w:rPr>
        <w:rFonts w:ascii="Courier New" w:hAnsi="Courier New" w:hint="default"/>
      </w:rPr>
    </w:lvl>
    <w:lvl w:ilvl="2" w:tplc="E53AA2F8" w:tentative="1">
      <w:start w:val="1"/>
      <w:numFmt w:val="bullet"/>
      <w:lvlText w:val=""/>
      <w:lvlJc w:val="left"/>
      <w:pPr>
        <w:ind w:left="2160" w:hanging="360"/>
      </w:pPr>
      <w:rPr>
        <w:rFonts w:ascii="Wingdings" w:hAnsi="Wingdings" w:hint="default"/>
      </w:rPr>
    </w:lvl>
    <w:lvl w:ilvl="3" w:tplc="7E085988" w:tentative="1">
      <w:start w:val="1"/>
      <w:numFmt w:val="bullet"/>
      <w:lvlText w:val=""/>
      <w:lvlJc w:val="left"/>
      <w:pPr>
        <w:ind w:left="2880" w:hanging="360"/>
      </w:pPr>
      <w:rPr>
        <w:rFonts w:ascii="Symbol" w:hAnsi="Symbol" w:hint="default"/>
      </w:rPr>
    </w:lvl>
    <w:lvl w:ilvl="4" w:tplc="2CDE85E6" w:tentative="1">
      <w:start w:val="1"/>
      <w:numFmt w:val="bullet"/>
      <w:lvlText w:val="o"/>
      <w:lvlJc w:val="left"/>
      <w:pPr>
        <w:ind w:left="3600" w:hanging="360"/>
      </w:pPr>
      <w:rPr>
        <w:rFonts w:ascii="Courier New" w:hAnsi="Courier New" w:hint="default"/>
      </w:rPr>
    </w:lvl>
    <w:lvl w:ilvl="5" w:tplc="604833A0" w:tentative="1">
      <w:start w:val="1"/>
      <w:numFmt w:val="bullet"/>
      <w:lvlText w:val=""/>
      <w:lvlJc w:val="left"/>
      <w:pPr>
        <w:ind w:left="4320" w:hanging="360"/>
      </w:pPr>
      <w:rPr>
        <w:rFonts w:ascii="Wingdings" w:hAnsi="Wingdings" w:hint="default"/>
      </w:rPr>
    </w:lvl>
    <w:lvl w:ilvl="6" w:tplc="13481310" w:tentative="1">
      <w:start w:val="1"/>
      <w:numFmt w:val="bullet"/>
      <w:lvlText w:val=""/>
      <w:lvlJc w:val="left"/>
      <w:pPr>
        <w:ind w:left="5040" w:hanging="360"/>
      </w:pPr>
      <w:rPr>
        <w:rFonts w:ascii="Symbol" w:hAnsi="Symbol" w:hint="default"/>
      </w:rPr>
    </w:lvl>
    <w:lvl w:ilvl="7" w:tplc="A752789C" w:tentative="1">
      <w:start w:val="1"/>
      <w:numFmt w:val="bullet"/>
      <w:lvlText w:val="o"/>
      <w:lvlJc w:val="left"/>
      <w:pPr>
        <w:ind w:left="5760" w:hanging="360"/>
      </w:pPr>
      <w:rPr>
        <w:rFonts w:ascii="Courier New" w:hAnsi="Courier New" w:hint="default"/>
      </w:rPr>
    </w:lvl>
    <w:lvl w:ilvl="8" w:tplc="667E61F0" w:tentative="1">
      <w:start w:val="1"/>
      <w:numFmt w:val="bullet"/>
      <w:lvlText w:val=""/>
      <w:lvlJc w:val="left"/>
      <w:pPr>
        <w:ind w:left="6480" w:hanging="360"/>
      </w:pPr>
      <w:rPr>
        <w:rFonts w:ascii="Wingdings" w:hAnsi="Wingdings" w:hint="default"/>
      </w:rPr>
    </w:lvl>
  </w:abstractNum>
  <w:abstractNum w:abstractNumId="65" w15:restartNumberingAfterBreak="0">
    <w:nsid w:val="4830F3F5"/>
    <w:multiLevelType w:val="hybridMultilevel"/>
    <w:tmpl w:val="FFFFFFFF"/>
    <w:lvl w:ilvl="0" w:tplc="F07A3E3C">
      <w:start w:val="1"/>
      <w:numFmt w:val="bullet"/>
      <w:lvlText w:val="·"/>
      <w:lvlJc w:val="left"/>
      <w:pPr>
        <w:ind w:left="720" w:hanging="360"/>
      </w:pPr>
      <w:rPr>
        <w:rFonts w:ascii="Symbol" w:hAnsi="Symbol" w:hint="default"/>
      </w:rPr>
    </w:lvl>
    <w:lvl w:ilvl="1" w:tplc="137030C0">
      <w:start w:val="1"/>
      <w:numFmt w:val="bullet"/>
      <w:lvlText w:val="o"/>
      <w:lvlJc w:val="left"/>
      <w:pPr>
        <w:ind w:left="1440" w:hanging="360"/>
      </w:pPr>
      <w:rPr>
        <w:rFonts w:ascii="Courier New" w:hAnsi="Courier New" w:hint="default"/>
      </w:rPr>
    </w:lvl>
    <w:lvl w:ilvl="2" w:tplc="826CDD16">
      <w:start w:val="1"/>
      <w:numFmt w:val="bullet"/>
      <w:lvlText w:val=""/>
      <w:lvlJc w:val="left"/>
      <w:pPr>
        <w:ind w:left="2160" w:hanging="360"/>
      </w:pPr>
      <w:rPr>
        <w:rFonts w:ascii="Wingdings" w:hAnsi="Wingdings" w:hint="default"/>
      </w:rPr>
    </w:lvl>
    <w:lvl w:ilvl="3" w:tplc="43C8D2EC">
      <w:start w:val="1"/>
      <w:numFmt w:val="bullet"/>
      <w:lvlText w:val=""/>
      <w:lvlJc w:val="left"/>
      <w:pPr>
        <w:ind w:left="2880" w:hanging="360"/>
      </w:pPr>
      <w:rPr>
        <w:rFonts w:ascii="Symbol" w:hAnsi="Symbol" w:hint="default"/>
      </w:rPr>
    </w:lvl>
    <w:lvl w:ilvl="4" w:tplc="3A042554">
      <w:start w:val="1"/>
      <w:numFmt w:val="bullet"/>
      <w:lvlText w:val="o"/>
      <w:lvlJc w:val="left"/>
      <w:pPr>
        <w:ind w:left="3600" w:hanging="360"/>
      </w:pPr>
      <w:rPr>
        <w:rFonts w:ascii="Courier New" w:hAnsi="Courier New" w:hint="default"/>
      </w:rPr>
    </w:lvl>
    <w:lvl w:ilvl="5" w:tplc="72E4238A">
      <w:start w:val="1"/>
      <w:numFmt w:val="bullet"/>
      <w:lvlText w:val=""/>
      <w:lvlJc w:val="left"/>
      <w:pPr>
        <w:ind w:left="4320" w:hanging="360"/>
      </w:pPr>
      <w:rPr>
        <w:rFonts w:ascii="Wingdings" w:hAnsi="Wingdings" w:hint="default"/>
      </w:rPr>
    </w:lvl>
    <w:lvl w:ilvl="6" w:tplc="BC686E64">
      <w:start w:val="1"/>
      <w:numFmt w:val="bullet"/>
      <w:lvlText w:val=""/>
      <w:lvlJc w:val="left"/>
      <w:pPr>
        <w:ind w:left="5040" w:hanging="360"/>
      </w:pPr>
      <w:rPr>
        <w:rFonts w:ascii="Symbol" w:hAnsi="Symbol" w:hint="default"/>
      </w:rPr>
    </w:lvl>
    <w:lvl w:ilvl="7" w:tplc="85B025DA">
      <w:start w:val="1"/>
      <w:numFmt w:val="bullet"/>
      <w:lvlText w:val="o"/>
      <w:lvlJc w:val="left"/>
      <w:pPr>
        <w:ind w:left="5760" w:hanging="360"/>
      </w:pPr>
      <w:rPr>
        <w:rFonts w:ascii="Courier New" w:hAnsi="Courier New" w:hint="default"/>
      </w:rPr>
    </w:lvl>
    <w:lvl w:ilvl="8" w:tplc="94F0468C">
      <w:start w:val="1"/>
      <w:numFmt w:val="bullet"/>
      <w:lvlText w:val=""/>
      <w:lvlJc w:val="left"/>
      <w:pPr>
        <w:ind w:left="6480" w:hanging="360"/>
      </w:pPr>
      <w:rPr>
        <w:rFonts w:ascii="Wingdings" w:hAnsi="Wingdings" w:hint="default"/>
      </w:rPr>
    </w:lvl>
  </w:abstractNum>
  <w:abstractNum w:abstractNumId="66" w15:restartNumberingAfterBreak="0">
    <w:nsid w:val="48BE5198"/>
    <w:multiLevelType w:val="hybridMultilevel"/>
    <w:tmpl w:val="FFFFFFFF"/>
    <w:lvl w:ilvl="0" w:tplc="91F28A62">
      <w:start w:val="1"/>
      <w:numFmt w:val="bullet"/>
      <w:lvlText w:val=""/>
      <w:lvlJc w:val="left"/>
      <w:pPr>
        <w:ind w:left="720" w:hanging="360"/>
      </w:pPr>
      <w:rPr>
        <w:rFonts w:ascii="Symbol" w:hAnsi="Symbol" w:hint="default"/>
      </w:rPr>
    </w:lvl>
    <w:lvl w:ilvl="1" w:tplc="60FC0374">
      <w:start w:val="1"/>
      <w:numFmt w:val="bullet"/>
      <w:lvlText w:val="o"/>
      <w:lvlJc w:val="left"/>
      <w:pPr>
        <w:ind w:left="1440" w:hanging="360"/>
      </w:pPr>
      <w:rPr>
        <w:rFonts w:ascii="Courier New" w:hAnsi="Courier New" w:hint="default"/>
      </w:rPr>
    </w:lvl>
    <w:lvl w:ilvl="2" w:tplc="FBCA2E0A">
      <w:start w:val="1"/>
      <w:numFmt w:val="bullet"/>
      <w:lvlText w:val=""/>
      <w:lvlJc w:val="left"/>
      <w:pPr>
        <w:ind w:left="2160" w:hanging="360"/>
      </w:pPr>
      <w:rPr>
        <w:rFonts w:ascii="Wingdings" w:hAnsi="Wingdings" w:hint="default"/>
      </w:rPr>
    </w:lvl>
    <w:lvl w:ilvl="3" w:tplc="C038B214">
      <w:start w:val="1"/>
      <w:numFmt w:val="bullet"/>
      <w:lvlText w:val=""/>
      <w:lvlJc w:val="left"/>
      <w:pPr>
        <w:ind w:left="2880" w:hanging="360"/>
      </w:pPr>
      <w:rPr>
        <w:rFonts w:ascii="Symbol" w:hAnsi="Symbol" w:hint="default"/>
      </w:rPr>
    </w:lvl>
    <w:lvl w:ilvl="4" w:tplc="173A67E6">
      <w:start w:val="1"/>
      <w:numFmt w:val="bullet"/>
      <w:lvlText w:val="o"/>
      <w:lvlJc w:val="left"/>
      <w:pPr>
        <w:ind w:left="3600" w:hanging="360"/>
      </w:pPr>
      <w:rPr>
        <w:rFonts w:ascii="Courier New" w:hAnsi="Courier New" w:hint="default"/>
      </w:rPr>
    </w:lvl>
    <w:lvl w:ilvl="5" w:tplc="4A564B0A">
      <w:start w:val="1"/>
      <w:numFmt w:val="bullet"/>
      <w:lvlText w:val=""/>
      <w:lvlJc w:val="left"/>
      <w:pPr>
        <w:ind w:left="4320" w:hanging="360"/>
      </w:pPr>
      <w:rPr>
        <w:rFonts w:ascii="Wingdings" w:hAnsi="Wingdings" w:hint="default"/>
      </w:rPr>
    </w:lvl>
    <w:lvl w:ilvl="6" w:tplc="2BA6E54A">
      <w:start w:val="1"/>
      <w:numFmt w:val="bullet"/>
      <w:lvlText w:val=""/>
      <w:lvlJc w:val="left"/>
      <w:pPr>
        <w:ind w:left="5040" w:hanging="360"/>
      </w:pPr>
      <w:rPr>
        <w:rFonts w:ascii="Symbol" w:hAnsi="Symbol" w:hint="default"/>
      </w:rPr>
    </w:lvl>
    <w:lvl w:ilvl="7" w:tplc="055AC280">
      <w:start w:val="1"/>
      <w:numFmt w:val="bullet"/>
      <w:lvlText w:val="o"/>
      <w:lvlJc w:val="left"/>
      <w:pPr>
        <w:ind w:left="5760" w:hanging="360"/>
      </w:pPr>
      <w:rPr>
        <w:rFonts w:ascii="Courier New" w:hAnsi="Courier New" w:hint="default"/>
      </w:rPr>
    </w:lvl>
    <w:lvl w:ilvl="8" w:tplc="223E1460">
      <w:start w:val="1"/>
      <w:numFmt w:val="bullet"/>
      <w:lvlText w:val=""/>
      <w:lvlJc w:val="left"/>
      <w:pPr>
        <w:ind w:left="6480" w:hanging="360"/>
      </w:pPr>
      <w:rPr>
        <w:rFonts w:ascii="Wingdings" w:hAnsi="Wingdings" w:hint="default"/>
      </w:rPr>
    </w:lvl>
  </w:abstractNum>
  <w:abstractNum w:abstractNumId="67" w15:restartNumberingAfterBreak="0">
    <w:nsid w:val="49C74C7B"/>
    <w:multiLevelType w:val="hybridMultilevel"/>
    <w:tmpl w:val="FFFFFFFF"/>
    <w:lvl w:ilvl="0" w:tplc="382422A4">
      <w:start w:val="1"/>
      <w:numFmt w:val="decimal"/>
      <w:lvlText w:val="(0)"/>
      <w:lvlJc w:val="left"/>
      <w:pPr>
        <w:ind w:left="720" w:hanging="360"/>
      </w:pPr>
    </w:lvl>
    <w:lvl w:ilvl="1" w:tplc="4148F580">
      <w:start w:val="1"/>
      <w:numFmt w:val="lowerLetter"/>
      <w:lvlText w:val="%2."/>
      <w:lvlJc w:val="left"/>
      <w:pPr>
        <w:ind w:left="1440" w:hanging="360"/>
      </w:pPr>
    </w:lvl>
    <w:lvl w:ilvl="2" w:tplc="DEEC9168">
      <w:start w:val="1"/>
      <w:numFmt w:val="lowerRoman"/>
      <w:lvlText w:val="%3."/>
      <w:lvlJc w:val="right"/>
      <w:pPr>
        <w:ind w:left="2160" w:hanging="180"/>
      </w:pPr>
    </w:lvl>
    <w:lvl w:ilvl="3" w:tplc="D20460A2">
      <w:start w:val="1"/>
      <w:numFmt w:val="decimal"/>
      <w:lvlText w:val="%4."/>
      <w:lvlJc w:val="left"/>
      <w:pPr>
        <w:ind w:left="2880" w:hanging="360"/>
      </w:pPr>
    </w:lvl>
    <w:lvl w:ilvl="4" w:tplc="8D88469E">
      <w:start w:val="1"/>
      <w:numFmt w:val="lowerLetter"/>
      <w:lvlText w:val="%5."/>
      <w:lvlJc w:val="left"/>
      <w:pPr>
        <w:ind w:left="3600" w:hanging="360"/>
      </w:pPr>
    </w:lvl>
    <w:lvl w:ilvl="5" w:tplc="9BAEF60C">
      <w:start w:val="1"/>
      <w:numFmt w:val="lowerRoman"/>
      <w:lvlText w:val="%6."/>
      <w:lvlJc w:val="right"/>
      <w:pPr>
        <w:ind w:left="4320" w:hanging="180"/>
      </w:pPr>
    </w:lvl>
    <w:lvl w:ilvl="6" w:tplc="BAE0DCD0">
      <w:start w:val="1"/>
      <w:numFmt w:val="decimal"/>
      <w:lvlText w:val="%7."/>
      <w:lvlJc w:val="left"/>
      <w:pPr>
        <w:ind w:left="5040" w:hanging="360"/>
      </w:pPr>
    </w:lvl>
    <w:lvl w:ilvl="7" w:tplc="BE08EBE0">
      <w:start w:val="1"/>
      <w:numFmt w:val="lowerLetter"/>
      <w:lvlText w:val="%8."/>
      <w:lvlJc w:val="left"/>
      <w:pPr>
        <w:ind w:left="5760" w:hanging="360"/>
      </w:pPr>
    </w:lvl>
    <w:lvl w:ilvl="8" w:tplc="A7FCFA48">
      <w:start w:val="1"/>
      <w:numFmt w:val="lowerRoman"/>
      <w:lvlText w:val="%9."/>
      <w:lvlJc w:val="right"/>
      <w:pPr>
        <w:ind w:left="6480" w:hanging="180"/>
      </w:pPr>
    </w:lvl>
  </w:abstractNum>
  <w:abstractNum w:abstractNumId="68" w15:restartNumberingAfterBreak="0">
    <w:nsid w:val="4C2C7F7D"/>
    <w:multiLevelType w:val="multilevel"/>
    <w:tmpl w:val="6E1CC58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9" w15:restartNumberingAfterBreak="0">
    <w:nsid w:val="4C325C04"/>
    <w:multiLevelType w:val="hybridMultilevel"/>
    <w:tmpl w:val="A9D611F8"/>
    <w:lvl w:ilvl="0" w:tplc="725A867E">
      <w:start w:val="1"/>
      <w:numFmt w:val="bullet"/>
      <w:lvlText w:val=""/>
      <w:lvlJc w:val="left"/>
      <w:pPr>
        <w:ind w:left="1440" w:hanging="360"/>
      </w:pPr>
      <w:rPr>
        <w:rFonts w:ascii="Symbol" w:hAnsi="Symbol" w:hint="default"/>
      </w:rPr>
    </w:lvl>
    <w:lvl w:ilvl="1" w:tplc="18641204" w:tentative="1">
      <w:start w:val="1"/>
      <w:numFmt w:val="bullet"/>
      <w:lvlText w:val="o"/>
      <w:lvlJc w:val="left"/>
      <w:pPr>
        <w:ind w:left="2160" w:hanging="360"/>
      </w:pPr>
      <w:rPr>
        <w:rFonts w:ascii="Courier New" w:hAnsi="Courier New" w:hint="default"/>
      </w:rPr>
    </w:lvl>
    <w:lvl w:ilvl="2" w:tplc="63E4B8BE" w:tentative="1">
      <w:start w:val="1"/>
      <w:numFmt w:val="bullet"/>
      <w:lvlText w:val=""/>
      <w:lvlJc w:val="left"/>
      <w:pPr>
        <w:ind w:left="2880" w:hanging="360"/>
      </w:pPr>
      <w:rPr>
        <w:rFonts w:ascii="Wingdings" w:hAnsi="Wingdings" w:hint="default"/>
      </w:rPr>
    </w:lvl>
    <w:lvl w:ilvl="3" w:tplc="D910E2E0" w:tentative="1">
      <w:start w:val="1"/>
      <w:numFmt w:val="bullet"/>
      <w:lvlText w:val=""/>
      <w:lvlJc w:val="left"/>
      <w:pPr>
        <w:ind w:left="3600" w:hanging="360"/>
      </w:pPr>
      <w:rPr>
        <w:rFonts w:ascii="Symbol" w:hAnsi="Symbol" w:hint="default"/>
      </w:rPr>
    </w:lvl>
    <w:lvl w:ilvl="4" w:tplc="62C45E2E" w:tentative="1">
      <w:start w:val="1"/>
      <w:numFmt w:val="bullet"/>
      <w:lvlText w:val="o"/>
      <w:lvlJc w:val="left"/>
      <w:pPr>
        <w:ind w:left="4320" w:hanging="360"/>
      </w:pPr>
      <w:rPr>
        <w:rFonts w:ascii="Courier New" w:hAnsi="Courier New" w:hint="default"/>
      </w:rPr>
    </w:lvl>
    <w:lvl w:ilvl="5" w:tplc="6BF03FC0" w:tentative="1">
      <w:start w:val="1"/>
      <w:numFmt w:val="bullet"/>
      <w:lvlText w:val=""/>
      <w:lvlJc w:val="left"/>
      <w:pPr>
        <w:ind w:left="5040" w:hanging="360"/>
      </w:pPr>
      <w:rPr>
        <w:rFonts w:ascii="Wingdings" w:hAnsi="Wingdings" w:hint="default"/>
      </w:rPr>
    </w:lvl>
    <w:lvl w:ilvl="6" w:tplc="0BD07190" w:tentative="1">
      <w:start w:val="1"/>
      <w:numFmt w:val="bullet"/>
      <w:lvlText w:val=""/>
      <w:lvlJc w:val="left"/>
      <w:pPr>
        <w:ind w:left="5760" w:hanging="360"/>
      </w:pPr>
      <w:rPr>
        <w:rFonts w:ascii="Symbol" w:hAnsi="Symbol" w:hint="default"/>
      </w:rPr>
    </w:lvl>
    <w:lvl w:ilvl="7" w:tplc="FE1E8DDA" w:tentative="1">
      <w:start w:val="1"/>
      <w:numFmt w:val="bullet"/>
      <w:lvlText w:val="o"/>
      <w:lvlJc w:val="left"/>
      <w:pPr>
        <w:ind w:left="6480" w:hanging="360"/>
      </w:pPr>
      <w:rPr>
        <w:rFonts w:ascii="Courier New" w:hAnsi="Courier New" w:hint="default"/>
      </w:rPr>
    </w:lvl>
    <w:lvl w:ilvl="8" w:tplc="5BC632B8" w:tentative="1">
      <w:start w:val="1"/>
      <w:numFmt w:val="bullet"/>
      <w:lvlText w:val=""/>
      <w:lvlJc w:val="left"/>
      <w:pPr>
        <w:ind w:left="7200" w:hanging="360"/>
      </w:pPr>
      <w:rPr>
        <w:rFonts w:ascii="Wingdings" w:hAnsi="Wingdings" w:hint="default"/>
      </w:rPr>
    </w:lvl>
  </w:abstractNum>
  <w:abstractNum w:abstractNumId="70" w15:restartNumberingAfterBreak="0">
    <w:nsid w:val="50172069"/>
    <w:multiLevelType w:val="hybridMultilevel"/>
    <w:tmpl w:val="FFFFFFFF"/>
    <w:lvl w:ilvl="0" w:tplc="7E3C2016">
      <w:start w:val="1"/>
      <w:numFmt w:val="bullet"/>
      <w:lvlText w:val="·"/>
      <w:lvlJc w:val="left"/>
      <w:pPr>
        <w:ind w:left="720" w:hanging="360"/>
      </w:pPr>
      <w:rPr>
        <w:rFonts w:ascii="Symbol" w:hAnsi="Symbol" w:hint="default"/>
      </w:rPr>
    </w:lvl>
    <w:lvl w:ilvl="1" w:tplc="57F23A52">
      <w:start w:val="1"/>
      <w:numFmt w:val="bullet"/>
      <w:lvlText w:val="o"/>
      <w:lvlJc w:val="left"/>
      <w:pPr>
        <w:ind w:left="1440" w:hanging="360"/>
      </w:pPr>
      <w:rPr>
        <w:rFonts w:ascii="Courier New" w:hAnsi="Courier New" w:hint="default"/>
      </w:rPr>
    </w:lvl>
    <w:lvl w:ilvl="2" w:tplc="D416D280">
      <w:start w:val="1"/>
      <w:numFmt w:val="bullet"/>
      <w:lvlText w:val=""/>
      <w:lvlJc w:val="left"/>
      <w:pPr>
        <w:ind w:left="2160" w:hanging="360"/>
      </w:pPr>
      <w:rPr>
        <w:rFonts w:ascii="Wingdings" w:hAnsi="Wingdings" w:hint="default"/>
      </w:rPr>
    </w:lvl>
    <w:lvl w:ilvl="3" w:tplc="2E00269E">
      <w:start w:val="1"/>
      <w:numFmt w:val="bullet"/>
      <w:lvlText w:val=""/>
      <w:lvlJc w:val="left"/>
      <w:pPr>
        <w:ind w:left="2880" w:hanging="360"/>
      </w:pPr>
      <w:rPr>
        <w:rFonts w:ascii="Symbol" w:hAnsi="Symbol" w:hint="default"/>
      </w:rPr>
    </w:lvl>
    <w:lvl w:ilvl="4" w:tplc="CD90A558">
      <w:start w:val="1"/>
      <w:numFmt w:val="bullet"/>
      <w:lvlText w:val="o"/>
      <w:lvlJc w:val="left"/>
      <w:pPr>
        <w:ind w:left="3600" w:hanging="360"/>
      </w:pPr>
      <w:rPr>
        <w:rFonts w:ascii="Courier New" w:hAnsi="Courier New" w:hint="default"/>
      </w:rPr>
    </w:lvl>
    <w:lvl w:ilvl="5" w:tplc="B7B4EAC0">
      <w:start w:val="1"/>
      <w:numFmt w:val="bullet"/>
      <w:lvlText w:val=""/>
      <w:lvlJc w:val="left"/>
      <w:pPr>
        <w:ind w:left="4320" w:hanging="360"/>
      </w:pPr>
      <w:rPr>
        <w:rFonts w:ascii="Wingdings" w:hAnsi="Wingdings" w:hint="default"/>
      </w:rPr>
    </w:lvl>
    <w:lvl w:ilvl="6" w:tplc="80BE70DC">
      <w:start w:val="1"/>
      <w:numFmt w:val="bullet"/>
      <w:lvlText w:val=""/>
      <w:lvlJc w:val="left"/>
      <w:pPr>
        <w:ind w:left="5040" w:hanging="360"/>
      </w:pPr>
      <w:rPr>
        <w:rFonts w:ascii="Symbol" w:hAnsi="Symbol" w:hint="default"/>
      </w:rPr>
    </w:lvl>
    <w:lvl w:ilvl="7" w:tplc="25B02B90">
      <w:start w:val="1"/>
      <w:numFmt w:val="bullet"/>
      <w:lvlText w:val="o"/>
      <w:lvlJc w:val="left"/>
      <w:pPr>
        <w:ind w:left="5760" w:hanging="360"/>
      </w:pPr>
      <w:rPr>
        <w:rFonts w:ascii="Courier New" w:hAnsi="Courier New" w:hint="default"/>
      </w:rPr>
    </w:lvl>
    <w:lvl w:ilvl="8" w:tplc="AB7ADE84">
      <w:start w:val="1"/>
      <w:numFmt w:val="bullet"/>
      <w:lvlText w:val=""/>
      <w:lvlJc w:val="left"/>
      <w:pPr>
        <w:ind w:left="6480" w:hanging="360"/>
      </w:pPr>
      <w:rPr>
        <w:rFonts w:ascii="Wingdings" w:hAnsi="Wingdings" w:hint="default"/>
      </w:rPr>
    </w:lvl>
  </w:abstractNum>
  <w:abstractNum w:abstractNumId="71" w15:restartNumberingAfterBreak="0">
    <w:nsid w:val="502D05C3"/>
    <w:multiLevelType w:val="hybridMultilevel"/>
    <w:tmpl w:val="6D7EFC3E"/>
    <w:styleLink w:val="Heading1Capitalnumber"/>
    <w:lvl w:ilvl="0" w:tplc="4F280E9E">
      <w:start w:val="1"/>
      <w:numFmt w:val="bullet"/>
      <w:lvlText w:val=""/>
      <w:lvlJc w:val="left"/>
      <w:pPr>
        <w:ind w:left="720" w:hanging="360"/>
      </w:pPr>
      <w:rPr>
        <w:rFonts w:ascii="Symbol" w:hAnsi="Symbol" w:hint="default"/>
      </w:rPr>
    </w:lvl>
    <w:lvl w:ilvl="1" w:tplc="41888CCA" w:tentative="1">
      <w:start w:val="1"/>
      <w:numFmt w:val="bullet"/>
      <w:lvlText w:val="o"/>
      <w:lvlJc w:val="left"/>
      <w:pPr>
        <w:ind w:left="1440" w:hanging="360"/>
      </w:pPr>
      <w:rPr>
        <w:rFonts w:ascii="Courier New" w:hAnsi="Courier New" w:hint="default"/>
      </w:rPr>
    </w:lvl>
    <w:lvl w:ilvl="2" w:tplc="A05EAD8C" w:tentative="1">
      <w:start w:val="1"/>
      <w:numFmt w:val="bullet"/>
      <w:lvlText w:val=""/>
      <w:lvlJc w:val="left"/>
      <w:pPr>
        <w:ind w:left="2160" w:hanging="360"/>
      </w:pPr>
      <w:rPr>
        <w:rFonts w:ascii="Wingdings" w:hAnsi="Wingdings" w:hint="default"/>
      </w:rPr>
    </w:lvl>
    <w:lvl w:ilvl="3" w:tplc="5D16AAE8" w:tentative="1">
      <w:start w:val="1"/>
      <w:numFmt w:val="bullet"/>
      <w:lvlText w:val=""/>
      <w:lvlJc w:val="left"/>
      <w:pPr>
        <w:ind w:left="2880" w:hanging="360"/>
      </w:pPr>
      <w:rPr>
        <w:rFonts w:ascii="Symbol" w:hAnsi="Symbol" w:hint="default"/>
      </w:rPr>
    </w:lvl>
    <w:lvl w:ilvl="4" w:tplc="25465FBA" w:tentative="1">
      <w:start w:val="1"/>
      <w:numFmt w:val="bullet"/>
      <w:lvlText w:val="o"/>
      <w:lvlJc w:val="left"/>
      <w:pPr>
        <w:ind w:left="3600" w:hanging="360"/>
      </w:pPr>
      <w:rPr>
        <w:rFonts w:ascii="Courier New" w:hAnsi="Courier New" w:hint="default"/>
      </w:rPr>
    </w:lvl>
    <w:lvl w:ilvl="5" w:tplc="FDC87F12" w:tentative="1">
      <w:start w:val="1"/>
      <w:numFmt w:val="bullet"/>
      <w:lvlText w:val=""/>
      <w:lvlJc w:val="left"/>
      <w:pPr>
        <w:ind w:left="4320" w:hanging="360"/>
      </w:pPr>
      <w:rPr>
        <w:rFonts w:ascii="Wingdings" w:hAnsi="Wingdings" w:hint="default"/>
      </w:rPr>
    </w:lvl>
    <w:lvl w:ilvl="6" w:tplc="7B7006E4" w:tentative="1">
      <w:start w:val="1"/>
      <w:numFmt w:val="bullet"/>
      <w:lvlText w:val=""/>
      <w:lvlJc w:val="left"/>
      <w:pPr>
        <w:ind w:left="5040" w:hanging="360"/>
      </w:pPr>
      <w:rPr>
        <w:rFonts w:ascii="Symbol" w:hAnsi="Symbol" w:hint="default"/>
      </w:rPr>
    </w:lvl>
    <w:lvl w:ilvl="7" w:tplc="97C88198" w:tentative="1">
      <w:start w:val="1"/>
      <w:numFmt w:val="bullet"/>
      <w:lvlText w:val="o"/>
      <w:lvlJc w:val="left"/>
      <w:pPr>
        <w:ind w:left="5760" w:hanging="360"/>
      </w:pPr>
      <w:rPr>
        <w:rFonts w:ascii="Courier New" w:hAnsi="Courier New" w:hint="default"/>
      </w:rPr>
    </w:lvl>
    <w:lvl w:ilvl="8" w:tplc="0974FACE" w:tentative="1">
      <w:start w:val="1"/>
      <w:numFmt w:val="bullet"/>
      <w:lvlText w:val=""/>
      <w:lvlJc w:val="left"/>
      <w:pPr>
        <w:ind w:left="6480" w:hanging="360"/>
      </w:pPr>
      <w:rPr>
        <w:rFonts w:ascii="Wingdings" w:hAnsi="Wingdings" w:hint="default"/>
      </w:rPr>
    </w:lvl>
  </w:abstractNum>
  <w:abstractNum w:abstractNumId="72" w15:restartNumberingAfterBreak="0">
    <w:nsid w:val="511B4029"/>
    <w:multiLevelType w:val="multilevel"/>
    <w:tmpl w:val="6DCA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5F28D2"/>
    <w:multiLevelType w:val="hybridMultilevel"/>
    <w:tmpl w:val="FFFFFFFF"/>
    <w:lvl w:ilvl="0" w:tplc="1A825FF4">
      <w:start w:val="1"/>
      <w:numFmt w:val="bullet"/>
      <w:lvlText w:val="·"/>
      <w:lvlJc w:val="left"/>
      <w:pPr>
        <w:ind w:left="720" w:hanging="360"/>
      </w:pPr>
      <w:rPr>
        <w:rFonts w:ascii="Symbol" w:hAnsi="Symbol" w:hint="default"/>
      </w:rPr>
    </w:lvl>
    <w:lvl w:ilvl="1" w:tplc="815C2A3C">
      <w:start w:val="1"/>
      <w:numFmt w:val="bullet"/>
      <w:lvlText w:val="o"/>
      <w:lvlJc w:val="left"/>
      <w:pPr>
        <w:ind w:left="1440" w:hanging="360"/>
      </w:pPr>
      <w:rPr>
        <w:rFonts w:ascii="Courier New" w:hAnsi="Courier New" w:hint="default"/>
      </w:rPr>
    </w:lvl>
    <w:lvl w:ilvl="2" w:tplc="C2EA367A">
      <w:start w:val="1"/>
      <w:numFmt w:val="bullet"/>
      <w:lvlText w:val=""/>
      <w:lvlJc w:val="left"/>
      <w:pPr>
        <w:ind w:left="2160" w:hanging="360"/>
      </w:pPr>
      <w:rPr>
        <w:rFonts w:ascii="Wingdings" w:hAnsi="Wingdings" w:hint="default"/>
      </w:rPr>
    </w:lvl>
    <w:lvl w:ilvl="3" w:tplc="381A85C4">
      <w:start w:val="1"/>
      <w:numFmt w:val="bullet"/>
      <w:lvlText w:val=""/>
      <w:lvlJc w:val="left"/>
      <w:pPr>
        <w:ind w:left="2880" w:hanging="360"/>
      </w:pPr>
      <w:rPr>
        <w:rFonts w:ascii="Symbol" w:hAnsi="Symbol" w:hint="default"/>
      </w:rPr>
    </w:lvl>
    <w:lvl w:ilvl="4" w:tplc="332447A4">
      <w:start w:val="1"/>
      <w:numFmt w:val="bullet"/>
      <w:lvlText w:val="o"/>
      <w:lvlJc w:val="left"/>
      <w:pPr>
        <w:ind w:left="3600" w:hanging="360"/>
      </w:pPr>
      <w:rPr>
        <w:rFonts w:ascii="Courier New" w:hAnsi="Courier New" w:hint="default"/>
      </w:rPr>
    </w:lvl>
    <w:lvl w:ilvl="5" w:tplc="B0008420">
      <w:start w:val="1"/>
      <w:numFmt w:val="bullet"/>
      <w:lvlText w:val=""/>
      <w:lvlJc w:val="left"/>
      <w:pPr>
        <w:ind w:left="4320" w:hanging="360"/>
      </w:pPr>
      <w:rPr>
        <w:rFonts w:ascii="Wingdings" w:hAnsi="Wingdings" w:hint="default"/>
      </w:rPr>
    </w:lvl>
    <w:lvl w:ilvl="6" w:tplc="512EA0E4">
      <w:start w:val="1"/>
      <w:numFmt w:val="bullet"/>
      <w:lvlText w:val=""/>
      <w:lvlJc w:val="left"/>
      <w:pPr>
        <w:ind w:left="5040" w:hanging="360"/>
      </w:pPr>
      <w:rPr>
        <w:rFonts w:ascii="Symbol" w:hAnsi="Symbol" w:hint="default"/>
      </w:rPr>
    </w:lvl>
    <w:lvl w:ilvl="7" w:tplc="BE1AA168">
      <w:start w:val="1"/>
      <w:numFmt w:val="bullet"/>
      <w:lvlText w:val="o"/>
      <w:lvlJc w:val="left"/>
      <w:pPr>
        <w:ind w:left="5760" w:hanging="360"/>
      </w:pPr>
      <w:rPr>
        <w:rFonts w:ascii="Courier New" w:hAnsi="Courier New" w:hint="default"/>
      </w:rPr>
    </w:lvl>
    <w:lvl w:ilvl="8" w:tplc="A46A22B4">
      <w:start w:val="1"/>
      <w:numFmt w:val="bullet"/>
      <w:lvlText w:val=""/>
      <w:lvlJc w:val="left"/>
      <w:pPr>
        <w:ind w:left="6480" w:hanging="360"/>
      </w:pPr>
      <w:rPr>
        <w:rFonts w:ascii="Wingdings" w:hAnsi="Wingdings" w:hint="default"/>
      </w:rPr>
    </w:lvl>
  </w:abstractNum>
  <w:abstractNum w:abstractNumId="74" w15:restartNumberingAfterBreak="0">
    <w:nsid w:val="52BD5BDF"/>
    <w:multiLevelType w:val="hybridMultilevel"/>
    <w:tmpl w:val="79B6B6F0"/>
    <w:lvl w:ilvl="0" w:tplc="2E06EE2A">
      <w:start w:val="1"/>
      <w:numFmt w:val="bullet"/>
      <w:lvlText w:val=""/>
      <w:lvlJc w:val="left"/>
      <w:pPr>
        <w:ind w:left="720" w:hanging="360"/>
      </w:pPr>
      <w:rPr>
        <w:rFonts w:ascii="Symbol" w:hAnsi="Symbol" w:hint="default"/>
      </w:rPr>
    </w:lvl>
    <w:lvl w:ilvl="1" w:tplc="6B52A600" w:tentative="1">
      <w:start w:val="1"/>
      <w:numFmt w:val="bullet"/>
      <w:lvlText w:val="o"/>
      <w:lvlJc w:val="left"/>
      <w:pPr>
        <w:ind w:left="1440" w:hanging="360"/>
      </w:pPr>
      <w:rPr>
        <w:rFonts w:ascii="Courier New" w:hAnsi="Courier New" w:hint="default"/>
      </w:rPr>
    </w:lvl>
    <w:lvl w:ilvl="2" w:tplc="B90ECA2A" w:tentative="1">
      <w:start w:val="1"/>
      <w:numFmt w:val="bullet"/>
      <w:lvlText w:val=""/>
      <w:lvlJc w:val="left"/>
      <w:pPr>
        <w:ind w:left="2160" w:hanging="360"/>
      </w:pPr>
      <w:rPr>
        <w:rFonts w:ascii="Wingdings" w:hAnsi="Wingdings" w:hint="default"/>
      </w:rPr>
    </w:lvl>
    <w:lvl w:ilvl="3" w:tplc="4C42F09C" w:tentative="1">
      <w:start w:val="1"/>
      <w:numFmt w:val="bullet"/>
      <w:lvlText w:val=""/>
      <w:lvlJc w:val="left"/>
      <w:pPr>
        <w:ind w:left="2880" w:hanging="360"/>
      </w:pPr>
      <w:rPr>
        <w:rFonts w:ascii="Symbol" w:hAnsi="Symbol" w:hint="default"/>
      </w:rPr>
    </w:lvl>
    <w:lvl w:ilvl="4" w:tplc="254AD746" w:tentative="1">
      <w:start w:val="1"/>
      <w:numFmt w:val="bullet"/>
      <w:lvlText w:val="o"/>
      <w:lvlJc w:val="left"/>
      <w:pPr>
        <w:ind w:left="3600" w:hanging="360"/>
      </w:pPr>
      <w:rPr>
        <w:rFonts w:ascii="Courier New" w:hAnsi="Courier New" w:hint="default"/>
      </w:rPr>
    </w:lvl>
    <w:lvl w:ilvl="5" w:tplc="479A2F52" w:tentative="1">
      <w:start w:val="1"/>
      <w:numFmt w:val="bullet"/>
      <w:lvlText w:val=""/>
      <w:lvlJc w:val="left"/>
      <w:pPr>
        <w:ind w:left="4320" w:hanging="360"/>
      </w:pPr>
      <w:rPr>
        <w:rFonts w:ascii="Wingdings" w:hAnsi="Wingdings" w:hint="default"/>
      </w:rPr>
    </w:lvl>
    <w:lvl w:ilvl="6" w:tplc="B16AD14E" w:tentative="1">
      <w:start w:val="1"/>
      <w:numFmt w:val="bullet"/>
      <w:lvlText w:val=""/>
      <w:lvlJc w:val="left"/>
      <w:pPr>
        <w:ind w:left="5040" w:hanging="360"/>
      </w:pPr>
      <w:rPr>
        <w:rFonts w:ascii="Symbol" w:hAnsi="Symbol" w:hint="default"/>
      </w:rPr>
    </w:lvl>
    <w:lvl w:ilvl="7" w:tplc="3B1C3232" w:tentative="1">
      <w:start w:val="1"/>
      <w:numFmt w:val="bullet"/>
      <w:lvlText w:val="o"/>
      <w:lvlJc w:val="left"/>
      <w:pPr>
        <w:ind w:left="5760" w:hanging="360"/>
      </w:pPr>
      <w:rPr>
        <w:rFonts w:ascii="Courier New" w:hAnsi="Courier New" w:hint="default"/>
      </w:rPr>
    </w:lvl>
    <w:lvl w:ilvl="8" w:tplc="29CE0F6C" w:tentative="1">
      <w:start w:val="1"/>
      <w:numFmt w:val="bullet"/>
      <w:lvlText w:val=""/>
      <w:lvlJc w:val="left"/>
      <w:pPr>
        <w:ind w:left="6480" w:hanging="360"/>
      </w:pPr>
      <w:rPr>
        <w:rFonts w:ascii="Wingdings" w:hAnsi="Wingdings" w:hint="default"/>
      </w:rPr>
    </w:lvl>
  </w:abstractNum>
  <w:abstractNum w:abstractNumId="75" w15:restartNumberingAfterBreak="0">
    <w:nsid w:val="52FBCD00"/>
    <w:multiLevelType w:val="hybridMultilevel"/>
    <w:tmpl w:val="FFFFFFFF"/>
    <w:lvl w:ilvl="0" w:tplc="6862D5E0">
      <w:start w:val="1"/>
      <w:numFmt w:val="bullet"/>
      <w:lvlText w:val="-"/>
      <w:lvlJc w:val="left"/>
      <w:pPr>
        <w:ind w:left="720" w:hanging="360"/>
      </w:pPr>
      <w:rPr>
        <w:rFonts w:ascii="Aptos" w:hAnsi="Aptos" w:hint="default"/>
      </w:rPr>
    </w:lvl>
    <w:lvl w:ilvl="1" w:tplc="A484CBF0">
      <w:start w:val="1"/>
      <w:numFmt w:val="bullet"/>
      <w:lvlText w:val="o"/>
      <w:lvlJc w:val="left"/>
      <w:pPr>
        <w:ind w:left="1440" w:hanging="360"/>
      </w:pPr>
      <w:rPr>
        <w:rFonts w:ascii="Courier New" w:hAnsi="Courier New" w:hint="default"/>
      </w:rPr>
    </w:lvl>
    <w:lvl w:ilvl="2" w:tplc="50AEA296">
      <w:start w:val="1"/>
      <w:numFmt w:val="bullet"/>
      <w:lvlText w:val=""/>
      <w:lvlJc w:val="left"/>
      <w:pPr>
        <w:ind w:left="2160" w:hanging="360"/>
      </w:pPr>
      <w:rPr>
        <w:rFonts w:ascii="Wingdings" w:hAnsi="Wingdings" w:hint="default"/>
      </w:rPr>
    </w:lvl>
    <w:lvl w:ilvl="3" w:tplc="DB1E8C36">
      <w:start w:val="1"/>
      <w:numFmt w:val="bullet"/>
      <w:lvlText w:val=""/>
      <w:lvlJc w:val="left"/>
      <w:pPr>
        <w:ind w:left="2880" w:hanging="360"/>
      </w:pPr>
      <w:rPr>
        <w:rFonts w:ascii="Symbol" w:hAnsi="Symbol" w:hint="default"/>
      </w:rPr>
    </w:lvl>
    <w:lvl w:ilvl="4" w:tplc="78B4379E">
      <w:start w:val="1"/>
      <w:numFmt w:val="bullet"/>
      <w:lvlText w:val="o"/>
      <w:lvlJc w:val="left"/>
      <w:pPr>
        <w:ind w:left="3600" w:hanging="360"/>
      </w:pPr>
      <w:rPr>
        <w:rFonts w:ascii="Courier New" w:hAnsi="Courier New" w:hint="default"/>
      </w:rPr>
    </w:lvl>
    <w:lvl w:ilvl="5" w:tplc="1A2C85F2">
      <w:start w:val="1"/>
      <w:numFmt w:val="bullet"/>
      <w:lvlText w:val=""/>
      <w:lvlJc w:val="left"/>
      <w:pPr>
        <w:ind w:left="4320" w:hanging="360"/>
      </w:pPr>
      <w:rPr>
        <w:rFonts w:ascii="Wingdings" w:hAnsi="Wingdings" w:hint="default"/>
      </w:rPr>
    </w:lvl>
    <w:lvl w:ilvl="6" w:tplc="22660CB6">
      <w:start w:val="1"/>
      <w:numFmt w:val="bullet"/>
      <w:lvlText w:val=""/>
      <w:lvlJc w:val="left"/>
      <w:pPr>
        <w:ind w:left="5040" w:hanging="360"/>
      </w:pPr>
      <w:rPr>
        <w:rFonts w:ascii="Symbol" w:hAnsi="Symbol" w:hint="default"/>
      </w:rPr>
    </w:lvl>
    <w:lvl w:ilvl="7" w:tplc="E73689D6">
      <w:start w:val="1"/>
      <w:numFmt w:val="bullet"/>
      <w:lvlText w:val="o"/>
      <w:lvlJc w:val="left"/>
      <w:pPr>
        <w:ind w:left="5760" w:hanging="360"/>
      </w:pPr>
      <w:rPr>
        <w:rFonts w:ascii="Courier New" w:hAnsi="Courier New" w:hint="default"/>
      </w:rPr>
    </w:lvl>
    <w:lvl w:ilvl="8" w:tplc="74A41F0C">
      <w:start w:val="1"/>
      <w:numFmt w:val="bullet"/>
      <w:lvlText w:val=""/>
      <w:lvlJc w:val="left"/>
      <w:pPr>
        <w:ind w:left="6480" w:hanging="360"/>
      </w:pPr>
      <w:rPr>
        <w:rFonts w:ascii="Wingdings" w:hAnsi="Wingdings" w:hint="default"/>
      </w:rPr>
    </w:lvl>
  </w:abstractNum>
  <w:abstractNum w:abstractNumId="76" w15:restartNumberingAfterBreak="0">
    <w:nsid w:val="53005F7D"/>
    <w:multiLevelType w:val="hybridMultilevel"/>
    <w:tmpl w:val="3FB805C8"/>
    <w:lvl w:ilvl="0" w:tplc="98EE7922">
      <w:start w:val="1"/>
      <w:numFmt w:val="bullet"/>
      <w:lvlText w:val=""/>
      <w:lvlJc w:val="left"/>
      <w:pPr>
        <w:ind w:left="720" w:hanging="360"/>
      </w:pPr>
      <w:rPr>
        <w:rFonts w:ascii="Symbol" w:hAnsi="Symbol" w:hint="default"/>
      </w:rPr>
    </w:lvl>
    <w:lvl w:ilvl="1" w:tplc="87E4A8EE">
      <w:start w:val="1"/>
      <w:numFmt w:val="decimal"/>
      <w:lvlText w:val="%2)"/>
      <w:lvlJc w:val="left"/>
      <w:pPr>
        <w:ind w:left="1440" w:hanging="360"/>
      </w:pPr>
    </w:lvl>
    <w:lvl w:ilvl="2" w:tplc="2D580B56">
      <w:start w:val="1"/>
      <w:numFmt w:val="bullet"/>
      <w:lvlText w:val=""/>
      <w:lvlJc w:val="left"/>
      <w:pPr>
        <w:ind w:left="2160" w:hanging="360"/>
      </w:pPr>
      <w:rPr>
        <w:rFonts w:ascii="Wingdings" w:hAnsi="Wingdings" w:hint="default"/>
      </w:rPr>
    </w:lvl>
    <w:lvl w:ilvl="3" w:tplc="33EA20AE">
      <w:start w:val="1"/>
      <w:numFmt w:val="bullet"/>
      <w:lvlText w:val=""/>
      <w:lvlJc w:val="left"/>
      <w:pPr>
        <w:ind w:left="2880" w:hanging="360"/>
      </w:pPr>
      <w:rPr>
        <w:rFonts w:ascii="Symbol" w:hAnsi="Symbol" w:hint="default"/>
      </w:rPr>
    </w:lvl>
    <w:lvl w:ilvl="4" w:tplc="16CCF006">
      <w:start w:val="1"/>
      <w:numFmt w:val="bullet"/>
      <w:lvlText w:val="o"/>
      <w:lvlJc w:val="left"/>
      <w:pPr>
        <w:ind w:left="3600" w:hanging="360"/>
      </w:pPr>
      <w:rPr>
        <w:rFonts w:ascii="Courier New" w:hAnsi="Courier New" w:hint="default"/>
      </w:rPr>
    </w:lvl>
    <w:lvl w:ilvl="5" w:tplc="C360C8B8">
      <w:start w:val="1"/>
      <w:numFmt w:val="bullet"/>
      <w:lvlText w:val=""/>
      <w:lvlJc w:val="left"/>
      <w:pPr>
        <w:ind w:left="4320" w:hanging="360"/>
      </w:pPr>
      <w:rPr>
        <w:rFonts w:ascii="Wingdings" w:hAnsi="Wingdings" w:hint="default"/>
      </w:rPr>
    </w:lvl>
    <w:lvl w:ilvl="6" w:tplc="B770C260">
      <w:start w:val="1"/>
      <w:numFmt w:val="bullet"/>
      <w:lvlText w:val=""/>
      <w:lvlJc w:val="left"/>
      <w:pPr>
        <w:ind w:left="5040" w:hanging="360"/>
      </w:pPr>
      <w:rPr>
        <w:rFonts w:ascii="Symbol" w:hAnsi="Symbol" w:hint="default"/>
      </w:rPr>
    </w:lvl>
    <w:lvl w:ilvl="7" w:tplc="82267952">
      <w:start w:val="1"/>
      <w:numFmt w:val="bullet"/>
      <w:lvlText w:val="o"/>
      <w:lvlJc w:val="left"/>
      <w:pPr>
        <w:ind w:left="5760" w:hanging="360"/>
      </w:pPr>
      <w:rPr>
        <w:rFonts w:ascii="Courier New" w:hAnsi="Courier New" w:hint="default"/>
      </w:rPr>
    </w:lvl>
    <w:lvl w:ilvl="8" w:tplc="A3883A10">
      <w:start w:val="1"/>
      <w:numFmt w:val="bullet"/>
      <w:lvlText w:val=""/>
      <w:lvlJc w:val="left"/>
      <w:pPr>
        <w:ind w:left="6480" w:hanging="360"/>
      </w:pPr>
      <w:rPr>
        <w:rFonts w:ascii="Wingdings" w:hAnsi="Wingdings" w:hint="default"/>
      </w:rPr>
    </w:lvl>
  </w:abstractNum>
  <w:abstractNum w:abstractNumId="77" w15:restartNumberingAfterBreak="0">
    <w:nsid w:val="539A7798"/>
    <w:multiLevelType w:val="hybridMultilevel"/>
    <w:tmpl w:val="F29E3DEC"/>
    <w:lvl w:ilvl="0" w:tplc="77F456BC">
      <w:start w:val="1"/>
      <w:numFmt w:val="bullet"/>
      <w:lvlText w:val=""/>
      <w:lvlJc w:val="left"/>
      <w:pPr>
        <w:ind w:left="720" w:hanging="360"/>
      </w:pPr>
      <w:rPr>
        <w:rFonts w:ascii="Symbol" w:hAnsi="Symbol" w:hint="default"/>
      </w:rPr>
    </w:lvl>
    <w:lvl w:ilvl="1" w:tplc="C0C85AA4" w:tentative="1">
      <w:start w:val="1"/>
      <w:numFmt w:val="bullet"/>
      <w:lvlText w:val="o"/>
      <w:lvlJc w:val="left"/>
      <w:pPr>
        <w:ind w:left="1440" w:hanging="360"/>
      </w:pPr>
      <w:rPr>
        <w:rFonts w:ascii="Courier New" w:hAnsi="Courier New" w:hint="default"/>
      </w:rPr>
    </w:lvl>
    <w:lvl w:ilvl="2" w:tplc="B040332E" w:tentative="1">
      <w:start w:val="1"/>
      <w:numFmt w:val="bullet"/>
      <w:lvlText w:val=""/>
      <w:lvlJc w:val="left"/>
      <w:pPr>
        <w:ind w:left="2160" w:hanging="360"/>
      </w:pPr>
      <w:rPr>
        <w:rFonts w:ascii="Wingdings" w:hAnsi="Wingdings" w:hint="default"/>
      </w:rPr>
    </w:lvl>
    <w:lvl w:ilvl="3" w:tplc="B434A72C" w:tentative="1">
      <w:start w:val="1"/>
      <w:numFmt w:val="bullet"/>
      <w:lvlText w:val=""/>
      <w:lvlJc w:val="left"/>
      <w:pPr>
        <w:ind w:left="2880" w:hanging="360"/>
      </w:pPr>
      <w:rPr>
        <w:rFonts w:ascii="Symbol" w:hAnsi="Symbol" w:hint="default"/>
      </w:rPr>
    </w:lvl>
    <w:lvl w:ilvl="4" w:tplc="E3083BEE" w:tentative="1">
      <w:start w:val="1"/>
      <w:numFmt w:val="bullet"/>
      <w:lvlText w:val="o"/>
      <w:lvlJc w:val="left"/>
      <w:pPr>
        <w:ind w:left="3600" w:hanging="360"/>
      </w:pPr>
      <w:rPr>
        <w:rFonts w:ascii="Courier New" w:hAnsi="Courier New" w:hint="default"/>
      </w:rPr>
    </w:lvl>
    <w:lvl w:ilvl="5" w:tplc="684EDE10" w:tentative="1">
      <w:start w:val="1"/>
      <w:numFmt w:val="bullet"/>
      <w:lvlText w:val=""/>
      <w:lvlJc w:val="left"/>
      <w:pPr>
        <w:ind w:left="4320" w:hanging="360"/>
      </w:pPr>
      <w:rPr>
        <w:rFonts w:ascii="Wingdings" w:hAnsi="Wingdings" w:hint="default"/>
      </w:rPr>
    </w:lvl>
    <w:lvl w:ilvl="6" w:tplc="CD188FE4" w:tentative="1">
      <w:start w:val="1"/>
      <w:numFmt w:val="bullet"/>
      <w:lvlText w:val=""/>
      <w:lvlJc w:val="left"/>
      <w:pPr>
        <w:ind w:left="5040" w:hanging="360"/>
      </w:pPr>
      <w:rPr>
        <w:rFonts w:ascii="Symbol" w:hAnsi="Symbol" w:hint="default"/>
      </w:rPr>
    </w:lvl>
    <w:lvl w:ilvl="7" w:tplc="84AAED7A" w:tentative="1">
      <w:start w:val="1"/>
      <w:numFmt w:val="bullet"/>
      <w:lvlText w:val="o"/>
      <w:lvlJc w:val="left"/>
      <w:pPr>
        <w:ind w:left="5760" w:hanging="360"/>
      </w:pPr>
      <w:rPr>
        <w:rFonts w:ascii="Courier New" w:hAnsi="Courier New" w:hint="default"/>
      </w:rPr>
    </w:lvl>
    <w:lvl w:ilvl="8" w:tplc="1018B93C" w:tentative="1">
      <w:start w:val="1"/>
      <w:numFmt w:val="bullet"/>
      <w:lvlText w:val=""/>
      <w:lvlJc w:val="left"/>
      <w:pPr>
        <w:ind w:left="6480" w:hanging="360"/>
      </w:pPr>
      <w:rPr>
        <w:rFonts w:ascii="Wingdings" w:hAnsi="Wingdings" w:hint="default"/>
      </w:rPr>
    </w:lvl>
  </w:abstractNum>
  <w:abstractNum w:abstractNumId="78" w15:restartNumberingAfterBreak="0">
    <w:nsid w:val="54C52CFE"/>
    <w:multiLevelType w:val="hybridMultilevel"/>
    <w:tmpl w:val="FFFFFFFF"/>
    <w:lvl w:ilvl="0" w:tplc="AE987110">
      <w:start w:val="1"/>
      <w:numFmt w:val="bullet"/>
      <w:lvlText w:val="-"/>
      <w:lvlJc w:val="left"/>
      <w:pPr>
        <w:ind w:left="720" w:hanging="360"/>
      </w:pPr>
      <w:rPr>
        <w:rFonts w:ascii="Aptos" w:hAnsi="Aptos" w:hint="default"/>
      </w:rPr>
    </w:lvl>
    <w:lvl w:ilvl="1" w:tplc="1026D4A2">
      <w:start w:val="1"/>
      <w:numFmt w:val="bullet"/>
      <w:lvlText w:val="o"/>
      <w:lvlJc w:val="left"/>
      <w:pPr>
        <w:ind w:left="1440" w:hanging="360"/>
      </w:pPr>
      <w:rPr>
        <w:rFonts w:ascii="Courier New" w:hAnsi="Courier New" w:hint="default"/>
      </w:rPr>
    </w:lvl>
    <w:lvl w:ilvl="2" w:tplc="ED764F72">
      <w:start w:val="1"/>
      <w:numFmt w:val="bullet"/>
      <w:lvlText w:val=""/>
      <w:lvlJc w:val="left"/>
      <w:pPr>
        <w:ind w:left="2160" w:hanging="360"/>
      </w:pPr>
      <w:rPr>
        <w:rFonts w:ascii="Wingdings" w:hAnsi="Wingdings" w:hint="default"/>
      </w:rPr>
    </w:lvl>
    <w:lvl w:ilvl="3" w:tplc="45F07606">
      <w:start w:val="1"/>
      <w:numFmt w:val="bullet"/>
      <w:lvlText w:val=""/>
      <w:lvlJc w:val="left"/>
      <w:pPr>
        <w:ind w:left="2880" w:hanging="360"/>
      </w:pPr>
      <w:rPr>
        <w:rFonts w:ascii="Symbol" w:hAnsi="Symbol" w:hint="default"/>
      </w:rPr>
    </w:lvl>
    <w:lvl w:ilvl="4" w:tplc="5EC4F30E">
      <w:start w:val="1"/>
      <w:numFmt w:val="bullet"/>
      <w:lvlText w:val="o"/>
      <w:lvlJc w:val="left"/>
      <w:pPr>
        <w:ind w:left="3600" w:hanging="360"/>
      </w:pPr>
      <w:rPr>
        <w:rFonts w:ascii="Courier New" w:hAnsi="Courier New" w:hint="default"/>
      </w:rPr>
    </w:lvl>
    <w:lvl w:ilvl="5" w:tplc="FE468EA4">
      <w:start w:val="1"/>
      <w:numFmt w:val="bullet"/>
      <w:lvlText w:val=""/>
      <w:lvlJc w:val="left"/>
      <w:pPr>
        <w:ind w:left="4320" w:hanging="360"/>
      </w:pPr>
      <w:rPr>
        <w:rFonts w:ascii="Wingdings" w:hAnsi="Wingdings" w:hint="default"/>
      </w:rPr>
    </w:lvl>
    <w:lvl w:ilvl="6" w:tplc="C53043F4">
      <w:start w:val="1"/>
      <w:numFmt w:val="bullet"/>
      <w:lvlText w:val=""/>
      <w:lvlJc w:val="left"/>
      <w:pPr>
        <w:ind w:left="5040" w:hanging="360"/>
      </w:pPr>
      <w:rPr>
        <w:rFonts w:ascii="Symbol" w:hAnsi="Symbol" w:hint="default"/>
      </w:rPr>
    </w:lvl>
    <w:lvl w:ilvl="7" w:tplc="48A42A72">
      <w:start w:val="1"/>
      <w:numFmt w:val="bullet"/>
      <w:lvlText w:val="o"/>
      <w:lvlJc w:val="left"/>
      <w:pPr>
        <w:ind w:left="5760" w:hanging="360"/>
      </w:pPr>
      <w:rPr>
        <w:rFonts w:ascii="Courier New" w:hAnsi="Courier New" w:hint="default"/>
      </w:rPr>
    </w:lvl>
    <w:lvl w:ilvl="8" w:tplc="E564D10E">
      <w:start w:val="1"/>
      <w:numFmt w:val="bullet"/>
      <w:lvlText w:val=""/>
      <w:lvlJc w:val="left"/>
      <w:pPr>
        <w:ind w:left="6480" w:hanging="360"/>
      </w:pPr>
      <w:rPr>
        <w:rFonts w:ascii="Wingdings" w:hAnsi="Wingdings" w:hint="default"/>
      </w:rPr>
    </w:lvl>
  </w:abstractNum>
  <w:abstractNum w:abstractNumId="79" w15:restartNumberingAfterBreak="0">
    <w:nsid w:val="557E0B0B"/>
    <w:multiLevelType w:val="hybridMultilevel"/>
    <w:tmpl w:val="FFFFFFFF"/>
    <w:lvl w:ilvl="0" w:tplc="ED3CB542">
      <w:start w:val="1"/>
      <w:numFmt w:val="bullet"/>
      <w:lvlText w:val=""/>
      <w:lvlJc w:val="left"/>
      <w:pPr>
        <w:ind w:left="720" w:hanging="360"/>
      </w:pPr>
      <w:rPr>
        <w:rFonts w:ascii="Symbol" w:hAnsi="Symbol" w:hint="default"/>
      </w:rPr>
    </w:lvl>
    <w:lvl w:ilvl="1" w:tplc="5C965E22">
      <w:start w:val="1"/>
      <w:numFmt w:val="bullet"/>
      <w:lvlText w:val="o"/>
      <w:lvlJc w:val="left"/>
      <w:pPr>
        <w:ind w:left="1440" w:hanging="360"/>
      </w:pPr>
      <w:rPr>
        <w:rFonts w:ascii="Courier New" w:hAnsi="Courier New" w:hint="default"/>
      </w:rPr>
    </w:lvl>
    <w:lvl w:ilvl="2" w:tplc="B2E8EDE2">
      <w:start w:val="1"/>
      <w:numFmt w:val="bullet"/>
      <w:lvlText w:val=""/>
      <w:lvlJc w:val="left"/>
      <w:pPr>
        <w:ind w:left="2160" w:hanging="360"/>
      </w:pPr>
      <w:rPr>
        <w:rFonts w:ascii="Wingdings" w:hAnsi="Wingdings" w:hint="default"/>
      </w:rPr>
    </w:lvl>
    <w:lvl w:ilvl="3" w:tplc="A828B426">
      <w:start w:val="1"/>
      <w:numFmt w:val="bullet"/>
      <w:lvlText w:val=""/>
      <w:lvlJc w:val="left"/>
      <w:pPr>
        <w:ind w:left="2880" w:hanging="360"/>
      </w:pPr>
      <w:rPr>
        <w:rFonts w:ascii="Symbol" w:hAnsi="Symbol" w:hint="default"/>
      </w:rPr>
    </w:lvl>
    <w:lvl w:ilvl="4" w:tplc="A8C03D3A">
      <w:start w:val="1"/>
      <w:numFmt w:val="bullet"/>
      <w:lvlText w:val="o"/>
      <w:lvlJc w:val="left"/>
      <w:pPr>
        <w:ind w:left="3600" w:hanging="360"/>
      </w:pPr>
      <w:rPr>
        <w:rFonts w:ascii="Courier New" w:hAnsi="Courier New" w:hint="default"/>
      </w:rPr>
    </w:lvl>
    <w:lvl w:ilvl="5" w:tplc="47504430">
      <w:start w:val="1"/>
      <w:numFmt w:val="bullet"/>
      <w:lvlText w:val=""/>
      <w:lvlJc w:val="left"/>
      <w:pPr>
        <w:ind w:left="4320" w:hanging="360"/>
      </w:pPr>
      <w:rPr>
        <w:rFonts w:ascii="Wingdings" w:hAnsi="Wingdings" w:hint="default"/>
      </w:rPr>
    </w:lvl>
    <w:lvl w:ilvl="6" w:tplc="5BCC2964">
      <w:start w:val="1"/>
      <w:numFmt w:val="bullet"/>
      <w:lvlText w:val=""/>
      <w:lvlJc w:val="left"/>
      <w:pPr>
        <w:ind w:left="5040" w:hanging="360"/>
      </w:pPr>
      <w:rPr>
        <w:rFonts w:ascii="Symbol" w:hAnsi="Symbol" w:hint="default"/>
      </w:rPr>
    </w:lvl>
    <w:lvl w:ilvl="7" w:tplc="6A1AD7B8">
      <w:start w:val="1"/>
      <w:numFmt w:val="bullet"/>
      <w:lvlText w:val="o"/>
      <w:lvlJc w:val="left"/>
      <w:pPr>
        <w:ind w:left="5760" w:hanging="360"/>
      </w:pPr>
      <w:rPr>
        <w:rFonts w:ascii="Courier New" w:hAnsi="Courier New" w:hint="default"/>
      </w:rPr>
    </w:lvl>
    <w:lvl w:ilvl="8" w:tplc="3FC2418C">
      <w:start w:val="1"/>
      <w:numFmt w:val="bullet"/>
      <w:lvlText w:val=""/>
      <w:lvlJc w:val="left"/>
      <w:pPr>
        <w:ind w:left="6480" w:hanging="360"/>
      </w:pPr>
      <w:rPr>
        <w:rFonts w:ascii="Wingdings" w:hAnsi="Wingdings" w:hint="default"/>
      </w:rPr>
    </w:lvl>
  </w:abstractNum>
  <w:abstractNum w:abstractNumId="80" w15:restartNumberingAfterBreak="0">
    <w:nsid w:val="562215EE"/>
    <w:multiLevelType w:val="hybridMultilevel"/>
    <w:tmpl w:val="20DE33B6"/>
    <w:lvl w:ilvl="0" w:tplc="380EDA06">
      <w:start w:val="1"/>
      <w:numFmt w:val="bullet"/>
      <w:lvlText w:val=""/>
      <w:lvlJc w:val="left"/>
      <w:pPr>
        <w:ind w:left="720" w:hanging="360"/>
      </w:pPr>
      <w:rPr>
        <w:rFonts w:ascii="Symbol" w:hAnsi="Symbol" w:hint="default"/>
      </w:rPr>
    </w:lvl>
    <w:lvl w:ilvl="1" w:tplc="CDDAD278">
      <w:start w:val="1"/>
      <w:numFmt w:val="bullet"/>
      <w:lvlText w:val="o"/>
      <w:lvlJc w:val="left"/>
      <w:pPr>
        <w:ind w:left="1440" w:hanging="360"/>
      </w:pPr>
      <w:rPr>
        <w:rFonts w:ascii="Courier New" w:hAnsi="Courier New" w:hint="default"/>
      </w:rPr>
    </w:lvl>
    <w:lvl w:ilvl="2" w:tplc="D28E0CA6">
      <w:start w:val="1"/>
      <w:numFmt w:val="bullet"/>
      <w:lvlText w:val=""/>
      <w:lvlJc w:val="left"/>
      <w:pPr>
        <w:ind w:left="2160" w:hanging="360"/>
      </w:pPr>
      <w:rPr>
        <w:rFonts w:ascii="Wingdings" w:hAnsi="Wingdings" w:hint="default"/>
      </w:rPr>
    </w:lvl>
    <w:lvl w:ilvl="3" w:tplc="9E2CA882">
      <w:start w:val="1"/>
      <w:numFmt w:val="bullet"/>
      <w:lvlText w:val=""/>
      <w:lvlJc w:val="left"/>
      <w:pPr>
        <w:ind w:left="2880" w:hanging="360"/>
      </w:pPr>
      <w:rPr>
        <w:rFonts w:ascii="Symbol" w:hAnsi="Symbol" w:hint="default"/>
      </w:rPr>
    </w:lvl>
    <w:lvl w:ilvl="4" w:tplc="FA0071A4">
      <w:start w:val="1"/>
      <w:numFmt w:val="bullet"/>
      <w:lvlText w:val="o"/>
      <w:lvlJc w:val="left"/>
      <w:pPr>
        <w:ind w:left="3600" w:hanging="360"/>
      </w:pPr>
      <w:rPr>
        <w:rFonts w:ascii="Courier New" w:hAnsi="Courier New" w:hint="default"/>
      </w:rPr>
    </w:lvl>
    <w:lvl w:ilvl="5" w:tplc="291A5032">
      <w:start w:val="1"/>
      <w:numFmt w:val="bullet"/>
      <w:lvlText w:val=""/>
      <w:lvlJc w:val="left"/>
      <w:pPr>
        <w:ind w:left="4320" w:hanging="360"/>
      </w:pPr>
      <w:rPr>
        <w:rFonts w:ascii="Wingdings" w:hAnsi="Wingdings" w:hint="default"/>
      </w:rPr>
    </w:lvl>
    <w:lvl w:ilvl="6" w:tplc="03368EE0">
      <w:start w:val="1"/>
      <w:numFmt w:val="bullet"/>
      <w:lvlText w:val=""/>
      <w:lvlJc w:val="left"/>
      <w:pPr>
        <w:ind w:left="5040" w:hanging="360"/>
      </w:pPr>
      <w:rPr>
        <w:rFonts w:ascii="Symbol" w:hAnsi="Symbol" w:hint="default"/>
      </w:rPr>
    </w:lvl>
    <w:lvl w:ilvl="7" w:tplc="C2C0E810">
      <w:start w:val="1"/>
      <w:numFmt w:val="bullet"/>
      <w:lvlText w:val="o"/>
      <w:lvlJc w:val="left"/>
      <w:pPr>
        <w:ind w:left="5760" w:hanging="360"/>
      </w:pPr>
      <w:rPr>
        <w:rFonts w:ascii="Courier New" w:hAnsi="Courier New" w:hint="default"/>
      </w:rPr>
    </w:lvl>
    <w:lvl w:ilvl="8" w:tplc="6B04D4C4">
      <w:start w:val="1"/>
      <w:numFmt w:val="bullet"/>
      <w:lvlText w:val=""/>
      <w:lvlJc w:val="left"/>
      <w:pPr>
        <w:ind w:left="6480" w:hanging="360"/>
      </w:pPr>
      <w:rPr>
        <w:rFonts w:ascii="Wingdings" w:hAnsi="Wingdings" w:hint="default"/>
      </w:rPr>
    </w:lvl>
  </w:abstractNum>
  <w:abstractNum w:abstractNumId="81" w15:restartNumberingAfterBreak="0">
    <w:nsid w:val="59C64E71"/>
    <w:multiLevelType w:val="hybridMultilevel"/>
    <w:tmpl w:val="000E63D2"/>
    <w:lvl w:ilvl="0" w:tplc="2B70D90C">
      <w:start w:val="1"/>
      <w:numFmt w:val="bullet"/>
      <w:lvlText w:val=""/>
      <w:lvlJc w:val="left"/>
      <w:pPr>
        <w:ind w:left="720" w:hanging="360"/>
      </w:pPr>
      <w:rPr>
        <w:rFonts w:ascii="Symbol" w:hAnsi="Symbol" w:hint="default"/>
      </w:rPr>
    </w:lvl>
    <w:lvl w:ilvl="1" w:tplc="1C565002" w:tentative="1">
      <w:start w:val="1"/>
      <w:numFmt w:val="bullet"/>
      <w:lvlText w:val="o"/>
      <w:lvlJc w:val="left"/>
      <w:pPr>
        <w:ind w:left="1440" w:hanging="360"/>
      </w:pPr>
      <w:rPr>
        <w:rFonts w:ascii="Courier New" w:hAnsi="Courier New" w:hint="default"/>
      </w:rPr>
    </w:lvl>
    <w:lvl w:ilvl="2" w:tplc="AF749D2E" w:tentative="1">
      <w:start w:val="1"/>
      <w:numFmt w:val="bullet"/>
      <w:lvlText w:val=""/>
      <w:lvlJc w:val="left"/>
      <w:pPr>
        <w:ind w:left="2160" w:hanging="360"/>
      </w:pPr>
      <w:rPr>
        <w:rFonts w:ascii="Wingdings" w:hAnsi="Wingdings" w:hint="default"/>
      </w:rPr>
    </w:lvl>
    <w:lvl w:ilvl="3" w:tplc="7A56B81C" w:tentative="1">
      <w:start w:val="1"/>
      <w:numFmt w:val="bullet"/>
      <w:lvlText w:val=""/>
      <w:lvlJc w:val="left"/>
      <w:pPr>
        <w:ind w:left="2880" w:hanging="360"/>
      </w:pPr>
      <w:rPr>
        <w:rFonts w:ascii="Symbol" w:hAnsi="Symbol" w:hint="default"/>
      </w:rPr>
    </w:lvl>
    <w:lvl w:ilvl="4" w:tplc="A8D0E6CA" w:tentative="1">
      <w:start w:val="1"/>
      <w:numFmt w:val="bullet"/>
      <w:lvlText w:val="o"/>
      <w:lvlJc w:val="left"/>
      <w:pPr>
        <w:ind w:left="3600" w:hanging="360"/>
      </w:pPr>
      <w:rPr>
        <w:rFonts w:ascii="Courier New" w:hAnsi="Courier New" w:hint="default"/>
      </w:rPr>
    </w:lvl>
    <w:lvl w:ilvl="5" w:tplc="99AE5760" w:tentative="1">
      <w:start w:val="1"/>
      <w:numFmt w:val="bullet"/>
      <w:lvlText w:val=""/>
      <w:lvlJc w:val="left"/>
      <w:pPr>
        <w:ind w:left="4320" w:hanging="360"/>
      </w:pPr>
      <w:rPr>
        <w:rFonts w:ascii="Wingdings" w:hAnsi="Wingdings" w:hint="default"/>
      </w:rPr>
    </w:lvl>
    <w:lvl w:ilvl="6" w:tplc="5F9EBB78" w:tentative="1">
      <w:start w:val="1"/>
      <w:numFmt w:val="bullet"/>
      <w:lvlText w:val=""/>
      <w:lvlJc w:val="left"/>
      <w:pPr>
        <w:ind w:left="5040" w:hanging="360"/>
      </w:pPr>
      <w:rPr>
        <w:rFonts w:ascii="Symbol" w:hAnsi="Symbol" w:hint="default"/>
      </w:rPr>
    </w:lvl>
    <w:lvl w:ilvl="7" w:tplc="8D5CAB14" w:tentative="1">
      <w:start w:val="1"/>
      <w:numFmt w:val="bullet"/>
      <w:lvlText w:val="o"/>
      <w:lvlJc w:val="left"/>
      <w:pPr>
        <w:ind w:left="5760" w:hanging="360"/>
      </w:pPr>
      <w:rPr>
        <w:rFonts w:ascii="Courier New" w:hAnsi="Courier New" w:hint="default"/>
      </w:rPr>
    </w:lvl>
    <w:lvl w:ilvl="8" w:tplc="A44CA444" w:tentative="1">
      <w:start w:val="1"/>
      <w:numFmt w:val="bullet"/>
      <w:lvlText w:val=""/>
      <w:lvlJc w:val="left"/>
      <w:pPr>
        <w:ind w:left="6480" w:hanging="360"/>
      </w:pPr>
      <w:rPr>
        <w:rFonts w:ascii="Wingdings" w:hAnsi="Wingdings" w:hint="default"/>
      </w:rPr>
    </w:lvl>
  </w:abstractNum>
  <w:abstractNum w:abstractNumId="82" w15:restartNumberingAfterBreak="0">
    <w:nsid w:val="59DD38C9"/>
    <w:multiLevelType w:val="hybridMultilevel"/>
    <w:tmpl w:val="5836A68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5B4A6607"/>
    <w:multiLevelType w:val="hybridMultilevel"/>
    <w:tmpl w:val="D110CD8A"/>
    <w:lvl w:ilvl="0" w:tplc="8766D050">
      <w:start w:val="1"/>
      <w:numFmt w:val="bullet"/>
      <w:lvlText w:val=""/>
      <w:lvlJc w:val="left"/>
      <w:pPr>
        <w:ind w:left="720" w:hanging="360"/>
      </w:pPr>
      <w:rPr>
        <w:rFonts w:ascii="Symbol" w:hAnsi="Symbol" w:hint="default"/>
      </w:rPr>
    </w:lvl>
    <w:lvl w:ilvl="1" w:tplc="0D70DE74" w:tentative="1">
      <w:start w:val="1"/>
      <w:numFmt w:val="bullet"/>
      <w:lvlText w:val="o"/>
      <w:lvlJc w:val="left"/>
      <w:pPr>
        <w:ind w:left="1440" w:hanging="360"/>
      </w:pPr>
      <w:rPr>
        <w:rFonts w:ascii="Courier New" w:hAnsi="Courier New" w:hint="default"/>
      </w:rPr>
    </w:lvl>
    <w:lvl w:ilvl="2" w:tplc="A4501CC4" w:tentative="1">
      <w:start w:val="1"/>
      <w:numFmt w:val="bullet"/>
      <w:lvlText w:val=""/>
      <w:lvlJc w:val="left"/>
      <w:pPr>
        <w:ind w:left="2160" w:hanging="360"/>
      </w:pPr>
      <w:rPr>
        <w:rFonts w:ascii="Wingdings" w:hAnsi="Wingdings" w:hint="default"/>
      </w:rPr>
    </w:lvl>
    <w:lvl w:ilvl="3" w:tplc="08E81D90" w:tentative="1">
      <w:start w:val="1"/>
      <w:numFmt w:val="bullet"/>
      <w:lvlText w:val=""/>
      <w:lvlJc w:val="left"/>
      <w:pPr>
        <w:ind w:left="2880" w:hanging="360"/>
      </w:pPr>
      <w:rPr>
        <w:rFonts w:ascii="Symbol" w:hAnsi="Symbol" w:hint="default"/>
      </w:rPr>
    </w:lvl>
    <w:lvl w:ilvl="4" w:tplc="860048A0" w:tentative="1">
      <w:start w:val="1"/>
      <w:numFmt w:val="bullet"/>
      <w:lvlText w:val="o"/>
      <w:lvlJc w:val="left"/>
      <w:pPr>
        <w:ind w:left="3600" w:hanging="360"/>
      </w:pPr>
      <w:rPr>
        <w:rFonts w:ascii="Courier New" w:hAnsi="Courier New" w:hint="default"/>
      </w:rPr>
    </w:lvl>
    <w:lvl w:ilvl="5" w:tplc="7770625E" w:tentative="1">
      <w:start w:val="1"/>
      <w:numFmt w:val="bullet"/>
      <w:lvlText w:val=""/>
      <w:lvlJc w:val="left"/>
      <w:pPr>
        <w:ind w:left="4320" w:hanging="360"/>
      </w:pPr>
      <w:rPr>
        <w:rFonts w:ascii="Wingdings" w:hAnsi="Wingdings" w:hint="default"/>
      </w:rPr>
    </w:lvl>
    <w:lvl w:ilvl="6" w:tplc="30F22C36" w:tentative="1">
      <w:start w:val="1"/>
      <w:numFmt w:val="bullet"/>
      <w:lvlText w:val=""/>
      <w:lvlJc w:val="left"/>
      <w:pPr>
        <w:ind w:left="5040" w:hanging="360"/>
      </w:pPr>
      <w:rPr>
        <w:rFonts w:ascii="Symbol" w:hAnsi="Symbol" w:hint="default"/>
      </w:rPr>
    </w:lvl>
    <w:lvl w:ilvl="7" w:tplc="5D785F34" w:tentative="1">
      <w:start w:val="1"/>
      <w:numFmt w:val="bullet"/>
      <w:lvlText w:val="o"/>
      <w:lvlJc w:val="left"/>
      <w:pPr>
        <w:ind w:left="5760" w:hanging="360"/>
      </w:pPr>
      <w:rPr>
        <w:rFonts w:ascii="Courier New" w:hAnsi="Courier New" w:hint="default"/>
      </w:rPr>
    </w:lvl>
    <w:lvl w:ilvl="8" w:tplc="DD08F95A" w:tentative="1">
      <w:start w:val="1"/>
      <w:numFmt w:val="bullet"/>
      <w:lvlText w:val=""/>
      <w:lvlJc w:val="left"/>
      <w:pPr>
        <w:ind w:left="6480" w:hanging="360"/>
      </w:pPr>
      <w:rPr>
        <w:rFonts w:ascii="Wingdings" w:hAnsi="Wingdings" w:hint="default"/>
      </w:rPr>
    </w:lvl>
  </w:abstractNum>
  <w:abstractNum w:abstractNumId="84" w15:restartNumberingAfterBreak="0">
    <w:nsid w:val="5C393142"/>
    <w:multiLevelType w:val="hybridMultilevel"/>
    <w:tmpl w:val="FFFFFFFF"/>
    <w:lvl w:ilvl="0" w:tplc="6EB24694">
      <w:start w:val="1"/>
      <w:numFmt w:val="bullet"/>
      <w:lvlText w:val="·"/>
      <w:lvlJc w:val="left"/>
      <w:pPr>
        <w:ind w:left="720" w:hanging="360"/>
      </w:pPr>
      <w:rPr>
        <w:rFonts w:ascii="Symbol" w:hAnsi="Symbol" w:hint="default"/>
      </w:rPr>
    </w:lvl>
    <w:lvl w:ilvl="1" w:tplc="0632E996">
      <w:start w:val="1"/>
      <w:numFmt w:val="bullet"/>
      <w:lvlText w:val="o"/>
      <w:lvlJc w:val="left"/>
      <w:pPr>
        <w:ind w:left="1440" w:hanging="360"/>
      </w:pPr>
      <w:rPr>
        <w:rFonts w:ascii="Courier New" w:hAnsi="Courier New" w:hint="default"/>
      </w:rPr>
    </w:lvl>
    <w:lvl w:ilvl="2" w:tplc="D0D4048E">
      <w:start w:val="1"/>
      <w:numFmt w:val="bullet"/>
      <w:lvlText w:val=""/>
      <w:lvlJc w:val="left"/>
      <w:pPr>
        <w:ind w:left="2160" w:hanging="360"/>
      </w:pPr>
      <w:rPr>
        <w:rFonts w:ascii="Wingdings" w:hAnsi="Wingdings" w:hint="default"/>
      </w:rPr>
    </w:lvl>
    <w:lvl w:ilvl="3" w:tplc="2AEC0BDA">
      <w:start w:val="1"/>
      <w:numFmt w:val="bullet"/>
      <w:lvlText w:val=""/>
      <w:lvlJc w:val="left"/>
      <w:pPr>
        <w:ind w:left="2880" w:hanging="360"/>
      </w:pPr>
      <w:rPr>
        <w:rFonts w:ascii="Symbol" w:hAnsi="Symbol" w:hint="default"/>
      </w:rPr>
    </w:lvl>
    <w:lvl w:ilvl="4" w:tplc="10B65282">
      <w:start w:val="1"/>
      <w:numFmt w:val="bullet"/>
      <w:lvlText w:val="o"/>
      <w:lvlJc w:val="left"/>
      <w:pPr>
        <w:ind w:left="3600" w:hanging="360"/>
      </w:pPr>
      <w:rPr>
        <w:rFonts w:ascii="Courier New" w:hAnsi="Courier New" w:hint="default"/>
      </w:rPr>
    </w:lvl>
    <w:lvl w:ilvl="5" w:tplc="B33445B8">
      <w:start w:val="1"/>
      <w:numFmt w:val="bullet"/>
      <w:lvlText w:val=""/>
      <w:lvlJc w:val="left"/>
      <w:pPr>
        <w:ind w:left="4320" w:hanging="360"/>
      </w:pPr>
      <w:rPr>
        <w:rFonts w:ascii="Wingdings" w:hAnsi="Wingdings" w:hint="default"/>
      </w:rPr>
    </w:lvl>
    <w:lvl w:ilvl="6" w:tplc="1F6E2200">
      <w:start w:val="1"/>
      <w:numFmt w:val="bullet"/>
      <w:lvlText w:val=""/>
      <w:lvlJc w:val="left"/>
      <w:pPr>
        <w:ind w:left="5040" w:hanging="360"/>
      </w:pPr>
      <w:rPr>
        <w:rFonts w:ascii="Symbol" w:hAnsi="Symbol" w:hint="default"/>
      </w:rPr>
    </w:lvl>
    <w:lvl w:ilvl="7" w:tplc="AAEA7914">
      <w:start w:val="1"/>
      <w:numFmt w:val="bullet"/>
      <w:lvlText w:val="o"/>
      <w:lvlJc w:val="left"/>
      <w:pPr>
        <w:ind w:left="5760" w:hanging="360"/>
      </w:pPr>
      <w:rPr>
        <w:rFonts w:ascii="Courier New" w:hAnsi="Courier New" w:hint="default"/>
      </w:rPr>
    </w:lvl>
    <w:lvl w:ilvl="8" w:tplc="75665366">
      <w:start w:val="1"/>
      <w:numFmt w:val="bullet"/>
      <w:lvlText w:val=""/>
      <w:lvlJc w:val="left"/>
      <w:pPr>
        <w:ind w:left="6480" w:hanging="360"/>
      </w:pPr>
      <w:rPr>
        <w:rFonts w:ascii="Wingdings" w:hAnsi="Wingdings" w:hint="default"/>
      </w:rPr>
    </w:lvl>
  </w:abstractNum>
  <w:abstractNum w:abstractNumId="85" w15:restartNumberingAfterBreak="0">
    <w:nsid w:val="5C5C73EA"/>
    <w:multiLevelType w:val="hybridMultilevel"/>
    <w:tmpl w:val="5DA4E692"/>
    <w:lvl w:ilvl="0" w:tplc="AAB6967E">
      <w:start w:val="1"/>
      <w:numFmt w:val="bullet"/>
      <w:lvlText w:val=""/>
      <w:lvlJc w:val="left"/>
      <w:pPr>
        <w:ind w:left="720" w:hanging="360"/>
      </w:pPr>
      <w:rPr>
        <w:rFonts w:ascii="Symbol" w:hAnsi="Symbol" w:hint="default"/>
      </w:rPr>
    </w:lvl>
    <w:lvl w:ilvl="1" w:tplc="0CDA8D1A" w:tentative="1">
      <w:start w:val="1"/>
      <w:numFmt w:val="bullet"/>
      <w:lvlText w:val="o"/>
      <w:lvlJc w:val="left"/>
      <w:pPr>
        <w:ind w:left="1440" w:hanging="360"/>
      </w:pPr>
      <w:rPr>
        <w:rFonts w:ascii="Courier New" w:hAnsi="Courier New" w:hint="default"/>
      </w:rPr>
    </w:lvl>
    <w:lvl w:ilvl="2" w:tplc="986E3088" w:tentative="1">
      <w:start w:val="1"/>
      <w:numFmt w:val="bullet"/>
      <w:lvlText w:val=""/>
      <w:lvlJc w:val="left"/>
      <w:pPr>
        <w:ind w:left="2160" w:hanging="360"/>
      </w:pPr>
      <w:rPr>
        <w:rFonts w:ascii="Wingdings" w:hAnsi="Wingdings" w:hint="default"/>
      </w:rPr>
    </w:lvl>
    <w:lvl w:ilvl="3" w:tplc="490C9D60" w:tentative="1">
      <w:start w:val="1"/>
      <w:numFmt w:val="bullet"/>
      <w:lvlText w:val=""/>
      <w:lvlJc w:val="left"/>
      <w:pPr>
        <w:ind w:left="2880" w:hanging="360"/>
      </w:pPr>
      <w:rPr>
        <w:rFonts w:ascii="Symbol" w:hAnsi="Symbol" w:hint="default"/>
      </w:rPr>
    </w:lvl>
    <w:lvl w:ilvl="4" w:tplc="14AC8C98" w:tentative="1">
      <w:start w:val="1"/>
      <w:numFmt w:val="bullet"/>
      <w:lvlText w:val="o"/>
      <w:lvlJc w:val="left"/>
      <w:pPr>
        <w:ind w:left="3600" w:hanging="360"/>
      </w:pPr>
      <w:rPr>
        <w:rFonts w:ascii="Courier New" w:hAnsi="Courier New" w:hint="default"/>
      </w:rPr>
    </w:lvl>
    <w:lvl w:ilvl="5" w:tplc="2B140952" w:tentative="1">
      <w:start w:val="1"/>
      <w:numFmt w:val="bullet"/>
      <w:lvlText w:val=""/>
      <w:lvlJc w:val="left"/>
      <w:pPr>
        <w:ind w:left="4320" w:hanging="360"/>
      </w:pPr>
      <w:rPr>
        <w:rFonts w:ascii="Wingdings" w:hAnsi="Wingdings" w:hint="default"/>
      </w:rPr>
    </w:lvl>
    <w:lvl w:ilvl="6" w:tplc="CEE840DE" w:tentative="1">
      <w:start w:val="1"/>
      <w:numFmt w:val="bullet"/>
      <w:lvlText w:val=""/>
      <w:lvlJc w:val="left"/>
      <w:pPr>
        <w:ind w:left="5040" w:hanging="360"/>
      </w:pPr>
      <w:rPr>
        <w:rFonts w:ascii="Symbol" w:hAnsi="Symbol" w:hint="default"/>
      </w:rPr>
    </w:lvl>
    <w:lvl w:ilvl="7" w:tplc="D616C5C0" w:tentative="1">
      <w:start w:val="1"/>
      <w:numFmt w:val="bullet"/>
      <w:lvlText w:val="o"/>
      <w:lvlJc w:val="left"/>
      <w:pPr>
        <w:ind w:left="5760" w:hanging="360"/>
      </w:pPr>
      <w:rPr>
        <w:rFonts w:ascii="Courier New" w:hAnsi="Courier New" w:hint="default"/>
      </w:rPr>
    </w:lvl>
    <w:lvl w:ilvl="8" w:tplc="E11EF958" w:tentative="1">
      <w:start w:val="1"/>
      <w:numFmt w:val="bullet"/>
      <w:lvlText w:val=""/>
      <w:lvlJc w:val="left"/>
      <w:pPr>
        <w:ind w:left="6480" w:hanging="360"/>
      </w:pPr>
      <w:rPr>
        <w:rFonts w:ascii="Wingdings" w:hAnsi="Wingdings" w:hint="default"/>
      </w:rPr>
    </w:lvl>
  </w:abstractNum>
  <w:abstractNum w:abstractNumId="86" w15:restartNumberingAfterBreak="0">
    <w:nsid w:val="5C8640D1"/>
    <w:multiLevelType w:val="multilevel"/>
    <w:tmpl w:val="4D4CAB6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15:restartNumberingAfterBreak="0">
    <w:nsid w:val="5E8B3E99"/>
    <w:multiLevelType w:val="hybridMultilevel"/>
    <w:tmpl w:val="635C472C"/>
    <w:lvl w:ilvl="0" w:tplc="E47E59E6">
      <w:start w:val="1"/>
      <w:numFmt w:val="bullet"/>
      <w:lvlText w:val=""/>
      <w:lvlJc w:val="left"/>
      <w:pPr>
        <w:ind w:left="720" w:hanging="360"/>
      </w:pPr>
      <w:rPr>
        <w:rFonts w:ascii="Symbol" w:hAnsi="Symbol" w:hint="default"/>
      </w:rPr>
    </w:lvl>
    <w:lvl w:ilvl="1" w:tplc="446E7E50" w:tentative="1">
      <w:start w:val="1"/>
      <w:numFmt w:val="bullet"/>
      <w:lvlText w:val="o"/>
      <w:lvlJc w:val="left"/>
      <w:pPr>
        <w:ind w:left="1440" w:hanging="360"/>
      </w:pPr>
      <w:rPr>
        <w:rFonts w:ascii="Courier New" w:hAnsi="Courier New" w:hint="default"/>
      </w:rPr>
    </w:lvl>
    <w:lvl w:ilvl="2" w:tplc="658AD366" w:tentative="1">
      <w:start w:val="1"/>
      <w:numFmt w:val="bullet"/>
      <w:lvlText w:val=""/>
      <w:lvlJc w:val="left"/>
      <w:pPr>
        <w:ind w:left="2160" w:hanging="360"/>
      </w:pPr>
      <w:rPr>
        <w:rFonts w:ascii="Wingdings" w:hAnsi="Wingdings" w:hint="default"/>
      </w:rPr>
    </w:lvl>
    <w:lvl w:ilvl="3" w:tplc="95F445F6" w:tentative="1">
      <w:start w:val="1"/>
      <w:numFmt w:val="bullet"/>
      <w:lvlText w:val=""/>
      <w:lvlJc w:val="left"/>
      <w:pPr>
        <w:ind w:left="2880" w:hanging="360"/>
      </w:pPr>
      <w:rPr>
        <w:rFonts w:ascii="Symbol" w:hAnsi="Symbol" w:hint="default"/>
      </w:rPr>
    </w:lvl>
    <w:lvl w:ilvl="4" w:tplc="4ADA061C" w:tentative="1">
      <w:start w:val="1"/>
      <w:numFmt w:val="bullet"/>
      <w:lvlText w:val="o"/>
      <w:lvlJc w:val="left"/>
      <w:pPr>
        <w:ind w:left="3600" w:hanging="360"/>
      </w:pPr>
      <w:rPr>
        <w:rFonts w:ascii="Courier New" w:hAnsi="Courier New" w:hint="default"/>
      </w:rPr>
    </w:lvl>
    <w:lvl w:ilvl="5" w:tplc="99B66D2A" w:tentative="1">
      <w:start w:val="1"/>
      <w:numFmt w:val="bullet"/>
      <w:lvlText w:val=""/>
      <w:lvlJc w:val="left"/>
      <w:pPr>
        <w:ind w:left="4320" w:hanging="360"/>
      </w:pPr>
      <w:rPr>
        <w:rFonts w:ascii="Wingdings" w:hAnsi="Wingdings" w:hint="default"/>
      </w:rPr>
    </w:lvl>
    <w:lvl w:ilvl="6" w:tplc="48E4B282" w:tentative="1">
      <w:start w:val="1"/>
      <w:numFmt w:val="bullet"/>
      <w:lvlText w:val=""/>
      <w:lvlJc w:val="left"/>
      <w:pPr>
        <w:ind w:left="5040" w:hanging="360"/>
      </w:pPr>
      <w:rPr>
        <w:rFonts w:ascii="Symbol" w:hAnsi="Symbol" w:hint="default"/>
      </w:rPr>
    </w:lvl>
    <w:lvl w:ilvl="7" w:tplc="D0445590" w:tentative="1">
      <w:start w:val="1"/>
      <w:numFmt w:val="bullet"/>
      <w:lvlText w:val="o"/>
      <w:lvlJc w:val="left"/>
      <w:pPr>
        <w:ind w:left="5760" w:hanging="360"/>
      </w:pPr>
      <w:rPr>
        <w:rFonts w:ascii="Courier New" w:hAnsi="Courier New" w:hint="default"/>
      </w:rPr>
    </w:lvl>
    <w:lvl w:ilvl="8" w:tplc="CABC15CC" w:tentative="1">
      <w:start w:val="1"/>
      <w:numFmt w:val="bullet"/>
      <w:lvlText w:val=""/>
      <w:lvlJc w:val="left"/>
      <w:pPr>
        <w:ind w:left="6480" w:hanging="360"/>
      </w:pPr>
      <w:rPr>
        <w:rFonts w:ascii="Wingdings" w:hAnsi="Wingdings" w:hint="default"/>
      </w:rPr>
    </w:lvl>
  </w:abstractNum>
  <w:abstractNum w:abstractNumId="88" w15:restartNumberingAfterBreak="0">
    <w:nsid w:val="5F285044"/>
    <w:multiLevelType w:val="hybridMultilevel"/>
    <w:tmpl w:val="0018055C"/>
    <w:lvl w:ilvl="0" w:tplc="A47CB4DC">
      <w:start w:val="1"/>
      <w:numFmt w:val="bullet"/>
      <w:lvlText w:val=""/>
      <w:lvlJc w:val="left"/>
      <w:pPr>
        <w:ind w:left="720" w:hanging="360"/>
      </w:pPr>
      <w:rPr>
        <w:rFonts w:ascii="Symbol" w:hAnsi="Symbol" w:hint="default"/>
      </w:rPr>
    </w:lvl>
    <w:lvl w:ilvl="1" w:tplc="F9AE28AC" w:tentative="1">
      <w:start w:val="1"/>
      <w:numFmt w:val="bullet"/>
      <w:lvlText w:val="o"/>
      <w:lvlJc w:val="left"/>
      <w:pPr>
        <w:ind w:left="1440" w:hanging="360"/>
      </w:pPr>
      <w:rPr>
        <w:rFonts w:ascii="Courier New" w:hAnsi="Courier New" w:hint="default"/>
      </w:rPr>
    </w:lvl>
    <w:lvl w:ilvl="2" w:tplc="9E9E9C24" w:tentative="1">
      <w:start w:val="1"/>
      <w:numFmt w:val="bullet"/>
      <w:lvlText w:val=""/>
      <w:lvlJc w:val="left"/>
      <w:pPr>
        <w:ind w:left="2160" w:hanging="360"/>
      </w:pPr>
      <w:rPr>
        <w:rFonts w:ascii="Wingdings" w:hAnsi="Wingdings" w:hint="default"/>
      </w:rPr>
    </w:lvl>
    <w:lvl w:ilvl="3" w:tplc="92ECFA50" w:tentative="1">
      <w:start w:val="1"/>
      <w:numFmt w:val="bullet"/>
      <w:lvlText w:val=""/>
      <w:lvlJc w:val="left"/>
      <w:pPr>
        <w:ind w:left="2880" w:hanging="360"/>
      </w:pPr>
      <w:rPr>
        <w:rFonts w:ascii="Symbol" w:hAnsi="Symbol" w:hint="default"/>
      </w:rPr>
    </w:lvl>
    <w:lvl w:ilvl="4" w:tplc="527CD990" w:tentative="1">
      <w:start w:val="1"/>
      <w:numFmt w:val="bullet"/>
      <w:lvlText w:val="o"/>
      <w:lvlJc w:val="left"/>
      <w:pPr>
        <w:ind w:left="3600" w:hanging="360"/>
      </w:pPr>
      <w:rPr>
        <w:rFonts w:ascii="Courier New" w:hAnsi="Courier New" w:hint="default"/>
      </w:rPr>
    </w:lvl>
    <w:lvl w:ilvl="5" w:tplc="1DE07512" w:tentative="1">
      <w:start w:val="1"/>
      <w:numFmt w:val="bullet"/>
      <w:lvlText w:val=""/>
      <w:lvlJc w:val="left"/>
      <w:pPr>
        <w:ind w:left="4320" w:hanging="360"/>
      </w:pPr>
      <w:rPr>
        <w:rFonts w:ascii="Wingdings" w:hAnsi="Wingdings" w:hint="default"/>
      </w:rPr>
    </w:lvl>
    <w:lvl w:ilvl="6" w:tplc="B4B2AF46" w:tentative="1">
      <w:start w:val="1"/>
      <w:numFmt w:val="bullet"/>
      <w:lvlText w:val=""/>
      <w:lvlJc w:val="left"/>
      <w:pPr>
        <w:ind w:left="5040" w:hanging="360"/>
      </w:pPr>
      <w:rPr>
        <w:rFonts w:ascii="Symbol" w:hAnsi="Symbol" w:hint="default"/>
      </w:rPr>
    </w:lvl>
    <w:lvl w:ilvl="7" w:tplc="A6689212" w:tentative="1">
      <w:start w:val="1"/>
      <w:numFmt w:val="bullet"/>
      <w:lvlText w:val="o"/>
      <w:lvlJc w:val="left"/>
      <w:pPr>
        <w:ind w:left="5760" w:hanging="360"/>
      </w:pPr>
      <w:rPr>
        <w:rFonts w:ascii="Courier New" w:hAnsi="Courier New" w:hint="default"/>
      </w:rPr>
    </w:lvl>
    <w:lvl w:ilvl="8" w:tplc="355A38DA" w:tentative="1">
      <w:start w:val="1"/>
      <w:numFmt w:val="bullet"/>
      <w:lvlText w:val=""/>
      <w:lvlJc w:val="left"/>
      <w:pPr>
        <w:ind w:left="6480" w:hanging="360"/>
      </w:pPr>
      <w:rPr>
        <w:rFonts w:ascii="Wingdings" w:hAnsi="Wingdings" w:hint="default"/>
      </w:rPr>
    </w:lvl>
  </w:abstractNum>
  <w:abstractNum w:abstractNumId="8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90" w15:restartNumberingAfterBreak="0">
    <w:nsid w:val="60F06F86"/>
    <w:multiLevelType w:val="hybridMultilevel"/>
    <w:tmpl w:val="FFFFFFFF"/>
    <w:lvl w:ilvl="0" w:tplc="81008440">
      <w:start w:val="1"/>
      <w:numFmt w:val="bullet"/>
      <w:lvlText w:val=""/>
      <w:lvlJc w:val="left"/>
      <w:pPr>
        <w:ind w:left="720" w:hanging="360"/>
      </w:pPr>
      <w:rPr>
        <w:rFonts w:ascii="Symbol" w:hAnsi="Symbol" w:hint="default"/>
      </w:rPr>
    </w:lvl>
    <w:lvl w:ilvl="1" w:tplc="105E5F00">
      <w:start w:val="1"/>
      <w:numFmt w:val="bullet"/>
      <w:lvlText w:val="o"/>
      <w:lvlJc w:val="left"/>
      <w:pPr>
        <w:ind w:left="1440" w:hanging="360"/>
      </w:pPr>
      <w:rPr>
        <w:rFonts w:ascii="Courier New" w:hAnsi="Courier New" w:hint="default"/>
      </w:rPr>
    </w:lvl>
    <w:lvl w:ilvl="2" w:tplc="10EA1F6E">
      <w:start w:val="1"/>
      <w:numFmt w:val="bullet"/>
      <w:lvlText w:val=""/>
      <w:lvlJc w:val="left"/>
      <w:pPr>
        <w:ind w:left="2160" w:hanging="360"/>
      </w:pPr>
      <w:rPr>
        <w:rFonts w:ascii="Wingdings" w:hAnsi="Wingdings" w:hint="default"/>
      </w:rPr>
    </w:lvl>
    <w:lvl w:ilvl="3" w:tplc="2DB49DDE">
      <w:start w:val="1"/>
      <w:numFmt w:val="bullet"/>
      <w:lvlText w:val=""/>
      <w:lvlJc w:val="left"/>
      <w:pPr>
        <w:ind w:left="2880" w:hanging="360"/>
      </w:pPr>
      <w:rPr>
        <w:rFonts w:ascii="Symbol" w:hAnsi="Symbol" w:hint="default"/>
      </w:rPr>
    </w:lvl>
    <w:lvl w:ilvl="4" w:tplc="CA025E5A">
      <w:start w:val="1"/>
      <w:numFmt w:val="bullet"/>
      <w:lvlText w:val="o"/>
      <w:lvlJc w:val="left"/>
      <w:pPr>
        <w:ind w:left="3600" w:hanging="360"/>
      </w:pPr>
      <w:rPr>
        <w:rFonts w:ascii="Courier New" w:hAnsi="Courier New" w:hint="default"/>
      </w:rPr>
    </w:lvl>
    <w:lvl w:ilvl="5" w:tplc="25C2EB64">
      <w:start w:val="1"/>
      <w:numFmt w:val="bullet"/>
      <w:lvlText w:val=""/>
      <w:lvlJc w:val="left"/>
      <w:pPr>
        <w:ind w:left="4320" w:hanging="360"/>
      </w:pPr>
      <w:rPr>
        <w:rFonts w:ascii="Wingdings" w:hAnsi="Wingdings" w:hint="default"/>
      </w:rPr>
    </w:lvl>
    <w:lvl w:ilvl="6" w:tplc="019E683C">
      <w:start w:val="1"/>
      <w:numFmt w:val="bullet"/>
      <w:lvlText w:val=""/>
      <w:lvlJc w:val="left"/>
      <w:pPr>
        <w:ind w:left="5040" w:hanging="360"/>
      </w:pPr>
      <w:rPr>
        <w:rFonts w:ascii="Symbol" w:hAnsi="Symbol" w:hint="default"/>
      </w:rPr>
    </w:lvl>
    <w:lvl w:ilvl="7" w:tplc="42FAD514">
      <w:start w:val="1"/>
      <w:numFmt w:val="bullet"/>
      <w:lvlText w:val="o"/>
      <w:lvlJc w:val="left"/>
      <w:pPr>
        <w:ind w:left="5760" w:hanging="360"/>
      </w:pPr>
      <w:rPr>
        <w:rFonts w:ascii="Courier New" w:hAnsi="Courier New" w:hint="default"/>
      </w:rPr>
    </w:lvl>
    <w:lvl w:ilvl="8" w:tplc="EDBE3D74">
      <w:start w:val="1"/>
      <w:numFmt w:val="bullet"/>
      <w:lvlText w:val=""/>
      <w:lvlJc w:val="left"/>
      <w:pPr>
        <w:ind w:left="6480" w:hanging="360"/>
      </w:pPr>
      <w:rPr>
        <w:rFonts w:ascii="Wingdings" w:hAnsi="Wingdings" w:hint="default"/>
      </w:rPr>
    </w:lvl>
  </w:abstractNum>
  <w:abstractNum w:abstractNumId="91" w15:restartNumberingAfterBreak="0">
    <w:nsid w:val="61861072"/>
    <w:multiLevelType w:val="hybridMultilevel"/>
    <w:tmpl w:val="190404D6"/>
    <w:lvl w:ilvl="0" w:tplc="F0EE6CFE">
      <w:start w:val="5"/>
      <w:numFmt w:val="bullet"/>
      <w:lvlText w:val="-"/>
      <w:lvlJc w:val="left"/>
      <w:pPr>
        <w:ind w:left="720" w:hanging="360"/>
      </w:pPr>
      <w:rPr>
        <w:rFonts w:ascii="Arial" w:hAnsi="Arial" w:hint="default"/>
      </w:rPr>
    </w:lvl>
    <w:lvl w:ilvl="1" w:tplc="B4049CBC">
      <w:start w:val="1"/>
      <w:numFmt w:val="bullet"/>
      <w:lvlText w:val="o"/>
      <w:lvlJc w:val="left"/>
      <w:pPr>
        <w:ind w:left="1440" w:hanging="360"/>
      </w:pPr>
      <w:rPr>
        <w:rFonts w:ascii="Courier New" w:hAnsi="Courier New" w:hint="default"/>
      </w:rPr>
    </w:lvl>
    <w:lvl w:ilvl="2" w:tplc="7004C9BA" w:tentative="1">
      <w:start w:val="1"/>
      <w:numFmt w:val="bullet"/>
      <w:lvlText w:val=""/>
      <w:lvlJc w:val="left"/>
      <w:pPr>
        <w:ind w:left="2160" w:hanging="360"/>
      </w:pPr>
      <w:rPr>
        <w:rFonts w:ascii="Wingdings" w:hAnsi="Wingdings" w:hint="default"/>
      </w:rPr>
    </w:lvl>
    <w:lvl w:ilvl="3" w:tplc="84C03CB8" w:tentative="1">
      <w:start w:val="1"/>
      <w:numFmt w:val="bullet"/>
      <w:lvlText w:val=""/>
      <w:lvlJc w:val="left"/>
      <w:pPr>
        <w:ind w:left="2880" w:hanging="360"/>
      </w:pPr>
      <w:rPr>
        <w:rFonts w:ascii="Symbol" w:hAnsi="Symbol" w:hint="default"/>
      </w:rPr>
    </w:lvl>
    <w:lvl w:ilvl="4" w:tplc="D3CA82DA" w:tentative="1">
      <w:start w:val="1"/>
      <w:numFmt w:val="bullet"/>
      <w:lvlText w:val="o"/>
      <w:lvlJc w:val="left"/>
      <w:pPr>
        <w:ind w:left="3600" w:hanging="360"/>
      </w:pPr>
      <w:rPr>
        <w:rFonts w:ascii="Courier New" w:hAnsi="Courier New" w:hint="default"/>
      </w:rPr>
    </w:lvl>
    <w:lvl w:ilvl="5" w:tplc="57CCADFA" w:tentative="1">
      <w:start w:val="1"/>
      <w:numFmt w:val="bullet"/>
      <w:lvlText w:val=""/>
      <w:lvlJc w:val="left"/>
      <w:pPr>
        <w:ind w:left="4320" w:hanging="360"/>
      </w:pPr>
      <w:rPr>
        <w:rFonts w:ascii="Wingdings" w:hAnsi="Wingdings" w:hint="default"/>
      </w:rPr>
    </w:lvl>
    <w:lvl w:ilvl="6" w:tplc="C512C994" w:tentative="1">
      <w:start w:val="1"/>
      <w:numFmt w:val="bullet"/>
      <w:lvlText w:val=""/>
      <w:lvlJc w:val="left"/>
      <w:pPr>
        <w:ind w:left="5040" w:hanging="360"/>
      </w:pPr>
      <w:rPr>
        <w:rFonts w:ascii="Symbol" w:hAnsi="Symbol" w:hint="default"/>
      </w:rPr>
    </w:lvl>
    <w:lvl w:ilvl="7" w:tplc="D0002894" w:tentative="1">
      <w:start w:val="1"/>
      <w:numFmt w:val="bullet"/>
      <w:lvlText w:val="o"/>
      <w:lvlJc w:val="left"/>
      <w:pPr>
        <w:ind w:left="5760" w:hanging="360"/>
      </w:pPr>
      <w:rPr>
        <w:rFonts w:ascii="Courier New" w:hAnsi="Courier New" w:hint="default"/>
      </w:rPr>
    </w:lvl>
    <w:lvl w:ilvl="8" w:tplc="3B24464A" w:tentative="1">
      <w:start w:val="1"/>
      <w:numFmt w:val="bullet"/>
      <w:lvlText w:val=""/>
      <w:lvlJc w:val="left"/>
      <w:pPr>
        <w:ind w:left="6480" w:hanging="360"/>
      </w:pPr>
      <w:rPr>
        <w:rFonts w:ascii="Wingdings" w:hAnsi="Wingdings" w:hint="default"/>
      </w:rPr>
    </w:lvl>
  </w:abstractNum>
  <w:abstractNum w:abstractNumId="92"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635638F5"/>
    <w:multiLevelType w:val="hybridMultilevel"/>
    <w:tmpl w:val="77BAB03C"/>
    <w:lvl w:ilvl="0" w:tplc="6158F4CE">
      <w:start w:val="1"/>
      <w:numFmt w:val="bullet"/>
      <w:lvlText w:val=""/>
      <w:lvlJc w:val="left"/>
      <w:pPr>
        <w:ind w:left="1440" w:hanging="360"/>
      </w:pPr>
      <w:rPr>
        <w:rFonts w:ascii="Symbol" w:hAnsi="Symbol" w:hint="default"/>
      </w:rPr>
    </w:lvl>
    <w:lvl w:ilvl="1" w:tplc="09205F5A" w:tentative="1">
      <w:start w:val="1"/>
      <w:numFmt w:val="bullet"/>
      <w:lvlText w:val="o"/>
      <w:lvlJc w:val="left"/>
      <w:pPr>
        <w:ind w:left="2160" w:hanging="360"/>
      </w:pPr>
      <w:rPr>
        <w:rFonts w:ascii="Courier New" w:hAnsi="Courier New" w:hint="default"/>
      </w:rPr>
    </w:lvl>
    <w:lvl w:ilvl="2" w:tplc="57CCB0BE" w:tentative="1">
      <w:start w:val="1"/>
      <w:numFmt w:val="bullet"/>
      <w:lvlText w:val=""/>
      <w:lvlJc w:val="left"/>
      <w:pPr>
        <w:ind w:left="2880" w:hanging="360"/>
      </w:pPr>
      <w:rPr>
        <w:rFonts w:ascii="Wingdings" w:hAnsi="Wingdings" w:hint="default"/>
      </w:rPr>
    </w:lvl>
    <w:lvl w:ilvl="3" w:tplc="0F4AEB1A" w:tentative="1">
      <w:start w:val="1"/>
      <w:numFmt w:val="bullet"/>
      <w:lvlText w:val=""/>
      <w:lvlJc w:val="left"/>
      <w:pPr>
        <w:ind w:left="3600" w:hanging="360"/>
      </w:pPr>
      <w:rPr>
        <w:rFonts w:ascii="Symbol" w:hAnsi="Symbol" w:hint="default"/>
      </w:rPr>
    </w:lvl>
    <w:lvl w:ilvl="4" w:tplc="E62E1602" w:tentative="1">
      <w:start w:val="1"/>
      <w:numFmt w:val="bullet"/>
      <w:lvlText w:val="o"/>
      <w:lvlJc w:val="left"/>
      <w:pPr>
        <w:ind w:left="4320" w:hanging="360"/>
      </w:pPr>
      <w:rPr>
        <w:rFonts w:ascii="Courier New" w:hAnsi="Courier New" w:hint="default"/>
      </w:rPr>
    </w:lvl>
    <w:lvl w:ilvl="5" w:tplc="B9F0DC66" w:tentative="1">
      <w:start w:val="1"/>
      <w:numFmt w:val="bullet"/>
      <w:lvlText w:val=""/>
      <w:lvlJc w:val="left"/>
      <w:pPr>
        <w:ind w:left="5040" w:hanging="360"/>
      </w:pPr>
      <w:rPr>
        <w:rFonts w:ascii="Wingdings" w:hAnsi="Wingdings" w:hint="default"/>
      </w:rPr>
    </w:lvl>
    <w:lvl w:ilvl="6" w:tplc="F850D1D8" w:tentative="1">
      <w:start w:val="1"/>
      <w:numFmt w:val="bullet"/>
      <w:lvlText w:val=""/>
      <w:lvlJc w:val="left"/>
      <w:pPr>
        <w:ind w:left="5760" w:hanging="360"/>
      </w:pPr>
      <w:rPr>
        <w:rFonts w:ascii="Symbol" w:hAnsi="Symbol" w:hint="default"/>
      </w:rPr>
    </w:lvl>
    <w:lvl w:ilvl="7" w:tplc="D21E7B1E" w:tentative="1">
      <w:start w:val="1"/>
      <w:numFmt w:val="bullet"/>
      <w:lvlText w:val="o"/>
      <w:lvlJc w:val="left"/>
      <w:pPr>
        <w:ind w:left="6480" w:hanging="360"/>
      </w:pPr>
      <w:rPr>
        <w:rFonts w:ascii="Courier New" w:hAnsi="Courier New" w:hint="default"/>
      </w:rPr>
    </w:lvl>
    <w:lvl w:ilvl="8" w:tplc="8EE20152" w:tentative="1">
      <w:start w:val="1"/>
      <w:numFmt w:val="bullet"/>
      <w:lvlText w:val=""/>
      <w:lvlJc w:val="left"/>
      <w:pPr>
        <w:ind w:left="7200" w:hanging="360"/>
      </w:pPr>
      <w:rPr>
        <w:rFonts w:ascii="Wingdings" w:hAnsi="Wingdings" w:hint="default"/>
      </w:rPr>
    </w:lvl>
  </w:abstractNum>
  <w:abstractNum w:abstractNumId="94" w15:restartNumberingAfterBreak="0">
    <w:nsid w:val="643626B4"/>
    <w:multiLevelType w:val="hybridMultilevel"/>
    <w:tmpl w:val="E6CA5CE8"/>
    <w:lvl w:ilvl="0" w:tplc="9DDEE026">
      <w:start w:val="1"/>
      <w:numFmt w:val="bullet"/>
      <w:lvlText w:val=""/>
      <w:lvlJc w:val="left"/>
      <w:pPr>
        <w:ind w:left="720" w:hanging="360"/>
      </w:pPr>
      <w:rPr>
        <w:rFonts w:ascii="Symbol" w:hAnsi="Symbol" w:hint="default"/>
      </w:rPr>
    </w:lvl>
    <w:lvl w:ilvl="1" w:tplc="AD4CDB10" w:tentative="1">
      <w:start w:val="1"/>
      <w:numFmt w:val="bullet"/>
      <w:lvlText w:val="o"/>
      <w:lvlJc w:val="left"/>
      <w:pPr>
        <w:ind w:left="1440" w:hanging="360"/>
      </w:pPr>
      <w:rPr>
        <w:rFonts w:ascii="Courier New" w:hAnsi="Courier New" w:hint="default"/>
      </w:rPr>
    </w:lvl>
    <w:lvl w:ilvl="2" w:tplc="B4E09618" w:tentative="1">
      <w:start w:val="1"/>
      <w:numFmt w:val="bullet"/>
      <w:lvlText w:val=""/>
      <w:lvlJc w:val="left"/>
      <w:pPr>
        <w:ind w:left="2160" w:hanging="360"/>
      </w:pPr>
      <w:rPr>
        <w:rFonts w:ascii="Wingdings" w:hAnsi="Wingdings" w:hint="default"/>
      </w:rPr>
    </w:lvl>
    <w:lvl w:ilvl="3" w:tplc="BF06C338" w:tentative="1">
      <w:start w:val="1"/>
      <w:numFmt w:val="bullet"/>
      <w:lvlText w:val=""/>
      <w:lvlJc w:val="left"/>
      <w:pPr>
        <w:ind w:left="2880" w:hanging="360"/>
      </w:pPr>
      <w:rPr>
        <w:rFonts w:ascii="Symbol" w:hAnsi="Symbol" w:hint="default"/>
      </w:rPr>
    </w:lvl>
    <w:lvl w:ilvl="4" w:tplc="ECF2C25A" w:tentative="1">
      <w:start w:val="1"/>
      <w:numFmt w:val="bullet"/>
      <w:lvlText w:val="o"/>
      <w:lvlJc w:val="left"/>
      <w:pPr>
        <w:ind w:left="3600" w:hanging="360"/>
      </w:pPr>
      <w:rPr>
        <w:rFonts w:ascii="Courier New" w:hAnsi="Courier New" w:hint="default"/>
      </w:rPr>
    </w:lvl>
    <w:lvl w:ilvl="5" w:tplc="69EE6064" w:tentative="1">
      <w:start w:val="1"/>
      <w:numFmt w:val="bullet"/>
      <w:lvlText w:val=""/>
      <w:lvlJc w:val="left"/>
      <w:pPr>
        <w:ind w:left="4320" w:hanging="360"/>
      </w:pPr>
      <w:rPr>
        <w:rFonts w:ascii="Wingdings" w:hAnsi="Wingdings" w:hint="default"/>
      </w:rPr>
    </w:lvl>
    <w:lvl w:ilvl="6" w:tplc="6B204612" w:tentative="1">
      <w:start w:val="1"/>
      <w:numFmt w:val="bullet"/>
      <w:lvlText w:val=""/>
      <w:lvlJc w:val="left"/>
      <w:pPr>
        <w:ind w:left="5040" w:hanging="360"/>
      </w:pPr>
      <w:rPr>
        <w:rFonts w:ascii="Symbol" w:hAnsi="Symbol" w:hint="default"/>
      </w:rPr>
    </w:lvl>
    <w:lvl w:ilvl="7" w:tplc="721E7F8A" w:tentative="1">
      <w:start w:val="1"/>
      <w:numFmt w:val="bullet"/>
      <w:lvlText w:val="o"/>
      <w:lvlJc w:val="left"/>
      <w:pPr>
        <w:ind w:left="5760" w:hanging="360"/>
      </w:pPr>
      <w:rPr>
        <w:rFonts w:ascii="Courier New" w:hAnsi="Courier New" w:hint="default"/>
      </w:rPr>
    </w:lvl>
    <w:lvl w:ilvl="8" w:tplc="5CD028D8" w:tentative="1">
      <w:start w:val="1"/>
      <w:numFmt w:val="bullet"/>
      <w:lvlText w:val=""/>
      <w:lvlJc w:val="left"/>
      <w:pPr>
        <w:ind w:left="6480" w:hanging="360"/>
      </w:pPr>
      <w:rPr>
        <w:rFonts w:ascii="Wingdings" w:hAnsi="Wingdings" w:hint="default"/>
      </w:rPr>
    </w:lvl>
  </w:abstractNum>
  <w:abstractNum w:abstractNumId="95" w15:restartNumberingAfterBreak="0">
    <w:nsid w:val="66006645"/>
    <w:multiLevelType w:val="hybridMultilevel"/>
    <w:tmpl w:val="6E1CA87E"/>
    <w:lvl w:ilvl="0" w:tplc="352E9BDA">
      <w:start w:val="1"/>
      <w:numFmt w:val="bullet"/>
      <w:lvlText w:val=""/>
      <w:lvlJc w:val="left"/>
      <w:pPr>
        <w:ind w:left="720" w:hanging="360"/>
      </w:pPr>
      <w:rPr>
        <w:rFonts w:ascii="Symbol" w:hAnsi="Symbol" w:hint="default"/>
      </w:rPr>
    </w:lvl>
    <w:lvl w:ilvl="1" w:tplc="A7D297F2" w:tentative="1">
      <w:start w:val="1"/>
      <w:numFmt w:val="bullet"/>
      <w:lvlText w:val="o"/>
      <w:lvlJc w:val="left"/>
      <w:pPr>
        <w:ind w:left="1440" w:hanging="360"/>
      </w:pPr>
      <w:rPr>
        <w:rFonts w:ascii="Courier New" w:hAnsi="Courier New" w:hint="default"/>
      </w:rPr>
    </w:lvl>
    <w:lvl w:ilvl="2" w:tplc="B1522292" w:tentative="1">
      <w:start w:val="1"/>
      <w:numFmt w:val="bullet"/>
      <w:lvlText w:val=""/>
      <w:lvlJc w:val="left"/>
      <w:pPr>
        <w:ind w:left="2160" w:hanging="360"/>
      </w:pPr>
      <w:rPr>
        <w:rFonts w:ascii="Wingdings" w:hAnsi="Wingdings" w:hint="default"/>
      </w:rPr>
    </w:lvl>
    <w:lvl w:ilvl="3" w:tplc="AE907C58" w:tentative="1">
      <w:start w:val="1"/>
      <w:numFmt w:val="bullet"/>
      <w:lvlText w:val=""/>
      <w:lvlJc w:val="left"/>
      <w:pPr>
        <w:ind w:left="2880" w:hanging="360"/>
      </w:pPr>
      <w:rPr>
        <w:rFonts w:ascii="Symbol" w:hAnsi="Symbol" w:hint="default"/>
      </w:rPr>
    </w:lvl>
    <w:lvl w:ilvl="4" w:tplc="9C3E924E" w:tentative="1">
      <w:start w:val="1"/>
      <w:numFmt w:val="bullet"/>
      <w:lvlText w:val="o"/>
      <w:lvlJc w:val="left"/>
      <w:pPr>
        <w:ind w:left="3600" w:hanging="360"/>
      </w:pPr>
      <w:rPr>
        <w:rFonts w:ascii="Courier New" w:hAnsi="Courier New" w:hint="default"/>
      </w:rPr>
    </w:lvl>
    <w:lvl w:ilvl="5" w:tplc="228480E2" w:tentative="1">
      <w:start w:val="1"/>
      <w:numFmt w:val="bullet"/>
      <w:lvlText w:val=""/>
      <w:lvlJc w:val="left"/>
      <w:pPr>
        <w:ind w:left="4320" w:hanging="360"/>
      </w:pPr>
      <w:rPr>
        <w:rFonts w:ascii="Wingdings" w:hAnsi="Wingdings" w:hint="default"/>
      </w:rPr>
    </w:lvl>
    <w:lvl w:ilvl="6" w:tplc="E5DA79D4" w:tentative="1">
      <w:start w:val="1"/>
      <w:numFmt w:val="bullet"/>
      <w:lvlText w:val=""/>
      <w:lvlJc w:val="left"/>
      <w:pPr>
        <w:ind w:left="5040" w:hanging="360"/>
      </w:pPr>
      <w:rPr>
        <w:rFonts w:ascii="Symbol" w:hAnsi="Symbol" w:hint="default"/>
      </w:rPr>
    </w:lvl>
    <w:lvl w:ilvl="7" w:tplc="22800898" w:tentative="1">
      <w:start w:val="1"/>
      <w:numFmt w:val="bullet"/>
      <w:lvlText w:val="o"/>
      <w:lvlJc w:val="left"/>
      <w:pPr>
        <w:ind w:left="5760" w:hanging="360"/>
      </w:pPr>
      <w:rPr>
        <w:rFonts w:ascii="Courier New" w:hAnsi="Courier New" w:hint="default"/>
      </w:rPr>
    </w:lvl>
    <w:lvl w:ilvl="8" w:tplc="0C06C258" w:tentative="1">
      <w:start w:val="1"/>
      <w:numFmt w:val="bullet"/>
      <w:lvlText w:val=""/>
      <w:lvlJc w:val="left"/>
      <w:pPr>
        <w:ind w:left="6480" w:hanging="360"/>
      </w:pPr>
      <w:rPr>
        <w:rFonts w:ascii="Wingdings" w:hAnsi="Wingdings" w:hint="default"/>
      </w:rPr>
    </w:lvl>
  </w:abstractNum>
  <w:abstractNum w:abstractNumId="96" w15:restartNumberingAfterBreak="0">
    <w:nsid w:val="66285F8D"/>
    <w:multiLevelType w:val="hybridMultilevel"/>
    <w:tmpl w:val="D52CA07C"/>
    <w:lvl w:ilvl="0" w:tplc="3F786A02">
      <w:start w:val="1"/>
      <w:numFmt w:val="bullet"/>
      <w:lvlText w:val=""/>
      <w:lvlJc w:val="left"/>
      <w:pPr>
        <w:ind w:left="1922" w:hanging="360"/>
      </w:pPr>
      <w:rPr>
        <w:rFonts w:ascii="Symbol" w:hAnsi="Symbol" w:hint="default"/>
      </w:rPr>
    </w:lvl>
    <w:lvl w:ilvl="1" w:tplc="4A867D6A" w:tentative="1">
      <w:start w:val="1"/>
      <w:numFmt w:val="bullet"/>
      <w:lvlText w:val="o"/>
      <w:lvlJc w:val="left"/>
      <w:pPr>
        <w:ind w:left="2642" w:hanging="360"/>
      </w:pPr>
      <w:rPr>
        <w:rFonts w:ascii="Courier New" w:hAnsi="Courier New" w:hint="default"/>
      </w:rPr>
    </w:lvl>
    <w:lvl w:ilvl="2" w:tplc="DD42BD7A" w:tentative="1">
      <w:start w:val="1"/>
      <w:numFmt w:val="bullet"/>
      <w:lvlText w:val=""/>
      <w:lvlJc w:val="left"/>
      <w:pPr>
        <w:ind w:left="3362" w:hanging="360"/>
      </w:pPr>
      <w:rPr>
        <w:rFonts w:ascii="Wingdings" w:hAnsi="Wingdings" w:hint="default"/>
      </w:rPr>
    </w:lvl>
    <w:lvl w:ilvl="3" w:tplc="A828B760" w:tentative="1">
      <w:start w:val="1"/>
      <w:numFmt w:val="bullet"/>
      <w:lvlText w:val=""/>
      <w:lvlJc w:val="left"/>
      <w:pPr>
        <w:ind w:left="4082" w:hanging="360"/>
      </w:pPr>
      <w:rPr>
        <w:rFonts w:ascii="Symbol" w:hAnsi="Symbol" w:hint="default"/>
      </w:rPr>
    </w:lvl>
    <w:lvl w:ilvl="4" w:tplc="7F707E76" w:tentative="1">
      <w:start w:val="1"/>
      <w:numFmt w:val="bullet"/>
      <w:lvlText w:val="o"/>
      <w:lvlJc w:val="left"/>
      <w:pPr>
        <w:ind w:left="4802" w:hanging="360"/>
      </w:pPr>
      <w:rPr>
        <w:rFonts w:ascii="Courier New" w:hAnsi="Courier New" w:hint="default"/>
      </w:rPr>
    </w:lvl>
    <w:lvl w:ilvl="5" w:tplc="E1A06070" w:tentative="1">
      <w:start w:val="1"/>
      <w:numFmt w:val="bullet"/>
      <w:lvlText w:val=""/>
      <w:lvlJc w:val="left"/>
      <w:pPr>
        <w:ind w:left="5522" w:hanging="360"/>
      </w:pPr>
      <w:rPr>
        <w:rFonts w:ascii="Wingdings" w:hAnsi="Wingdings" w:hint="default"/>
      </w:rPr>
    </w:lvl>
    <w:lvl w:ilvl="6" w:tplc="28465508" w:tentative="1">
      <w:start w:val="1"/>
      <w:numFmt w:val="bullet"/>
      <w:lvlText w:val=""/>
      <w:lvlJc w:val="left"/>
      <w:pPr>
        <w:ind w:left="6242" w:hanging="360"/>
      </w:pPr>
      <w:rPr>
        <w:rFonts w:ascii="Symbol" w:hAnsi="Symbol" w:hint="default"/>
      </w:rPr>
    </w:lvl>
    <w:lvl w:ilvl="7" w:tplc="89782972" w:tentative="1">
      <w:start w:val="1"/>
      <w:numFmt w:val="bullet"/>
      <w:lvlText w:val="o"/>
      <w:lvlJc w:val="left"/>
      <w:pPr>
        <w:ind w:left="6962" w:hanging="360"/>
      </w:pPr>
      <w:rPr>
        <w:rFonts w:ascii="Courier New" w:hAnsi="Courier New" w:hint="default"/>
      </w:rPr>
    </w:lvl>
    <w:lvl w:ilvl="8" w:tplc="53E604B4" w:tentative="1">
      <w:start w:val="1"/>
      <w:numFmt w:val="bullet"/>
      <w:lvlText w:val=""/>
      <w:lvlJc w:val="left"/>
      <w:pPr>
        <w:ind w:left="7682" w:hanging="360"/>
      </w:pPr>
      <w:rPr>
        <w:rFonts w:ascii="Wingdings" w:hAnsi="Wingdings" w:hint="default"/>
      </w:rPr>
    </w:lvl>
  </w:abstractNum>
  <w:abstractNum w:abstractNumId="97" w15:restartNumberingAfterBreak="0">
    <w:nsid w:val="664D7229"/>
    <w:multiLevelType w:val="hybridMultilevel"/>
    <w:tmpl w:val="C85A9C70"/>
    <w:lvl w:ilvl="0" w:tplc="A2B6CB0A">
      <w:start w:val="1"/>
      <w:numFmt w:val="bullet"/>
      <w:lvlText w:val=""/>
      <w:lvlJc w:val="left"/>
      <w:pPr>
        <w:ind w:left="720" w:hanging="360"/>
      </w:pPr>
      <w:rPr>
        <w:rFonts w:ascii="Symbol" w:hAnsi="Symbol" w:hint="default"/>
      </w:rPr>
    </w:lvl>
    <w:lvl w:ilvl="1" w:tplc="E6F4D048" w:tentative="1">
      <w:start w:val="1"/>
      <w:numFmt w:val="bullet"/>
      <w:lvlText w:val="o"/>
      <w:lvlJc w:val="left"/>
      <w:pPr>
        <w:ind w:left="1440" w:hanging="360"/>
      </w:pPr>
      <w:rPr>
        <w:rFonts w:ascii="Courier New" w:hAnsi="Courier New" w:hint="default"/>
      </w:rPr>
    </w:lvl>
    <w:lvl w:ilvl="2" w:tplc="F29E35F8" w:tentative="1">
      <w:start w:val="1"/>
      <w:numFmt w:val="bullet"/>
      <w:lvlText w:val=""/>
      <w:lvlJc w:val="left"/>
      <w:pPr>
        <w:ind w:left="2160" w:hanging="360"/>
      </w:pPr>
      <w:rPr>
        <w:rFonts w:ascii="Wingdings" w:hAnsi="Wingdings" w:hint="default"/>
      </w:rPr>
    </w:lvl>
    <w:lvl w:ilvl="3" w:tplc="EC80965C" w:tentative="1">
      <w:start w:val="1"/>
      <w:numFmt w:val="bullet"/>
      <w:lvlText w:val=""/>
      <w:lvlJc w:val="left"/>
      <w:pPr>
        <w:ind w:left="2880" w:hanging="360"/>
      </w:pPr>
      <w:rPr>
        <w:rFonts w:ascii="Symbol" w:hAnsi="Symbol" w:hint="default"/>
      </w:rPr>
    </w:lvl>
    <w:lvl w:ilvl="4" w:tplc="AB2ADC86" w:tentative="1">
      <w:start w:val="1"/>
      <w:numFmt w:val="bullet"/>
      <w:lvlText w:val="o"/>
      <w:lvlJc w:val="left"/>
      <w:pPr>
        <w:ind w:left="3600" w:hanging="360"/>
      </w:pPr>
      <w:rPr>
        <w:rFonts w:ascii="Courier New" w:hAnsi="Courier New" w:hint="default"/>
      </w:rPr>
    </w:lvl>
    <w:lvl w:ilvl="5" w:tplc="8318963E" w:tentative="1">
      <w:start w:val="1"/>
      <w:numFmt w:val="bullet"/>
      <w:lvlText w:val=""/>
      <w:lvlJc w:val="left"/>
      <w:pPr>
        <w:ind w:left="4320" w:hanging="360"/>
      </w:pPr>
      <w:rPr>
        <w:rFonts w:ascii="Wingdings" w:hAnsi="Wingdings" w:hint="default"/>
      </w:rPr>
    </w:lvl>
    <w:lvl w:ilvl="6" w:tplc="38489938" w:tentative="1">
      <w:start w:val="1"/>
      <w:numFmt w:val="bullet"/>
      <w:lvlText w:val=""/>
      <w:lvlJc w:val="left"/>
      <w:pPr>
        <w:ind w:left="5040" w:hanging="360"/>
      </w:pPr>
      <w:rPr>
        <w:rFonts w:ascii="Symbol" w:hAnsi="Symbol" w:hint="default"/>
      </w:rPr>
    </w:lvl>
    <w:lvl w:ilvl="7" w:tplc="8A0C6B50" w:tentative="1">
      <w:start w:val="1"/>
      <w:numFmt w:val="bullet"/>
      <w:lvlText w:val="o"/>
      <w:lvlJc w:val="left"/>
      <w:pPr>
        <w:ind w:left="5760" w:hanging="360"/>
      </w:pPr>
      <w:rPr>
        <w:rFonts w:ascii="Courier New" w:hAnsi="Courier New" w:hint="default"/>
      </w:rPr>
    </w:lvl>
    <w:lvl w:ilvl="8" w:tplc="741261B4" w:tentative="1">
      <w:start w:val="1"/>
      <w:numFmt w:val="bullet"/>
      <w:lvlText w:val=""/>
      <w:lvlJc w:val="left"/>
      <w:pPr>
        <w:ind w:left="6480" w:hanging="360"/>
      </w:pPr>
      <w:rPr>
        <w:rFonts w:ascii="Wingdings" w:hAnsi="Wingdings" w:hint="default"/>
      </w:rPr>
    </w:lvl>
  </w:abstractNum>
  <w:abstractNum w:abstractNumId="98" w15:restartNumberingAfterBreak="0">
    <w:nsid w:val="68403A8E"/>
    <w:multiLevelType w:val="multilevel"/>
    <w:tmpl w:val="D26C25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9" w15:restartNumberingAfterBreak="0">
    <w:nsid w:val="6A465E93"/>
    <w:multiLevelType w:val="multilevel"/>
    <w:tmpl w:val="7A64D9D0"/>
    <w:lvl w:ilvl="0">
      <w:start w:val="1"/>
      <w:numFmt w:val="decimal"/>
      <w:lvlText w:val="%1."/>
      <w:lvlJc w:val="left"/>
      <w:pPr>
        <w:tabs>
          <w:tab w:val="num" w:pos="720"/>
        </w:tabs>
        <w:ind w:left="720" w:hanging="360"/>
      </w:pPr>
    </w:lvl>
    <w:lvl w:ilvl="1">
      <w:start w:val="1"/>
      <w:numFmt w:val="decimal"/>
      <w:lvlText w:val="%1.%2"/>
      <w:lvlJc w:val="left"/>
      <w:pPr>
        <w:ind w:left="950" w:hanging="59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0" w15:restartNumberingAfterBreak="0">
    <w:nsid w:val="6AF34A94"/>
    <w:multiLevelType w:val="multilevel"/>
    <w:tmpl w:val="1BF85CE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7808"/>
        </w:tabs>
        <w:ind w:left="7808" w:hanging="720"/>
      </w:pPr>
      <w:rPr>
        <w:rFonts w:hint="default"/>
        <w:b w:val="0"/>
        <w:bCs/>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1" w15:restartNumberingAfterBreak="0">
    <w:nsid w:val="6B502574"/>
    <w:multiLevelType w:val="multilevel"/>
    <w:tmpl w:val="0CA8E93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ind w:left="2160" w:hanging="360"/>
      </w:p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2" w15:restartNumberingAfterBreak="0">
    <w:nsid w:val="6C6C9439"/>
    <w:multiLevelType w:val="hybridMultilevel"/>
    <w:tmpl w:val="FFFFFFFF"/>
    <w:lvl w:ilvl="0" w:tplc="1C4E5212">
      <w:start w:val="1"/>
      <w:numFmt w:val="bullet"/>
      <w:lvlText w:val="·"/>
      <w:lvlJc w:val="left"/>
      <w:pPr>
        <w:ind w:left="720" w:hanging="360"/>
      </w:pPr>
      <w:rPr>
        <w:rFonts w:ascii="Symbol" w:hAnsi="Symbol" w:hint="default"/>
      </w:rPr>
    </w:lvl>
    <w:lvl w:ilvl="1" w:tplc="F6E6561A">
      <w:start w:val="1"/>
      <w:numFmt w:val="bullet"/>
      <w:lvlText w:val="o"/>
      <w:lvlJc w:val="left"/>
      <w:pPr>
        <w:ind w:left="1440" w:hanging="360"/>
      </w:pPr>
      <w:rPr>
        <w:rFonts w:ascii="Courier New" w:hAnsi="Courier New" w:hint="default"/>
      </w:rPr>
    </w:lvl>
    <w:lvl w:ilvl="2" w:tplc="B3125FFE">
      <w:start w:val="1"/>
      <w:numFmt w:val="bullet"/>
      <w:lvlText w:val=""/>
      <w:lvlJc w:val="left"/>
      <w:pPr>
        <w:ind w:left="2160" w:hanging="360"/>
      </w:pPr>
      <w:rPr>
        <w:rFonts w:ascii="Wingdings" w:hAnsi="Wingdings" w:hint="default"/>
      </w:rPr>
    </w:lvl>
    <w:lvl w:ilvl="3" w:tplc="0ED0822E">
      <w:start w:val="1"/>
      <w:numFmt w:val="bullet"/>
      <w:lvlText w:val=""/>
      <w:lvlJc w:val="left"/>
      <w:pPr>
        <w:ind w:left="2880" w:hanging="360"/>
      </w:pPr>
      <w:rPr>
        <w:rFonts w:ascii="Symbol" w:hAnsi="Symbol" w:hint="default"/>
      </w:rPr>
    </w:lvl>
    <w:lvl w:ilvl="4" w:tplc="C65666CE">
      <w:start w:val="1"/>
      <w:numFmt w:val="bullet"/>
      <w:lvlText w:val="o"/>
      <w:lvlJc w:val="left"/>
      <w:pPr>
        <w:ind w:left="3600" w:hanging="360"/>
      </w:pPr>
      <w:rPr>
        <w:rFonts w:ascii="Courier New" w:hAnsi="Courier New" w:hint="default"/>
      </w:rPr>
    </w:lvl>
    <w:lvl w:ilvl="5" w:tplc="4B660280">
      <w:start w:val="1"/>
      <w:numFmt w:val="bullet"/>
      <w:lvlText w:val=""/>
      <w:lvlJc w:val="left"/>
      <w:pPr>
        <w:ind w:left="4320" w:hanging="360"/>
      </w:pPr>
      <w:rPr>
        <w:rFonts w:ascii="Wingdings" w:hAnsi="Wingdings" w:hint="default"/>
      </w:rPr>
    </w:lvl>
    <w:lvl w:ilvl="6" w:tplc="3CF4CFF4">
      <w:start w:val="1"/>
      <w:numFmt w:val="bullet"/>
      <w:lvlText w:val=""/>
      <w:lvlJc w:val="left"/>
      <w:pPr>
        <w:ind w:left="5040" w:hanging="360"/>
      </w:pPr>
      <w:rPr>
        <w:rFonts w:ascii="Symbol" w:hAnsi="Symbol" w:hint="default"/>
      </w:rPr>
    </w:lvl>
    <w:lvl w:ilvl="7" w:tplc="7F880EE2">
      <w:start w:val="1"/>
      <w:numFmt w:val="bullet"/>
      <w:lvlText w:val="o"/>
      <w:lvlJc w:val="left"/>
      <w:pPr>
        <w:ind w:left="5760" w:hanging="360"/>
      </w:pPr>
      <w:rPr>
        <w:rFonts w:ascii="Courier New" w:hAnsi="Courier New" w:hint="default"/>
      </w:rPr>
    </w:lvl>
    <w:lvl w:ilvl="8" w:tplc="3276395E">
      <w:start w:val="1"/>
      <w:numFmt w:val="bullet"/>
      <w:lvlText w:val=""/>
      <w:lvlJc w:val="left"/>
      <w:pPr>
        <w:ind w:left="6480" w:hanging="360"/>
      </w:pPr>
      <w:rPr>
        <w:rFonts w:ascii="Wingdings" w:hAnsi="Wingdings" w:hint="default"/>
      </w:rPr>
    </w:lvl>
  </w:abstractNum>
  <w:abstractNum w:abstractNumId="103" w15:restartNumberingAfterBreak="0">
    <w:nsid w:val="6DFA57F0"/>
    <w:multiLevelType w:val="multilevel"/>
    <w:tmpl w:val="489E459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4" w15:restartNumberingAfterBreak="0">
    <w:nsid w:val="715A5EC1"/>
    <w:multiLevelType w:val="hybridMultilevel"/>
    <w:tmpl w:val="AAC6E8F0"/>
    <w:lvl w:ilvl="0" w:tplc="C59EEAB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5" w15:restartNumberingAfterBreak="0">
    <w:nsid w:val="72508520"/>
    <w:multiLevelType w:val="hybridMultilevel"/>
    <w:tmpl w:val="FFFFFFFF"/>
    <w:lvl w:ilvl="0" w:tplc="C2086242">
      <w:start w:val="1"/>
      <w:numFmt w:val="bullet"/>
      <w:lvlText w:val="-"/>
      <w:lvlJc w:val="left"/>
      <w:pPr>
        <w:ind w:left="720" w:hanging="360"/>
      </w:pPr>
      <w:rPr>
        <w:rFonts w:ascii="Aptos" w:hAnsi="Aptos" w:hint="default"/>
      </w:rPr>
    </w:lvl>
    <w:lvl w:ilvl="1" w:tplc="ECCCFD0C">
      <w:start w:val="1"/>
      <w:numFmt w:val="bullet"/>
      <w:lvlText w:val="o"/>
      <w:lvlJc w:val="left"/>
      <w:pPr>
        <w:ind w:left="1440" w:hanging="360"/>
      </w:pPr>
      <w:rPr>
        <w:rFonts w:ascii="Courier New" w:hAnsi="Courier New" w:hint="default"/>
      </w:rPr>
    </w:lvl>
    <w:lvl w:ilvl="2" w:tplc="3B84ADB2">
      <w:start w:val="1"/>
      <w:numFmt w:val="bullet"/>
      <w:lvlText w:val=""/>
      <w:lvlJc w:val="left"/>
      <w:pPr>
        <w:ind w:left="2160" w:hanging="360"/>
      </w:pPr>
      <w:rPr>
        <w:rFonts w:ascii="Wingdings" w:hAnsi="Wingdings" w:hint="default"/>
      </w:rPr>
    </w:lvl>
    <w:lvl w:ilvl="3" w:tplc="2604B770">
      <w:start w:val="1"/>
      <w:numFmt w:val="bullet"/>
      <w:lvlText w:val=""/>
      <w:lvlJc w:val="left"/>
      <w:pPr>
        <w:ind w:left="2880" w:hanging="360"/>
      </w:pPr>
      <w:rPr>
        <w:rFonts w:ascii="Symbol" w:hAnsi="Symbol" w:hint="default"/>
      </w:rPr>
    </w:lvl>
    <w:lvl w:ilvl="4" w:tplc="CFA6A624">
      <w:start w:val="1"/>
      <w:numFmt w:val="bullet"/>
      <w:lvlText w:val="o"/>
      <w:lvlJc w:val="left"/>
      <w:pPr>
        <w:ind w:left="3600" w:hanging="360"/>
      </w:pPr>
      <w:rPr>
        <w:rFonts w:ascii="Courier New" w:hAnsi="Courier New" w:hint="default"/>
      </w:rPr>
    </w:lvl>
    <w:lvl w:ilvl="5" w:tplc="46405E3C">
      <w:start w:val="1"/>
      <w:numFmt w:val="bullet"/>
      <w:lvlText w:val=""/>
      <w:lvlJc w:val="left"/>
      <w:pPr>
        <w:ind w:left="4320" w:hanging="360"/>
      </w:pPr>
      <w:rPr>
        <w:rFonts w:ascii="Wingdings" w:hAnsi="Wingdings" w:hint="default"/>
      </w:rPr>
    </w:lvl>
    <w:lvl w:ilvl="6" w:tplc="B3B8319E">
      <w:start w:val="1"/>
      <w:numFmt w:val="bullet"/>
      <w:lvlText w:val=""/>
      <w:lvlJc w:val="left"/>
      <w:pPr>
        <w:ind w:left="5040" w:hanging="360"/>
      </w:pPr>
      <w:rPr>
        <w:rFonts w:ascii="Symbol" w:hAnsi="Symbol" w:hint="default"/>
      </w:rPr>
    </w:lvl>
    <w:lvl w:ilvl="7" w:tplc="D89440F6">
      <w:start w:val="1"/>
      <w:numFmt w:val="bullet"/>
      <w:lvlText w:val="o"/>
      <w:lvlJc w:val="left"/>
      <w:pPr>
        <w:ind w:left="5760" w:hanging="360"/>
      </w:pPr>
      <w:rPr>
        <w:rFonts w:ascii="Courier New" w:hAnsi="Courier New" w:hint="default"/>
      </w:rPr>
    </w:lvl>
    <w:lvl w:ilvl="8" w:tplc="821603D4">
      <w:start w:val="1"/>
      <w:numFmt w:val="bullet"/>
      <w:lvlText w:val=""/>
      <w:lvlJc w:val="left"/>
      <w:pPr>
        <w:ind w:left="6480" w:hanging="360"/>
      </w:pPr>
      <w:rPr>
        <w:rFonts w:ascii="Wingdings" w:hAnsi="Wingdings" w:hint="default"/>
      </w:rPr>
    </w:lvl>
  </w:abstractNum>
  <w:abstractNum w:abstractNumId="106" w15:restartNumberingAfterBreak="0">
    <w:nsid w:val="727B6527"/>
    <w:multiLevelType w:val="hybridMultilevel"/>
    <w:tmpl w:val="FFFFFFFF"/>
    <w:lvl w:ilvl="0" w:tplc="E272D828">
      <w:start w:val="1"/>
      <w:numFmt w:val="decimal"/>
      <w:lvlText w:val="%1."/>
      <w:lvlJc w:val="left"/>
      <w:pPr>
        <w:ind w:left="720" w:hanging="360"/>
      </w:pPr>
    </w:lvl>
    <w:lvl w:ilvl="1" w:tplc="1B5E4A92">
      <w:start w:val="1"/>
      <w:numFmt w:val="lowerLetter"/>
      <w:lvlText w:val="%2."/>
      <w:lvlJc w:val="left"/>
      <w:pPr>
        <w:ind w:left="1440" w:hanging="360"/>
      </w:pPr>
    </w:lvl>
    <w:lvl w:ilvl="2" w:tplc="22A47632">
      <w:start w:val="1"/>
      <w:numFmt w:val="lowerRoman"/>
      <w:lvlText w:val="%3."/>
      <w:lvlJc w:val="right"/>
      <w:pPr>
        <w:ind w:left="2160" w:hanging="180"/>
      </w:pPr>
    </w:lvl>
    <w:lvl w:ilvl="3" w:tplc="C3B45622">
      <w:start w:val="1"/>
      <w:numFmt w:val="decimal"/>
      <w:lvlText w:val="%4."/>
      <w:lvlJc w:val="left"/>
      <w:pPr>
        <w:ind w:left="2880" w:hanging="360"/>
      </w:pPr>
    </w:lvl>
    <w:lvl w:ilvl="4" w:tplc="CD7E0BE2">
      <w:start w:val="1"/>
      <w:numFmt w:val="lowerLetter"/>
      <w:lvlText w:val="%5."/>
      <w:lvlJc w:val="left"/>
      <w:pPr>
        <w:ind w:left="3600" w:hanging="360"/>
      </w:pPr>
    </w:lvl>
    <w:lvl w:ilvl="5" w:tplc="51520D0E">
      <w:start w:val="1"/>
      <w:numFmt w:val="lowerRoman"/>
      <w:lvlText w:val="%6."/>
      <w:lvlJc w:val="right"/>
      <w:pPr>
        <w:ind w:left="4320" w:hanging="180"/>
      </w:pPr>
    </w:lvl>
    <w:lvl w:ilvl="6" w:tplc="11D2EC86">
      <w:start w:val="1"/>
      <w:numFmt w:val="decimal"/>
      <w:lvlText w:val="%7."/>
      <w:lvlJc w:val="left"/>
      <w:pPr>
        <w:ind w:left="5040" w:hanging="360"/>
      </w:pPr>
    </w:lvl>
    <w:lvl w:ilvl="7" w:tplc="76086D8E">
      <w:start w:val="1"/>
      <w:numFmt w:val="lowerLetter"/>
      <w:lvlText w:val="%8."/>
      <w:lvlJc w:val="left"/>
      <w:pPr>
        <w:ind w:left="5760" w:hanging="360"/>
      </w:pPr>
    </w:lvl>
    <w:lvl w:ilvl="8" w:tplc="4C3CEA8A">
      <w:start w:val="1"/>
      <w:numFmt w:val="lowerRoman"/>
      <w:lvlText w:val="%9."/>
      <w:lvlJc w:val="right"/>
      <w:pPr>
        <w:ind w:left="6480" w:hanging="180"/>
      </w:pPr>
    </w:lvl>
  </w:abstractNum>
  <w:abstractNum w:abstractNumId="107" w15:restartNumberingAfterBreak="0">
    <w:nsid w:val="72A3206A"/>
    <w:multiLevelType w:val="hybridMultilevel"/>
    <w:tmpl w:val="FFFFFFFF"/>
    <w:lvl w:ilvl="0" w:tplc="48904B1E">
      <w:start w:val="1"/>
      <w:numFmt w:val="bullet"/>
      <w:lvlText w:val="-"/>
      <w:lvlJc w:val="left"/>
      <w:pPr>
        <w:ind w:left="720" w:hanging="360"/>
      </w:pPr>
      <w:rPr>
        <w:rFonts w:ascii="Aptos" w:hAnsi="Aptos" w:hint="default"/>
      </w:rPr>
    </w:lvl>
    <w:lvl w:ilvl="1" w:tplc="365CEDA0">
      <w:start w:val="1"/>
      <w:numFmt w:val="bullet"/>
      <w:lvlText w:val="o"/>
      <w:lvlJc w:val="left"/>
      <w:pPr>
        <w:ind w:left="1440" w:hanging="360"/>
      </w:pPr>
      <w:rPr>
        <w:rFonts w:ascii="Courier New" w:hAnsi="Courier New" w:hint="default"/>
      </w:rPr>
    </w:lvl>
    <w:lvl w:ilvl="2" w:tplc="A5CAE184">
      <w:start w:val="1"/>
      <w:numFmt w:val="bullet"/>
      <w:lvlText w:val=""/>
      <w:lvlJc w:val="left"/>
      <w:pPr>
        <w:ind w:left="2160" w:hanging="360"/>
      </w:pPr>
      <w:rPr>
        <w:rFonts w:ascii="Wingdings" w:hAnsi="Wingdings" w:hint="default"/>
      </w:rPr>
    </w:lvl>
    <w:lvl w:ilvl="3" w:tplc="125A6252">
      <w:start w:val="1"/>
      <w:numFmt w:val="bullet"/>
      <w:lvlText w:val=""/>
      <w:lvlJc w:val="left"/>
      <w:pPr>
        <w:ind w:left="2880" w:hanging="360"/>
      </w:pPr>
      <w:rPr>
        <w:rFonts w:ascii="Symbol" w:hAnsi="Symbol" w:hint="default"/>
      </w:rPr>
    </w:lvl>
    <w:lvl w:ilvl="4" w:tplc="8324951C">
      <w:start w:val="1"/>
      <w:numFmt w:val="bullet"/>
      <w:lvlText w:val="o"/>
      <w:lvlJc w:val="left"/>
      <w:pPr>
        <w:ind w:left="3600" w:hanging="360"/>
      </w:pPr>
      <w:rPr>
        <w:rFonts w:ascii="Courier New" w:hAnsi="Courier New" w:hint="default"/>
      </w:rPr>
    </w:lvl>
    <w:lvl w:ilvl="5" w:tplc="F4EE0416">
      <w:start w:val="1"/>
      <w:numFmt w:val="bullet"/>
      <w:lvlText w:val=""/>
      <w:lvlJc w:val="left"/>
      <w:pPr>
        <w:ind w:left="4320" w:hanging="360"/>
      </w:pPr>
      <w:rPr>
        <w:rFonts w:ascii="Wingdings" w:hAnsi="Wingdings" w:hint="default"/>
      </w:rPr>
    </w:lvl>
    <w:lvl w:ilvl="6" w:tplc="3B6ADE76">
      <w:start w:val="1"/>
      <w:numFmt w:val="bullet"/>
      <w:lvlText w:val=""/>
      <w:lvlJc w:val="left"/>
      <w:pPr>
        <w:ind w:left="5040" w:hanging="360"/>
      </w:pPr>
      <w:rPr>
        <w:rFonts w:ascii="Symbol" w:hAnsi="Symbol" w:hint="default"/>
      </w:rPr>
    </w:lvl>
    <w:lvl w:ilvl="7" w:tplc="D036213C">
      <w:start w:val="1"/>
      <w:numFmt w:val="bullet"/>
      <w:lvlText w:val="o"/>
      <w:lvlJc w:val="left"/>
      <w:pPr>
        <w:ind w:left="5760" w:hanging="360"/>
      </w:pPr>
      <w:rPr>
        <w:rFonts w:ascii="Courier New" w:hAnsi="Courier New" w:hint="default"/>
      </w:rPr>
    </w:lvl>
    <w:lvl w:ilvl="8" w:tplc="7B807DB4">
      <w:start w:val="1"/>
      <w:numFmt w:val="bullet"/>
      <w:lvlText w:val=""/>
      <w:lvlJc w:val="left"/>
      <w:pPr>
        <w:ind w:left="6480" w:hanging="360"/>
      </w:pPr>
      <w:rPr>
        <w:rFonts w:ascii="Wingdings" w:hAnsi="Wingdings" w:hint="default"/>
      </w:rPr>
    </w:lvl>
  </w:abstractNum>
  <w:abstractNum w:abstractNumId="108" w15:restartNumberingAfterBreak="0">
    <w:nsid w:val="73BC386E"/>
    <w:multiLevelType w:val="hybridMultilevel"/>
    <w:tmpl w:val="6F5A3DD2"/>
    <w:lvl w:ilvl="0" w:tplc="52F60694">
      <w:start w:val="1"/>
      <w:numFmt w:val="bullet"/>
      <w:lvlText w:val=""/>
      <w:lvlJc w:val="left"/>
      <w:pPr>
        <w:ind w:left="1070" w:hanging="710"/>
      </w:pPr>
      <w:rPr>
        <w:rFonts w:ascii="Symbol" w:hAnsi="Symbol" w:hint="default"/>
      </w:rPr>
    </w:lvl>
    <w:lvl w:ilvl="1" w:tplc="B6D6C358" w:tentative="1">
      <w:start w:val="1"/>
      <w:numFmt w:val="bullet"/>
      <w:lvlText w:val="o"/>
      <w:lvlJc w:val="left"/>
      <w:pPr>
        <w:ind w:left="1440" w:hanging="360"/>
      </w:pPr>
      <w:rPr>
        <w:rFonts w:ascii="Courier New" w:hAnsi="Courier New" w:hint="default"/>
      </w:rPr>
    </w:lvl>
    <w:lvl w:ilvl="2" w:tplc="7E40D85A" w:tentative="1">
      <w:start w:val="1"/>
      <w:numFmt w:val="bullet"/>
      <w:lvlText w:val=""/>
      <w:lvlJc w:val="left"/>
      <w:pPr>
        <w:ind w:left="2160" w:hanging="360"/>
      </w:pPr>
      <w:rPr>
        <w:rFonts w:ascii="Wingdings" w:hAnsi="Wingdings" w:hint="default"/>
      </w:rPr>
    </w:lvl>
    <w:lvl w:ilvl="3" w:tplc="875E93D6" w:tentative="1">
      <w:start w:val="1"/>
      <w:numFmt w:val="bullet"/>
      <w:lvlText w:val=""/>
      <w:lvlJc w:val="left"/>
      <w:pPr>
        <w:ind w:left="2880" w:hanging="360"/>
      </w:pPr>
      <w:rPr>
        <w:rFonts w:ascii="Symbol" w:hAnsi="Symbol" w:hint="default"/>
      </w:rPr>
    </w:lvl>
    <w:lvl w:ilvl="4" w:tplc="ECB441FE" w:tentative="1">
      <w:start w:val="1"/>
      <w:numFmt w:val="bullet"/>
      <w:lvlText w:val="o"/>
      <w:lvlJc w:val="left"/>
      <w:pPr>
        <w:ind w:left="3600" w:hanging="360"/>
      </w:pPr>
      <w:rPr>
        <w:rFonts w:ascii="Courier New" w:hAnsi="Courier New" w:hint="default"/>
      </w:rPr>
    </w:lvl>
    <w:lvl w:ilvl="5" w:tplc="256E5578" w:tentative="1">
      <w:start w:val="1"/>
      <w:numFmt w:val="bullet"/>
      <w:lvlText w:val=""/>
      <w:lvlJc w:val="left"/>
      <w:pPr>
        <w:ind w:left="4320" w:hanging="360"/>
      </w:pPr>
      <w:rPr>
        <w:rFonts w:ascii="Wingdings" w:hAnsi="Wingdings" w:hint="default"/>
      </w:rPr>
    </w:lvl>
    <w:lvl w:ilvl="6" w:tplc="34562C16" w:tentative="1">
      <w:start w:val="1"/>
      <w:numFmt w:val="bullet"/>
      <w:lvlText w:val=""/>
      <w:lvlJc w:val="left"/>
      <w:pPr>
        <w:ind w:left="5040" w:hanging="360"/>
      </w:pPr>
      <w:rPr>
        <w:rFonts w:ascii="Symbol" w:hAnsi="Symbol" w:hint="default"/>
      </w:rPr>
    </w:lvl>
    <w:lvl w:ilvl="7" w:tplc="9EBC0B6A" w:tentative="1">
      <w:start w:val="1"/>
      <w:numFmt w:val="bullet"/>
      <w:lvlText w:val="o"/>
      <w:lvlJc w:val="left"/>
      <w:pPr>
        <w:ind w:left="5760" w:hanging="360"/>
      </w:pPr>
      <w:rPr>
        <w:rFonts w:ascii="Courier New" w:hAnsi="Courier New" w:hint="default"/>
      </w:rPr>
    </w:lvl>
    <w:lvl w:ilvl="8" w:tplc="493ACEA8" w:tentative="1">
      <w:start w:val="1"/>
      <w:numFmt w:val="bullet"/>
      <w:lvlText w:val=""/>
      <w:lvlJc w:val="left"/>
      <w:pPr>
        <w:ind w:left="6480" w:hanging="360"/>
      </w:pPr>
      <w:rPr>
        <w:rFonts w:ascii="Wingdings" w:hAnsi="Wingdings" w:hint="default"/>
      </w:rPr>
    </w:lvl>
  </w:abstractNum>
  <w:abstractNum w:abstractNumId="109" w15:restartNumberingAfterBreak="0">
    <w:nsid w:val="7407736D"/>
    <w:multiLevelType w:val="hybridMultilevel"/>
    <w:tmpl w:val="6B2A8D20"/>
    <w:lvl w:ilvl="0" w:tplc="48684A4A">
      <w:start w:val="2"/>
      <w:numFmt w:val="bullet"/>
      <w:lvlText w:val="-"/>
      <w:lvlJc w:val="left"/>
      <w:pPr>
        <w:ind w:left="720" w:hanging="360"/>
      </w:pPr>
      <w:rPr>
        <w:rFonts w:ascii="Calibri" w:hAnsi="Calibri" w:hint="default"/>
      </w:rPr>
    </w:lvl>
    <w:lvl w:ilvl="1" w:tplc="80ACC104">
      <w:start w:val="1"/>
      <w:numFmt w:val="bullet"/>
      <w:lvlText w:val="o"/>
      <w:lvlJc w:val="left"/>
      <w:pPr>
        <w:ind w:left="1440" w:hanging="360"/>
      </w:pPr>
      <w:rPr>
        <w:rFonts w:ascii="Courier New" w:hAnsi="Courier New" w:hint="default"/>
      </w:rPr>
    </w:lvl>
    <w:lvl w:ilvl="2" w:tplc="2B30337C">
      <w:start w:val="1"/>
      <w:numFmt w:val="bullet"/>
      <w:lvlText w:val=""/>
      <w:lvlJc w:val="left"/>
      <w:pPr>
        <w:ind w:left="2160" w:hanging="360"/>
      </w:pPr>
      <w:rPr>
        <w:rFonts w:ascii="Wingdings" w:hAnsi="Wingdings" w:hint="default"/>
      </w:rPr>
    </w:lvl>
    <w:lvl w:ilvl="3" w:tplc="8F505CB2">
      <w:start w:val="1"/>
      <w:numFmt w:val="bullet"/>
      <w:lvlText w:val=""/>
      <w:lvlJc w:val="left"/>
      <w:pPr>
        <w:ind w:left="2880" w:hanging="360"/>
      </w:pPr>
      <w:rPr>
        <w:rFonts w:ascii="Symbol" w:hAnsi="Symbol" w:hint="default"/>
      </w:rPr>
    </w:lvl>
    <w:lvl w:ilvl="4" w:tplc="8D94CD00">
      <w:start w:val="1"/>
      <w:numFmt w:val="bullet"/>
      <w:lvlText w:val="o"/>
      <w:lvlJc w:val="left"/>
      <w:pPr>
        <w:ind w:left="3600" w:hanging="360"/>
      </w:pPr>
      <w:rPr>
        <w:rFonts w:ascii="Courier New" w:hAnsi="Courier New" w:hint="default"/>
      </w:rPr>
    </w:lvl>
    <w:lvl w:ilvl="5" w:tplc="244CE6CE">
      <w:start w:val="1"/>
      <w:numFmt w:val="bullet"/>
      <w:lvlText w:val=""/>
      <w:lvlJc w:val="left"/>
      <w:pPr>
        <w:ind w:left="4320" w:hanging="360"/>
      </w:pPr>
      <w:rPr>
        <w:rFonts w:ascii="Wingdings" w:hAnsi="Wingdings" w:hint="default"/>
      </w:rPr>
    </w:lvl>
    <w:lvl w:ilvl="6" w:tplc="10144EEC">
      <w:start w:val="1"/>
      <w:numFmt w:val="bullet"/>
      <w:lvlText w:val=""/>
      <w:lvlJc w:val="left"/>
      <w:pPr>
        <w:ind w:left="5040" w:hanging="360"/>
      </w:pPr>
      <w:rPr>
        <w:rFonts w:ascii="Symbol" w:hAnsi="Symbol" w:hint="default"/>
      </w:rPr>
    </w:lvl>
    <w:lvl w:ilvl="7" w:tplc="4DDC7CB2">
      <w:start w:val="1"/>
      <w:numFmt w:val="bullet"/>
      <w:lvlText w:val="o"/>
      <w:lvlJc w:val="left"/>
      <w:pPr>
        <w:ind w:left="5760" w:hanging="360"/>
      </w:pPr>
      <w:rPr>
        <w:rFonts w:ascii="Courier New" w:hAnsi="Courier New" w:hint="default"/>
      </w:rPr>
    </w:lvl>
    <w:lvl w:ilvl="8" w:tplc="599887A2">
      <w:start w:val="1"/>
      <w:numFmt w:val="bullet"/>
      <w:lvlText w:val=""/>
      <w:lvlJc w:val="left"/>
      <w:pPr>
        <w:ind w:left="6480" w:hanging="360"/>
      </w:pPr>
      <w:rPr>
        <w:rFonts w:ascii="Wingdings" w:hAnsi="Wingdings" w:hint="default"/>
      </w:rPr>
    </w:lvl>
  </w:abstractNum>
  <w:abstractNum w:abstractNumId="110" w15:restartNumberingAfterBreak="0">
    <w:nsid w:val="741C2417"/>
    <w:multiLevelType w:val="hybridMultilevel"/>
    <w:tmpl w:val="3CFC1548"/>
    <w:lvl w:ilvl="0" w:tplc="0FC0A890">
      <w:start w:val="1"/>
      <w:numFmt w:val="decimal"/>
      <w:pStyle w:val="Randziffern"/>
      <w:suff w:val="nothing"/>
      <w:lvlText w:val="%1"/>
      <w:lvlJc w:val="center"/>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1" w15:restartNumberingAfterBreak="0">
    <w:nsid w:val="743B534D"/>
    <w:multiLevelType w:val="hybridMultilevel"/>
    <w:tmpl w:val="E1E0E18C"/>
    <w:lvl w:ilvl="0" w:tplc="EA8C85CC">
      <w:start w:val="1"/>
      <w:numFmt w:val="bullet"/>
      <w:lvlText w:val=""/>
      <w:lvlJc w:val="left"/>
      <w:pPr>
        <w:ind w:left="720" w:hanging="360"/>
      </w:pPr>
      <w:rPr>
        <w:rFonts w:ascii="Symbol" w:hAnsi="Symbol" w:hint="default"/>
      </w:rPr>
    </w:lvl>
    <w:lvl w:ilvl="1" w:tplc="4328DD72" w:tentative="1">
      <w:start w:val="1"/>
      <w:numFmt w:val="bullet"/>
      <w:lvlText w:val="o"/>
      <w:lvlJc w:val="left"/>
      <w:pPr>
        <w:ind w:left="1440" w:hanging="360"/>
      </w:pPr>
      <w:rPr>
        <w:rFonts w:ascii="Courier New" w:hAnsi="Courier New" w:hint="default"/>
      </w:rPr>
    </w:lvl>
    <w:lvl w:ilvl="2" w:tplc="D9D4211A" w:tentative="1">
      <w:start w:val="1"/>
      <w:numFmt w:val="bullet"/>
      <w:lvlText w:val=""/>
      <w:lvlJc w:val="left"/>
      <w:pPr>
        <w:ind w:left="2160" w:hanging="360"/>
      </w:pPr>
      <w:rPr>
        <w:rFonts w:ascii="Wingdings" w:hAnsi="Wingdings" w:hint="default"/>
      </w:rPr>
    </w:lvl>
    <w:lvl w:ilvl="3" w:tplc="3FBEAA34" w:tentative="1">
      <w:start w:val="1"/>
      <w:numFmt w:val="bullet"/>
      <w:lvlText w:val=""/>
      <w:lvlJc w:val="left"/>
      <w:pPr>
        <w:ind w:left="2880" w:hanging="360"/>
      </w:pPr>
      <w:rPr>
        <w:rFonts w:ascii="Symbol" w:hAnsi="Symbol" w:hint="default"/>
      </w:rPr>
    </w:lvl>
    <w:lvl w:ilvl="4" w:tplc="36444818" w:tentative="1">
      <w:start w:val="1"/>
      <w:numFmt w:val="bullet"/>
      <w:lvlText w:val="o"/>
      <w:lvlJc w:val="left"/>
      <w:pPr>
        <w:ind w:left="3600" w:hanging="360"/>
      </w:pPr>
      <w:rPr>
        <w:rFonts w:ascii="Courier New" w:hAnsi="Courier New" w:hint="default"/>
      </w:rPr>
    </w:lvl>
    <w:lvl w:ilvl="5" w:tplc="201C4684" w:tentative="1">
      <w:start w:val="1"/>
      <w:numFmt w:val="bullet"/>
      <w:lvlText w:val=""/>
      <w:lvlJc w:val="left"/>
      <w:pPr>
        <w:ind w:left="4320" w:hanging="360"/>
      </w:pPr>
      <w:rPr>
        <w:rFonts w:ascii="Wingdings" w:hAnsi="Wingdings" w:hint="default"/>
      </w:rPr>
    </w:lvl>
    <w:lvl w:ilvl="6" w:tplc="98581022" w:tentative="1">
      <w:start w:val="1"/>
      <w:numFmt w:val="bullet"/>
      <w:lvlText w:val=""/>
      <w:lvlJc w:val="left"/>
      <w:pPr>
        <w:ind w:left="5040" w:hanging="360"/>
      </w:pPr>
      <w:rPr>
        <w:rFonts w:ascii="Symbol" w:hAnsi="Symbol" w:hint="default"/>
      </w:rPr>
    </w:lvl>
    <w:lvl w:ilvl="7" w:tplc="3B908A10" w:tentative="1">
      <w:start w:val="1"/>
      <w:numFmt w:val="bullet"/>
      <w:lvlText w:val="o"/>
      <w:lvlJc w:val="left"/>
      <w:pPr>
        <w:ind w:left="5760" w:hanging="360"/>
      </w:pPr>
      <w:rPr>
        <w:rFonts w:ascii="Courier New" w:hAnsi="Courier New" w:hint="default"/>
      </w:rPr>
    </w:lvl>
    <w:lvl w:ilvl="8" w:tplc="3038549E" w:tentative="1">
      <w:start w:val="1"/>
      <w:numFmt w:val="bullet"/>
      <w:lvlText w:val=""/>
      <w:lvlJc w:val="left"/>
      <w:pPr>
        <w:ind w:left="6480" w:hanging="360"/>
      </w:pPr>
      <w:rPr>
        <w:rFonts w:ascii="Wingdings" w:hAnsi="Wingdings" w:hint="default"/>
      </w:rPr>
    </w:lvl>
  </w:abstractNum>
  <w:abstractNum w:abstractNumId="112" w15:restartNumberingAfterBreak="0">
    <w:nsid w:val="74B3A85A"/>
    <w:multiLevelType w:val="hybridMultilevel"/>
    <w:tmpl w:val="FFFFFFFF"/>
    <w:lvl w:ilvl="0" w:tplc="497C9740">
      <w:start w:val="1"/>
      <w:numFmt w:val="bullet"/>
      <w:lvlText w:val="-"/>
      <w:lvlJc w:val="left"/>
      <w:pPr>
        <w:ind w:left="720" w:hanging="360"/>
      </w:pPr>
      <w:rPr>
        <w:rFonts w:ascii="Aptos" w:hAnsi="Aptos" w:hint="default"/>
      </w:rPr>
    </w:lvl>
    <w:lvl w:ilvl="1" w:tplc="1DE8BB60">
      <w:start w:val="1"/>
      <w:numFmt w:val="bullet"/>
      <w:lvlText w:val="o"/>
      <w:lvlJc w:val="left"/>
      <w:pPr>
        <w:ind w:left="1440" w:hanging="360"/>
      </w:pPr>
      <w:rPr>
        <w:rFonts w:ascii="Courier New" w:hAnsi="Courier New" w:hint="default"/>
      </w:rPr>
    </w:lvl>
    <w:lvl w:ilvl="2" w:tplc="E7068530">
      <w:start w:val="1"/>
      <w:numFmt w:val="bullet"/>
      <w:lvlText w:val=""/>
      <w:lvlJc w:val="left"/>
      <w:pPr>
        <w:ind w:left="2160" w:hanging="360"/>
      </w:pPr>
      <w:rPr>
        <w:rFonts w:ascii="Wingdings" w:hAnsi="Wingdings" w:hint="default"/>
      </w:rPr>
    </w:lvl>
    <w:lvl w:ilvl="3" w:tplc="F78E933C">
      <w:start w:val="1"/>
      <w:numFmt w:val="bullet"/>
      <w:lvlText w:val=""/>
      <w:lvlJc w:val="left"/>
      <w:pPr>
        <w:ind w:left="2880" w:hanging="360"/>
      </w:pPr>
      <w:rPr>
        <w:rFonts w:ascii="Symbol" w:hAnsi="Symbol" w:hint="default"/>
      </w:rPr>
    </w:lvl>
    <w:lvl w:ilvl="4" w:tplc="D06A2EC4">
      <w:start w:val="1"/>
      <w:numFmt w:val="bullet"/>
      <w:lvlText w:val="o"/>
      <w:lvlJc w:val="left"/>
      <w:pPr>
        <w:ind w:left="3600" w:hanging="360"/>
      </w:pPr>
      <w:rPr>
        <w:rFonts w:ascii="Courier New" w:hAnsi="Courier New" w:hint="default"/>
      </w:rPr>
    </w:lvl>
    <w:lvl w:ilvl="5" w:tplc="9A16CE28">
      <w:start w:val="1"/>
      <w:numFmt w:val="bullet"/>
      <w:lvlText w:val=""/>
      <w:lvlJc w:val="left"/>
      <w:pPr>
        <w:ind w:left="4320" w:hanging="360"/>
      </w:pPr>
      <w:rPr>
        <w:rFonts w:ascii="Wingdings" w:hAnsi="Wingdings" w:hint="default"/>
      </w:rPr>
    </w:lvl>
    <w:lvl w:ilvl="6" w:tplc="4FAE2EFC">
      <w:start w:val="1"/>
      <w:numFmt w:val="bullet"/>
      <w:lvlText w:val=""/>
      <w:lvlJc w:val="left"/>
      <w:pPr>
        <w:ind w:left="5040" w:hanging="360"/>
      </w:pPr>
      <w:rPr>
        <w:rFonts w:ascii="Symbol" w:hAnsi="Symbol" w:hint="default"/>
      </w:rPr>
    </w:lvl>
    <w:lvl w:ilvl="7" w:tplc="060EA2A8">
      <w:start w:val="1"/>
      <w:numFmt w:val="bullet"/>
      <w:lvlText w:val="o"/>
      <w:lvlJc w:val="left"/>
      <w:pPr>
        <w:ind w:left="5760" w:hanging="360"/>
      </w:pPr>
      <w:rPr>
        <w:rFonts w:ascii="Courier New" w:hAnsi="Courier New" w:hint="default"/>
      </w:rPr>
    </w:lvl>
    <w:lvl w:ilvl="8" w:tplc="8ABE3A1A">
      <w:start w:val="1"/>
      <w:numFmt w:val="bullet"/>
      <w:lvlText w:val=""/>
      <w:lvlJc w:val="left"/>
      <w:pPr>
        <w:ind w:left="6480" w:hanging="360"/>
      </w:pPr>
      <w:rPr>
        <w:rFonts w:ascii="Wingdings" w:hAnsi="Wingdings" w:hint="default"/>
      </w:rPr>
    </w:lvl>
  </w:abstractNum>
  <w:abstractNum w:abstractNumId="113" w15:restartNumberingAfterBreak="0">
    <w:nsid w:val="75CA2684"/>
    <w:multiLevelType w:val="hybridMultilevel"/>
    <w:tmpl w:val="FC422D2C"/>
    <w:lvl w:ilvl="0" w:tplc="258820C8">
      <w:start w:val="1"/>
      <w:numFmt w:val="bullet"/>
      <w:lvlText w:val=""/>
      <w:lvlJc w:val="left"/>
      <w:pPr>
        <w:ind w:left="720" w:hanging="360"/>
      </w:pPr>
      <w:rPr>
        <w:rFonts w:ascii="Symbol" w:hAnsi="Symbol" w:hint="default"/>
      </w:rPr>
    </w:lvl>
    <w:lvl w:ilvl="1" w:tplc="F68C0F7A">
      <w:start w:val="1"/>
      <w:numFmt w:val="bullet"/>
      <w:lvlText w:val="o"/>
      <w:lvlJc w:val="left"/>
      <w:pPr>
        <w:ind w:left="1440" w:hanging="360"/>
      </w:pPr>
      <w:rPr>
        <w:rFonts w:ascii="Courier New" w:hAnsi="Courier New" w:hint="default"/>
      </w:rPr>
    </w:lvl>
    <w:lvl w:ilvl="2" w:tplc="3C6C6552" w:tentative="1">
      <w:start w:val="1"/>
      <w:numFmt w:val="bullet"/>
      <w:lvlText w:val=""/>
      <w:lvlJc w:val="left"/>
      <w:pPr>
        <w:ind w:left="2160" w:hanging="360"/>
      </w:pPr>
      <w:rPr>
        <w:rFonts w:ascii="Wingdings" w:hAnsi="Wingdings" w:hint="default"/>
      </w:rPr>
    </w:lvl>
    <w:lvl w:ilvl="3" w:tplc="9B64F9CE" w:tentative="1">
      <w:start w:val="1"/>
      <w:numFmt w:val="bullet"/>
      <w:lvlText w:val=""/>
      <w:lvlJc w:val="left"/>
      <w:pPr>
        <w:ind w:left="2880" w:hanging="360"/>
      </w:pPr>
      <w:rPr>
        <w:rFonts w:ascii="Symbol" w:hAnsi="Symbol" w:hint="default"/>
      </w:rPr>
    </w:lvl>
    <w:lvl w:ilvl="4" w:tplc="F4526D72" w:tentative="1">
      <w:start w:val="1"/>
      <w:numFmt w:val="bullet"/>
      <w:lvlText w:val="o"/>
      <w:lvlJc w:val="left"/>
      <w:pPr>
        <w:ind w:left="3600" w:hanging="360"/>
      </w:pPr>
      <w:rPr>
        <w:rFonts w:ascii="Courier New" w:hAnsi="Courier New" w:hint="default"/>
      </w:rPr>
    </w:lvl>
    <w:lvl w:ilvl="5" w:tplc="37622DA8" w:tentative="1">
      <w:start w:val="1"/>
      <w:numFmt w:val="bullet"/>
      <w:lvlText w:val=""/>
      <w:lvlJc w:val="left"/>
      <w:pPr>
        <w:ind w:left="4320" w:hanging="360"/>
      </w:pPr>
      <w:rPr>
        <w:rFonts w:ascii="Wingdings" w:hAnsi="Wingdings" w:hint="default"/>
      </w:rPr>
    </w:lvl>
    <w:lvl w:ilvl="6" w:tplc="CF42D39C" w:tentative="1">
      <w:start w:val="1"/>
      <w:numFmt w:val="bullet"/>
      <w:lvlText w:val=""/>
      <w:lvlJc w:val="left"/>
      <w:pPr>
        <w:ind w:left="5040" w:hanging="360"/>
      </w:pPr>
      <w:rPr>
        <w:rFonts w:ascii="Symbol" w:hAnsi="Symbol" w:hint="default"/>
      </w:rPr>
    </w:lvl>
    <w:lvl w:ilvl="7" w:tplc="9226612C" w:tentative="1">
      <w:start w:val="1"/>
      <w:numFmt w:val="bullet"/>
      <w:lvlText w:val="o"/>
      <w:lvlJc w:val="left"/>
      <w:pPr>
        <w:ind w:left="5760" w:hanging="360"/>
      </w:pPr>
      <w:rPr>
        <w:rFonts w:ascii="Courier New" w:hAnsi="Courier New" w:hint="default"/>
      </w:rPr>
    </w:lvl>
    <w:lvl w:ilvl="8" w:tplc="4D18F7F6" w:tentative="1">
      <w:start w:val="1"/>
      <w:numFmt w:val="bullet"/>
      <w:lvlText w:val=""/>
      <w:lvlJc w:val="left"/>
      <w:pPr>
        <w:ind w:left="6480" w:hanging="360"/>
      </w:pPr>
      <w:rPr>
        <w:rFonts w:ascii="Wingdings" w:hAnsi="Wingdings" w:hint="default"/>
      </w:rPr>
    </w:lvl>
  </w:abstractNum>
  <w:abstractNum w:abstractNumId="114" w15:restartNumberingAfterBreak="0">
    <w:nsid w:val="765C81A7"/>
    <w:multiLevelType w:val="hybridMultilevel"/>
    <w:tmpl w:val="FFFFFFFF"/>
    <w:lvl w:ilvl="0" w:tplc="1446179E">
      <w:start w:val="1"/>
      <w:numFmt w:val="bullet"/>
      <w:lvlText w:val="·"/>
      <w:lvlJc w:val="left"/>
      <w:pPr>
        <w:ind w:left="720" w:hanging="360"/>
      </w:pPr>
      <w:rPr>
        <w:rFonts w:ascii="Symbol" w:hAnsi="Symbol" w:hint="default"/>
      </w:rPr>
    </w:lvl>
    <w:lvl w:ilvl="1" w:tplc="82346EEE">
      <w:start w:val="1"/>
      <w:numFmt w:val="bullet"/>
      <w:lvlText w:val="o"/>
      <w:lvlJc w:val="left"/>
      <w:pPr>
        <w:ind w:left="1440" w:hanging="360"/>
      </w:pPr>
      <w:rPr>
        <w:rFonts w:ascii="Courier New" w:hAnsi="Courier New" w:hint="default"/>
      </w:rPr>
    </w:lvl>
    <w:lvl w:ilvl="2" w:tplc="1750C6E2">
      <w:start w:val="1"/>
      <w:numFmt w:val="bullet"/>
      <w:lvlText w:val=""/>
      <w:lvlJc w:val="left"/>
      <w:pPr>
        <w:ind w:left="2160" w:hanging="360"/>
      </w:pPr>
      <w:rPr>
        <w:rFonts w:ascii="Wingdings" w:hAnsi="Wingdings" w:hint="default"/>
      </w:rPr>
    </w:lvl>
    <w:lvl w:ilvl="3" w:tplc="483813E6">
      <w:start w:val="1"/>
      <w:numFmt w:val="bullet"/>
      <w:lvlText w:val=""/>
      <w:lvlJc w:val="left"/>
      <w:pPr>
        <w:ind w:left="2880" w:hanging="360"/>
      </w:pPr>
      <w:rPr>
        <w:rFonts w:ascii="Symbol" w:hAnsi="Symbol" w:hint="default"/>
      </w:rPr>
    </w:lvl>
    <w:lvl w:ilvl="4" w:tplc="D0E8FFC6">
      <w:start w:val="1"/>
      <w:numFmt w:val="bullet"/>
      <w:lvlText w:val="o"/>
      <w:lvlJc w:val="left"/>
      <w:pPr>
        <w:ind w:left="3600" w:hanging="360"/>
      </w:pPr>
      <w:rPr>
        <w:rFonts w:ascii="Courier New" w:hAnsi="Courier New" w:hint="default"/>
      </w:rPr>
    </w:lvl>
    <w:lvl w:ilvl="5" w:tplc="E2B6DF14">
      <w:start w:val="1"/>
      <w:numFmt w:val="bullet"/>
      <w:lvlText w:val=""/>
      <w:lvlJc w:val="left"/>
      <w:pPr>
        <w:ind w:left="4320" w:hanging="360"/>
      </w:pPr>
      <w:rPr>
        <w:rFonts w:ascii="Wingdings" w:hAnsi="Wingdings" w:hint="default"/>
      </w:rPr>
    </w:lvl>
    <w:lvl w:ilvl="6" w:tplc="A6C0BCBE">
      <w:start w:val="1"/>
      <w:numFmt w:val="bullet"/>
      <w:lvlText w:val=""/>
      <w:lvlJc w:val="left"/>
      <w:pPr>
        <w:ind w:left="5040" w:hanging="360"/>
      </w:pPr>
      <w:rPr>
        <w:rFonts w:ascii="Symbol" w:hAnsi="Symbol" w:hint="default"/>
      </w:rPr>
    </w:lvl>
    <w:lvl w:ilvl="7" w:tplc="434C173C">
      <w:start w:val="1"/>
      <w:numFmt w:val="bullet"/>
      <w:lvlText w:val="o"/>
      <w:lvlJc w:val="left"/>
      <w:pPr>
        <w:ind w:left="5760" w:hanging="360"/>
      </w:pPr>
      <w:rPr>
        <w:rFonts w:ascii="Courier New" w:hAnsi="Courier New" w:hint="default"/>
      </w:rPr>
    </w:lvl>
    <w:lvl w:ilvl="8" w:tplc="BEF4380E">
      <w:start w:val="1"/>
      <w:numFmt w:val="bullet"/>
      <w:lvlText w:val=""/>
      <w:lvlJc w:val="left"/>
      <w:pPr>
        <w:ind w:left="6480" w:hanging="360"/>
      </w:pPr>
      <w:rPr>
        <w:rFonts w:ascii="Wingdings" w:hAnsi="Wingdings" w:hint="default"/>
      </w:rPr>
    </w:lvl>
  </w:abstractNum>
  <w:abstractNum w:abstractNumId="115" w15:restartNumberingAfterBreak="0">
    <w:nsid w:val="767E0CE8"/>
    <w:multiLevelType w:val="multilevel"/>
    <w:tmpl w:val="489E459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6" w15:restartNumberingAfterBreak="0">
    <w:nsid w:val="77507F5C"/>
    <w:multiLevelType w:val="hybridMultilevel"/>
    <w:tmpl w:val="621C3D32"/>
    <w:lvl w:ilvl="0" w:tplc="3186276C">
      <w:start w:val="1"/>
      <w:numFmt w:val="bullet"/>
      <w:lvlText w:val=""/>
      <w:lvlJc w:val="left"/>
      <w:pPr>
        <w:ind w:left="720" w:hanging="360"/>
      </w:pPr>
      <w:rPr>
        <w:rFonts w:ascii="Symbol" w:hAnsi="Symbol" w:hint="default"/>
      </w:rPr>
    </w:lvl>
    <w:lvl w:ilvl="1" w:tplc="A6B0472E" w:tentative="1">
      <w:start w:val="1"/>
      <w:numFmt w:val="bullet"/>
      <w:lvlText w:val="o"/>
      <w:lvlJc w:val="left"/>
      <w:pPr>
        <w:ind w:left="1440" w:hanging="360"/>
      </w:pPr>
      <w:rPr>
        <w:rFonts w:ascii="Courier New" w:hAnsi="Courier New" w:hint="default"/>
      </w:rPr>
    </w:lvl>
    <w:lvl w:ilvl="2" w:tplc="37225EC6" w:tentative="1">
      <w:start w:val="1"/>
      <w:numFmt w:val="bullet"/>
      <w:lvlText w:val=""/>
      <w:lvlJc w:val="left"/>
      <w:pPr>
        <w:ind w:left="2160" w:hanging="360"/>
      </w:pPr>
      <w:rPr>
        <w:rFonts w:ascii="Wingdings" w:hAnsi="Wingdings" w:hint="default"/>
      </w:rPr>
    </w:lvl>
    <w:lvl w:ilvl="3" w:tplc="4168C564" w:tentative="1">
      <w:start w:val="1"/>
      <w:numFmt w:val="bullet"/>
      <w:lvlText w:val=""/>
      <w:lvlJc w:val="left"/>
      <w:pPr>
        <w:ind w:left="2880" w:hanging="360"/>
      </w:pPr>
      <w:rPr>
        <w:rFonts w:ascii="Symbol" w:hAnsi="Symbol" w:hint="default"/>
      </w:rPr>
    </w:lvl>
    <w:lvl w:ilvl="4" w:tplc="15B040C6" w:tentative="1">
      <w:start w:val="1"/>
      <w:numFmt w:val="bullet"/>
      <w:lvlText w:val="o"/>
      <w:lvlJc w:val="left"/>
      <w:pPr>
        <w:ind w:left="3600" w:hanging="360"/>
      </w:pPr>
      <w:rPr>
        <w:rFonts w:ascii="Courier New" w:hAnsi="Courier New" w:hint="default"/>
      </w:rPr>
    </w:lvl>
    <w:lvl w:ilvl="5" w:tplc="3FE24216" w:tentative="1">
      <w:start w:val="1"/>
      <w:numFmt w:val="bullet"/>
      <w:lvlText w:val=""/>
      <w:lvlJc w:val="left"/>
      <w:pPr>
        <w:ind w:left="4320" w:hanging="360"/>
      </w:pPr>
      <w:rPr>
        <w:rFonts w:ascii="Wingdings" w:hAnsi="Wingdings" w:hint="default"/>
      </w:rPr>
    </w:lvl>
    <w:lvl w:ilvl="6" w:tplc="ADF8954E" w:tentative="1">
      <w:start w:val="1"/>
      <w:numFmt w:val="bullet"/>
      <w:lvlText w:val=""/>
      <w:lvlJc w:val="left"/>
      <w:pPr>
        <w:ind w:left="5040" w:hanging="360"/>
      </w:pPr>
      <w:rPr>
        <w:rFonts w:ascii="Symbol" w:hAnsi="Symbol" w:hint="default"/>
      </w:rPr>
    </w:lvl>
    <w:lvl w:ilvl="7" w:tplc="6A246C66" w:tentative="1">
      <w:start w:val="1"/>
      <w:numFmt w:val="bullet"/>
      <w:lvlText w:val="o"/>
      <w:lvlJc w:val="left"/>
      <w:pPr>
        <w:ind w:left="5760" w:hanging="360"/>
      </w:pPr>
      <w:rPr>
        <w:rFonts w:ascii="Courier New" w:hAnsi="Courier New" w:hint="default"/>
      </w:rPr>
    </w:lvl>
    <w:lvl w:ilvl="8" w:tplc="FCD05A78" w:tentative="1">
      <w:start w:val="1"/>
      <w:numFmt w:val="bullet"/>
      <w:lvlText w:val=""/>
      <w:lvlJc w:val="left"/>
      <w:pPr>
        <w:ind w:left="6480" w:hanging="360"/>
      </w:pPr>
      <w:rPr>
        <w:rFonts w:ascii="Wingdings" w:hAnsi="Wingdings" w:hint="default"/>
      </w:rPr>
    </w:lvl>
  </w:abstractNum>
  <w:abstractNum w:abstractNumId="117" w15:restartNumberingAfterBreak="0">
    <w:nsid w:val="79306D8A"/>
    <w:multiLevelType w:val="hybridMultilevel"/>
    <w:tmpl w:val="61A6A6F0"/>
    <w:lvl w:ilvl="0" w:tplc="D84698FC">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796D2540"/>
    <w:multiLevelType w:val="hybridMultilevel"/>
    <w:tmpl w:val="7CECE91A"/>
    <w:lvl w:ilvl="0" w:tplc="006C89E2">
      <w:start w:val="1"/>
      <w:numFmt w:val="bullet"/>
      <w:lvlText w:val=""/>
      <w:lvlJc w:val="left"/>
      <w:pPr>
        <w:ind w:left="720" w:hanging="360"/>
      </w:pPr>
      <w:rPr>
        <w:rFonts w:ascii="Symbol" w:hAnsi="Symbol" w:hint="default"/>
      </w:rPr>
    </w:lvl>
    <w:lvl w:ilvl="1" w:tplc="1D464FBE" w:tentative="1">
      <w:start w:val="1"/>
      <w:numFmt w:val="bullet"/>
      <w:lvlText w:val="o"/>
      <w:lvlJc w:val="left"/>
      <w:pPr>
        <w:ind w:left="1440" w:hanging="360"/>
      </w:pPr>
      <w:rPr>
        <w:rFonts w:ascii="Courier New" w:hAnsi="Courier New" w:hint="default"/>
      </w:rPr>
    </w:lvl>
    <w:lvl w:ilvl="2" w:tplc="B98CDCC4" w:tentative="1">
      <w:start w:val="1"/>
      <w:numFmt w:val="bullet"/>
      <w:lvlText w:val=""/>
      <w:lvlJc w:val="left"/>
      <w:pPr>
        <w:ind w:left="2160" w:hanging="360"/>
      </w:pPr>
      <w:rPr>
        <w:rFonts w:ascii="Wingdings" w:hAnsi="Wingdings" w:hint="default"/>
      </w:rPr>
    </w:lvl>
    <w:lvl w:ilvl="3" w:tplc="E53CB3D6" w:tentative="1">
      <w:start w:val="1"/>
      <w:numFmt w:val="bullet"/>
      <w:lvlText w:val=""/>
      <w:lvlJc w:val="left"/>
      <w:pPr>
        <w:ind w:left="2880" w:hanging="360"/>
      </w:pPr>
      <w:rPr>
        <w:rFonts w:ascii="Symbol" w:hAnsi="Symbol" w:hint="default"/>
      </w:rPr>
    </w:lvl>
    <w:lvl w:ilvl="4" w:tplc="CBFCF930" w:tentative="1">
      <w:start w:val="1"/>
      <w:numFmt w:val="bullet"/>
      <w:lvlText w:val="o"/>
      <w:lvlJc w:val="left"/>
      <w:pPr>
        <w:ind w:left="3600" w:hanging="360"/>
      </w:pPr>
      <w:rPr>
        <w:rFonts w:ascii="Courier New" w:hAnsi="Courier New" w:hint="default"/>
      </w:rPr>
    </w:lvl>
    <w:lvl w:ilvl="5" w:tplc="362474A0" w:tentative="1">
      <w:start w:val="1"/>
      <w:numFmt w:val="bullet"/>
      <w:lvlText w:val=""/>
      <w:lvlJc w:val="left"/>
      <w:pPr>
        <w:ind w:left="4320" w:hanging="360"/>
      </w:pPr>
      <w:rPr>
        <w:rFonts w:ascii="Wingdings" w:hAnsi="Wingdings" w:hint="default"/>
      </w:rPr>
    </w:lvl>
    <w:lvl w:ilvl="6" w:tplc="8126FEBC" w:tentative="1">
      <w:start w:val="1"/>
      <w:numFmt w:val="bullet"/>
      <w:lvlText w:val=""/>
      <w:lvlJc w:val="left"/>
      <w:pPr>
        <w:ind w:left="5040" w:hanging="360"/>
      </w:pPr>
      <w:rPr>
        <w:rFonts w:ascii="Symbol" w:hAnsi="Symbol" w:hint="default"/>
      </w:rPr>
    </w:lvl>
    <w:lvl w:ilvl="7" w:tplc="2BE0A6C0" w:tentative="1">
      <w:start w:val="1"/>
      <w:numFmt w:val="bullet"/>
      <w:lvlText w:val="o"/>
      <w:lvlJc w:val="left"/>
      <w:pPr>
        <w:ind w:left="5760" w:hanging="360"/>
      </w:pPr>
      <w:rPr>
        <w:rFonts w:ascii="Courier New" w:hAnsi="Courier New" w:hint="default"/>
      </w:rPr>
    </w:lvl>
    <w:lvl w:ilvl="8" w:tplc="97E6B632" w:tentative="1">
      <w:start w:val="1"/>
      <w:numFmt w:val="bullet"/>
      <w:lvlText w:val=""/>
      <w:lvlJc w:val="left"/>
      <w:pPr>
        <w:ind w:left="6480" w:hanging="360"/>
      </w:pPr>
      <w:rPr>
        <w:rFonts w:ascii="Wingdings" w:hAnsi="Wingdings" w:hint="default"/>
      </w:rPr>
    </w:lvl>
  </w:abstractNum>
  <w:abstractNum w:abstractNumId="119" w15:restartNumberingAfterBreak="0">
    <w:nsid w:val="799529D5"/>
    <w:multiLevelType w:val="multilevel"/>
    <w:tmpl w:val="AF7A73D0"/>
    <w:lvl w:ilvl="0">
      <w:start w:val="1"/>
      <w:numFmt w:val="decimal"/>
      <w:lvlText w:val="%1."/>
      <w:lvlJc w:val="left"/>
      <w:pPr>
        <w:ind w:left="1429" w:hanging="36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1789" w:hanging="720"/>
      </w:pPr>
      <w:rPr>
        <w:rFonts w:hint="default"/>
      </w:rPr>
    </w:lvl>
    <w:lvl w:ilvl="3">
      <w:start w:val="3"/>
      <w:numFmt w:val="decimal"/>
      <w:lvlText w:val="%1.%2.%3.%4."/>
      <w:lvlJc w:val="left"/>
      <w:pPr>
        <w:ind w:left="1789" w:hanging="720"/>
      </w:pPr>
      <w:rPr>
        <w:rFonts w:hint="default"/>
      </w:rPr>
    </w:lvl>
    <w:lvl w:ilvl="4">
      <w:start w:val="1"/>
      <w:numFmt w:val="decimal"/>
      <w:lvlText w:val="%1.%2.%3.%4.%5."/>
      <w:lvlJc w:val="left"/>
      <w:pPr>
        <w:ind w:left="2149" w:hanging="1080"/>
      </w:pPr>
      <w:rPr>
        <w:rFonts w:hint="default"/>
      </w:rPr>
    </w:lvl>
    <w:lvl w:ilvl="5">
      <w:start w:val="1"/>
      <w:numFmt w:val="decimal"/>
      <w:lvlText w:val="%1.%2.%3.%4.%5.%6."/>
      <w:lvlJc w:val="left"/>
      <w:pPr>
        <w:ind w:left="2149" w:hanging="1080"/>
      </w:pPr>
      <w:rPr>
        <w:rFonts w:hint="default"/>
      </w:rPr>
    </w:lvl>
    <w:lvl w:ilvl="6">
      <w:start w:val="1"/>
      <w:numFmt w:val="decimal"/>
      <w:lvlText w:val="%1.%2.%3.%4.%5.%6.%7."/>
      <w:lvlJc w:val="left"/>
      <w:pPr>
        <w:ind w:left="2509" w:hanging="1440"/>
      </w:pPr>
      <w:rPr>
        <w:rFonts w:hint="default"/>
      </w:rPr>
    </w:lvl>
    <w:lvl w:ilvl="7">
      <w:start w:val="1"/>
      <w:numFmt w:val="decimal"/>
      <w:lvlText w:val="%1.%2.%3.%4.%5.%6.%7.%8."/>
      <w:lvlJc w:val="left"/>
      <w:pPr>
        <w:ind w:left="2509" w:hanging="1440"/>
      </w:pPr>
      <w:rPr>
        <w:rFonts w:hint="default"/>
      </w:rPr>
    </w:lvl>
    <w:lvl w:ilvl="8">
      <w:start w:val="1"/>
      <w:numFmt w:val="decimal"/>
      <w:lvlText w:val="%1.%2.%3.%4.%5.%6.%7.%8.%9."/>
      <w:lvlJc w:val="left"/>
      <w:pPr>
        <w:ind w:left="2869" w:hanging="1800"/>
      </w:pPr>
      <w:rPr>
        <w:rFonts w:hint="default"/>
      </w:rPr>
    </w:lvl>
  </w:abstractNum>
  <w:abstractNum w:abstractNumId="120" w15:restartNumberingAfterBreak="0">
    <w:nsid w:val="7A9CC4B1"/>
    <w:multiLevelType w:val="hybridMultilevel"/>
    <w:tmpl w:val="FFFFFFFF"/>
    <w:lvl w:ilvl="0" w:tplc="470E3294">
      <w:start w:val="1"/>
      <w:numFmt w:val="bullet"/>
      <w:lvlText w:val=""/>
      <w:lvlJc w:val="left"/>
      <w:pPr>
        <w:ind w:left="720" w:hanging="360"/>
      </w:pPr>
      <w:rPr>
        <w:rFonts w:ascii="Symbol" w:hAnsi="Symbol" w:hint="default"/>
      </w:rPr>
    </w:lvl>
    <w:lvl w:ilvl="1" w:tplc="B38CAEB0">
      <w:start w:val="1"/>
      <w:numFmt w:val="bullet"/>
      <w:lvlText w:val="o"/>
      <w:lvlJc w:val="left"/>
      <w:pPr>
        <w:ind w:left="1440" w:hanging="360"/>
      </w:pPr>
      <w:rPr>
        <w:rFonts w:ascii="Courier New" w:hAnsi="Courier New" w:hint="default"/>
      </w:rPr>
    </w:lvl>
    <w:lvl w:ilvl="2" w:tplc="1632BB60">
      <w:start w:val="1"/>
      <w:numFmt w:val="bullet"/>
      <w:lvlText w:val=""/>
      <w:lvlJc w:val="left"/>
      <w:pPr>
        <w:ind w:left="2160" w:hanging="360"/>
      </w:pPr>
      <w:rPr>
        <w:rFonts w:ascii="Wingdings" w:hAnsi="Wingdings" w:hint="default"/>
      </w:rPr>
    </w:lvl>
    <w:lvl w:ilvl="3" w:tplc="FBD6E002">
      <w:start w:val="1"/>
      <w:numFmt w:val="bullet"/>
      <w:lvlText w:val=""/>
      <w:lvlJc w:val="left"/>
      <w:pPr>
        <w:ind w:left="2880" w:hanging="360"/>
      </w:pPr>
      <w:rPr>
        <w:rFonts w:ascii="Symbol" w:hAnsi="Symbol" w:hint="default"/>
      </w:rPr>
    </w:lvl>
    <w:lvl w:ilvl="4" w:tplc="680CF9EA">
      <w:start w:val="1"/>
      <w:numFmt w:val="bullet"/>
      <w:lvlText w:val="o"/>
      <w:lvlJc w:val="left"/>
      <w:pPr>
        <w:ind w:left="3600" w:hanging="360"/>
      </w:pPr>
      <w:rPr>
        <w:rFonts w:ascii="Courier New" w:hAnsi="Courier New" w:hint="default"/>
      </w:rPr>
    </w:lvl>
    <w:lvl w:ilvl="5" w:tplc="257A1962">
      <w:start w:val="1"/>
      <w:numFmt w:val="bullet"/>
      <w:lvlText w:val=""/>
      <w:lvlJc w:val="left"/>
      <w:pPr>
        <w:ind w:left="4320" w:hanging="360"/>
      </w:pPr>
      <w:rPr>
        <w:rFonts w:ascii="Wingdings" w:hAnsi="Wingdings" w:hint="default"/>
      </w:rPr>
    </w:lvl>
    <w:lvl w:ilvl="6" w:tplc="37BECA42">
      <w:start w:val="1"/>
      <w:numFmt w:val="bullet"/>
      <w:lvlText w:val=""/>
      <w:lvlJc w:val="left"/>
      <w:pPr>
        <w:ind w:left="5040" w:hanging="360"/>
      </w:pPr>
      <w:rPr>
        <w:rFonts w:ascii="Symbol" w:hAnsi="Symbol" w:hint="default"/>
      </w:rPr>
    </w:lvl>
    <w:lvl w:ilvl="7" w:tplc="BA7CCBA0">
      <w:start w:val="1"/>
      <w:numFmt w:val="bullet"/>
      <w:lvlText w:val="o"/>
      <w:lvlJc w:val="left"/>
      <w:pPr>
        <w:ind w:left="5760" w:hanging="360"/>
      </w:pPr>
      <w:rPr>
        <w:rFonts w:ascii="Courier New" w:hAnsi="Courier New" w:hint="default"/>
      </w:rPr>
    </w:lvl>
    <w:lvl w:ilvl="8" w:tplc="75A0142A">
      <w:start w:val="1"/>
      <w:numFmt w:val="bullet"/>
      <w:lvlText w:val=""/>
      <w:lvlJc w:val="left"/>
      <w:pPr>
        <w:ind w:left="6480" w:hanging="360"/>
      </w:pPr>
      <w:rPr>
        <w:rFonts w:ascii="Wingdings" w:hAnsi="Wingdings" w:hint="default"/>
      </w:rPr>
    </w:lvl>
  </w:abstractNum>
  <w:abstractNum w:abstractNumId="121" w15:restartNumberingAfterBreak="0">
    <w:nsid w:val="7BE54254"/>
    <w:multiLevelType w:val="hybridMultilevel"/>
    <w:tmpl w:val="AEB27F1E"/>
    <w:lvl w:ilvl="0" w:tplc="B1BAB5E2">
      <w:start w:val="1"/>
      <w:numFmt w:val="bullet"/>
      <w:lvlText w:val=""/>
      <w:lvlJc w:val="left"/>
      <w:pPr>
        <w:ind w:left="720" w:hanging="360"/>
      </w:pPr>
      <w:rPr>
        <w:rFonts w:ascii="Symbol" w:hAnsi="Symbol" w:hint="default"/>
      </w:rPr>
    </w:lvl>
    <w:lvl w:ilvl="1" w:tplc="4A621FFA">
      <w:start w:val="1"/>
      <w:numFmt w:val="bullet"/>
      <w:lvlText w:val="o"/>
      <w:lvlJc w:val="left"/>
      <w:pPr>
        <w:ind w:left="1440" w:hanging="360"/>
      </w:pPr>
      <w:rPr>
        <w:rFonts w:ascii="Courier New" w:hAnsi="Courier New" w:hint="default"/>
      </w:rPr>
    </w:lvl>
    <w:lvl w:ilvl="2" w:tplc="2D2A1124">
      <w:start w:val="1"/>
      <w:numFmt w:val="bullet"/>
      <w:lvlText w:val=""/>
      <w:lvlJc w:val="left"/>
      <w:pPr>
        <w:ind w:left="2160" w:hanging="360"/>
      </w:pPr>
      <w:rPr>
        <w:rFonts w:ascii="Wingdings" w:hAnsi="Wingdings" w:hint="default"/>
      </w:rPr>
    </w:lvl>
    <w:lvl w:ilvl="3" w:tplc="E906301E">
      <w:start w:val="1"/>
      <w:numFmt w:val="bullet"/>
      <w:lvlText w:val=""/>
      <w:lvlJc w:val="left"/>
      <w:pPr>
        <w:ind w:left="2880" w:hanging="360"/>
      </w:pPr>
      <w:rPr>
        <w:rFonts w:ascii="Symbol" w:hAnsi="Symbol" w:hint="default"/>
      </w:rPr>
    </w:lvl>
    <w:lvl w:ilvl="4" w:tplc="6AD297B6">
      <w:start w:val="1"/>
      <w:numFmt w:val="bullet"/>
      <w:lvlText w:val="o"/>
      <w:lvlJc w:val="left"/>
      <w:pPr>
        <w:ind w:left="3600" w:hanging="360"/>
      </w:pPr>
      <w:rPr>
        <w:rFonts w:ascii="Courier New" w:hAnsi="Courier New" w:hint="default"/>
      </w:rPr>
    </w:lvl>
    <w:lvl w:ilvl="5" w:tplc="CF88503E">
      <w:start w:val="1"/>
      <w:numFmt w:val="bullet"/>
      <w:lvlText w:val=""/>
      <w:lvlJc w:val="left"/>
      <w:pPr>
        <w:ind w:left="4320" w:hanging="360"/>
      </w:pPr>
      <w:rPr>
        <w:rFonts w:ascii="Wingdings" w:hAnsi="Wingdings" w:hint="default"/>
      </w:rPr>
    </w:lvl>
    <w:lvl w:ilvl="6" w:tplc="B904509C">
      <w:start w:val="1"/>
      <w:numFmt w:val="bullet"/>
      <w:lvlText w:val=""/>
      <w:lvlJc w:val="left"/>
      <w:pPr>
        <w:ind w:left="5040" w:hanging="360"/>
      </w:pPr>
      <w:rPr>
        <w:rFonts w:ascii="Symbol" w:hAnsi="Symbol" w:hint="default"/>
      </w:rPr>
    </w:lvl>
    <w:lvl w:ilvl="7" w:tplc="CD98006A">
      <w:start w:val="1"/>
      <w:numFmt w:val="bullet"/>
      <w:lvlText w:val="o"/>
      <w:lvlJc w:val="left"/>
      <w:pPr>
        <w:ind w:left="5760" w:hanging="360"/>
      </w:pPr>
      <w:rPr>
        <w:rFonts w:ascii="Courier New" w:hAnsi="Courier New" w:hint="default"/>
      </w:rPr>
    </w:lvl>
    <w:lvl w:ilvl="8" w:tplc="54E09380">
      <w:start w:val="1"/>
      <w:numFmt w:val="bullet"/>
      <w:lvlText w:val=""/>
      <w:lvlJc w:val="left"/>
      <w:pPr>
        <w:ind w:left="6480" w:hanging="360"/>
      </w:pPr>
      <w:rPr>
        <w:rFonts w:ascii="Wingdings" w:hAnsi="Wingdings" w:hint="default"/>
      </w:rPr>
    </w:lvl>
  </w:abstractNum>
  <w:abstractNum w:abstractNumId="122" w15:restartNumberingAfterBreak="0">
    <w:nsid w:val="7DAA3A38"/>
    <w:multiLevelType w:val="hybridMultilevel"/>
    <w:tmpl w:val="8D92A214"/>
    <w:lvl w:ilvl="0" w:tplc="32765D44">
      <w:start w:val="1"/>
      <w:numFmt w:val="bullet"/>
      <w:lvlText w:val=""/>
      <w:lvlJc w:val="left"/>
      <w:pPr>
        <w:ind w:left="720" w:hanging="360"/>
      </w:pPr>
      <w:rPr>
        <w:rFonts w:ascii="Symbol" w:hAnsi="Symbol" w:hint="default"/>
      </w:rPr>
    </w:lvl>
    <w:lvl w:ilvl="1" w:tplc="851057EA" w:tentative="1">
      <w:start w:val="1"/>
      <w:numFmt w:val="bullet"/>
      <w:lvlText w:val="o"/>
      <w:lvlJc w:val="left"/>
      <w:pPr>
        <w:ind w:left="1440" w:hanging="360"/>
      </w:pPr>
      <w:rPr>
        <w:rFonts w:ascii="Courier New" w:hAnsi="Courier New" w:hint="default"/>
      </w:rPr>
    </w:lvl>
    <w:lvl w:ilvl="2" w:tplc="3BC8D66E" w:tentative="1">
      <w:start w:val="1"/>
      <w:numFmt w:val="bullet"/>
      <w:lvlText w:val=""/>
      <w:lvlJc w:val="left"/>
      <w:pPr>
        <w:ind w:left="2160" w:hanging="360"/>
      </w:pPr>
      <w:rPr>
        <w:rFonts w:ascii="Wingdings" w:hAnsi="Wingdings" w:hint="default"/>
      </w:rPr>
    </w:lvl>
    <w:lvl w:ilvl="3" w:tplc="B2526D30" w:tentative="1">
      <w:start w:val="1"/>
      <w:numFmt w:val="bullet"/>
      <w:lvlText w:val=""/>
      <w:lvlJc w:val="left"/>
      <w:pPr>
        <w:ind w:left="2880" w:hanging="360"/>
      </w:pPr>
      <w:rPr>
        <w:rFonts w:ascii="Symbol" w:hAnsi="Symbol" w:hint="default"/>
      </w:rPr>
    </w:lvl>
    <w:lvl w:ilvl="4" w:tplc="5B4A89D6" w:tentative="1">
      <w:start w:val="1"/>
      <w:numFmt w:val="bullet"/>
      <w:lvlText w:val="o"/>
      <w:lvlJc w:val="left"/>
      <w:pPr>
        <w:ind w:left="3600" w:hanging="360"/>
      </w:pPr>
      <w:rPr>
        <w:rFonts w:ascii="Courier New" w:hAnsi="Courier New" w:hint="default"/>
      </w:rPr>
    </w:lvl>
    <w:lvl w:ilvl="5" w:tplc="49D029C6" w:tentative="1">
      <w:start w:val="1"/>
      <w:numFmt w:val="bullet"/>
      <w:lvlText w:val=""/>
      <w:lvlJc w:val="left"/>
      <w:pPr>
        <w:ind w:left="4320" w:hanging="360"/>
      </w:pPr>
      <w:rPr>
        <w:rFonts w:ascii="Wingdings" w:hAnsi="Wingdings" w:hint="default"/>
      </w:rPr>
    </w:lvl>
    <w:lvl w:ilvl="6" w:tplc="F20A1A24" w:tentative="1">
      <w:start w:val="1"/>
      <w:numFmt w:val="bullet"/>
      <w:lvlText w:val=""/>
      <w:lvlJc w:val="left"/>
      <w:pPr>
        <w:ind w:left="5040" w:hanging="360"/>
      </w:pPr>
      <w:rPr>
        <w:rFonts w:ascii="Symbol" w:hAnsi="Symbol" w:hint="default"/>
      </w:rPr>
    </w:lvl>
    <w:lvl w:ilvl="7" w:tplc="1728B588" w:tentative="1">
      <w:start w:val="1"/>
      <w:numFmt w:val="bullet"/>
      <w:lvlText w:val="o"/>
      <w:lvlJc w:val="left"/>
      <w:pPr>
        <w:ind w:left="5760" w:hanging="360"/>
      </w:pPr>
      <w:rPr>
        <w:rFonts w:ascii="Courier New" w:hAnsi="Courier New" w:hint="default"/>
      </w:rPr>
    </w:lvl>
    <w:lvl w:ilvl="8" w:tplc="B1D24262" w:tentative="1">
      <w:start w:val="1"/>
      <w:numFmt w:val="bullet"/>
      <w:lvlText w:val=""/>
      <w:lvlJc w:val="left"/>
      <w:pPr>
        <w:ind w:left="6480" w:hanging="360"/>
      </w:pPr>
      <w:rPr>
        <w:rFonts w:ascii="Wingdings" w:hAnsi="Wingdings" w:hint="default"/>
      </w:rPr>
    </w:lvl>
  </w:abstractNum>
  <w:abstractNum w:abstractNumId="123" w15:restartNumberingAfterBreak="0">
    <w:nsid w:val="7DC58590"/>
    <w:multiLevelType w:val="hybridMultilevel"/>
    <w:tmpl w:val="FFFFFFFF"/>
    <w:lvl w:ilvl="0" w:tplc="8E0A9E0C">
      <w:start w:val="1"/>
      <w:numFmt w:val="decimal"/>
      <w:lvlText w:val="%1)"/>
      <w:lvlJc w:val="left"/>
      <w:pPr>
        <w:ind w:left="720" w:hanging="360"/>
      </w:pPr>
    </w:lvl>
    <w:lvl w:ilvl="1" w:tplc="B61E2B8C">
      <w:start w:val="1"/>
      <w:numFmt w:val="lowerLetter"/>
      <w:lvlText w:val="%2."/>
      <w:lvlJc w:val="left"/>
      <w:pPr>
        <w:ind w:left="1440" w:hanging="360"/>
      </w:pPr>
    </w:lvl>
    <w:lvl w:ilvl="2" w:tplc="07C670F8">
      <w:start w:val="1"/>
      <w:numFmt w:val="lowerRoman"/>
      <w:lvlText w:val="%3."/>
      <w:lvlJc w:val="right"/>
      <w:pPr>
        <w:ind w:left="2160" w:hanging="180"/>
      </w:pPr>
    </w:lvl>
    <w:lvl w:ilvl="3" w:tplc="7122C746">
      <w:start w:val="1"/>
      <w:numFmt w:val="decimal"/>
      <w:lvlText w:val="%4."/>
      <w:lvlJc w:val="left"/>
      <w:pPr>
        <w:ind w:left="2880" w:hanging="360"/>
      </w:pPr>
    </w:lvl>
    <w:lvl w:ilvl="4" w:tplc="4E1E56A6">
      <w:start w:val="1"/>
      <w:numFmt w:val="lowerLetter"/>
      <w:lvlText w:val="%5."/>
      <w:lvlJc w:val="left"/>
      <w:pPr>
        <w:ind w:left="3600" w:hanging="360"/>
      </w:pPr>
    </w:lvl>
    <w:lvl w:ilvl="5" w:tplc="9D08E840">
      <w:start w:val="1"/>
      <w:numFmt w:val="lowerRoman"/>
      <w:lvlText w:val="%6."/>
      <w:lvlJc w:val="right"/>
      <w:pPr>
        <w:ind w:left="4320" w:hanging="180"/>
      </w:pPr>
    </w:lvl>
    <w:lvl w:ilvl="6" w:tplc="9020A144">
      <w:start w:val="1"/>
      <w:numFmt w:val="decimal"/>
      <w:lvlText w:val="%7."/>
      <w:lvlJc w:val="left"/>
      <w:pPr>
        <w:ind w:left="5040" w:hanging="360"/>
      </w:pPr>
    </w:lvl>
    <w:lvl w:ilvl="7" w:tplc="34ECD256">
      <w:start w:val="1"/>
      <w:numFmt w:val="lowerLetter"/>
      <w:lvlText w:val="%8."/>
      <w:lvlJc w:val="left"/>
      <w:pPr>
        <w:ind w:left="5760" w:hanging="360"/>
      </w:pPr>
    </w:lvl>
    <w:lvl w:ilvl="8" w:tplc="ABA6ACD0">
      <w:start w:val="1"/>
      <w:numFmt w:val="lowerRoman"/>
      <w:lvlText w:val="%9."/>
      <w:lvlJc w:val="right"/>
      <w:pPr>
        <w:ind w:left="6480" w:hanging="180"/>
      </w:pPr>
    </w:lvl>
  </w:abstractNum>
  <w:abstractNum w:abstractNumId="124" w15:restartNumberingAfterBreak="0">
    <w:nsid w:val="7E640F2F"/>
    <w:multiLevelType w:val="multilevel"/>
    <w:tmpl w:val="0618207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7808"/>
        </w:tabs>
        <w:ind w:left="7808" w:hanging="720"/>
      </w:pPr>
      <w:rPr>
        <w:rFonts w:hint="default"/>
        <w:b w:val="0"/>
        <w:bCs/>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2"/>
  </w:num>
  <w:num w:numId="2">
    <w:abstractNumId w:val="67"/>
  </w:num>
  <w:num w:numId="3">
    <w:abstractNumId w:val="46"/>
  </w:num>
  <w:num w:numId="4">
    <w:abstractNumId w:val="65"/>
  </w:num>
  <w:num w:numId="5">
    <w:abstractNumId w:val="105"/>
  </w:num>
  <w:num w:numId="6">
    <w:abstractNumId w:val="57"/>
  </w:num>
  <w:num w:numId="7">
    <w:abstractNumId w:val="89"/>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2"/>
  </w:num>
  <w:num w:numId="11">
    <w:abstractNumId w:val="33"/>
  </w:num>
  <w:num w:numId="12">
    <w:abstractNumId w:val="99"/>
  </w:num>
  <w:num w:numId="13">
    <w:abstractNumId w:val="5"/>
  </w:num>
  <w:num w:numId="14">
    <w:abstractNumId w:val="96"/>
  </w:num>
  <w:num w:numId="15">
    <w:abstractNumId w:val="12"/>
  </w:num>
  <w:num w:numId="16">
    <w:abstractNumId w:val="101"/>
  </w:num>
  <w:num w:numId="17">
    <w:abstractNumId w:val="86"/>
  </w:num>
  <w:num w:numId="18">
    <w:abstractNumId w:val="114"/>
  </w:num>
  <w:num w:numId="19">
    <w:abstractNumId w:val="73"/>
  </w:num>
  <w:num w:numId="20">
    <w:abstractNumId w:val="56"/>
  </w:num>
  <w:num w:numId="21">
    <w:abstractNumId w:val="8"/>
  </w:num>
  <w:num w:numId="22">
    <w:abstractNumId w:val="9"/>
  </w:num>
  <w:num w:numId="23">
    <w:abstractNumId w:val="50"/>
  </w:num>
  <w:num w:numId="24">
    <w:abstractNumId w:val="85"/>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4"/>
  </w:num>
  <w:num w:numId="28">
    <w:abstractNumId w:val="115"/>
  </w:num>
  <w:num w:numId="29">
    <w:abstractNumId w:val="47"/>
  </w:num>
  <w:num w:numId="30">
    <w:abstractNumId w:val="121"/>
  </w:num>
  <w:num w:numId="31">
    <w:abstractNumId w:val="124"/>
  </w:num>
  <w:num w:numId="32">
    <w:abstractNumId w:val="61"/>
  </w:num>
  <w:num w:numId="33">
    <w:abstractNumId w:val="27"/>
  </w:num>
  <w:num w:numId="34">
    <w:abstractNumId w:val="72"/>
  </w:num>
  <w:num w:numId="35">
    <w:abstractNumId w:val="2"/>
  </w:num>
  <w:num w:numId="36">
    <w:abstractNumId w:val="31"/>
  </w:num>
  <w:num w:numId="37">
    <w:abstractNumId w:val="68"/>
  </w:num>
  <w:num w:numId="38">
    <w:abstractNumId w:val="24"/>
  </w:num>
  <w:num w:numId="39">
    <w:abstractNumId w:val="43"/>
  </w:num>
  <w:num w:numId="40">
    <w:abstractNumId w:val="111"/>
  </w:num>
  <w:num w:numId="41">
    <w:abstractNumId w:val="109"/>
  </w:num>
  <w:num w:numId="42">
    <w:abstractNumId w:val="103"/>
  </w:num>
  <w:num w:numId="43">
    <w:abstractNumId w:val="54"/>
  </w:num>
  <w:num w:numId="44">
    <w:abstractNumId w:val="102"/>
  </w:num>
  <w:num w:numId="45">
    <w:abstractNumId w:val="55"/>
  </w:num>
  <w:num w:numId="46">
    <w:abstractNumId w:val="22"/>
  </w:num>
  <w:num w:numId="47">
    <w:abstractNumId w:val="50"/>
    <w:lvlOverride w:ilvl="0">
      <w:startOverride w:val="1"/>
    </w:lvlOverride>
  </w:num>
  <w:num w:numId="48">
    <w:abstractNumId w:val="0"/>
  </w:num>
  <w:num w:numId="49">
    <w:abstractNumId w:val="51"/>
  </w:num>
  <w:num w:numId="50">
    <w:abstractNumId w:val="71"/>
  </w:num>
  <w:num w:numId="51">
    <w:abstractNumId w:val="26"/>
  </w:num>
  <w:num w:numId="52">
    <w:abstractNumId w:val="110"/>
  </w:num>
  <w:num w:numId="53">
    <w:abstractNumId w:val="18"/>
  </w:num>
  <w:num w:numId="54">
    <w:abstractNumId w:val="3"/>
  </w:num>
  <w:num w:numId="55">
    <w:abstractNumId w:val="1"/>
  </w:num>
  <w:num w:numId="56">
    <w:abstractNumId w:val="97"/>
  </w:num>
  <w:num w:numId="57">
    <w:abstractNumId w:val="37"/>
  </w:num>
  <w:num w:numId="58">
    <w:abstractNumId w:val="58"/>
  </w:num>
  <w:num w:numId="59">
    <w:abstractNumId w:val="93"/>
  </w:num>
  <w:num w:numId="60">
    <w:abstractNumId w:val="32"/>
  </w:num>
  <w:num w:numId="61">
    <w:abstractNumId w:val="116"/>
  </w:num>
  <w:num w:numId="62">
    <w:abstractNumId w:val="42"/>
  </w:num>
  <w:num w:numId="63">
    <w:abstractNumId w:val="108"/>
  </w:num>
  <w:num w:numId="64">
    <w:abstractNumId w:val="64"/>
  </w:num>
  <w:num w:numId="65">
    <w:abstractNumId w:val="82"/>
  </w:num>
  <w:num w:numId="66">
    <w:abstractNumId w:val="30"/>
  </w:num>
  <w:num w:numId="67">
    <w:abstractNumId w:val="77"/>
  </w:num>
  <w:num w:numId="68">
    <w:abstractNumId w:val="118"/>
  </w:num>
  <w:num w:numId="69">
    <w:abstractNumId w:val="13"/>
  </w:num>
  <w:num w:numId="70">
    <w:abstractNumId w:val="74"/>
  </w:num>
  <w:num w:numId="71">
    <w:abstractNumId w:val="83"/>
  </w:num>
  <w:num w:numId="72">
    <w:abstractNumId w:val="48"/>
  </w:num>
  <w:num w:numId="73">
    <w:abstractNumId w:val="88"/>
  </w:num>
  <w:num w:numId="74">
    <w:abstractNumId w:val="122"/>
  </w:num>
  <w:num w:numId="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4"/>
  </w:num>
  <w:num w:numId="77">
    <w:abstractNumId w:val="95"/>
  </w:num>
  <w:num w:numId="78">
    <w:abstractNumId w:val="117"/>
  </w:num>
  <w:num w:numId="79">
    <w:abstractNumId w:val="41"/>
  </w:num>
  <w:num w:numId="80">
    <w:abstractNumId w:val="44"/>
  </w:num>
  <w:num w:numId="81">
    <w:abstractNumId w:val="69"/>
  </w:num>
  <w:num w:numId="82">
    <w:abstractNumId w:val="53"/>
  </w:num>
  <w:num w:numId="83">
    <w:abstractNumId w:val="87"/>
  </w:num>
  <w:num w:numId="84">
    <w:abstractNumId w:val="80"/>
  </w:num>
  <w:num w:numId="85">
    <w:abstractNumId w:val="76"/>
    <w:lvlOverride w:ilvl="0"/>
    <w:lvlOverride w:ilvl="1">
      <w:startOverride w:val="1"/>
    </w:lvlOverride>
    <w:lvlOverride w:ilvl="2"/>
    <w:lvlOverride w:ilvl="3"/>
    <w:lvlOverride w:ilvl="4"/>
    <w:lvlOverride w:ilvl="5"/>
    <w:lvlOverride w:ilvl="6"/>
    <w:lvlOverride w:ilvl="7"/>
    <w:lvlOverride w:ilvl="8"/>
  </w:num>
  <w:num w:numId="86">
    <w:abstractNumId w:val="14"/>
    <w:lvlOverride w:ilvl="0"/>
    <w:lvlOverride w:ilvl="1"/>
    <w:lvlOverride w:ilvl="2">
      <w:startOverride w:val="1"/>
    </w:lvlOverride>
    <w:lvlOverride w:ilvl="3"/>
    <w:lvlOverride w:ilvl="4"/>
    <w:lvlOverride w:ilvl="5"/>
    <w:lvlOverride w:ilvl="6"/>
    <w:lvlOverride w:ilvl="7"/>
    <w:lvlOverride w:ilvl="8"/>
  </w:num>
  <w:num w:numId="87">
    <w:abstractNumId w:val="10"/>
  </w:num>
  <w:num w:numId="88">
    <w:abstractNumId w:val="15"/>
  </w:num>
  <w:num w:numId="89">
    <w:abstractNumId w:val="29"/>
  </w:num>
  <w:num w:numId="90">
    <w:abstractNumId w:val="14"/>
  </w:num>
  <w:num w:numId="91">
    <w:abstractNumId w:val="39"/>
  </w:num>
  <w:num w:numId="92">
    <w:abstractNumId w:val="59"/>
  </w:num>
  <w:num w:numId="93">
    <w:abstractNumId w:val="81"/>
  </w:num>
  <w:num w:numId="94">
    <w:abstractNumId w:val="19"/>
  </w:num>
  <w:num w:numId="95">
    <w:abstractNumId w:val="23"/>
  </w:num>
  <w:num w:numId="96">
    <w:abstractNumId w:val="49"/>
  </w:num>
  <w:num w:numId="97">
    <w:abstractNumId w:val="28"/>
  </w:num>
  <w:num w:numId="98">
    <w:abstractNumId w:val="91"/>
  </w:num>
  <w:num w:numId="99">
    <w:abstractNumId w:val="21"/>
  </w:num>
  <w:num w:numId="100">
    <w:abstractNumId w:val="98"/>
  </w:num>
  <w:num w:numId="101">
    <w:abstractNumId w:val="6"/>
  </w:num>
  <w:num w:numId="102">
    <w:abstractNumId w:val="17"/>
  </w:num>
  <w:num w:numId="103">
    <w:abstractNumId w:val="18"/>
  </w:num>
  <w:num w:numId="104">
    <w:abstractNumId w:val="7"/>
  </w:num>
  <w:num w:numId="105">
    <w:abstractNumId w:val="25"/>
  </w:num>
  <w:num w:numId="106">
    <w:abstractNumId w:val="20"/>
  </w:num>
  <w:num w:numId="107">
    <w:abstractNumId w:val="120"/>
  </w:num>
  <w:num w:numId="108">
    <w:abstractNumId w:val="90"/>
  </w:num>
  <w:num w:numId="109">
    <w:abstractNumId w:val="79"/>
  </w:num>
  <w:num w:numId="110">
    <w:abstractNumId w:val="107"/>
  </w:num>
  <w:num w:numId="111">
    <w:abstractNumId w:val="123"/>
  </w:num>
  <w:num w:numId="112">
    <w:abstractNumId w:val="40"/>
  </w:num>
  <w:num w:numId="113">
    <w:abstractNumId w:val="75"/>
  </w:num>
  <w:num w:numId="114">
    <w:abstractNumId w:val="78"/>
  </w:num>
  <w:num w:numId="115">
    <w:abstractNumId w:val="66"/>
  </w:num>
  <w:num w:numId="116">
    <w:abstractNumId w:val="16"/>
  </w:num>
  <w:num w:numId="117">
    <w:abstractNumId w:val="63"/>
  </w:num>
  <w:num w:numId="118">
    <w:abstractNumId w:val="112"/>
  </w:num>
  <w:num w:numId="119">
    <w:abstractNumId w:val="70"/>
  </w:num>
  <w:num w:numId="120">
    <w:abstractNumId w:val="106"/>
  </w:num>
  <w:num w:numId="121">
    <w:abstractNumId w:val="84"/>
  </w:num>
  <w:num w:numId="122">
    <w:abstractNumId w:val="62"/>
  </w:num>
  <w:num w:numId="1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
  </w:num>
  <w:num w:numId="125">
    <w:abstractNumId w:val="104"/>
  </w:num>
  <w:num w:numId="126">
    <w:abstractNumId w:val="45"/>
  </w:num>
  <w:num w:numId="127">
    <w:abstractNumId w:val="60"/>
  </w:num>
  <w:num w:numId="128">
    <w:abstractNumId w:val="38"/>
  </w:num>
  <w:num w:numId="129">
    <w:abstractNumId w:val="36"/>
  </w:num>
  <w:num w:numId="130">
    <w:abstractNumId w:val="35"/>
  </w:num>
  <w:num w:numId="131">
    <w:abstractNumId w:val="18"/>
  </w:num>
  <w:num w:numId="1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8"/>
  </w:num>
  <w:num w:numId="134">
    <w:abstractNumId w:val="18"/>
  </w:num>
  <w:num w:numId="135">
    <w:abstractNumId w:val="18"/>
  </w:num>
  <w:num w:numId="136">
    <w:abstractNumId w:val="113"/>
  </w:num>
  <w:num w:numId="137">
    <w:abstractNumId w:val="100"/>
  </w:num>
  <w:num w:numId="138">
    <w:abstractNumId w:val="18"/>
  </w:num>
  <w:num w:numId="139">
    <w:abstractNumId w:val="18"/>
  </w:num>
  <w:num w:numId="140">
    <w:abstractNumId w:val="18"/>
  </w:num>
  <w:num w:numId="141">
    <w:abstractNumId w:val="18"/>
  </w:num>
  <w:num w:numId="142">
    <w:abstractNumId w:val="119"/>
  </w:num>
  <w:num w:numId="143">
    <w:abstractNumId w:val="18"/>
  </w:num>
  <w:num w:numId="144">
    <w:abstractNumId w:val="1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772E117A-DD66-4AA4-B93F-26285B93F0EB"/>
    <w:docVar w:name="LW_COVERPAGE_TYPE" w:val="1"/>
    <w:docVar w:name="LW_CROSSREFERENCE" w:val="{COM(2026) 16 final} - {SEC(2026) 14 final} - {SWD(2026) 14 final}"/>
    <w:docVar w:name="LW_DocType" w:val="NORMAL"/>
    <w:docVar w:name="LW_EMISSION" w:val="21.1.2026"/>
    <w:docVar w:name="LW_EMISSION_ISODATE" w:val="2026-01-21"/>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REGULATION OF THE EUROPEAN PARLIAMENT AND OF THE COUNCIL_x000d__x000d__x000b_on digital networks, amending Regulation (EU) 2015/2120, Directive 2002/58/EC and Decision No 676/2002/EC and repealing Regulation (EU) 2018/1971, Directive (EU) 2018/1972 and Decision No 243/2012/EU (Digital Networks Act)_x000d__x000d__x000b__x000d__x000d__x000d__x000d__x000b_"/>
    <w:docVar w:name="LW_PART_NBR" w:val="2"/>
    <w:docVar w:name="LW_PART_NBR_TOTAL" w:val="3"/>
    <w:docVar w:name="LW_REF.INST.NEW" w:val="SWD"/>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_x000b_"/>
    <w:docVar w:name="LwApiVersions" w:val="LW4CoDe 1.24.5.0; LW 9.2, Build 20251112"/>
  </w:docVars>
  <w:rsids>
    <w:rsidRoot w:val="006B087E"/>
    <w:rsid w:val="000001A0"/>
    <w:rsid w:val="000001ED"/>
    <w:rsid w:val="000003AB"/>
    <w:rsid w:val="0000047E"/>
    <w:rsid w:val="0000049C"/>
    <w:rsid w:val="0000059E"/>
    <w:rsid w:val="0000064C"/>
    <w:rsid w:val="000006AC"/>
    <w:rsid w:val="00000710"/>
    <w:rsid w:val="00000729"/>
    <w:rsid w:val="000007FF"/>
    <w:rsid w:val="0000081F"/>
    <w:rsid w:val="0000085B"/>
    <w:rsid w:val="0000087E"/>
    <w:rsid w:val="0000093B"/>
    <w:rsid w:val="000009C7"/>
    <w:rsid w:val="00000A5E"/>
    <w:rsid w:val="00000A71"/>
    <w:rsid w:val="00000ADB"/>
    <w:rsid w:val="00000B51"/>
    <w:rsid w:val="00000BD2"/>
    <w:rsid w:val="00000CC6"/>
    <w:rsid w:val="00000CCF"/>
    <w:rsid w:val="00000D71"/>
    <w:rsid w:val="00000DA8"/>
    <w:rsid w:val="00000E3A"/>
    <w:rsid w:val="00000EE0"/>
    <w:rsid w:val="00000FA9"/>
    <w:rsid w:val="00001093"/>
    <w:rsid w:val="00001172"/>
    <w:rsid w:val="000011D2"/>
    <w:rsid w:val="0000123A"/>
    <w:rsid w:val="00001300"/>
    <w:rsid w:val="0000136B"/>
    <w:rsid w:val="000013C4"/>
    <w:rsid w:val="00001463"/>
    <w:rsid w:val="00001503"/>
    <w:rsid w:val="0000154F"/>
    <w:rsid w:val="0000155E"/>
    <w:rsid w:val="000015F0"/>
    <w:rsid w:val="00001627"/>
    <w:rsid w:val="00001754"/>
    <w:rsid w:val="000017C0"/>
    <w:rsid w:val="000017C4"/>
    <w:rsid w:val="0000195C"/>
    <w:rsid w:val="00001961"/>
    <w:rsid w:val="00001963"/>
    <w:rsid w:val="000019B2"/>
    <w:rsid w:val="00001A3A"/>
    <w:rsid w:val="00001A87"/>
    <w:rsid w:val="00001AAE"/>
    <w:rsid w:val="00001BC8"/>
    <w:rsid w:val="00001C53"/>
    <w:rsid w:val="00001C95"/>
    <w:rsid w:val="00001CDD"/>
    <w:rsid w:val="00001DAD"/>
    <w:rsid w:val="00001E41"/>
    <w:rsid w:val="00002076"/>
    <w:rsid w:val="00002121"/>
    <w:rsid w:val="00002131"/>
    <w:rsid w:val="00002166"/>
    <w:rsid w:val="000021AF"/>
    <w:rsid w:val="00002277"/>
    <w:rsid w:val="00002382"/>
    <w:rsid w:val="000023C0"/>
    <w:rsid w:val="000023EF"/>
    <w:rsid w:val="00002483"/>
    <w:rsid w:val="000024E3"/>
    <w:rsid w:val="000025A5"/>
    <w:rsid w:val="0000263D"/>
    <w:rsid w:val="00002676"/>
    <w:rsid w:val="000026E0"/>
    <w:rsid w:val="0000273C"/>
    <w:rsid w:val="0000277B"/>
    <w:rsid w:val="0000283B"/>
    <w:rsid w:val="00002993"/>
    <w:rsid w:val="000029A6"/>
    <w:rsid w:val="00002B47"/>
    <w:rsid w:val="00002BB0"/>
    <w:rsid w:val="00002C43"/>
    <w:rsid w:val="00002CF6"/>
    <w:rsid w:val="00002E2C"/>
    <w:rsid w:val="00002F0E"/>
    <w:rsid w:val="00003063"/>
    <w:rsid w:val="000030EE"/>
    <w:rsid w:val="0000314F"/>
    <w:rsid w:val="0000315E"/>
    <w:rsid w:val="000031F4"/>
    <w:rsid w:val="000031FB"/>
    <w:rsid w:val="00003283"/>
    <w:rsid w:val="000032AF"/>
    <w:rsid w:val="0000332F"/>
    <w:rsid w:val="00003355"/>
    <w:rsid w:val="000033D1"/>
    <w:rsid w:val="000034D2"/>
    <w:rsid w:val="000034D9"/>
    <w:rsid w:val="0000355B"/>
    <w:rsid w:val="000035F5"/>
    <w:rsid w:val="00003602"/>
    <w:rsid w:val="00003696"/>
    <w:rsid w:val="00003770"/>
    <w:rsid w:val="000037C4"/>
    <w:rsid w:val="00003840"/>
    <w:rsid w:val="0000395E"/>
    <w:rsid w:val="00003A9C"/>
    <w:rsid w:val="00003AE8"/>
    <w:rsid w:val="00003B5F"/>
    <w:rsid w:val="00003B6E"/>
    <w:rsid w:val="00003BFA"/>
    <w:rsid w:val="00003C04"/>
    <w:rsid w:val="00003CC5"/>
    <w:rsid w:val="00003D2F"/>
    <w:rsid w:val="00003D34"/>
    <w:rsid w:val="00003D9C"/>
    <w:rsid w:val="00003F26"/>
    <w:rsid w:val="00003FB1"/>
    <w:rsid w:val="00003FBB"/>
    <w:rsid w:val="000040EB"/>
    <w:rsid w:val="00004140"/>
    <w:rsid w:val="0000414C"/>
    <w:rsid w:val="000041A0"/>
    <w:rsid w:val="000041DE"/>
    <w:rsid w:val="00004266"/>
    <w:rsid w:val="000042AE"/>
    <w:rsid w:val="00004558"/>
    <w:rsid w:val="000045B4"/>
    <w:rsid w:val="00004673"/>
    <w:rsid w:val="00004778"/>
    <w:rsid w:val="000047B5"/>
    <w:rsid w:val="00004801"/>
    <w:rsid w:val="000048DF"/>
    <w:rsid w:val="000049AE"/>
    <w:rsid w:val="00004A92"/>
    <w:rsid w:val="00004B52"/>
    <w:rsid w:val="00004BD2"/>
    <w:rsid w:val="00004C72"/>
    <w:rsid w:val="00004D12"/>
    <w:rsid w:val="00004D5A"/>
    <w:rsid w:val="00004E01"/>
    <w:rsid w:val="00004EEE"/>
    <w:rsid w:val="00004F8D"/>
    <w:rsid w:val="00005052"/>
    <w:rsid w:val="000050BD"/>
    <w:rsid w:val="000051BA"/>
    <w:rsid w:val="00005286"/>
    <w:rsid w:val="00005322"/>
    <w:rsid w:val="00005395"/>
    <w:rsid w:val="00005527"/>
    <w:rsid w:val="00005670"/>
    <w:rsid w:val="000056A0"/>
    <w:rsid w:val="00005768"/>
    <w:rsid w:val="000057AE"/>
    <w:rsid w:val="0000583F"/>
    <w:rsid w:val="000058BA"/>
    <w:rsid w:val="00005A3D"/>
    <w:rsid w:val="00005BF9"/>
    <w:rsid w:val="00005CC7"/>
    <w:rsid w:val="00005D92"/>
    <w:rsid w:val="00005DB4"/>
    <w:rsid w:val="00005DE7"/>
    <w:rsid w:val="00005FF2"/>
    <w:rsid w:val="00006303"/>
    <w:rsid w:val="000063ED"/>
    <w:rsid w:val="000064BD"/>
    <w:rsid w:val="000065AD"/>
    <w:rsid w:val="000065D3"/>
    <w:rsid w:val="000065FC"/>
    <w:rsid w:val="00006642"/>
    <w:rsid w:val="000066A3"/>
    <w:rsid w:val="00006725"/>
    <w:rsid w:val="0000688B"/>
    <w:rsid w:val="000069E3"/>
    <w:rsid w:val="000069FF"/>
    <w:rsid w:val="00006B09"/>
    <w:rsid w:val="00006B62"/>
    <w:rsid w:val="00006C07"/>
    <w:rsid w:val="00006D18"/>
    <w:rsid w:val="0000700B"/>
    <w:rsid w:val="000071A0"/>
    <w:rsid w:val="0000723A"/>
    <w:rsid w:val="000072D5"/>
    <w:rsid w:val="000072F5"/>
    <w:rsid w:val="000073DE"/>
    <w:rsid w:val="0000756C"/>
    <w:rsid w:val="00007645"/>
    <w:rsid w:val="00007768"/>
    <w:rsid w:val="00007806"/>
    <w:rsid w:val="00007860"/>
    <w:rsid w:val="000078BE"/>
    <w:rsid w:val="000078F9"/>
    <w:rsid w:val="00007945"/>
    <w:rsid w:val="00007A25"/>
    <w:rsid w:val="00007B07"/>
    <w:rsid w:val="00007B1D"/>
    <w:rsid w:val="00007D4D"/>
    <w:rsid w:val="00007DB6"/>
    <w:rsid w:val="00007E9C"/>
    <w:rsid w:val="00007EC4"/>
    <w:rsid w:val="00007F43"/>
    <w:rsid w:val="00007F9D"/>
    <w:rsid w:val="00010113"/>
    <w:rsid w:val="000101A5"/>
    <w:rsid w:val="000101B5"/>
    <w:rsid w:val="00010223"/>
    <w:rsid w:val="000102E7"/>
    <w:rsid w:val="0001033A"/>
    <w:rsid w:val="00010454"/>
    <w:rsid w:val="000104D8"/>
    <w:rsid w:val="00010641"/>
    <w:rsid w:val="0001074A"/>
    <w:rsid w:val="0001079E"/>
    <w:rsid w:val="000107EE"/>
    <w:rsid w:val="00010983"/>
    <w:rsid w:val="00010A7B"/>
    <w:rsid w:val="00010B29"/>
    <w:rsid w:val="00010B30"/>
    <w:rsid w:val="00010B34"/>
    <w:rsid w:val="00010C31"/>
    <w:rsid w:val="00010C7D"/>
    <w:rsid w:val="00010C9D"/>
    <w:rsid w:val="00010CD5"/>
    <w:rsid w:val="00010D85"/>
    <w:rsid w:val="00010DDB"/>
    <w:rsid w:val="00010DFE"/>
    <w:rsid w:val="00010EDF"/>
    <w:rsid w:val="00010EFD"/>
    <w:rsid w:val="00010FB1"/>
    <w:rsid w:val="00010FED"/>
    <w:rsid w:val="0001104E"/>
    <w:rsid w:val="000110E3"/>
    <w:rsid w:val="0001113D"/>
    <w:rsid w:val="00011319"/>
    <w:rsid w:val="00011348"/>
    <w:rsid w:val="00011354"/>
    <w:rsid w:val="00011362"/>
    <w:rsid w:val="000114A6"/>
    <w:rsid w:val="000114CD"/>
    <w:rsid w:val="000115E3"/>
    <w:rsid w:val="00011633"/>
    <w:rsid w:val="00011717"/>
    <w:rsid w:val="0001177B"/>
    <w:rsid w:val="00011797"/>
    <w:rsid w:val="0001188D"/>
    <w:rsid w:val="000118EE"/>
    <w:rsid w:val="00011904"/>
    <w:rsid w:val="00011954"/>
    <w:rsid w:val="0001198F"/>
    <w:rsid w:val="00011A75"/>
    <w:rsid w:val="00011AAF"/>
    <w:rsid w:val="00011BDF"/>
    <w:rsid w:val="00011C3B"/>
    <w:rsid w:val="00011D19"/>
    <w:rsid w:val="00011DD8"/>
    <w:rsid w:val="00011E55"/>
    <w:rsid w:val="00011E64"/>
    <w:rsid w:val="00011E6D"/>
    <w:rsid w:val="00011EF7"/>
    <w:rsid w:val="00011F20"/>
    <w:rsid w:val="00011F87"/>
    <w:rsid w:val="000121F1"/>
    <w:rsid w:val="00012303"/>
    <w:rsid w:val="0001236B"/>
    <w:rsid w:val="0001247C"/>
    <w:rsid w:val="0001247F"/>
    <w:rsid w:val="000124CC"/>
    <w:rsid w:val="00012551"/>
    <w:rsid w:val="000126DF"/>
    <w:rsid w:val="0001278C"/>
    <w:rsid w:val="000128E4"/>
    <w:rsid w:val="0001293A"/>
    <w:rsid w:val="00012976"/>
    <w:rsid w:val="000129B7"/>
    <w:rsid w:val="000129E3"/>
    <w:rsid w:val="00012A53"/>
    <w:rsid w:val="00012AED"/>
    <w:rsid w:val="00012B54"/>
    <w:rsid w:val="00012C3D"/>
    <w:rsid w:val="00012D6A"/>
    <w:rsid w:val="00012DD0"/>
    <w:rsid w:val="00012DE2"/>
    <w:rsid w:val="00012EF8"/>
    <w:rsid w:val="00013048"/>
    <w:rsid w:val="0001314B"/>
    <w:rsid w:val="000131F5"/>
    <w:rsid w:val="0001327E"/>
    <w:rsid w:val="00013340"/>
    <w:rsid w:val="0001345D"/>
    <w:rsid w:val="00013596"/>
    <w:rsid w:val="000135A0"/>
    <w:rsid w:val="000139F4"/>
    <w:rsid w:val="000139F6"/>
    <w:rsid w:val="00013A9A"/>
    <w:rsid w:val="00013ACD"/>
    <w:rsid w:val="00013B49"/>
    <w:rsid w:val="00013C77"/>
    <w:rsid w:val="00013E3B"/>
    <w:rsid w:val="00013E74"/>
    <w:rsid w:val="00013F39"/>
    <w:rsid w:val="0001412E"/>
    <w:rsid w:val="00014136"/>
    <w:rsid w:val="00014143"/>
    <w:rsid w:val="00014189"/>
    <w:rsid w:val="00014245"/>
    <w:rsid w:val="0001436E"/>
    <w:rsid w:val="00014569"/>
    <w:rsid w:val="0001458B"/>
    <w:rsid w:val="000145B6"/>
    <w:rsid w:val="000146F4"/>
    <w:rsid w:val="00014708"/>
    <w:rsid w:val="0001471B"/>
    <w:rsid w:val="00014768"/>
    <w:rsid w:val="000148C2"/>
    <w:rsid w:val="00014940"/>
    <w:rsid w:val="00014978"/>
    <w:rsid w:val="000149AB"/>
    <w:rsid w:val="00014A82"/>
    <w:rsid w:val="00014A8A"/>
    <w:rsid w:val="00014A8D"/>
    <w:rsid w:val="00014B4B"/>
    <w:rsid w:val="00014B79"/>
    <w:rsid w:val="00014C5F"/>
    <w:rsid w:val="00014C7E"/>
    <w:rsid w:val="00014E6D"/>
    <w:rsid w:val="000151A1"/>
    <w:rsid w:val="000151F8"/>
    <w:rsid w:val="0001525A"/>
    <w:rsid w:val="0001527A"/>
    <w:rsid w:val="000152A6"/>
    <w:rsid w:val="0001536C"/>
    <w:rsid w:val="000153D0"/>
    <w:rsid w:val="00015478"/>
    <w:rsid w:val="0001548F"/>
    <w:rsid w:val="000154A3"/>
    <w:rsid w:val="000154AB"/>
    <w:rsid w:val="00015618"/>
    <w:rsid w:val="000156C7"/>
    <w:rsid w:val="00015740"/>
    <w:rsid w:val="0001579C"/>
    <w:rsid w:val="000157E4"/>
    <w:rsid w:val="000157FC"/>
    <w:rsid w:val="00015803"/>
    <w:rsid w:val="000159B0"/>
    <w:rsid w:val="000159F4"/>
    <w:rsid w:val="00015AF3"/>
    <w:rsid w:val="00015B54"/>
    <w:rsid w:val="00015B56"/>
    <w:rsid w:val="00015D57"/>
    <w:rsid w:val="00015DFA"/>
    <w:rsid w:val="00015DFB"/>
    <w:rsid w:val="00015E3F"/>
    <w:rsid w:val="00015E7C"/>
    <w:rsid w:val="00015FEE"/>
    <w:rsid w:val="0001604F"/>
    <w:rsid w:val="00016141"/>
    <w:rsid w:val="0001621D"/>
    <w:rsid w:val="0001632F"/>
    <w:rsid w:val="00016363"/>
    <w:rsid w:val="00016364"/>
    <w:rsid w:val="0001644E"/>
    <w:rsid w:val="000164AD"/>
    <w:rsid w:val="00016806"/>
    <w:rsid w:val="0001698A"/>
    <w:rsid w:val="00016994"/>
    <w:rsid w:val="00016A2B"/>
    <w:rsid w:val="00016AA0"/>
    <w:rsid w:val="00016AE0"/>
    <w:rsid w:val="00016B12"/>
    <w:rsid w:val="00016C8B"/>
    <w:rsid w:val="00016D42"/>
    <w:rsid w:val="00016DAE"/>
    <w:rsid w:val="00016ECD"/>
    <w:rsid w:val="00016FE8"/>
    <w:rsid w:val="00016FEE"/>
    <w:rsid w:val="00017051"/>
    <w:rsid w:val="00017067"/>
    <w:rsid w:val="000170DD"/>
    <w:rsid w:val="00017156"/>
    <w:rsid w:val="00017216"/>
    <w:rsid w:val="00017251"/>
    <w:rsid w:val="00017263"/>
    <w:rsid w:val="000172A3"/>
    <w:rsid w:val="000172B6"/>
    <w:rsid w:val="000172B9"/>
    <w:rsid w:val="000172DE"/>
    <w:rsid w:val="00017307"/>
    <w:rsid w:val="0001742F"/>
    <w:rsid w:val="00017518"/>
    <w:rsid w:val="0001754D"/>
    <w:rsid w:val="0001758A"/>
    <w:rsid w:val="00017634"/>
    <w:rsid w:val="0001769F"/>
    <w:rsid w:val="00017787"/>
    <w:rsid w:val="000178CF"/>
    <w:rsid w:val="0001795A"/>
    <w:rsid w:val="0001798B"/>
    <w:rsid w:val="00017AA0"/>
    <w:rsid w:val="00017B78"/>
    <w:rsid w:val="00017C12"/>
    <w:rsid w:val="00017D70"/>
    <w:rsid w:val="00017E01"/>
    <w:rsid w:val="00017F2F"/>
    <w:rsid w:val="00017F52"/>
    <w:rsid w:val="00020047"/>
    <w:rsid w:val="00020052"/>
    <w:rsid w:val="000200F9"/>
    <w:rsid w:val="00020134"/>
    <w:rsid w:val="0002019E"/>
    <w:rsid w:val="00020351"/>
    <w:rsid w:val="0002039E"/>
    <w:rsid w:val="000203B3"/>
    <w:rsid w:val="00020495"/>
    <w:rsid w:val="000204B9"/>
    <w:rsid w:val="00020522"/>
    <w:rsid w:val="0002058B"/>
    <w:rsid w:val="00020613"/>
    <w:rsid w:val="00020711"/>
    <w:rsid w:val="000207E3"/>
    <w:rsid w:val="00020931"/>
    <w:rsid w:val="00020A7E"/>
    <w:rsid w:val="00020B2B"/>
    <w:rsid w:val="00020C43"/>
    <w:rsid w:val="00020F17"/>
    <w:rsid w:val="00020F6C"/>
    <w:rsid w:val="00020FD5"/>
    <w:rsid w:val="0002105C"/>
    <w:rsid w:val="00021144"/>
    <w:rsid w:val="000211A9"/>
    <w:rsid w:val="000211E2"/>
    <w:rsid w:val="00021244"/>
    <w:rsid w:val="0002131F"/>
    <w:rsid w:val="00021320"/>
    <w:rsid w:val="000213C9"/>
    <w:rsid w:val="000213F8"/>
    <w:rsid w:val="0002142E"/>
    <w:rsid w:val="00021449"/>
    <w:rsid w:val="000214D0"/>
    <w:rsid w:val="000215D3"/>
    <w:rsid w:val="0002160E"/>
    <w:rsid w:val="00021696"/>
    <w:rsid w:val="000216E8"/>
    <w:rsid w:val="0002171D"/>
    <w:rsid w:val="000217D6"/>
    <w:rsid w:val="0002184D"/>
    <w:rsid w:val="00021892"/>
    <w:rsid w:val="00021894"/>
    <w:rsid w:val="000218B8"/>
    <w:rsid w:val="0002190E"/>
    <w:rsid w:val="0002191D"/>
    <w:rsid w:val="00021956"/>
    <w:rsid w:val="00021A2B"/>
    <w:rsid w:val="00021A70"/>
    <w:rsid w:val="00021AB1"/>
    <w:rsid w:val="00021AB8"/>
    <w:rsid w:val="00021AF2"/>
    <w:rsid w:val="00021B45"/>
    <w:rsid w:val="00021C8C"/>
    <w:rsid w:val="00021C97"/>
    <w:rsid w:val="00021C9D"/>
    <w:rsid w:val="00021CCC"/>
    <w:rsid w:val="00021D13"/>
    <w:rsid w:val="00021D85"/>
    <w:rsid w:val="00021EC0"/>
    <w:rsid w:val="00021FF4"/>
    <w:rsid w:val="00022086"/>
    <w:rsid w:val="000220A8"/>
    <w:rsid w:val="000220C9"/>
    <w:rsid w:val="00022139"/>
    <w:rsid w:val="0002215C"/>
    <w:rsid w:val="00022245"/>
    <w:rsid w:val="000222BA"/>
    <w:rsid w:val="00022314"/>
    <w:rsid w:val="0002235D"/>
    <w:rsid w:val="0002240E"/>
    <w:rsid w:val="0002244A"/>
    <w:rsid w:val="0002251D"/>
    <w:rsid w:val="00022575"/>
    <w:rsid w:val="000227CD"/>
    <w:rsid w:val="00022921"/>
    <w:rsid w:val="000229EA"/>
    <w:rsid w:val="00022A22"/>
    <w:rsid w:val="00022B45"/>
    <w:rsid w:val="00022CE2"/>
    <w:rsid w:val="00022E09"/>
    <w:rsid w:val="00022E70"/>
    <w:rsid w:val="00022E8B"/>
    <w:rsid w:val="00022E91"/>
    <w:rsid w:val="00022EDD"/>
    <w:rsid w:val="00023002"/>
    <w:rsid w:val="00023132"/>
    <w:rsid w:val="00023171"/>
    <w:rsid w:val="000231AD"/>
    <w:rsid w:val="000231DF"/>
    <w:rsid w:val="000232B4"/>
    <w:rsid w:val="0002332D"/>
    <w:rsid w:val="000233D0"/>
    <w:rsid w:val="0002344C"/>
    <w:rsid w:val="0002365E"/>
    <w:rsid w:val="000236B0"/>
    <w:rsid w:val="000236E7"/>
    <w:rsid w:val="00023731"/>
    <w:rsid w:val="000239A5"/>
    <w:rsid w:val="000239AB"/>
    <w:rsid w:val="00023A15"/>
    <w:rsid w:val="00023A2E"/>
    <w:rsid w:val="00023B3F"/>
    <w:rsid w:val="00023B9F"/>
    <w:rsid w:val="00023BBD"/>
    <w:rsid w:val="00023C22"/>
    <w:rsid w:val="00023D61"/>
    <w:rsid w:val="00023E90"/>
    <w:rsid w:val="00023FBA"/>
    <w:rsid w:val="000240E8"/>
    <w:rsid w:val="00024113"/>
    <w:rsid w:val="00024225"/>
    <w:rsid w:val="000242D8"/>
    <w:rsid w:val="000243D8"/>
    <w:rsid w:val="0002441F"/>
    <w:rsid w:val="00024424"/>
    <w:rsid w:val="000244D2"/>
    <w:rsid w:val="0002451F"/>
    <w:rsid w:val="00024740"/>
    <w:rsid w:val="00024761"/>
    <w:rsid w:val="0002479B"/>
    <w:rsid w:val="0002483F"/>
    <w:rsid w:val="00024B0F"/>
    <w:rsid w:val="00024BFD"/>
    <w:rsid w:val="00024C2B"/>
    <w:rsid w:val="00024C8C"/>
    <w:rsid w:val="00024CC7"/>
    <w:rsid w:val="00024D60"/>
    <w:rsid w:val="00024D7A"/>
    <w:rsid w:val="00024E23"/>
    <w:rsid w:val="00024EF9"/>
    <w:rsid w:val="00024FBD"/>
    <w:rsid w:val="00025031"/>
    <w:rsid w:val="000250D9"/>
    <w:rsid w:val="0002515B"/>
    <w:rsid w:val="000251AD"/>
    <w:rsid w:val="000251D4"/>
    <w:rsid w:val="00025203"/>
    <w:rsid w:val="00025229"/>
    <w:rsid w:val="00025279"/>
    <w:rsid w:val="00025315"/>
    <w:rsid w:val="00025347"/>
    <w:rsid w:val="000254D8"/>
    <w:rsid w:val="000254EB"/>
    <w:rsid w:val="000258B6"/>
    <w:rsid w:val="00025999"/>
    <w:rsid w:val="00025A38"/>
    <w:rsid w:val="00025A74"/>
    <w:rsid w:val="00025B56"/>
    <w:rsid w:val="00025B60"/>
    <w:rsid w:val="00025BE0"/>
    <w:rsid w:val="00025C77"/>
    <w:rsid w:val="00025CFA"/>
    <w:rsid w:val="00025EB6"/>
    <w:rsid w:val="00025F61"/>
    <w:rsid w:val="00025F89"/>
    <w:rsid w:val="00025FC9"/>
    <w:rsid w:val="00025FEE"/>
    <w:rsid w:val="00026001"/>
    <w:rsid w:val="00026049"/>
    <w:rsid w:val="0002610E"/>
    <w:rsid w:val="0002625C"/>
    <w:rsid w:val="00026282"/>
    <w:rsid w:val="000262A8"/>
    <w:rsid w:val="0002634B"/>
    <w:rsid w:val="00026473"/>
    <w:rsid w:val="000264B3"/>
    <w:rsid w:val="00026528"/>
    <w:rsid w:val="00026596"/>
    <w:rsid w:val="000265D0"/>
    <w:rsid w:val="000266C9"/>
    <w:rsid w:val="0002687D"/>
    <w:rsid w:val="00026954"/>
    <w:rsid w:val="00026988"/>
    <w:rsid w:val="00026A40"/>
    <w:rsid w:val="00026BBB"/>
    <w:rsid w:val="00026C64"/>
    <w:rsid w:val="00026DDB"/>
    <w:rsid w:val="00026E60"/>
    <w:rsid w:val="0002714D"/>
    <w:rsid w:val="0002717B"/>
    <w:rsid w:val="00027218"/>
    <w:rsid w:val="00027349"/>
    <w:rsid w:val="000273C9"/>
    <w:rsid w:val="0002745B"/>
    <w:rsid w:val="000274C1"/>
    <w:rsid w:val="000274E0"/>
    <w:rsid w:val="00027645"/>
    <w:rsid w:val="0002767E"/>
    <w:rsid w:val="000277E7"/>
    <w:rsid w:val="00027923"/>
    <w:rsid w:val="000279B4"/>
    <w:rsid w:val="00027AC9"/>
    <w:rsid w:val="00027C2D"/>
    <w:rsid w:val="00027CEA"/>
    <w:rsid w:val="00027D19"/>
    <w:rsid w:val="00027DBA"/>
    <w:rsid w:val="00027E1C"/>
    <w:rsid w:val="00027EEA"/>
    <w:rsid w:val="00027F11"/>
    <w:rsid w:val="00027F68"/>
    <w:rsid w:val="00027FF3"/>
    <w:rsid w:val="0002977C"/>
    <w:rsid w:val="0002ECE1"/>
    <w:rsid w:val="000300E2"/>
    <w:rsid w:val="00030260"/>
    <w:rsid w:val="000302DB"/>
    <w:rsid w:val="00030306"/>
    <w:rsid w:val="000303FD"/>
    <w:rsid w:val="00030408"/>
    <w:rsid w:val="0003045B"/>
    <w:rsid w:val="00030491"/>
    <w:rsid w:val="000304BB"/>
    <w:rsid w:val="000304E4"/>
    <w:rsid w:val="00030599"/>
    <w:rsid w:val="00030606"/>
    <w:rsid w:val="00030663"/>
    <w:rsid w:val="00030665"/>
    <w:rsid w:val="0003068B"/>
    <w:rsid w:val="000306AC"/>
    <w:rsid w:val="000306DA"/>
    <w:rsid w:val="00030713"/>
    <w:rsid w:val="00030816"/>
    <w:rsid w:val="00030850"/>
    <w:rsid w:val="000308EB"/>
    <w:rsid w:val="00030909"/>
    <w:rsid w:val="0003094A"/>
    <w:rsid w:val="00030966"/>
    <w:rsid w:val="00030A6C"/>
    <w:rsid w:val="00030A93"/>
    <w:rsid w:val="00030B09"/>
    <w:rsid w:val="00030B5A"/>
    <w:rsid w:val="00030B69"/>
    <w:rsid w:val="00030C50"/>
    <w:rsid w:val="00030C73"/>
    <w:rsid w:val="00030D55"/>
    <w:rsid w:val="00030D8E"/>
    <w:rsid w:val="00030DC7"/>
    <w:rsid w:val="00030E17"/>
    <w:rsid w:val="00030E22"/>
    <w:rsid w:val="00030E66"/>
    <w:rsid w:val="0003108B"/>
    <w:rsid w:val="000310FC"/>
    <w:rsid w:val="00031225"/>
    <w:rsid w:val="0003128B"/>
    <w:rsid w:val="00031327"/>
    <w:rsid w:val="000313D0"/>
    <w:rsid w:val="00031611"/>
    <w:rsid w:val="0003175A"/>
    <w:rsid w:val="000317BF"/>
    <w:rsid w:val="000318B1"/>
    <w:rsid w:val="00031938"/>
    <w:rsid w:val="0003197E"/>
    <w:rsid w:val="000319C5"/>
    <w:rsid w:val="000319E4"/>
    <w:rsid w:val="000319EB"/>
    <w:rsid w:val="00031A66"/>
    <w:rsid w:val="00031A89"/>
    <w:rsid w:val="00031A8E"/>
    <w:rsid w:val="00031AC9"/>
    <w:rsid w:val="00031B0F"/>
    <w:rsid w:val="00031B41"/>
    <w:rsid w:val="00031C76"/>
    <w:rsid w:val="00031DF2"/>
    <w:rsid w:val="00031E56"/>
    <w:rsid w:val="00031E7B"/>
    <w:rsid w:val="00031F9A"/>
    <w:rsid w:val="0003215D"/>
    <w:rsid w:val="0003218F"/>
    <w:rsid w:val="00032287"/>
    <w:rsid w:val="00032324"/>
    <w:rsid w:val="00032385"/>
    <w:rsid w:val="0003243B"/>
    <w:rsid w:val="000324BA"/>
    <w:rsid w:val="00032543"/>
    <w:rsid w:val="000325FD"/>
    <w:rsid w:val="0003267B"/>
    <w:rsid w:val="00032683"/>
    <w:rsid w:val="0003272E"/>
    <w:rsid w:val="0003284A"/>
    <w:rsid w:val="0003290A"/>
    <w:rsid w:val="00032954"/>
    <w:rsid w:val="00032990"/>
    <w:rsid w:val="00032A68"/>
    <w:rsid w:val="00032BBC"/>
    <w:rsid w:val="00032BD8"/>
    <w:rsid w:val="00032C15"/>
    <w:rsid w:val="00032C34"/>
    <w:rsid w:val="00032C56"/>
    <w:rsid w:val="00032D4B"/>
    <w:rsid w:val="00032ECA"/>
    <w:rsid w:val="00032F8B"/>
    <w:rsid w:val="00033066"/>
    <w:rsid w:val="0003322F"/>
    <w:rsid w:val="000332ED"/>
    <w:rsid w:val="00033368"/>
    <w:rsid w:val="000333DA"/>
    <w:rsid w:val="000334E1"/>
    <w:rsid w:val="000336E3"/>
    <w:rsid w:val="00033775"/>
    <w:rsid w:val="00033839"/>
    <w:rsid w:val="0003383E"/>
    <w:rsid w:val="00033931"/>
    <w:rsid w:val="00033981"/>
    <w:rsid w:val="00033A30"/>
    <w:rsid w:val="00033B47"/>
    <w:rsid w:val="00033B9C"/>
    <w:rsid w:val="00033BE1"/>
    <w:rsid w:val="00033DBB"/>
    <w:rsid w:val="00033DCC"/>
    <w:rsid w:val="00033E11"/>
    <w:rsid w:val="00033FF1"/>
    <w:rsid w:val="000340BD"/>
    <w:rsid w:val="0003410E"/>
    <w:rsid w:val="0003425C"/>
    <w:rsid w:val="00034340"/>
    <w:rsid w:val="00034413"/>
    <w:rsid w:val="0003453E"/>
    <w:rsid w:val="00034589"/>
    <w:rsid w:val="0003459A"/>
    <w:rsid w:val="000345B4"/>
    <w:rsid w:val="000345D8"/>
    <w:rsid w:val="0003468A"/>
    <w:rsid w:val="000346BB"/>
    <w:rsid w:val="00034758"/>
    <w:rsid w:val="00034A43"/>
    <w:rsid w:val="00034AB7"/>
    <w:rsid w:val="00034ABA"/>
    <w:rsid w:val="00034B72"/>
    <w:rsid w:val="00034CB5"/>
    <w:rsid w:val="00034D32"/>
    <w:rsid w:val="00034FB3"/>
    <w:rsid w:val="00034FF7"/>
    <w:rsid w:val="0003500E"/>
    <w:rsid w:val="0003500F"/>
    <w:rsid w:val="00035014"/>
    <w:rsid w:val="000351A4"/>
    <w:rsid w:val="000351F0"/>
    <w:rsid w:val="000352C5"/>
    <w:rsid w:val="000352CF"/>
    <w:rsid w:val="00035392"/>
    <w:rsid w:val="0003539A"/>
    <w:rsid w:val="00035416"/>
    <w:rsid w:val="00035438"/>
    <w:rsid w:val="0003544C"/>
    <w:rsid w:val="0003545F"/>
    <w:rsid w:val="0003546A"/>
    <w:rsid w:val="00035496"/>
    <w:rsid w:val="000354D3"/>
    <w:rsid w:val="0003551D"/>
    <w:rsid w:val="00035527"/>
    <w:rsid w:val="00035585"/>
    <w:rsid w:val="000355B6"/>
    <w:rsid w:val="00035630"/>
    <w:rsid w:val="000356B5"/>
    <w:rsid w:val="00035714"/>
    <w:rsid w:val="00035783"/>
    <w:rsid w:val="000357B0"/>
    <w:rsid w:val="000358C7"/>
    <w:rsid w:val="00035991"/>
    <w:rsid w:val="00035CE7"/>
    <w:rsid w:val="00035CED"/>
    <w:rsid w:val="00035D85"/>
    <w:rsid w:val="00035D87"/>
    <w:rsid w:val="00035DA6"/>
    <w:rsid w:val="00035DBC"/>
    <w:rsid w:val="00035DF0"/>
    <w:rsid w:val="00035E70"/>
    <w:rsid w:val="00035E9A"/>
    <w:rsid w:val="00035EB9"/>
    <w:rsid w:val="00035F32"/>
    <w:rsid w:val="00035F9B"/>
    <w:rsid w:val="000360B0"/>
    <w:rsid w:val="000361C3"/>
    <w:rsid w:val="00036216"/>
    <w:rsid w:val="0003647E"/>
    <w:rsid w:val="000364DE"/>
    <w:rsid w:val="00036521"/>
    <w:rsid w:val="0003656F"/>
    <w:rsid w:val="000365DC"/>
    <w:rsid w:val="000365EA"/>
    <w:rsid w:val="00036734"/>
    <w:rsid w:val="00036882"/>
    <w:rsid w:val="0003691A"/>
    <w:rsid w:val="0003696F"/>
    <w:rsid w:val="000369B8"/>
    <w:rsid w:val="000369F5"/>
    <w:rsid w:val="00036A5E"/>
    <w:rsid w:val="00036A7D"/>
    <w:rsid w:val="00036ADF"/>
    <w:rsid w:val="00036B12"/>
    <w:rsid w:val="00036B65"/>
    <w:rsid w:val="00036CC0"/>
    <w:rsid w:val="00036D99"/>
    <w:rsid w:val="00036EAF"/>
    <w:rsid w:val="00036F29"/>
    <w:rsid w:val="000370CE"/>
    <w:rsid w:val="000370E3"/>
    <w:rsid w:val="00037183"/>
    <w:rsid w:val="000371A1"/>
    <w:rsid w:val="0003729C"/>
    <w:rsid w:val="0003732B"/>
    <w:rsid w:val="0003738E"/>
    <w:rsid w:val="000373E3"/>
    <w:rsid w:val="00037407"/>
    <w:rsid w:val="0003745D"/>
    <w:rsid w:val="00037467"/>
    <w:rsid w:val="000374A2"/>
    <w:rsid w:val="000374AD"/>
    <w:rsid w:val="000375CD"/>
    <w:rsid w:val="00037656"/>
    <w:rsid w:val="000377A8"/>
    <w:rsid w:val="000377AE"/>
    <w:rsid w:val="000377C8"/>
    <w:rsid w:val="000377CF"/>
    <w:rsid w:val="000379B5"/>
    <w:rsid w:val="00037A3C"/>
    <w:rsid w:val="00037A3E"/>
    <w:rsid w:val="00037A58"/>
    <w:rsid w:val="00037BD5"/>
    <w:rsid w:val="00037BE1"/>
    <w:rsid w:val="00037C22"/>
    <w:rsid w:val="00037C5E"/>
    <w:rsid w:val="00037D6C"/>
    <w:rsid w:val="00037D9B"/>
    <w:rsid w:val="00037F1B"/>
    <w:rsid w:val="00037F1E"/>
    <w:rsid w:val="00037F8C"/>
    <w:rsid w:val="00037FC6"/>
    <w:rsid w:val="00037FE4"/>
    <w:rsid w:val="00040064"/>
    <w:rsid w:val="00040080"/>
    <w:rsid w:val="000400C8"/>
    <w:rsid w:val="000400F0"/>
    <w:rsid w:val="00040149"/>
    <w:rsid w:val="00040168"/>
    <w:rsid w:val="000401E3"/>
    <w:rsid w:val="000401EF"/>
    <w:rsid w:val="000401F0"/>
    <w:rsid w:val="000402D6"/>
    <w:rsid w:val="00040361"/>
    <w:rsid w:val="00040556"/>
    <w:rsid w:val="00040591"/>
    <w:rsid w:val="0004059A"/>
    <w:rsid w:val="0004059F"/>
    <w:rsid w:val="0004070A"/>
    <w:rsid w:val="00040819"/>
    <w:rsid w:val="00040822"/>
    <w:rsid w:val="000408A8"/>
    <w:rsid w:val="000409F6"/>
    <w:rsid w:val="00040A6F"/>
    <w:rsid w:val="00040C7A"/>
    <w:rsid w:val="00040D3D"/>
    <w:rsid w:val="00040D54"/>
    <w:rsid w:val="00040DCB"/>
    <w:rsid w:val="00040DE6"/>
    <w:rsid w:val="00040DFD"/>
    <w:rsid w:val="00040E16"/>
    <w:rsid w:val="00040E8A"/>
    <w:rsid w:val="00040EAE"/>
    <w:rsid w:val="000411E4"/>
    <w:rsid w:val="0004132A"/>
    <w:rsid w:val="0004136E"/>
    <w:rsid w:val="00041392"/>
    <w:rsid w:val="00041401"/>
    <w:rsid w:val="0004142F"/>
    <w:rsid w:val="00041510"/>
    <w:rsid w:val="000415B8"/>
    <w:rsid w:val="00041604"/>
    <w:rsid w:val="0004170C"/>
    <w:rsid w:val="0004186C"/>
    <w:rsid w:val="000418E4"/>
    <w:rsid w:val="0004195B"/>
    <w:rsid w:val="00041992"/>
    <w:rsid w:val="00041A19"/>
    <w:rsid w:val="00041A51"/>
    <w:rsid w:val="00041AB2"/>
    <w:rsid w:val="00041BDF"/>
    <w:rsid w:val="00041D16"/>
    <w:rsid w:val="00041E9F"/>
    <w:rsid w:val="00041FA4"/>
    <w:rsid w:val="00042103"/>
    <w:rsid w:val="0004224A"/>
    <w:rsid w:val="000422EC"/>
    <w:rsid w:val="00042338"/>
    <w:rsid w:val="00042378"/>
    <w:rsid w:val="00042396"/>
    <w:rsid w:val="00042434"/>
    <w:rsid w:val="00042439"/>
    <w:rsid w:val="0004247F"/>
    <w:rsid w:val="000425C4"/>
    <w:rsid w:val="000425E8"/>
    <w:rsid w:val="00042662"/>
    <w:rsid w:val="000426EC"/>
    <w:rsid w:val="000426F4"/>
    <w:rsid w:val="00042760"/>
    <w:rsid w:val="00042825"/>
    <w:rsid w:val="00042858"/>
    <w:rsid w:val="00042963"/>
    <w:rsid w:val="00042A73"/>
    <w:rsid w:val="00042E07"/>
    <w:rsid w:val="00042E58"/>
    <w:rsid w:val="00042E6E"/>
    <w:rsid w:val="00042F52"/>
    <w:rsid w:val="00042F75"/>
    <w:rsid w:val="00042F8F"/>
    <w:rsid w:val="000430CA"/>
    <w:rsid w:val="000431DF"/>
    <w:rsid w:val="00043239"/>
    <w:rsid w:val="000432A7"/>
    <w:rsid w:val="000432F8"/>
    <w:rsid w:val="0004332B"/>
    <w:rsid w:val="00043370"/>
    <w:rsid w:val="000433E3"/>
    <w:rsid w:val="00043512"/>
    <w:rsid w:val="00043544"/>
    <w:rsid w:val="00043576"/>
    <w:rsid w:val="0004357C"/>
    <w:rsid w:val="00043742"/>
    <w:rsid w:val="000437AA"/>
    <w:rsid w:val="0004383A"/>
    <w:rsid w:val="0004384F"/>
    <w:rsid w:val="0004395A"/>
    <w:rsid w:val="000439D2"/>
    <w:rsid w:val="00043A23"/>
    <w:rsid w:val="00043AAE"/>
    <w:rsid w:val="00043AF3"/>
    <w:rsid w:val="00043BF6"/>
    <w:rsid w:val="00043CA7"/>
    <w:rsid w:val="00043D37"/>
    <w:rsid w:val="00043DCA"/>
    <w:rsid w:val="00043E97"/>
    <w:rsid w:val="00043ED5"/>
    <w:rsid w:val="00043F22"/>
    <w:rsid w:val="00043F3A"/>
    <w:rsid w:val="00043F72"/>
    <w:rsid w:val="0004400A"/>
    <w:rsid w:val="0004411D"/>
    <w:rsid w:val="000441BE"/>
    <w:rsid w:val="000441C5"/>
    <w:rsid w:val="000441CA"/>
    <w:rsid w:val="00044341"/>
    <w:rsid w:val="00044403"/>
    <w:rsid w:val="00044413"/>
    <w:rsid w:val="0004447A"/>
    <w:rsid w:val="0004448E"/>
    <w:rsid w:val="00044499"/>
    <w:rsid w:val="00044538"/>
    <w:rsid w:val="000445A1"/>
    <w:rsid w:val="000445B6"/>
    <w:rsid w:val="000445C1"/>
    <w:rsid w:val="0004462E"/>
    <w:rsid w:val="0004468F"/>
    <w:rsid w:val="000446BF"/>
    <w:rsid w:val="000446DD"/>
    <w:rsid w:val="000446E3"/>
    <w:rsid w:val="000447F3"/>
    <w:rsid w:val="0004482C"/>
    <w:rsid w:val="00044915"/>
    <w:rsid w:val="000449BE"/>
    <w:rsid w:val="00044AD2"/>
    <w:rsid w:val="00044B25"/>
    <w:rsid w:val="00044B33"/>
    <w:rsid w:val="00044C92"/>
    <w:rsid w:val="00044CFB"/>
    <w:rsid w:val="00044D02"/>
    <w:rsid w:val="00044D5B"/>
    <w:rsid w:val="00044EC1"/>
    <w:rsid w:val="00044F32"/>
    <w:rsid w:val="00044FDD"/>
    <w:rsid w:val="0004514D"/>
    <w:rsid w:val="00045189"/>
    <w:rsid w:val="00045438"/>
    <w:rsid w:val="0004551A"/>
    <w:rsid w:val="000456AC"/>
    <w:rsid w:val="000456D4"/>
    <w:rsid w:val="00045711"/>
    <w:rsid w:val="000457CC"/>
    <w:rsid w:val="000457ED"/>
    <w:rsid w:val="00045833"/>
    <w:rsid w:val="0004585F"/>
    <w:rsid w:val="0004588B"/>
    <w:rsid w:val="000458EB"/>
    <w:rsid w:val="000458EC"/>
    <w:rsid w:val="00045944"/>
    <w:rsid w:val="00045A03"/>
    <w:rsid w:val="00045B09"/>
    <w:rsid w:val="00045C0D"/>
    <w:rsid w:val="00045C80"/>
    <w:rsid w:val="00045CAB"/>
    <w:rsid w:val="00045D01"/>
    <w:rsid w:val="00045DD2"/>
    <w:rsid w:val="00045E48"/>
    <w:rsid w:val="00045E65"/>
    <w:rsid w:val="00045ECE"/>
    <w:rsid w:val="00045F02"/>
    <w:rsid w:val="00045F94"/>
    <w:rsid w:val="00045F95"/>
    <w:rsid w:val="00045FB0"/>
    <w:rsid w:val="00045FEC"/>
    <w:rsid w:val="0004600B"/>
    <w:rsid w:val="000460E7"/>
    <w:rsid w:val="0004616F"/>
    <w:rsid w:val="000462B0"/>
    <w:rsid w:val="0004644B"/>
    <w:rsid w:val="000465BB"/>
    <w:rsid w:val="000465C4"/>
    <w:rsid w:val="00046611"/>
    <w:rsid w:val="000466F1"/>
    <w:rsid w:val="00046B7D"/>
    <w:rsid w:val="00046C16"/>
    <w:rsid w:val="00046CEC"/>
    <w:rsid w:val="00046D4B"/>
    <w:rsid w:val="00046DA6"/>
    <w:rsid w:val="00046DEB"/>
    <w:rsid w:val="00046E13"/>
    <w:rsid w:val="00046EAC"/>
    <w:rsid w:val="00046FB5"/>
    <w:rsid w:val="00047066"/>
    <w:rsid w:val="000471BB"/>
    <w:rsid w:val="00047280"/>
    <w:rsid w:val="00047302"/>
    <w:rsid w:val="00047345"/>
    <w:rsid w:val="0004740A"/>
    <w:rsid w:val="00047414"/>
    <w:rsid w:val="0004746D"/>
    <w:rsid w:val="000475A5"/>
    <w:rsid w:val="00047619"/>
    <w:rsid w:val="00047738"/>
    <w:rsid w:val="00047768"/>
    <w:rsid w:val="000477E3"/>
    <w:rsid w:val="000477F9"/>
    <w:rsid w:val="000479A7"/>
    <w:rsid w:val="000479DF"/>
    <w:rsid w:val="00047ABF"/>
    <w:rsid w:val="00047AF1"/>
    <w:rsid w:val="00047B2A"/>
    <w:rsid w:val="00047BE2"/>
    <w:rsid w:val="00047C0B"/>
    <w:rsid w:val="00047C97"/>
    <w:rsid w:val="00047D6D"/>
    <w:rsid w:val="00047E40"/>
    <w:rsid w:val="00047F63"/>
    <w:rsid w:val="00047FA5"/>
    <w:rsid w:val="00050010"/>
    <w:rsid w:val="0005011C"/>
    <w:rsid w:val="00050138"/>
    <w:rsid w:val="000501EB"/>
    <w:rsid w:val="000501F3"/>
    <w:rsid w:val="00050444"/>
    <w:rsid w:val="0005056D"/>
    <w:rsid w:val="00050573"/>
    <w:rsid w:val="0005058A"/>
    <w:rsid w:val="00050590"/>
    <w:rsid w:val="00050604"/>
    <w:rsid w:val="00050612"/>
    <w:rsid w:val="000507E4"/>
    <w:rsid w:val="000507FF"/>
    <w:rsid w:val="00050813"/>
    <w:rsid w:val="00050879"/>
    <w:rsid w:val="0005099A"/>
    <w:rsid w:val="000509E9"/>
    <w:rsid w:val="00050A9B"/>
    <w:rsid w:val="00050B9A"/>
    <w:rsid w:val="00050C90"/>
    <w:rsid w:val="00050CAD"/>
    <w:rsid w:val="00050CF4"/>
    <w:rsid w:val="00050D55"/>
    <w:rsid w:val="00050E91"/>
    <w:rsid w:val="00050FB4"/>
    <w:rsid w:val="000510F9"/>
    <w:rsid w:val="000511F0"/>
    <w:rsid w:val="00051208"/>
    <w:rsid w:val="000512DA"/>
    <w:rsid w:val="0005131D"/>
    <w:rsid w:val="00051493"/>
    <w:rsid w:val="000514C0"/>
    <w:rsid w:val="000514EF"/>
    <w:rsid w:val="00051513"/>
    <w:rsid w:val="0005158C"/>
    <w:rsid w:val="00051667"/>
    <w:rsid w:val="0005166F"/>
    <w:rsid w:val="00051702"/>
    <w:rsid w:val="00051720"/>
    <w:rsid w:val="00051725"/>
    <w:rsid w:val="000517B9"/>
    <w:rsid w:val="000517E9"/>
    <w:rsid w:val="0005181B"/>
    <w:rsid w:val="00051840"/>
    <w:rsid w:val="0005185F"/>
    <w:rsid w:val="0005186F"/>
    <w:rsid w:val="00051885"/>
    <w:rsid w:val="000518C0"/>
    <w:rsid w:val="00051907"/>
    <w:rsid w:val="00051A09"/>
    <w:rsid w:val="00051BE0"/>
    <w:rsid w:val="00051CB5"/>
    <w:rsid w:val="00051DA8"/>
    <w:rsid w:val="00051DC7"/>
    <w:rsid w:val="00051E2E"/>
    <w:rsid w:val="00051F3C"/>
    <w:rsid w:val="00052180"/>
    <w:rsid w:val="0005218A"/>
    <w:rsid w:val="00052287"/>
    <w:rsid w:val="0005229D"/>
    <w:rsid w:val="00052503"/>
    <w:rsid w:val="00052539"/>
    <w:rsid w:val="000525C4"/>
    <w:rsid w:val="00052653"/>
    <w:rsid w:val="000526E9"/>
    <w:rsid w:val="000527C0"/>
    <w:rsid w:val="000529B3"/>
    <w:rsid w:val="00052A9B"/>
    <w:rsid w:val="00052AC5"/>
    <w:rsid w:val="00052AF8"/>
    <w:rsid w:val="00052B35"/>
    <w:rsid w:val="00052B6C"/>
    <w:rsid w:val="00052BD0"/>
    <w:rsid w:val="00052C24"/>
    <w:rsid w:val="00052C3B"/>
    <w:rsid w:val="00052D2C"/>
    <w:rsid w:val="00052E39"/>
    <w:rsid w:val="00052E3F"/>
    <w:rsid w:val="00052E67"/>
    <w:rsid w:val="00052E75"/>
    <w:rsid w:val="00052E7E"/>
    <w:rsid w:val="00052EE3"/>
    <w:rsid w:val="00052FDA"/>
    <w:rsid w:val="00053042"/>
    <w:rsid w:val="000530A3"/>
    <w:rsid w:val="0005315F"/>
    <w:rsid w:val="000531E7"/>
    <w:rsid w:val="00053211"/>
    <w:rsid w:val="00053358"/>
    <w:rsid w:val="000533D8"/>
    <w:rsid w:val="00053421"/>
    <w:rsid w:val="0005343E"/>
    <w:rsid w:val="00053451"/>
    <w:rsid w:val="000534F7"/>
    <w:rsid w:val="00053581"/>
    <w:rsid w:val="000535CF"/>
    <w:rsid w:val="00053634"/>
    <w:rsid w:val="00053667"/>
    <w:rsid w:val="000536A2"/>
    <w:rsid w:val="000537B2"/>
    <w:rsid w:val="00053814"/>
    <w:rsid w:val="00053836"/>
    <w:rsid w:val="0005383E"/>
    <w:rsid w:val="0005383F"/>
    <w:rsid w:val="00053874"/>
    <w:rsid w:val="00053902"/>
    <w:rsid w:val="00053912"/>
    <w:rsid w:val="00053994"/>
    <w:rsid w:val="00053ACA"/>
    <w:rsid w:val="00053B39"/>
    <w:rsid w:val="00053C97"/>
    <w:rsid w:val="00053DB5"/>
    <w:rsid w:val="00053E99"/>
    <w:rsid w:val="00053EA5"/>
    <w:rsid w:val="00053EF2"/>
    <w:rsid w:val="00053F62"/>
    <w:rsid w:val="00054121"/>
    <w:rsid w:val="000541AF"/>
    <w:rsid w:val="00054232"/>
    <w:rsid w:val="00054279"/>
    <w:rsid w:val="000542B0"/>
    <w:rsid w:val="000543D6"/>
    <w:rsid w:val="000543F7"/>
    <w:rsid w:val="00054436"/>
    <w:rsid w:val="00054443"/>
    <w:rsid w:val="000544A4"/>
    <w:rsid w:val="00054647"/>
    <w:rsid w:val="000547CB"/>
    <w:rsid w:val="000547F6"/>
    <w:rsid w:val="00054920"/>
    <w:rsid w:val="00054923"/>
    <w:rsid w:val="000549B1"/>
    <w:rsid w:val="00054A18"/>
    <w:rsid w:val="00054ACB"/>
    <w:rsid w:val="00054AF9"/>
    <w:rsid w:val="00054AFC"/>
    <w:rsid w:val="00054D82"/>
    <w:rsid w:val="00054DC7"/>
    <w:rsid w:val="00054DF3"/>
    <w:rsid w:val="00054EA5"/>
    <w:rsid w:val="00054F8D"/>
    <w:rsid w:val="0005501C"/>
    <w:rsid w:val="000551EA"/>
    <w:rsid w:val="00055281"/>
    <w:rsid w:val="000552AB"/>
    <w:rsid w:val="0005536F"/>
    <w:rsid w:val="00055385"/>
    <w:rsid w:val="0005539F"/>
    <w:rsid w:val="000553A8"/>
    <w:rsid w:val="000553C9"/>
    <w:rsid w:val="00055435"/>
    <w:rsid w:val="0005544B"/>
    <w:rsid w:val="0005559D"/>
    <w:rsid w:val="000555C1"/>
    <w:rsid w:val="00055637"/>
    <w:rsid w:val="00055651"/>
    <w:rsid w:val="000557A2"/>
    <w:rsid w:val="00055850"/>
    <w:rsid w:val="00055890"/>
    <w:rsid w:val="00055A28"/>
    <w:rsid w:val="00055B52"/>
    <w:rsid w:val="00055CC1"/>
    <w:rsid w:val="00055D0A"/>
    <w:rsid w:val="00055D5D"/>
    <w:rsid w:val="00055EE4"/>
    <w:rsid w:val="00055EFC"/>
    <w:rsid w:val="00055F86"/>
    <w:rsid w:val="00055F96"/>
    <w:rsid w:val="00055FC6"/>
    <w:rsid w:val="00055FF9"/>
    <w:rsid w:val="00056013"/>
    <w:rsid w:val="000561FB"/>
    <w:rsid w:val="0005628B"/>
    <w:rsid w:val="000562C9"/>
    <w:rsid w:val="00056331"/>
    <w:rsid w:val="00056355"/>
    <w:rsid w:val="000563B4"/>
    <w:rsid w:val="000565C5"/>
    <w:rsid w:val="000566DA"/>
    <w:rsid w:val="000566E5"/>
    <w:rsid w:val="0005672D"/>
    <w:rsid w:val="00056817"/>
    <w:rsid w:val="00056843"/>
    <w:rsid w:val="00056863"/>
    <w:rsid w:val="00056895"/>
    <w:rsid w:val="00056915"/>
    <w:rsid w:val="00056982"/>
    <w:rsid w:val="000569E6"/>
    <w:rsid w:val="00056A2F"/>
    <w:rsid w:val="00056B21"/>
    <w:rsid w:val="00056B26"/>
    <w:rsid w:val="00056BCD"/>
    <w:rsid w:val="00056C22"/>
    <w:rsid w:val="00056C8E"/>
    <w:rsid w:val="00056D66"/>
    <w:rsid w:val="00056D9D"/>
    <w:rsid w:val="00056E27"/>
    <w:rsid w:val="00056F37"/>
    <w:rsid w:val="00056F65"/>
    <w:rsid w:val="00056FC8"/>
    <w:rsid w:val="00057037"/>
    <w:rsid w:val="00057094"/>
    <w:rsid w:val="00057333"/>
    <w:rsid w:val="00057339"/>
    <w:rsid w:val="000573DF"/>
    <w:rsid w:val="00057407"/>
    <w:rsid w:val="00057575"/>
    <w:rsid w:val="000575B4"/>
    <w:rsid w:val="00057612"/>
    <w:rsid w:val="00057634"/>
    <w:rsid w:val="00057753"/>
    <w:rsid w:val="000577A2"/>
    <w:rsid w:val="000577EB"/>
    <w:rsid w:val="000577EF"/>
    <w:rsid w:val="00057824"/>
    <w:rsid w:val="00057831"/>
    <w:rsid w:val="0005786D"/>
    <w:rsid w:val="00057A0E"/>
    <w:rsid w:val="00057B7A"/>
    <w:rsid w:val="00057B93"/>
    <w:rsid w:val="00057C05"/>
    <w:rsid w:val="00057C55"/>
    <w:rsid w:val="00057CBE"/>
    <w:rsid w:val="00057D90"/>
    <w:rsid w:val="00057F63"/>
    <w:rsid w:val="00057FA6"/>
    <w:rsid w:val="00060121"/>
    <w:rsid w:val="0006019F"/>
    <w:rsid w:val="000601FB"/>
    <w:rsid w:val="0006032F"/>
    <w:rsid w:val="0006033B"/>
    <w:rsid w:val="000603FA"/>
    <w:rsid w:val="00060617"/>
    <w:rsid w:val="00060618"/>
    <w:rsid w:val="00060623"/>
    <w:rsid w:val="00060638"/>
    <w:rsid w:val="00060685"/>
    <w:rsid w:val="0006072B"/>
    <w:rsid w:val="000607AE"/>
    <w:rsid w:val="00060811"/>
    <w:rsid w:val="0006082E"/>
    <w:rsid w:val="000608C3"/>
    <w:rsid w:val="0006090B"/>
    <w:rsid w:val="00060959"/>
    <w:rsid w:val="00060ACF"/>
    <w:rsid w:val="00060B1B"/>
    <w:rsid w:val="00060CFC"/>
    <w:rsid w:val="00060D91"/>
    <w:rsid w:val="00060D97"/>
    <w:rsid w:val="00060E89"/>
    <w:rsid w:val="00060EF7"/>
    <w:rsid w:val="00060F98"/>
    <w:rsid w:val="00060FB2"/>
    <w:rsid w:val="00060FE3"/>
    <w:rsid w:val="00061004"/>
    <w:rsid w:val="0006106C"/>
    <w:rsid w:val="00061112"/>
    <w:rsid w:val="00061193"/>
    <w:rsid w:val="00061241"/>
    <w:rsid w:val="0006125C"/>
    <w:rsid w:val="00061368"/>
    <w:rsid w:val="000614E6"/>
    <w:rsid w:val="000614E8"/>
    <w:rsid w:val="000615F8"/>
    <w:rsid w:val="00061600"/>
    <w:rsid w:val="000616D1"/>
    <w:rsid w:val="0006178D"/>
    <w:rsid w:val="00061823"/>
    <w:rsid w:val="0006182E"/>
    <w:rsid w:val="00061842"/>
    <w:rsid w:val="00061952"/>
    <w:rsid w:val="00061A50"/>
    <w:rsid w:val="00061B61"/>
    <w:rsid w:val="00061B64"/>
    <w:rsid w:val="00061BA5"/>
    <w:rsid w:val="00061C88"/>
    <w:rsid w:val="00061D28"/>
    <w:rsid w:val="00061D2F"/>
    <w:rsid w:val="00061D3E"/>
    <w:rsid w:val="00061D7B"/>
    <w:rsid w:val="00061D9F"/>
    <w:rsid w:val="00061EC7"/>
    <w:rsid w:val="00061EE8"/>
    <w:rsid w:val="00061F75"/>
    <w:rsid w:val="00061FC6"/>
    <w:rsid w:val="00061FEC"/>
    <w:rsid w:val="00062242"/>
    <w:rsid w:val="000622B5"/>
    <w:rsid w:val="000623E1"/>
    <w:rsid w:val="0006254C"/>
    <w:rsid w:val="00062644"/>
    <w:rsid w:val="000626D9"/>
    <w:rsid w:val="000626F2"/>
    <w:rsid w:val="0006270D"/>
    <w:rsid w:val="0006276E"/>
    <w:rsid w:val="000627D7"/>
    <w:rsid w:val="0006284D"/>
    <w:rsid w:val="00062872"/>
    <w:rsid w:val="000628DB"/>
    <w:rsid w:val="000628DC"/>
    <w:rsid w:val="0006292A"/>
    <w:rsid w:val="00062B84"/>
    <w:rsid w:val="00062C90"/>
    <w:rsid w:val="00062CA9"/>
    <w:rsid w:val="00062D94"/>
    <w:rsid w:val="00062E39"/>
    <w:rsid w:val="00062EE3"/>
    <w:rsid w:val="00062F4E"/>
    <w:rsid w:val="00062F7D"/>
    <w:rsid w:val="00062F8A"/>
    <w:rsid w:val="00062FD2"/>
    <w:rsid w:val="00063079"/>
    <w:rsid w:val="00063231"/>
    <w:rsid w:val="00063237"/>
    <w:rsid w:val="0006334A"/>
    <w:rsid w:val="00063458"/>
    <w:rsid w:val="0006349C"/>
    <w:rsid w:val="000634FD"/>
    <w:rsid w:val="0006353D"/>
    <w:rsid w:val="000635E2"/>
    <w:rsid w:val="0006366C"/>
    <w:rsid w:val="00063889"/>
    <w:rsid w:val="00063986"/>
    <w:rsid w:val="00063B01"/>
    <w:rsid w:val="00063BDB"/>
    <w:rsid w:val="00063BE4"/>
    <w:rsid w:val="00063D77"/>
    <w:rsid w:val="00063DDF"/>
    <w:rsid w:val="00063DF1"/>
    <w:rsid w:val="00063DF4"/>
    <w:rsid w:val="00063FCF"/>
    <w:rsid w:val="0006407C"/>
    <w:rsid w:val="000640A7"/>
    <w:rsid w:val="00064116"/>
    <w:rsid w:val="00064259"/>
    <w:rsid w:val="0006439C"/>
    <w:rsid w:val="0006449B"/>
    <w:rsid w:val="000644BD"/>
    <w:rsid w:val="0006450C"/>
    <w:rsid w:val="00064581"/>
    <w:rsid w:val="00064832"/>
    <w:rsid w:val="000648DE"/>
    <w:rsid w:val="000649D7"/>
    <w:rsid w:val="00064A42"/>
    <w:rsid w:val="00064A46"/>
    <w:rsid w:val="00064BD8"/>
    <w:rsid w:val="00064C69"/>
    <w:rsid w:val="00064CCA"/>
    <w:rsid w:val="00064E2B"/>
    <w:rsid w:val="00064F1A"/>
    <w:rsid w:val="00064FC7"/>
    <w:rsid w:val="00065149"/>
    <w:rsid w:val="000651A9"/>
    <w:rsid w:val="000651DD"/>
    <w:rsid w:val="000652F8"/>
    <w:rsid w:val="000652FD"/>
    <w:rsid w:val="000653A4"/>
    <w:rsid w:val="000653A8"/>
    <w:rsid w:val="0006548C"/>
    <w:rsid w:val="000654C3"/>
    <w:rsid w:val="00065528"/>
    <w:rsid w:val="0006552C"/>
    <w:rsid w:val="00065580"/>
    <w:rsid w:val="00065640"/>
    <w:rsid w:val="0006568D"/>
    <w:rsid w:val="0006592A"/>
    <w:rsid w:val="0006596A"/>
    <w:rsid w:val="000659A7"/>
    <w:rsid w:val="000659AC"/>
    <w:rsid w:val="00065A73"/>
    <w:rsid w:val="00065B5E"/>
    <w:rsid w:val="00065C4D"/>
    <w:rsid w:val="00065CA4"/>
    <w:rsid w:val="00065CA5"/>
    <w:rsid w:val="00065DC8"/>
    <w:rsid w:val="00065DD1"/>
    <w:rsid w:val="00065E1F"/>
    <w:rsid w:val="00065F21"/>
    <w:rsid w:val="00065FD3"/>
    <w:rsid w:val="00066045"/>
    <w:rsid w:val="0006608D"/>
    <w:rsid w:val="000660F2"/>
    <w:rsid w:val="000662F1"/>
    <w:rsid w:val="00066398"/>
    <w:rsid w:val="000664B7"/>
    <w:rsid w:val="000664BC"/>
    <w:rsid w:val="000664C1"/>
    <w:rsid w:val="0006650C"/>
    <w:rsid w:val="000665FA"/>
    <w:rsid w:val="00066654"/>
    <w:rsid w:val="00066763"/>
    <w:rsid w:val="00066773"/>
    <w:rsid w:val="000667DC"/>
    <w:rsid w:val="000667F8"/>
    <w:rsid w:val="0006680D"/>
    <w:rsid w:val="00066918"/>
    <w:rsid w:val="000669A9"/>
    <w:rsid w:val="00066B9E"/>
    <w:rsid w:val="00066C16"/>
    <w:rsid w:val="00066CE6"/>
    <w:rsid w:val="00066CF9"/>
    <w:rsid w:val="00066D63"/>
    <w:rsid w:val="00066DA5"/>
    <w:rsid w:val="00066E51"/>
    <w:rsid w:val="00066E53"/>
    <w:rsid w:val="00066F7C"/>
    <w:rsid w:val="00066F86"/>
    <w:rsid w:val="0006701A"/>
    <w:rsid w:val="00067066"/>
    <w:rsid w:val="0006706A"/>
    <w:rsid w:val="000670B2"/>
    <w:rsid w:val="000671DB"/>
    <w:rsid w:val="0006723E"/>
    <w:rsid w:val="00067388"/>
    <w:rsid w:val="000673BA"/>
    <w:rsid w:val="000673D4"/>
    <w:rsid w:val="0006755D"/>
    <w:rsid w:val="0006771E"/>
    <w:rsid w:val="0006775F"/>
    <w:rsid w:val="00067797"/>
    <w:rsid w:val="000678DB"/>
    <w:rsid w:val="00067956"/>
    <w:rsid w:val="000679B0"/>
    <w:rsid w:val="00067B6E"/>
    <w:rsid w:val="00067BAF"/>
    <w:rsid w:val="00067BBC"/>
    <w:rsid w:val="00067BF3"/>
    <w:rsid w:val="00067C84"/>
    <w:rsid w:val="00067D7A"/>
    <w:rsid w:val="00067E71"/>
    <w:rsid w:val="00067F99"/>
    <w:rsid w:val="0007026B"/>
    <w:rsid w:val="000702E9"/>
    <w:rsid w:val="0007038D"/>
    <w:rsid w:val="000703D2"/>
    <w:rsid w:val="000705EC"/>
    <w:rsid w:val="0007065E"/>
    <w:rsid w:val="00070779"/>
    <w:rsid w:val="000707D0"/>
    <w:rsid w:val="00070807"/>
    <w:rsid w:val="000708A5"/>
    <w:rsid w:val="0007092C"/>
    <w:rsid w:val="00070986"/>
    <w:rsid w:val="0007098A"/>
    <w:rsid w:val="00070B08"/>
    <w:rsid w:val="00070B27"/>
    <w:rsid w:val="00070BE5"/>
    <w:rsid w:val="00070BED"/>
    <w:rsid w:val="00070CAE"/>
    <w:rsid w:val="00070CB8"/>
    <w:rsid w:val="00070D8B"/>
    <w:rsid w:val="00070DCE"/>
    <w:rsid w:val="00070FFC"/>
    <w:rsid w:val="0007107B"/>
    <w:rsid w:val="0007109A"/>
    <w:rsid w:val="000710F6"/>
    <w:rsid w:val="00071107"/>
    <w:rsid w:val="0007118E"/>
    <w:rsid w:val="0007121C"/>
    <w:rsid w:val="00071307"/>
    <w:rsid w:val="00071328"/>
    <w:rsid w:val="000713F2"/>
    <w:rsid w:val="000714AA"/>
    <w:rsid w:val="00071560"/>
    <w:rsid w:val="00071693"/>
    <w:rsid w:val="00071732"/>
    <w:rsid w:val="000717A0"/>
    <w:rsid w:val="00071860"/>
    <w:rsid w:val="0007190D"/>
    <w:rsid w:val="0007195F"/>
    <w:rsid w:val="00071980"/>
    <w:rsid w:val="00071995"/>
    <w:rsid w:val="000719A8"/>
    <w:rsid w:val="00071ACC"/>
    <w:rsid w:val="00071AEB"/>
    <w:rsid w:val="00071B5D"/>
    <w:rsid w:val="00071C26"/>
    <w:rsid w:val="00071C32"/>
    <w:rsid w:val="00071C58"/>
    <w:rsid w:val="00071DCC"/>
    <w:rsid w:val="00071E9C"/>
    <w:rsid w:val="00071F77"/>
    <w:rsid w:val="000720D9"/>
    <w:rsid w:val="00072112"/>
    <w:rsid w:val="0007215B"/>
    <w:rsid w:val="00072172"/>
    <w:rsid w:val="000722EC"/>
    <w:rsid w:val="000723BD"/>
    <w:rsid w:val="00072458"/>
    <w:rsid w:val="000724BF"/>
    <w:rsid w:val="000724D4"/>
    <w:rsid w:val="00072526"/>
    <w:rsid w:val="00072587"/>
    <w:rsid w:val="00072677"/>
    <w:rsid w:val="000726F6"/>
    <w:rsid w:val="00072711"/>
    <w:rsid w:val="00072715"/>
    <w:rsid w:val="0007281B"/>
    <w:rsid w:val="00072878"/>
    <w:rsid w:val="0007288A"/>
    <w:rsid w:val="000729BC"/>
    <w:rsid w:val="00072A0E"/>
    <w:rsid w:val="00072A3C"/>
    <w:rsid w:val="00072A7A"/>
    <w:rsid w:val="00072AA7"/>
    <w:rsid w:val="00072AC1"/>
    <w:rsid w:val="00072B99"/>
    <w:rsid w:val="00072BA6"/>
    <w:rsid w:val="00072BE2"/>
    <w:rsid w:val="00072D64"/>
    <w:rsid w:val="00072D68"/>
    <w:rsid w:val="00072E54"/>
    <w:rsid w:val="00072E93"/>
    <w:rsid w:val="00072EE2"/>
    <w:rsid w:val="00072FEC"/>
    <w:rsid w:val="00073127"/>
    <w:rsid w:val="0007319D"/>
    <w:rsid w:val="000732E4"/>
    <w:rsid w:val="000732F1"/>
    <w:rsid w:val="000733DE"/>
    <w:rsid w:val="00073416"/>
    <w:rsid w:val="00073467"/>
    <w:rsid w:val="0007349E"/>
    <w:rsid w:val="0007349F"/>
    <w:rsid w:val="0007357C"/>
    <w:rsid w:val="00073600"/>
    <w:rsid w:val="0007364B"/>
    <w:rsid w:val="00073711"/>
    <w:rsid w:val="000737DF"/>
    <w:rsid w:val="000737F8"/>
    <w:rsid w:val="000738BB"/>
    <w:rsid w:val="000739AA"/>
    <w:rsid w:val="00073AB5"/>
    <w:rsid w:val="00073AC3"/>
    <w:rsid w:val="00073AF1"/>
    <w:rsid w:val="00073B25"/>
    <w:rsid w:val="00073CA2"/>
    <w:rsid w:val="00073CD4"/>
    <w:rsid w:val="00073D81"/>
    <w:rsid w:val="00073DC7"/>
    <w:rsid w:val="00073ECB"/>
    <w:rsid w:val="00073F09"/>
    <w:rsid w:val="00073FC3"/>
    <w:rsid w:val="0007408A"/>
    <w:rsid w:val="000740F9"/>
    <w:rsid w:val="000742C8"/>
    <w:rsid w:val="00074354"/>
    <w:rsid w:val="000743F6"/>
    <w:rsid w:val="00074459"/>
    <w:rsid w:val="00074486"/>
    <w:rsid w:val="000744E9"/>
    <w:rsid w:val="00074548"/>
    <w:rsid w:val="000745BA"/>
    <w:rsid w:val="0007464F"/>
    <w:rsid w:val="00074666"/>
    <w:rsid w:val="00074671"/>
    <w:rsid w:val="0007467E"/>
    <w:rsid w:val="000748AD"/>
    <w:rsid w:val="000748BD"/>
    <w:rsid w:val="000748F6"/>
    <w:rsid w:val="000749C9"/>
    <w:rsid w:val="00074A0E"/>
    <w:rsid w:val="00074AC0"/>
    <w:rsid w:val="00074B37"/>
    <w:rsid w:val="00074BB8"/>
    <w:rsid w:val="00074BF3"/>
    <w:rsid w:val="00074CFF"/>
    <w:rsid w:val="00074D9B"/>
    <w:rsid w:val="00074E4F"/>
    <w:rsid w:val="00074FDF"/>
    <w:rsid w:val="0007520B"/>
    <w:rsid w:val="00075239"/>
    <w:rsid w:val="0007527B"/>
    <w:rsid w:val="000753A0"/>
    <w:rsid w:val="000753B7"/>
    <w:rsid w:val="00075479"/>
    <w:rsid w:val="00075527"/>
    <w:rsid w:val="00075534"/>
    <w:rsid w:val="00075587"/>
    <w:rsid w:val="00075639"/>
    <w:rsid w:val="00075732"/>
    <w:rsid w:val="0007579B"/>
    <w:rsid w:val="000757A0"/>
    <w:rsid w:val="000757BB"/>
    <w:rsid w:val="000757CE"/>
    <w:rsid w:val="000757D4"/>
    <w:rsid w:val="00075805"/>
    <w:rsid w:val="00075856"/>
    <w:rsid w:val="00075A7F"/>
    <w:rsid w:val="00075C43"/>
    <w:rsid w:val="00075C7C"/>
    <w:rsid w:val="00075D14"/>
    <w:rsid w:val="00075D6C"/>
    <w:rsid w:val="00075DA5"/>
    <w:rsid w:val="00075E07"/>
    <w:rsid w:val="00075E8C"/>
    <w:rsid w:val="00075EB0"/>
    <w:rsid w:val="00075F9E"/>
    <w:rsid w:val="00075FAA"/>
    <w:rsid w:val="00076011"/>
    <w:rsid w:val="00076047"/>
    <w:rsid w:val="000760A2"/>
    <w:rsid w:val="0007610C"/>
    <w:rsid w:val="0007629F"/>
    <w:rsid w:val="0007631C"/>
    <w:rsid w:val="00076343"/>
    <w:rsid w:val="00076360"/>
    <w:rsid w:val="00076446"/>
    <w:rsid w:val="00076459"/>
    <w:rsid w:val="000764D5"/>
    <w:rsid w:val="00076507"/>
    <w:rsid w:val="0007663E"/>
    <w:rsid w:val="0007677C"/>
    <w:rsid w:val="00076906"/>
    <w:rsid w:val="0007693A"/>
    <w:rsid w:val="00076957"/>
    <w:rsid w:val="00076961"/>
    <w:rsid w:val="000769D5"/>
    <w:rsid w:val="00076A8F"/>
    <w:rsid w:val="00076B17"/>
    <w:rsid w:val="00076B61"/>
    <w:rsid w:val="00076C25"/>
    <w:rsid w:val="00076C89"/>
    <w:rsid w:val="00076DA8"/>
    <w:rsid w:val="00076DE1"/>
    <w:rsid w:val="00076E01"/>
    <w:rsid w:val="00076F28"/>
    <w:rsid w:val="00076F2F"/>
    <w:rsid w:val="0007702B"/>
    <w:rsid w:val="00077163"/>
    <w:rsid w:val="000771DE"/>
    <w:rsid w:val="000771EA"/>
    <w:rsid w:val="000771FF"/>
    <w:rsid w:val="0007732C"/>
    <w:rsid w:val="00077372"/>
    <w:rsid w:val="00077463"/>
    <w:rsid w:val="00077498"/>
    <w:rsid w:val="0007750F"/>
    <w:rsid w:val="0007754F"/>
    <w:rsid w:val="0007760F"/>
    <w:rsid w:val="00077699"/>
    <w:rsid w:val="00077702"/>
    <w:rsid w:val="0007773A"/>
    <w:rsid w:val="000777A1"/>
    <w:rsid w:val="00077839"/>
    <w:rsid w:val="000778AA"/>
    <w:rsid w:val="000778D2"/>
    <w:rsid w:val="00077A38"/>
    <w:rsid w:val="00077B54"/>
    <w:rsid w:val="00077CD4"/>
    <w:rsid w:val="00077D74"/>
    <w:rsid w:val="00077D91"/>
    <w:rsid w:val="00077E10"/>
    <w:rsid w:val="00077FAF"/>
    <w:rsid w:val="0008017B"/>
    <w:rsid w:val="00080238"/>
    <w:rsid w:val="0008023F"/>
    <w:rsid w:val="0008027D"/>
    <w:rsid w:val="000802C8"/>
    <w:rsid w:val="000804D0"/>
    <w:rsid w:val="000804E1"/>
    <w:rsid w:val="000804F0"/>
    <w:rsid w:val="00080543"/>
    <w:rsid w:val="000805E9"/>
    <w:rsid w:val="000805F7"/>
    <w:rsid w:val="0008060B"/>
    <w:rsid w:val="000806D3"/>
    <w:rsid w:val="0008073D"/>
    <w:rsid w:val="00080777"/>
    <w:rsid w:val="00080787"/>
    <w:rsid w:val="00080825"/>
    <w:rsid w:val="00080882"/>
    <w:rsid w:val="0008097C"/>
    <w:rsid w:val="000809DD"/>
    <w:rsid w:val="00080AC1"/>
    <w:rsid w:val="00080AE6"/>
    <w:rsid w:val="00080C02"/>
    <w:rsid w:val="00080CE1"/>
    <w:rsid w:val="00080F80"/>
    <w:rsid w:val="00081007"/>
    <w:rsid w:val="00081092"/>
    <w:rsid w:val="000810B1"/>
    <w:rsid w:val="000810E7"/>
    <w:rsid w:val="000810FA"/>
    <w:rsid w:val="00081165"/>
    <w:rsid w:val="0008122B"/>
    <w:rsid w:val="000812F4"/>
    <w:rsid w:val="00081337"/>
    <w:rsid w:val="0008150F"/>
    <w:rsid w:val="0008163B"/>
    <w:rsid w:val="00081653"/>
    <w:rsid w:val="000817F6"/>
    <w:rsid w:val="00081A12"/>
    <w:rsid w:val="00081A61"/>
    <w:rsid w:val="00081AD7"/>
    <w:rsid w:val="00081B54"/>
    <w:rsid w:val="00081BB0"/>
    <w:rsid w:val="00081BCA"/>
    <w:rsid w:val="00081C1A"/>
    <w:rsid w:val="00081CB8"/>
    <w:rsid w:val="00081DB6"/>
    <w:rsid w:val="00081E31"/>
    <w:rsid w:val="00081ED9"/>
    <w:rsid w:val="00081EF5"/>
    <w:rsid w:val="00081F33"/>
    <w:rsid w:val="000820D8"/>
    <w:rsid w:val="00082209"/>
    <w:rsid w:val="0008233C"/>
    <w:rsid w:val="0008234C"/>
    <w:rsid w:val="0008249A"/>
    <w:rsid w:val="0008251D"/>
    <w:rsid w:val="00082527"/>
    <w:rsid w:val="00082543"/>
    <w:rsid w:val="00082619"/>
    <w:rsid w:val="00082654"/>
    <w:rsid w:val="00082677"/>
    <w:rsid w:val="000826CA"/>
    <w:rsid w:val="000826E9"/>
    <w:rsid w:val="00082711"/>
    <w:rsid w:val="0008275C"/>
    <w:rsid w:val="000828E4"/>
    <w:rsid w:val="00082947"/>
    <w:rsid w:val="000829A8"/>
    <w:rsid w:val="00082A2A"/>
    <w:rsid w:val="00082A45"/>
    <w:rsid w:val="00082D04"/>
    <w:rsid w:val="00082DB4"/>
    <w:rsid w:val="00082E2F"/>
    <w:rsid w:val="00082E56"/>
    <w:rsid w:val="00082F41"/>
    <w:rsid w:val="0008300B"/>
    <w:rsid w:val="00083446"/>
    <w:rsid w:val="0008359A"/>
    <w:rsid w:val="000835C8"/>
    <w:rsid w:val="000835D3"/>
    <w:rsid w:val="000835EC"/>
    <w:rsid w:val="0008361E"/>
    <w:rsid w:val="000836C7"/>
    <w:rsid w:val="0008370C"/>
    <w:rsid w:val="0008375E"/>
    <w:rsid w:val="0008375F"/>
    <w:rsid w:val="000837B4"/>
    <w:rsid w:val="00083A4A"/>
    <w:rsid w:val="00083AC1"/>
    <w:rsid w:val="00083ACD"/>
    <w:rsid w:val="00083C56"/>
    <w:rsid w:val="00083C8E"/>
    <w:rsid w:val="00083CA6"/>
    <w:rsid w:val="00083CED"/>
    <w:rsid w:val="00083CF2"/>
    <w:rsid w:val="00083CF5"/>
    <w:rsid w:val="00083D43"/>
    <w:rsid w:val="00083D63"/>
    <w:rsid w:val="00083E39"/>
    <w:rsid w:val="00083EAF"/>
    <w:rsid w:val="00084083"/>
    <w:rsid w:val="00084298"/>
    <w:rsid w:val="000842CA"/>
    <w:rsid w:val="0008434A"/>
    <w:rsid w:val="000844BD"/>
    <w:rsid w:val="000844F5"/>
    <w:rsid w:val="00084548"/>
    <w:rsid w:val="00084588"/>
    <w:rsid w:val="000845B6"/>
    <w:rsid w:val="000847DC"/>
    <w:rsid w:val="00084841"/>
    <w:rsid w:val="00084B32"/>
    <w:rsid w:val="00084BBA"/>
    <w:rsid w:val="00084D94"/>
    <w:rsid w:val="0008506B"/>
    <w:rsid w:val="000851FB"/>
    <w:rsid w:val="00085273"/>
    <w:rsid w:val="00085311"/>
    <w:rsid w:val="00085324"/>
    <w:rsid w:val="0008548E"/>
    <w:rsid w:val="0008552A"/>
    <w:rsid w:val="00085575"/>
    <w:rsid w:val="000855C4"/>
    <w:rsid w:val="0008564C"/>
    <w:rsid w:val="000856A2"/>
    <w:rsid w:val="000856B5"/>
    <w:rsid w:val="00085778"/>
    <w:rsid w:val="0008595F"/>
    <w:rsid w:val="00085A94"/>
    <w:rsid w:val="00085BF5"/>
    <w:rsid w:val="00085C11"/>
    <w:rsid w:val="00085D2D"/>
    <w:rsid w:val="00085D42"/>
    <w:rsid w:val="00085EA5"/>
    <w:rsid w:val="00085ED6"/>
    <w:rsid w:val="00085FA5"/>
    <w:rsid w:val="00085FCD"/>
    <w:rsid w:val="0008619F"/>
    <w:rsid w:val="000862A5"/>
    <w:rsid w:val="0008632E"/>
    <w:rsid w:val="0008636C"/>
    <w:rsid w:val="00086418"/>
    <w:rsid w:val="0008643A"/>
    <w:rsid w:val="000864CA"/>
    <w:rsid w:val="00086522"/>
    <w:rsid w:val="0008657B"/>
    <w:rsid w:val="0008657F"/>
    <w:rsid w:val="0008660E"/>
    <w:rsid w:val="00086668"/>
    <w:rsid w:val="00086768"/>
    <w:rsid w:val="00086771"/>
    <w:rsid w:val="00086900"/>
    <w:rsid w:val="0008690B"/>
    <w:rsid w:val="0008692A"/>
    <w:rsid w:val="000869CD"/>
    <w:rsid w:val="00086A04"/>
    <w:rsid w:val="00086A48"/>
    <w:rsid w:val="00086AA4"/>
    <w:rsid w:val="00086B6C"/>
    <w:rsid w:val="00086B79"/>
    <w:rsid w:val="00086BE8"/>
    <w:rsid w:val="00086CAB"/>
    <w:rsid w:val="00086EE1"/>
    <w:rsid w:val="00086F9D"/>
    <w:rsid w:val="00087126"/>
    <w:rsid w:val="00087129"/>
    <w:rsid w:val="0008714C"/>
    <w:rsid w:val="00087173"/>
    <w:rsid w:val="00087326"/>
    <w:rsid w:val="0008740B"/>
    <w:rsid w:val="00087475"/>
    <w:rsid w:val="0008747F"/>
    <w:rsid w:val="00087692"/>
    <w:rsid w:val="00087695"/>
    <w:rsid w:val="00087703"/>
    <w:rsid w:val="00087743"/>
    <w:rsid w:val="00087753"/>
    <w:rsid w:val="00087831"/>
    <w:rsid w:val="00087859"/>
    <w:rsid w:val="00087935"/>
    <w:rsid w:val="00087A13"/>
    <w:rsid w:val="00087ABB"/>
    <w:rsid w:val="00087B4E"/>
    <w:rsid w:val="00087B63"/>
    <w:rsid w:val="00087BDC"/>
    <w:rsid w:val="00087E47"/>
    <w:rsid w:val="00087E5C"/>
    <w:rsid w:val="00087EE7"/>
    <w:rsid w:val="0009000C"/>
    <w:rsid w:val="0009018D"/>
    <w:rsid w:val="00090246"/>
    <w:rsid w:val="0009024C"/>
    <w:rsid w:val="000903C4"/>
    <w:rsid w:val="00090402"/>
    <w:rsid w:val="00090492"/>
    <w:rsid w:val="00090520"/>
    <w:rsid w:val="0009053F"/>
    <w:rsid w:val="00090623"/>
    <w:rsid w:val="0009081B"/>
    <w:rsid w:val="00090842"/>
    <w:rsid w:val="00090888"/>
    <w:rsid w:val="000908BA"/>
    <w:rsid w:val="000909CB"/>
    <w:rsid w:val="000909FD"/>
    <w:rsid w:val="00090A19"/>
    <w:rsid w:val="00090AAB"/>
    <w:rsid w:val="00090B87"/>
    <w:rsid w:val="00090BEB"/>
    <w:rsid w:val="00090BFF"/>
    <w:rsid w:val="00090CB2"/>
    <w:rsid w:val="00090D3C"/>
    <w:rsid w:val="00090E9F"/>
    <w:rsid w:val="00090EB5"/>
    <w:rsid w:val="00090EF9"/>
    <w:rsid w:val="00091112"/>
    <w:rsid w:val="0009120E"/>
    <w:rsid w:val="000912C3"/>
    <w:rsid w:val="00091452"/>
    <w:rsid w:val="000914F4"/>
    <w:rsid w:val="000915AB"/>
    <w:rsid w:val="00091634"/>
    <w:rsid w:val="000916ED"/>
    <w:rsid w:val="00091753"/>
    <w:rsid w:val="000918BD"/>
    <w:rsid w:val="00091942"/>
    <w:rsid w:val="000919B0"/>
    <w:rsid w:val="00091A81"/>
    <w:rsid w:val="00091D37"/>
    <w:rsid w:val="00091E01"/>
    <w:rsid w:val="00091E36"/>
    <w:rsid w:val="00091F26"/>
    <w:rsid w:val="00091FC9"/>
    <w:rsid w:val="00092091"/>
    <w:rsid w:val="0009214C"/>
    <w:rsid w:val="000922D9"/>
    <w:rsid w:val="0009232E"/>
    <w:rsid w:val="00092375"/>
    <w:rsid w:val="000923CB"/>
    <w:rsid w:val="000923E0"/>
    <w:rsid w:val="0009241A"/>
    <w:rsid w:val="00092510"/>
    <w:rsid w:val="000925B1"/>
    <w:rsid w:val="00092600"/>
    <w:rsid w:val="0009263C"/>
    <w:rsid w:val="00092651"/>
    <w:rsid w:val="00092700"/>
    <w:rsid w:val="0009270D"/>
    <w:rsid w:val="0009270E"/>
    <w:rsid w:val="00092751"/>
    <w:rsid w:val="000928A2"/>
    <w:rsid w:val="00092940"/>
    <w:rsid w:val="000929FC"/>
    <w:rsid w:val="000929FF"/>
    <w:rsid w:val="00092A42"/>
    <w:rsid w:val="00092A48"/>
    <w:rsid w:val="00092BD8"/>
    <w:rsid w:val="00092C69"/>
    <w:rsid w:val="00092D1E"/>
    <w:rsid w:val="00092F11"/>
    <w:rsid w:val="00092F22"/>
    <w:rsid w:val="000930EB"/>
    <w:rsid w:val="00093233"/>
    <w:rsid w:val="00093244"/>
    <w:rsid w:val="00093275"/>
    <w:rsid w:val="0009328A"/>
    <w:rsid w:val="000932FD"/>
    <w:rsid w:val="0009338A"/>
    <w:rsid w:val="000933F9"/>
    <w:rsid w:val="00093493"/>
    <w:rsid w:val="000934EF"/>
    <w:rsid w:val="00093657"/>
    <w:rsid w:val="0009367C"/>
    <w:rsid w:val="000937BA"/>
    <w:rsid w:val="000937DB"/>
    <w:rsid w:val="00093828"/>
    <w:rsid w:val="00093861"/>
    <w:rsid w:val="000938FF"/>
    <w:rsid w:val="00093925"/>
    <w:rsid w:val="00093A11"/>
    <w:rsid w:val="00093AF9"/>
    <w:rsid w:val="00093CA1"/>
    <w:rsid w:val="0009402F"/>
    <w:rsid w:val="0009407A"/>
    <w:rsid w:val="000940E1"/>
    <w:rsid w:val="00094118"/>
    <w:rsid w:val="000941DE"/>
    <w:rsid w:val="00094253"/>
    <w:rsid w:val="0009426F"/>
    <w:rsid w:val="00094273"/>
    <w:rsid w:val="00094305"/>
    <w:rsid w:val="00094328"/>
    <w:rsid w:val="0009444C"/>
    <w:rsid w:val="00094482"/>
    <w:rsid w:val="00094539"/>
    <w:rsid w:val="00094636"/>
    <w:rsid w:val="0009467D"/>
    <w:rsid w:val="00094693"/>
    <w:rsid w:val="0009471C"/>
    <w:rsid w:val="0009471D"/>
    <w:rsid w:val="0009491B"/>
    <w:rsid w:val="00094A54"/>
    <w:rsid w:val="00094B54"/>
    <w:rsid w:val="00094B87"/>
    <w:rsid w:val="00094BA5"/>
    <w:rsid w:val="00094BB0"/>
    <w:rsid w:val="00094C8F"/>
    <w:rsid w:val="00094D1A"/>
    <w:rsid w:val="00094D78"/>
    <w:rsid w:val="00094E0F"/>
    <w:rsid w:val="00094E2F"/>
    <w:rsid w:val="00094EC0"/>
    <w:rsid w:val="00094F07"/>
    <w:rsid w:val="00094FAA"/>
    <w:rsid w:val="00094FFC"/>
    <w:rsid w:val="000951B9"/>
    <w:rsid w:val="00095201"/>
    <w:rsid w:val="00095264"/>
    <w:rsid w:val="00095282"/>
    <w:rsid w:val="000952CA"/>
    <w:rsid w:val="0009541B"/>
    <w:rsid w:val="00095428"/>
    <w:rsid w:val="00095516"/>
    <w:rsid w:val="00095589"/>
    <w:rsid w:val="00095664"/>
    <w:rsid w:val="000956CB"/>
    <w:rsid w:val="00095709"/>
    <w:rsid w:val="00095714"/>
    <w:rsid w:val="0009577C"/>
    <w:rsid w:val="000957F1"/>
    <w:rsid w:val="00095855"/>
    <w:rsid w:val="00095884"/>
    <w:rsid w:val="000958C8"/>
    <w:rsid w:val="0009592F"/>
    <w:rsid w:val="0009595D"/>
    <w:rsid w:val="0009597A"/>
    <w:rsid w:val="000959DA"/>
    <w:rsid w:val="00095A57"/>
    <w:rsid w:val="00095BE3"/>
    <w:rsid w:val="00095D3E"/>
    <w:rsid w:val="00095DAE"/>
    <w:rsid w:val="00095F05"/>
    <w:rsid w:val="00095FF7"/>
    <w:rsid w:val="00096074"/>
    <w:rsid w:val="0009607C"/>
    <w:rsid w:val="000960B1"/>
    <w:rsid w:val="00096106"/>
    <w:rsid w:val="00096117"/>
    <w:rsid w:val="0009617C"/>
    <w:rsid w:val="000961D0"/>
    <w:rsid w:val="00096211"/>
    <w:rsid w:val="0009634D"/>
    <w:rsid w:val="00096359"/>
    <w:rsid w:val="0009641E"/>
    <w:rsid w:val="0009642E"/>
    <w:rsid w:val="0009648A"/>
    <w:rsid w:val="000965D7"/>
    <w:rsid w:val="00096859"/>
    <w:rsid w:val="000968E5"/>
    <w:rsid w:val="00096965"/>
    <w:rsid w:val="000969F5"/>
    <w:rsid w:val="00096A22"/>
    <w:rsid w:val="00096B76"/>
    <w:rsid w:val="00096BEF"/>
    <w:rsid w:val="00096C49"/>
    <w:rsid w:val="00096C94"/>
    <w:rsid w:val="00096D5D"/>
    <w:rsid w:val="00096D8B"/>
    <w:rsid w:val="00096DDA"/>
    <w:rsid w:val="00096E59"/>
    <w:rsid w:val="000971C3"/>
    <w:rsid w:val="000971CC"/>
    <w:rsid w:val="0009723E"/>
    <w:rsid w:val="0009727D"/>
    <w:rsid w:val="000972B3"/>
    <w:rsid w:val="000972DD"/>
    <w:rsid w:val="0009733A"/>
    <w:rsid w:val="00097394"/>
    <w:rsid w:val="000973A6"/>
    <w:rsid w:val="000973D8"/>
    <w:rsid w:val="000974FC"/>
    <w:rsid w:val="000975DF"/>
    <w:rsid w:val="00097624"/>
    <w:rsid w:val="00097788"/>
    <w:rsid w:val="000978C5"/>
    <w:rsid w:val="000978CA"/>
    <w:rsid w:val="00097933"/>
    <w:rsid w:val="000979D5"/>
    <w:rsid w:val="000979EC"/>
    <w:rsid w:val="00097A2A"/>
    <w:rsid w:val="00097A3B"/>
    <w:rsid w:val="00097B26"/>
    <w:rsid w:val="00097B6D"/>
    <w:rsid w:val="00097BE3"/>
    <w:rsid w:val="00097C5A"/>
    <w:rsid w:val="00097CD5"/>
    <w:rsid w:val="00097D77"/>
    <w:rsid w:val="00097DCF"/>
    <w:rsid w:val="00097F1A"/>
    <w:rsid w:val="00097FD1"/>
    <w:rsid w:val="00097FFB"/>
    <w:rsid w:val="00097FFE"/>
    <w:rsid w:val="000A00EF"/>
    <w:rsid w:val="000A013E"/>
    <w:rsid w:val="000A0329"/>
    <w:rsid w:val="000A048F"/>
    <w:rsid w:val="000A04F0"/>
    <w:rsid w:val="000A062E"/>
    <w:rsid w:val="000A068A"/>
    <w:rsid w:val="000A06C4"/>
    <w:rsid w:val="000A08B3"/>
    <w:rsid w:val="000A08E6"/>
    <w:rsid w:val="000A08FE"/>
    <w:rsid w:val="000A0903"/>
    <w:rsid w:val="000A09E4"/>
    <w:rsid w:val="000A0A48"/>
    <w:rsid w:val="000A0AD2"/>
    <w:rsid w:val="000A0B2D"/>
    <w:rsid w:val="000A0C46"/>
    <w:rsid w:val="000A0C82"/>
    <w:rsid w:val="000A0E4D"/>
    <w:rsid w:val="000A0E95"/>
    <w:rsid w:val="000A0EEF"/>
    <w:rsid w:val="000A0F20"/>
    <w:rsid w:val="000A0FCB"/>
    <w:rsid w:val="000A10F0"/>
    <w:rsid w:val="000A1198"/>
    <w:rsid w:val="000A12D3"/>
    <w:rsid w:val="000A1339"/>
    <w:rsid w:val="000A13AA"/>
    <w:rsid w:val="000A145C"/>
    <w:rsid w:val="000A14B7"/>
    <w:rsid w:val="000A14D6"/>
    <w:rsid w:val="000A1522"/>
    <w:rsid w:val="000A1821"/>
    <w:rsid w:val="000A1948"/>
    <w:rsid w:val="000A1991"/>
    <w:rsid w:val="000A1AD5"/>
    <w:rsid w:val="000A1B53"/>
    <w:rsid w:val="000A1BE1"/>
    <w:rsid w:val="000A1C6C"/>
    <w:rsid w:val="000A1CB3"/>
    <w:rsid w:val="000A1D85"/>
    <w:rsid w:val="000A1EB5"/>
    <w:rsid w:val="000A1EDC"/>
    <w:rsid w:val="000A1F3F"/>
    <w:rsid w:val="000A1F6C"/>
    <w:rsid w:val="000A1F77"/>
    <w:rsid w:val="000A20B3"/>
    <w:rsid w:val="000A20D1"/>
    <w:rsid w:val="000A21DD"/>
    <w:rsid w:val="000A22D8"/>
    <w:rsid w:val="000A2309"/>
    <w:rsid w:val="000A237E"/>
    <w:rsid w:val="000A2638"/>
    <w:rsid w:val="000A272D"/>
    <w:rsid w:val="000A27F0"/>
    <w:rsid w:val="000A28B2"/>
    <w:rsid w:val="000A28ED"/>
    <w:rsid w:val="000A2A4C"/>
    <w:rsid w:val="000A2B09"/>
    <w:rsid w:val="000A2B13"/>
    <w:rsid w:val="000A2C84"/>
    <w:rsid w:val="000A2CB3"/>
    <w:rsid w:val="000A2CE9"/>
    <w:rsid w:val="000A2D9F"/>
    <w:rsid w:val="000A3006"/>
    <w:rsid w:val="000A300D"/>
    <w:rsid w:val="000A3062"/>
    <w:rsid w:val="000A313D"/>
    <w:rsid w:val="000A3286"/>
    <w:rsid w:val="000A328E"/>
    <w:rsid w:val="000A32ED"/>
    <w:rsid w:val="000A3315"/>
    <w:rsid w:val="000A34B5"/>
    <w:rsid w:val="000A3518"/>
    <w:rsid w:val="000A35B4"/>
    <w:rsid w:val="000A35BD"/>
    <w:rsid w:val="000A35C7"/>
    <w:rsid w:val="000A35CC"/>
    <w:rsid w:val="000A3770"/>
    <w:rsid w:val="000A3795"/>
    <w:rsid w:val="000A37C0"/>
    <w:rsid w:val="000A3802"/>
    <w:rsid w:val="000A3862"/>
    <w:rsid w:val="000A3870"/>
    <w:rsid w:val="000A38B6"/>
    <w:rsid w:val="000A3932"/>
    <w:rsid w:val="000A3A79"/>
    <w:rsid w:val="000A3C35"/>
    <w:rsid w:val="000A3CA1"/>
    <w:rsid w:val="000A3D95"/>
    <w:rsid w:val="000A3DB5"/>
    <w:rsid w:val="000A3F43"/>
    <w:rsid w:val="000A406C"/>
    <w:rsid w:val="000A40A2"/>
    <w:rsid w:val="000A4173"/>
    <w:rsid w:val="000A41B1"/>
    <w:rsid w:val="000A431D"/>
    <w:rsid w:val="000A4347"/>
    <w:rsid w:val="000A434C"/>
    <w:rsid w:val="000A4402"/>
    <w:rsid w:val="000A4603"/>
    <w:rsid w:val="000A466B"/>
    <w:rsid w:val="000A4687"/>
    <w:rsid w:val="000A46F9"/>
    <w:rsid w:val="000A48F5"/>
    <w:rsid w:val="000A49FD"/>
    <w:rsid w:val="000A4A7D"/>
    <w:rsid w:val="000A4A9C"/>
    <w:rsid w:val="000A4AB2"/>
    <w:rsid w:val="000A4B6A"/>
    <w:rsid w:val="000A4C31"/>
    <w:rsid w:val="000A4C42"/>
    <w:rsid w:val="000A4C8F"/>
    <w:rsid w:val="000A4C9B"/>
    <w:rsid w:val="000A4F3D"/>
    <w:rsid w:val="000A5012"/>
    <w:rsid w:val="000A5038"/>
    <w:rsid w:val="000A5242"/>
    <w:rsid w:val="000A524C"/>
    <w:rsid w:val="000A5267"/>
    <w:rsid w:val="000A53EA"/>
    <w:rsid w:val="000A545F"/>
    <w:rsid w:val="000A55FF"/>
    <w:rsid w:val="000A564E"/>
    <w:rsid w:val="000A575B"/>
    <w:rsid w:val="000A57E4"/>
    <w:rsid w:val="000A5818"/>
    <w:rsid w:val="000A5862"/>
    <w:rsid w:val="000A58BE"/>
    <w:rsid w:val="000A5916"/>
    <w:rsid w:val="000A5B13"/>
    <w:rsid w:val="000A5B2B"/>
    <w:rsid w:val="000A5B65"/>
    <w:rsid w:val="000A5B83"/>
    <w:rsid w:val="000A5BBF"/>
    <w:rsid w:val="000A5BC5"/>
    <w:rsid w:val="000A5CCB"/>
    <w:rsid w:val="000A5CEB"/>
    <w:rsid w:val="000A5D3D"/>
    <w:rsid w:val="000A5D58"/>
    <w:rsid w:val="000A6024"/>
    <w:rsid w:val="000A603C"/>
    <w:rsid w:val="000A606C"/>
    <w:rsid w:val="000A608B"/>
    <w:rsid w:val="000A60B8"/>
    <w:rsid w:val="000A60CD"/>
    <w:rsid w:val="000A6137"/>
    <w:rsid w:val="000A6161"/>
    <w:rsid w:val="000A61C7"/>
    <w:rsid w:val="000A6255"/>
    <w:rsid w:val="000A6657"/>
    <w:rsid w:val="000A6667"/>
    <w:rsid w:val="000A668F"/>
    <w:rsid w:val="000A6699"/>
    <w:rsid w:val="000A66EC"/>
    <w:rsid w:val="000A672E"/>
    <w:rsid w:val="000A67E3"/>
    <w:rsid w:val="000A67EE"/>
    <w:rsid w:val="000A682E"/>
    <w:rsid w:val="000A687E"/>
    <w:rsid w:val="000A68A0"/>
    <w:rsid w:val="000A68E2"/>
    <w:rsid w:val="000A690B"/>
    <w:rsid w:val="000A6930"/>
    <w:rsid w:val="000A6958"/>
    <w:rsid w:val="000A69A4"/>
    <w:rsid w:val="000A6A07"/>
    <w:rsid w:val="000A6A2E"/>
    <w:rsid w:val="000A6AF6"/>
    <w:rsid w:val="000A6C44"/>
    <w:rsid w:val="000A6E37"/>
    <w:rsid w:val="000A6F09"/>
    <w:rsid w:val="000A7009"/>
    <w:rsid w:val="000A7052"/>
    <w:rsid w:val="000A7067"/>
    <w:rsid w:val="000A714C"/>
    <w:rsid w:val="000A71F8"/>
    <w:rsid w:val="000A71FB"/>
    <w:rsid w:val="000A7229"/>
    <w:rsid w:val="000A73F7"/>
    <w:rsid w:val="000A7458"/>
    <w:rsid w:val="000A7567"/>
    <w:rsid w:val="000A7574"/>
    <w:rsid w:val="000A75B0"/>
    <w:rsid w:val="000A7644"/>
    <w:rsid w:val="000A7692"/>
    <w:rsid w:val="000A76D0"/>
    <w:rsid w:val="000A7790"/>
    <w:rsid w:val="000A77FA"/>
    <w:rsid w:val="000A7827"/>
    <w:rsid w:val="000A78AC"/>
    <w:rsid w:val="000A7AC6"/>
    <w:rsid w:val="000A7AE2"/>
    <w:rsid w:val="000A7AE6"/>
    <w:rsid w:val="000A7BB9"/>
    <w:rsid w:val="000A7BE6"/>
    <w:rsid w:val="000A7BF6"/>
    <w:rsid w:val="000A7C17"/>
    <w:rsid w:val="000A7CEF"/>
    <w:rsid w:val="000A7D01"/>
    <w:rsid w:val="000A7E36"/>
    <w:rsid w:val="000A7F75"/>
    <w:rsid w:val="000B0192"/>
    <w:rsid w:val="000B0250"/>
    <w:rsid w:val="000B0252"/>
    <w:rsid w:val="000B03A0"/>
    <w:rsid w:val="000B0402"/>
    <w:rsid w:val="000B0467"/>
    <w:rsid w:val="000B04B4"/>
    <w:rsid w:val="000B0545"/>
    <w:rsid w:val="000B05D2"/>
    <w:rsid w:val="000B08DE"/>
    <w:rsid w:val="000B0918"/>
    <w:rsid w:val="000B0A24"/>
    <w:rsid w:val="000B0B0C"/>
    <w:rsid w:val="000B0B27"/>
    <w:rsid w:val="000B0B59"/>
    <w:rsid w:val="000B0BFC"/>
    <w:rsid w:val="000B0C27"/>
    <w:rsid w:val="000B0C83"/>
    <w:rsid w:val="000B0DFC"/>
    <w:rsid w:val="000B0EBC"/>
    <w:rsid w:val="000B1009"/>
    <w:rsid w:val="000B101F"/>
    <w:rsid w:val="000B1073"/>
    <w:rsid w:val="000B11C5"/>
    <w:rsid w:val="000B12E3"/>
    <w:rsid w:val="000B12F7"/>
    <w:rsid w:val="000B1315"/>
    <w:rsid w:val="000B131B"/>
    <w:rsid w:val="000B1338"/>
    <w:rsid w:val="000B1358"/>
    <w:rsid w:val="000B13E0"/>
    <w:rsid w:val="000B1426"/>
    <w:rsid w:val="000B1460"/>
    <w:rsid w:val="000B14A1"/>
    <w:rsid w:val="000B14CE"/>
    <w:rsid w:val="000B1618"/>
    <w:rsid w:val="000B165E"/>
    <w:rsid w:val="000B18A5"/>
    <w:rsid w:val="000B18DA"/>
    <w:rsid w:val="000B1993"/>
    <w:rsid w:val="000B19E1"/>
    <w:rsid w:val="000B1ACD"/>
    <w:rsid w:val="000B1C6B"/>
    <w:rsid w:val="000B1D89"/>
    <w:rsid w:val="000B1EF4"/>
    <w:rsid w:val="000B1F47"/>
    <w:rsid w:val="000B1F6F"/>
    <w:rsid w:val="000B1FAF"/>
    <w:rsid w:val="000B212F"/>
    <w:rsid w:val="000B215E"/>
    <w:rsid w:val="000B21A0"/>
    <w:rsid w:val="000B21ED"/>
    <w:rsid w:val="000B2335"/>
    <w:rsid w:val="000B23A5"/>
    <w:rsid w:val="000B23AD"/>
    <w:rsid w:val="000B2405"/>
    <w:rsid w:val="000B2428"/>
    <w:rsid w:val="000B24EE"/>
    <w:rsid w:val="000B2588"/>
    <w:rsid w:val="000B25CE"/>
    <w:rsid w:val="000B25DE"/>
    <w:rsid w:val="000B25FB"/>
    <w:rsid w:val="000B2709"/>
    <w:rsid w:val="000B27FA"/>
    <w:rsid w:val="000B28FF"/>
    <w:rsid w:val="000B2A36"/>
    <w:rsid w:val="000B2A37"/>
    <w:rsid w:val="000B2ABA"/>
    <w:rsid w:val="000B2BEA"/>
    <w:rsid w:val="000B2CDE"/>
    <w:rsid w:val="000B2D70"/>
    <w:rsid w:val="000B2DA5"/>
    <w:rsid w:val="000B2EA4"/>
    <w:rsid w:val="000B2EAA"/>
    <w:rsid w:val="000B2FC9"/>
    <w:rsid w:val="000B2FD5"/>
    <w:rsid w:val="000B301E"/>
    <w:rsid w:val="000B3185"/>
    <w:rsid w:val="000B3216"/>
    <w:rsid w:val="000B3220"/>
    <w:rsid w:val="000B32D6"/>
    <w:rsid w:val="000B32E5"/>
    <w:rsid w:val="000B336C"/>
    <w:rsid w:val="000B3379"/>
    <w:rsid w:val="000B3578"/>
    <w:rsid w:val="000B362E"/>
    <w:rsid w:val="000B36AE"/>
    <w:rsid w:val="000B36BE"/>
    <w:rsid w:val="000B3811"/>
    <w:rsid w:val="000B3844"/>
    <w:rsid w:val="000B39E5"/>
    <w:rsid w:val="000B3A6C"/>
    <w:rsid w:val="000B3AD7"/>
    <w:rsid w:val="000B3B62"/>
    <w:rsid w:val="000B3C0B"/>
    <w:rsid w:val="000B3C0E"/>
    <w:rsid w:val="000B3C2C"/>
    <w:rsid w:val="000B3D10"/>
    <w:rsid w:val="000B3DDD"/>
    <w:rsid w:val="000B3E03"/>
    <w:rsid w:val="000B3F2F"/>
    <w:rsid w:val="000B3F68"/>
    <w:rsid w:val="000B3F7D"/>
    <w:rsid w:val="000B3FD3"/>
    <w:rsid w:val="000B40DA"/>
    <w:rsid w:val="000B40F7"/>
    <w:rsid w:val="000B41B5"/>
    <w:rsid w:val="000B41D4"/>
    <w:rsid w:val="000B4211"/>
    <w:rsid w:val="000B42BB"/>
    <w:rsid w:val="000B432F"/>
    <w:rsid w:val="000B43C8"/>
    <w:rsid w:val="000B43D0"/>
    <w:rsid w:val="000B466A"/>
    <w:rsid w:val="000B4774"/>
    <w:rsid w:val="000B4786"/>
    <w:rsid w:val="000B47DB"/>
    <w:rsid w:val="000B47E5"/>
    <w:rsid w:val="000B4830"/>
    <w:rsid w:val="000B48D8"/>
    <w:rsid w:val="000B4977"/>
    <w:rsid w:val="000B49A1"/>
    <w:rsid w:val="000B49C0"/>
    <w:rsid w:val="000B4A23"/>
    <w:rsid w:val="000B4AC4"/>
    <w:rsid w:val="000B4AE6"/>
    <w:rsid w:val="000B4BD7"/>
    <w:rsid w:val="000B4BE6"/>
    <w:rsid w:val="000B4C78"/>
    <w:rsid w:val="000B4CD6"/>
    <w:rsid w:val="000B4EDC"/>
    <w:rsid w:val="000B4F2B"/>
    <w:rsid w:val="000B4FB4"/>
    <w:rsid w:val="000B502B"/>
    <w:rsid w:val="000B5051"/>
    <w:rsid w:val="000B505B"/>
    <w:rsid w:val="000B507C"/>
    <w:rsid w:val="000B512F"/>
    <w:rsid w:val="000B51E9"/>
    <w:rsid w:val="000B5244"/>
    <w:rsid w:val="000B52BE"/>
    <w:rsid w:val="000B52CA"/>
    <w:rsid w:val="000B52D4"/>
    <w:rsid w:val="000B5319"/>
    <w:rsid w:val="000B5475"/>
    <w:rsid w:val="000B5580"/>
    <w:rsid w:val="000B55AD"/>
    <w:rsid w:val="000B566E"/>
    <w:rsid w:val="000B5703"/>
    <w:rsid w:val="000B57C7"/>
    <w:rsid w:val="000B5804"/>
    <w:rsid w:val="000B586E"/>
    <w:rsid w:val="000B593A"/>
    <w:rsid w:val="000B59ED"/>
    <w:rsid w:val="000B5B04"/>
    <w:rsid w:val="000B5B16"/>
    <w:rsid w:val="000B5C57"/>
    <w:rsid w:val="000B5D98"/>
    <w:rsid w:val="000B5EB9"/>
    <w:rsid w:val="000B5F1D"/>
    <w:rsid w:val="000B5F5E"/>
    <w:rsid w:val="000B6051"/>
    <w:rsid w:val="000B610C"/>
    <w:rsid w:val="000B6114"/>
    <w:rsid w:val="000B61FB"/>
    <w:rsid w:val="000B62C8"/>
    <w:rsid w:val="000B6352"/>
    <w:rsid w:val="000B63BE"/>
    <w:rsid w:val="000B63C1"/>
    <w:rsid w:val="000B6454"/>
    <w:rsid w:val="000B651F"/>
    <w:rsid w:val="000B65A5"/>
    <w:rsid w:val="000B65BB"/>
    <w:rsid w:val="000B65DA"/>
    <w:rsid w:val="000B65EF"/>
    <w:rsid w:val="000B65F2"/>
    <w:rsid w:val="000B6658"/>
    <w:rsid w:val="000B6659"/>
    <w:rsid w:val="000B66B3"/>
    <w:rsid w:val="000B66F8"/>
    <w:rsid w:val="000B6717"/>
    <w:rsid w:val="000B67FB"/>
    <w:rsid w:val="000B6909"/>
    <w:rsid w:val="000B6950"/>
    <w:rsid w:val="000B6980"/>
    <w:rsid w:val="000B6A11"/>
    <w:rsid w:val="000B6BC8"/>
    <w:rsid w:val="000B6C12"/>
    <w:rsid w:val="000B6C9A"/>
    <w:rsid w:val="000B6CA6"/>
    <w:rsid w:val="000B6EC1"/>
    <w:rsid w:val="000B6F78"/>
    <w:rsid w:val="000B6FF7"/>
    <w:rsid w:val="000B6FFE"/>
    <w:rsid w:val="000B701B"/>
    <w:rsid w:val="000B7039"/>
    <w:rsid w:val="000B708C"/>
    <w:rsid w:val="000B70AF"/>
    <w:rsid w:val="000B715E"/>
    <w:rsid w:val="000B71DB"/>
    <w:rsid w:val="000B72C9"/>
    <w:rsid w:val="000B7407"/>
    <w:rsid w:val="000B742C"/>
    <w:rsid w:val="000B7547"/>
    <w:rsid w:val="000B75A8"/>
    <w:rsid w:val="000B7674"/>
    <w:rsid w:val="000B7AB2"/>
    <w:rsid w:val="000B7AFD"/>
    <w:rsid w:val="000B7CCF"/>
    <w:rsid w:val="000B7CE2"/>
    <w:rsid w:val="000B7D54"/>
    <w:rsid w:val="000B7D8B"/>
    <w:rsid w:val="000B7DA1"/>
    <w:rsid w:val="000B7E3F"/>
    <w:rsid w:val="000B7E54"/>
    <w:rsid w:val="000B7E6A"/>
    <w:rsid w:val="000B7E8A"/>
    <w:rsid w:val="000B7EDE"/>
    <w:rsid w:val="000B7F80"/>
    <w:rsid w:val="000B7FB4"/>
    <w:rsid w:val="000C0004"/>
    <w:rsid w:val="000C000D"/>
    <w:rsid w:val="000C00C6"/>
    <w:rsid w:val="000C0136"/>
    <w:rsid w:val="000C016A"/>
    <w:rsid w:val="000C0234"/>
    <w:rsid w:val="000C0305"/>
    <w:rsid w:val="000C032C"/>
    <w:rsid w:val="000C03DD"/>
    <w:rsid w:val="000C048A"/>
    <w:rsid w:val="000C0526"/>
    <w:rsid w:val="000C06F0"/>
    <w:rsid w:val="000C06F3"/>
    <w:rsid w:val="000C0703"/>
    <w:rsid w:val="000C073B"/>
    <w:rsid w:val="000C07B9"/>
    <w:rsid w:val="000C081C"/>
    <w:rsid w:val="000C08D7"/>
    <w:rsid w:val="000C0921"/>
    <w:rsid w:val="000C09D7"/>
    <w:rsid w:val="000C0ACB"/>
    <w:rsid w:val="000C0B66"/>
    <w:rsid w:val="000C0BFF"/>
    <w:rsid w:val="000C0C19"/>
    <w:rsid w:val="000C0D16"/>
    <w:rsid w:val="000C0DA3"/>
    <w:rsid w:val="000C0DBF"/>
    <w:rsid w:val="000C0E6A"/>
    <w:rsid w:val="000C0FA9"/>
    <w:rsid w:val="000C1186"/>
    <w:rsid w:val="000C1318"/>
    <w:rsid w:val="000C144A"/>
    <w:rsid w:val="000C1471"/>
    <w:rsid w:val="000C14C5"/>
    <w:rsid w:val="000C153F"/>
    <w:rsid w:val="000C1639"/>
    <w:rsid w:val="000C16A5"/>
    <w:rsid w:val="000C18CB"/>
    <w:rsid w:val="000C1975"/>
    <w:rsid w:val="000C19B0"/>
    <w:rsid w:val="000C1A05"/>
    <w:rsid w:val="000C1AEE"/>
    <w:rsid w:val="000C1B0F"/>
    <w:rsid w:val="000C1B7A"/>
    <w:rsid w:val="000C1C47"/>
    <w:rsid w:val="000C1D07"/>
    <w:rsid w:val="000C1E3A"/>
    <w:rsid w:val="000C1F36"/>
    <w:rsid w:val="000C1FC8"/>
    <w:rsid w:val="000C1FF2"/>
    <w:rsid w:val="000C2007"/>
    <w:rsid w:val="000C2036"/>
    <w:rsid w:val="000C220A"/>
    <w:rsid w:val="000C2360"/>
    <w:rsid w:val="000C2485"/>
    <w:rsid w:val="000C2537"/>
    <w:rsid w:val="000C25B2"/>
    <w:rsid w:val="000C25DB"/>
    <w:rsid w:val="000C262E"/>
    <w:rsid w:val="000C2645"/>
    <w:rsid w:val="000C2674"/>
    <w:rsid w:val="000C26D0"/>
    <w:rsid w:val="000C281B"/>
    <w:rsid w:val="000C28B4"/>
    <w:rsid w:val="000C290E"/>
    <w:rsid w:val="000C2984"/>
    <w:rsid w:val="000C29E6"/>
    <w:rsid w:val="000C2A50"/>
    <w:rsid w:val="000C2A67"/>
    <w:rsid w:val="000C2A89"/>
    <w:rsid w:val="000C2BEB"/>
    <w:rsid w:val="000C2C04"/>
    <w:rsid w:val="000C2C9F"/>
    <w:rsid w:val="000C2CDB"/>
    <w:rsid w:val="000C2D8A"/>
    <w:rsid w:val="000C2EDA"/>
    <w:rsid w:val="000C2F6F"/>
    <w:rsid w:val="000C2FA4"/>
    <w:rsid w:val="000C30BE"/>
    <w:rsid w:val="000C30F6"/>
    <w:rsid w:val="000C3173"/>
    <w:rsid w:val="000C3200"/>
    <w:rsid w:val="000C324D"/>
    <w:rsid w:val="000C327C"/>
    <w:rsid w:val="000C327D"/>
    <w:rsid w:val="000C32E7"/>
    <w:rsid w:val="000C32EF"/>
    <w:rsid w:val="000C33A5"/>
    <w:rsid w:val="000C33D6"/>
    <w:rsid w:val="000C33F5"/>
    <w:rsid w:val="000C3476"/>
    <w:rsid w:val="000C347C"/>
    <w:rsid w:val="000C356F"/>
    <w:rsid w:val="000C3632"/>
    <w:rsid w:val="000C363C"/>
    <w:rsid w:val="000C373D"/>
    <w:rsid w:val="000C376E"/>
    <w:rsid w:val="000C377F"/>
    <w:rsid w:val="000C3873"/>
    <w:rsid w:val="000C38CF"/>
    <w:rsid w:val="000C3965"/>
    <w:rsid w:val="000C39B4"/>
    <w:rsid w:val="000C3AF0"/>
    <w:rsid w:val="000C3B48"/>
    <w:rsid w:val="000C3BB0"/>
    <w:rsid w:val="000C3BB7"/>
    <w:rsid w:val="000C3C4E"/>
    <w:rsid w:val="000C3C69"/>
    <w:rsid w:val="000C3C6E"/>
    <w:rsid w:val="000C3CA0"/>
    <w:rsid w:val="000C3D33"/>
    <w:rsid w:val="000C3D8E"/>
    <w:rsid w:val="000C3DDB"/>
    <w:rsid w:val="000C3EE0"/>
    <w:rsid w:val="000C3FA3"/>
    <w:rsid w:val="000C3FF1"/>
    <w:rsid w:val="000C4007"/>
    <w:rsid w:val="000C405C"/>
    <w:rsid w:val="000C40B4"/>
    <w:rsid w:val="000C40CE"/>
    <w:rsid w:val="000C426D"/>
    <w:rsid w:val="000C432D"/>
    <w:rsid w:val="000C4476"/>
    <w:rsid w:val="000C44A1"/>
    <w:rsid w:val="000C4705"/>
    <w:rsid w:val="000C47EC"/>
    <w:rsid w:val="000C4818"/>
    <w:rsid w:val="000C48EE"/>
    <w:rsid w:val="000C48F6"/>
    <w:rsid w:val="000C496F"/>
    <w:rsid w:val="000C4AB1"/>
    <w:rsid w:val="000C4C45"/>
    <w:rsid w:val="000C4CF4"/>
    <w:rsid w:val="000C4D0E"/>
    <w:rsid w:val="000C4D15"/>
    <w:rsid w:val="000C4DB0"/>
    <w:rsid w:val="000C4E15"/>
    <w:rsid w:val="000C4E46"/>
    <w:rsid w:val="000C4F7E"/>
    <w:rsid w:val="000C4F98"/>
    <w:rsid w:val="000C5008"/>
    <w:rsid w:val="000C50CD"/>
    <w:rsid w:val="000C5139"/>
    <w:rsid w:val="000C5172"/>
    <w:rsid w:val="000C5356"/>
    <w:rsid w:val="000C5361"/>
    <w:rsid w:val="000C5443"/>
    <w:rsid w:val="000C545A"/>
    <w:rsid w:val="000C545B"/>
    <w:rsid w:val="000C549D"/>
    <w:rsid w:val="000C54E9"/>
    <w:rsid w:val="000C5568"/>
    <w:rsid w:val="000C55AE"/>
    <w:rsid w:val="000C567C"/>
    <w:rsid w:val="000C580C"/>
    <w:rsid w:val="000C58CF"/>
    <w:rsid w:val="000C59A1"/>
    <w:rsid w:val="000C59DF"/>
    <w:rsid w:val="000C5BA0"/>
    <w:rsid w:val="000C5C18"/>
    <w:rsid w:val="000C5C83"/>
    <w:rsid w:val="000C5CF1"/>
    <w:rsid w:val="000C5D11"/>
    <w:rsid w:val="000C5D62"/>
    <w:rsid w:val="000C5DDE"/>
    <w:rsid w:val="000C5E16"/>
    <w:rsid w:val="000C5E3A"/>
    <w:rsid w:val="000C5EC4"/>
    <w:rsid w:val="000C5FBC"/>
    <w:rsid w:val="000C606E"/>
    <w:rsid w:val="000C60B3"/>
    <w:rsid w:val="000C60BF"/>
    <w:rsid w:val="000C62DF"/>
    <w:rsid w:val="000C6562"/>
    <w:rsid w:val="000C65A7"/>
    <w:rsid w:val="000C66C1"/>
    <w:rsid w:val="000C66CD"/>
    <w:rsid w:val="000C673B"/>
    <w:rsid w:val="000C674B"/>
    <w:rsid w:val="000C67C7"/>
    <w:rsid w:val="000C6829"/>
    <w:rsid w:val="000C686D"/>
    <w:rsid w:val="000C69E2"/>
    <w:rsid w:val="000C6A2F"/>
    <w:rsid w:val="000C6AC5"/>
    <w:rsid w:val="000C6AD2"/>
    <w:rsid w:val="000C6C9E"/>
    <w:rsid w:val="000C6DF8"/>
    <w:rsid w:val="000C6EBB"/>
    <w:rsid w:val="000C6F1D"/>
    <w:rsid w:val="000C7048"/>
    <w:rsid w:val="000C704A"/>
    <w:rsid w:val="000C708E"/>
    <w:rsid w:val="000C70AB"/>
    <w:rsid w:val="000C7145"/>
    <w:rsid w:val="000C71BC"/>
    <w:rsid w:val="000C728D"/>
    <w:rsid w:val="000C72CB"/>
    <w:rsid w:val="000C73BB"/>
    <w:rsid w:val="000C73E4"/>
    <w:rsid w:val="000C7511"/>
    <w:rsid w:val="000C7562"/>
    <w:rsid w:val="000C75C3"/>
    <w:rsid w:val="000C7620"/>
    <w:rsid w:val="000C7647"/>
    <w:rsid w:val="000C7687"/>
    <w:rsid w:val="000C7704"/>
    <w:rsid w:val="000C7740"/>
    <w:rsid w:val="000C785D"/>
    <w:rsid w:val="000C790E"/>
    <w:rsid w:val="000C79BD"/>
    <w:rsid w:val="000C7A18"/>
    <w:rsid w:val="000C7A88"/>
    <w:rsid w:val="000C7B17"/>
    <w:rsid w:val="000C7B1C"/>
    <w:rsid w:val="000C7B7D"/>
    <w:rsid w:val="000C7BDE"/>
    <w:rsid w:val="000C7C03"/>
    <w:rsid w:val="000C7CC9"/>
    <w:rsid w:val="000C7D3E"/>
    <w:rsid w:val="000C7D73"/>
    <w:rsid w:val="000C7E38"/>
    <w:rsid w:val="000C7E4F"/>
    <w:rsid w:val="000C7EAA"/>
    <w:rsid w:val="000C7EC0"/>
    <w:rsid w:val="000C7EF4"/>
    <w:rsid w:val="000C7F66"/>
    <w:rsid w:val="000C7F9F"/>
    <w:rsid w:val="000D0024"/>
    <w:rsid w:val="000D009C"/>
    <w:rsid w:val="000D00F8"/>
    <w:rsid w:val="000D00FF"/>
    <w:rsid w:val="000D019D"/>
    <w:rsid w:val="000D01D1"/>
    <w:rsid w:val="000D0219"/>
    <w:rsid w:val="000D02D9"/>
    <w:rsid w:val="000D0420"/>
    <w:rsid w:val="000D046A"/>
    <w:rsid w:val="000D04FB"/>
    <w:rsid w:val="000D0519"/>
    <w:rsid w:val="000D0523"/>
    <w:rsid w:val="000D0571"/>
    <w:rsid w:val="000D08C0"/>
    <w:rsid w:val="000D091D"/>
    <w:rsid w:val="000D0A29"/>
    <w:rsid w:val="000D0A4B"/>
    <w:rsid w:val="000D0A6A"/>
    <w:rsid w:val="000D0BFF"/>
    <w:rsid w:val="000D0C05"/>
    <w:rsid w:val="000D0CD5"/>
    <w:rsid w:val="000D0D26"/>
    <w:rsid w:val="000D0DE8"/>
    <w:rsid w:val="000D0DF3"/>
    <w:rsid w:val="000D103A"/>
    <w:rsid w:val="000D113E"/>
    <w:rsid w:val="000D1163"/>
    <w:rsid w:val="000D1195"/>
    <w:rsid w:val="000D1578"/>
    <w:rsid w:val="000D1634"/>
    <w:rsid w:val="000D17FF"/>
    <w:rsid w:val="000D193F"/>
    <w:rsid w:val="000D1988"/>
    <w:rsid w:val="000D1A12"/>
    <w:rsid w:val="000D1A8F"/>
    <w:rsid w:val="000D1ACD"/>
    <w:rsid w:val="000D1ADD"/>
    <w:rsid w:val="000D1AF6"/>
    <w:rsid w:val="000D1B77"/>
    <w:rsid w:val="000D1BC2"/>
    <w:rsid w:val="000D1BCC"/>
    <w:rsid w:val="000D1C02"/>
    <w:rsid w:val="000D1CFC"/>
    <w:rsid w:val="000D1D4F"/>
    <w:rsid w:val="000D1E4D"/>
    <w:rsid w:val="000D1E82"/>
    <w:rsid w:val="000D1F1A"/>
    <w:rsid w:val="000D1F7C"/>
    <w:rsid w:val="000D1F93"/>
    <w:rsid w:val="000D1FCE"/>
    <w:rsid w:val="000D20C6"/>
    <w:rsid w:val="000D20D8"/>
    <w:rsid w:val="000D2108"/>
    <w:rsid w:val="000D2132"/>
    <w:rsid w:val="000D22BE"/>
    <w:rsid w:val="000D2720"/>
    <w:rsid w:val="000D272E"/>
    <w:rsid w:val="000D2832"/>
    <w:rsid w:val="000D2890"/>
    <w:rsid w:val="000D29FA"/>
    <w:rsid w:val="000D2A3F"/>
    <w:rsid w:val="000D2B56"/>
    <w:rsid w:val="000D2B67"/>
    <w:rsid w:val="000D2B71"/>
    <w:rsid w:val="000D2BB3"/>
    <w:rsid w:val="000D2BC8"/>
    <w:rsid w:val="000D2BED"/>
    <w:rsid w:val="000D2C25"/>
    <w:rsid w:val="000D2C9C"/>
    <w:rsid w:val="000D2CB5"/>
    <w:rsid w:val="000D2D5E"/>
    <w:rsid w:val="000D2DD9"/>
    <w:rsid w:val="000D2E11"/>
    <w:rsid w:val="000D2EAD"/>
    <w:rsid w:val="000D301D"/>
    <w:rsid w:val="000D302E"/>
    <w:rsid w:val="000D310F"/>
    <w:rsid w:val="000D318B"/>
    <w:rsid w:val="000D323B"/>
    <w:rsid w:val="000D32BD"/>
    <w:rsid w:val="000D32E2"/>
    <w:rsid w:val="000D333A"/>
    <w:rsid w:val="000D3474"/>
    <w:rsid w:val="000D34DA"/>
    <w:rsid w:val="000D357C"/>
    <w:rsid w:val="000D3628"/>
    <w:rsid w:val="000D3647"/>
    <w:rsid w:val="000D3699"/>
    <w:rsid w:val="000D37A0"/>
    <w:rsid w:val="000D389A"/>
    <w:rsid w:val="000D38F2"/>
    <w:rsid w:val="000D393D"/>
    <w:rsid w:val="000D3958"/>
    <w:rsid w:val="000D395A"/>
    <w:rsid w:val="000D397B"/>
    <w:rsid w:val="000D399D"/>
    <w:rsid w:val="000D3A15"/>
    <w:rsid w:val="000D3C09"/>
    <w:rsid w:val="000D3CA8"/>
    <w:rsid w:val="000D3D43"/>
    <w:rsid w:val="000D3D6A"/>
    <w:rsid w:val="000D3D70"/>
    <w:rsid w:val="000D3E1C"/>
    <w:rsid w:val="000D3EE1"/>
    <w:rsid w:val="000D3F74"/>
    <w:rsid w:val="000D407C"/>
    <w:rsid w:val="000D416A"/>
    <w:rsid w:val="000D418A"/>
    <w:rsid w:val="000D425C"/>
    <w:rsid w:val="000D4360"/>
    <w:rsid w:val="000D43A9"/>
    <w:rsid w:val="000D4448"/>
    <w:rsid w:val="000D44B8"/>
    <w:rsid w:val="000D4541"/>
    <w:rsid w:val="000D46D3"/>
    <w:rsid w:val="000D484C"/>
    <w:rsid w:val="000D487C"/>
    <w:rsid w:val="000D4A1A"/>
    <w:rsid w:val="000D4AC9"/>
    <w:rsid w:val="000D4BB9"/>
    <w:rsid w:val="000D4C19"/>
    <w:rsid w:val="000D4CCA"/>
    <w:rsid w:val="000D4DB9"/>
    <w:rsid w:val="000D4DC8"/>
    <w:rsid w:val="000D4E3B"/>
    <w:rsid w:val="000D4E79"/>
    <w:rsid w:val="000D4EB9"/>
    <w:rsid w:val="000D4EF4"/>
    <w:rsid w:val="000D4F16"/>
    <w:rsid w:val="000D4F2B"/>
    <w:rsid w:val="000D5010"/>
    <w:rsid w:val="000D53AC"/>
    <w:rsid w:val="000D54BF"/>
    <w:rsid w:val="000D54E2"/>
    <w:rsid w:val="000D5530"/>
    <w:rsid w:val="000D555B"/>
    <w:rsid w:val="000D5575"/>
    <w:rsid w:val="000D5650"/>
    <w:rsid w:val="000D565B"/>
    <w:rsid w:val="000D593D"/>
    <w:rsid w:val="000D5A43"/>
    <w:rsid w:val="000D5ACB"/>
    <w:rsid w:val="000D5AF5"/>
    <w:rsid w:val="000D5B86"/>
    <w:rsid w:val="000D5BFC"/>
    <w:rsid w:val="000D5C3A"/>
    <w:rsid w:val="000D5D46"/>
    <w:rsid w:val="000D5D5E"/>
    <w:rsid w:val="000D5DDA"/>
    <w:rsid w:val="000D5F0C"/>
    <w:rsid w:val="000D5F2A"/>
    <w:rsid w:val="000D5F37"/>
    <w:rsid w:val="000D5FB3"/>
    <w:rsid w:val="000D601A"/>
    <w:rsid w:val="000D6163"/>
    <w:rsid w:val="000D61D1"/>
    <w:rsid w:val="000D629B"/>
    <w:rsid w:val="000D62CC"/>
    <w:rsid w:val="000D62EE"/>
    <w:rsid w:val="000D63F3"/>
    <w:rsid w:val="000D648C"/>
    <w:rsid w:val="000D65EB"/>
    <w:rsid w:val="000D6617"/>
    <w:rsid w:val="000D662D"/>
    <w:rsid w:val="000D6654"/>
    <w:rsid w:val="000D66BE"/>
    <w:rsid w:val="000D66C1"/>
    <w:rsid w:val="000D6702"/>
    <w:rsid w:val="000D6761"/>
    <w:rsid w:val="000D6798"/>
    <w:rsid w:val="000D67E3"/>
    <w:rsid w:val="000D6803"/>
    <w:rsid w:val="000D68E9"/>
    <w:rsid w:val="000D6A8B"/>
    <w:rsid w:val="000D6C10"/>
    <w:rsid w:val="000D6CA0"/>
    <w:rsid w:val="000D6DDF"/>
    <w:rsid w:val="000D6E49"/>
    <w:rsid w:val="000D6F1C"/>
    <w:rsid w:val="000D6FCB"/>
    <w:rsid w:val="000D7012"/>
    <w:rsid w:val="000D7050"/>
    <w:rsid w:val="000D7131"/>
    <w:rsid w:val="000D7329"/>
    <w:rsid w:val="000D7411"/>
    <w:rsid w:val="000D748B"/>
    <w:rsid w:val="000D7509"/>
    <w:rsid w:val="000D7600"/>
    <w:rsid w:val="000D7681"/>
    <w:rsid w:val="000D769A"/>
    <w:rsid w:val="000D76BA"/>
    <w:rsid w:val="000D76F8"/>
    <w:rsid w:val="000D784A"/>
    <w:rsid w:val="000D7888"/>
    <w:rsid w:val="000D7A54"/>
    <w:rsid w:val="000D7A68"/>
    <w:rsid w:val="000D7B02"/>
    <w:rsid w:val="000D7BBE"/>
    <w:rsid w:val="000D7C4A"/>
    <w:rsid w:val="000D7C9D"/>
    <w:rsid w:val="000D7CDA"/>
    <w:rsid w:val="000D7DB9"/>
    <w:rsid w:val="000D7EB0"/>
    <w:rsid w:val="000D7FBF"/>
    <w:rsid w:val="000E0212"/>
    <w:rsid w:val="000E0244"/>
    <w:rsid w:val="000E029F"/>
    <w:rsid w:val="000E02DE"/>
    <w:rsid w:val="000E0357"/>
    <w:rsid w:val="000E037F"/>
    <w:rsid w:val="000E043E"/>
    <w:rsid w:val="000E0478"/>
    <w:rsid w:val="000E0614"/>
    <w:rsid w:val="000E061F"/>
    <w:rsid w:val="000E065F"/>
    <w:rsid w:val="000E074A"/>
    <w:rsid w:val="000E07A5"/>
    <w:rsid w:val="000E07AA"/>
    <w:rsid w:val="000E07DC"/>
    <w:rsid w:val="000E07E2"/>
    <w:rsid w:val="000E08F2"/>
    <w:rsid w:val="000E096F"/>
    <w:rsid w:val="000E09DB"/>
    <w:rsid w:val="000E0A8E"/>
    <w:rsid w:val="000E0BA7"/>
    <w:rsid w:val="000E0BE5"/>
    <w:rsid w:val="000E0C05"/>
    <w:rsid w:val="000E0C90"/>
    <w:rsid w:val="000E0CF5"/>
    <w:rsid w:val="000E0E37"/>
    <w:rsid w:val="000E0E79"/>
    <w:rsid w:val="000E0FB6"/>
    <w:rsid w:val="000E115B"/>
    <w:rsid w:val="000E11D4"/>
    <w:rsid w:val="000E126B"/>
    <w:rsid w:val="000E1289"/>
    <w:rsid w:val="000E12B3"/>
    <w:rsid w:val="000E1460"/>
    <w:rsid w:val="000E146B"/>
    <w:rsid w:val="000E153B"/>
    <w:rsid w:val="000E1571"/>
    <w:rsid w:val="000E15FD"/>
    <w:rsid w:val="000E1683"/>
    <w:rsid w:val="000E16B9"/>
    <w:rsid w:val="000E1747"/>
    <w:rsid w:val="000E1870"/>
    <w:rsid w:val="000E1A20"/>
    <w:rsid w:val="000E1C58"/>
    <w:rsid w:val="000E1D8A"/>
    <w:rsid w:val="000E1DAB"/>
    <w:rsid w:val="000E1E20"/>
    <w:rsid w:val="000E1E3D"/>
    <w:rsid w:val="000E1EA7"/>
    <w:rsid w:val="000E1EB0"/>
    <w:rsid w:val="000E1F69"/>
    <w:rsid w:val="000E1FF1"/>
    <w:rsid w:val="000E2054"/>
    <w:rsid w:val="000E2065"/>
    <w:rsid w:val="000E212D"/>
    <w:rsid w:val="000E213D"/>
    <w:rsid w:val="000E21A7"/>
    <w:rsid w:val="000E2235"/>
    <w:rsid w:val="000E2339"/>
    <w:rsid w:val="000E2373"/>
    <w:rsid w:val="000E23D7"/>
    <w:rsid w:val="000E241C"/>
    <w:rsid w:val="000E252F"/>
    <w:rsid w:val="000E2558"/>
    <w:rsid w:val="000E25C7"/>
    <w:rsid w:val="000E26B5"/>
    <w:rsid w:val="000E26C3"/>
    <w:rsid w:val="000E2767"/>
    <w:rsid w:val="000E27BA"/>
    <w:rsid w:val="000E2819"/>
    <w:rsid w:val="000E297C"/>
    <w:rsid w:val="000E297F"/>
    <w:rsid w:val="000E29AC"/>
    <w:rsid w:val="000E29D0"/>
    <w:rsid w:val="000E2C72"/>
    <w:rsid w:val="000E2C7D"/>
    <w:rsid w:val="000E2D3D"/>
    <w:rsid w:val="000E2E97"/>
    <w:rsid w:val="000E2F12"/>
    <w:rsid w:val="000E2F6B"/>
    <w:rsid w:val="000E3016"/>
    <w:rsid w:val="000E3086"/>
    <w:rsid w:val="000E31C6"/>
    <w:rsid w:val="000E3260"/>
    <w:rsid w:val="000E331A"/>
    <w:rsid w:val="000E3398"/>
    <w:rsid w:val="000E33D1"/>
    <w:rsid w:val="000E33DE"/>
    <w:rsid w:val="000E345B"/>
    <w:rsid w:val="000E346C"/>
    <w:rsid w:val="000E34E6"/>
    <w:rsid w:val="000E350F"/>
    <w:rsid w:val="000E362D"/>
    <w:rsid w:val="000E3708"/>
    <w:rsid w:val="000E3806"/>
    <w:rsid w:val="000E38B8"/>
    <w:rsid w:val="000E399E"/>
    <w:rsid w:val="000E39AF"/>
    <w:rsid w:val="000E3A16"/>
    <w:rsid w:val="000E3AC6"/>
    <w:rsid w:val="000E3AEC"/>
    <w:rsid w:val="000E3C0D"/>
    <w:rsid w:val="000E3C9A"/>
    <w:rsid w:val="000E3CF6"/>
    <w:rsid w:val="000E3E50"/>
    <w:rsid w:val="000E3F56"/>
    <w:rsid w:val="000E4038"/>
    <w:rsid w:val="000E4039"/>
    <w:rsid w:val="000E4213"/>
    <w:rsid w:val="000E4227"/>
    <w:rsid w:val="000E4371"/>
    <w:rsid w:val="000E449B"/>
    <w:rsid w:val="000E4551"/>
    <w:rsid w:val="000E465B"/>
    <w:rsid w:val="000E47B2"/>
    <w:rsid w:val="000E485D"/>
    <w:rsid w:val="000E4877"/>
    <w:rsid w:val="000E48AB"/>
    <w:rsid w:val="000E492D"/>
    <w:rsid w:val="000E492F"/>
    <w:rsid w:val="000E4AA4"/>
    <w:rsid w:val="000E4AED"/>
    <w:rsid w:val="000E4BD7"/>
    <w:rsid w:val="000E4CA0"/>
    <w:rsid w:val="000E4D3C"/>
    <w:rsid w:val="000E4D98"/>
    <w:rsid w:val="000E504B"/>
    <w:rsid w:val="000E50CD"/>
    <w:rsid w:val="000E5111"/>
    <w:rsid w:val="000E5288"/>
    <w:rsid w:val="000E52B9"/>
    <w:rsid w:val="000E53B0"/>
    <w:rsid w:val="000E5448"/>
    <w:rsid w:val="000E5517"/>
    <w:rsid w:val="000E5539"/>
    <w:rsid w:val="000E5769"/>
    <w:rsid w:val="000E589E"/>
    <w:rsid w:val="000E59E9"/>
    <w:rsid w:val="000E5AC0"/>
    <w:rsid w:val="000E5ACC"/>
    <w:rsid w:val="000E5ADB"/>
    <w:rsid w:val="000E5B1A"/>
    <w:rsid w:val="000E5B5B"/>
    <w:rsid w:val="000E5B5F"/>
    <w:rsid w:val="000E5B81"/>
    <w:rsid w:val="000E5BED"/>
    <w:rsid w:val="000E5BFF"/>
    <w:rsid w:val="000E5DD6"/>
    <w:rsid w:val="000E5E82"/>
    <w:rsid w:val="000E5E85"/>
    <w:rsid w:val="000E5F4A"/>
    <w:rsid w:val="000E5F4C"/>
    <w:rsid w:val="000E5F91"/>
    <w:rsid w:val="000E604F"/>
    <w:rsid w:val="000E626F"/>
    <w:rsid w:val="000E6378"/>
    <w:rsid w:val="000E6392"/>
    <w:rsid w:val="000E645C"/>
    <w:rsid w:val="000E65C4"/>
    <w:rsid w:val="000E66AE"/>
    <w:rsid w:val="000E66F3"/>
    <w:rsid w:val="000E6710"/>
    <w:rsid w:val="000E6751"/>
    <w:rsid w:val="000E678C"/>
    <w:rsid w:val="000E6803"/>
    <w:rsid w:val="000E6ADC"/>
    <w:rsid w:val="000E6B08"/>
    <w:rsid w:val="000E6B23"/>
    <w:rsid w:val="000E6B64"/>
    <w:rsid w:val="000E6BAE"/>
    <w:rsid w:val="000E6BEE"/>
    <w:rsid w:val="000E6C0C"/>
    <w:rsid w:val="000E6C5F"/>
    <w:rsid w:val="000E6D6B"/>
    <w:rsid w:val="000E6D9D"/>
    <w:rsid w:val="000E6E39"/>
    <w:rsid w:val="000E6EBC"/>
    <w:rsid w:val="000E6EBE"/>
    <w:rsid w:val="000E6FA3"/>
    <w:rsid w:val="000E6FAE"/>
    <w:rsid w:val="000E6FBE"/>
    <w:rsid w:val="000E6FBF"/>
    <w:rsid w:val="000E707C"/>
    <w:rsid w:val="000E7086"/>
    <w:rsid w:val="000E70BC"/>
    <w:rsid w:val="000E7102"/>
    <w:rsid w:val="000E7159"/>
    <w:rsid w:val="000E719A"/>
    <w:rsid w:val="000E71D7"/>
    <w:rsid w:val="000E753D"/>
    <w:rsid w:val="000E7550"/>
    <w:rsid w:val="000E75DC"/>
    <w:rsid w:val="000E75E9"/>
    <w:rsid w:val="000E768C"/>
    <w:rsid w:val="000E778E"/>
    <w:rsid w:val="000E77A9"/>
    <w:rsid w:val="000E77FE"/>
    <w:rsid w:val="000E77FF"/>
    <w:rsid w:val="000E782B"/>
    <w:rsid w:val="000E78C7"/>
    <w:rsid w:val="000E78F5"/>
    <w:rsid w:val="000E7923"/>
    <w:rsid w:val="000E7988"/>
    <w:rsid w:val="000E7A42"/>
    <w:rsid w:val="000E7AF7"/>
    <w:rsid w:val="000E7B7D"/>
    <w:rsid w:val="000E7BFA"/>
    <w:rsid w:val="000E7D3E"/>
    <w:rsid w:val="000E7D88"/>
    <w:rsid w:val="000E7E60"/>
    <w:rsid w:val="000E7EC0"/>
    <w:rsid w:val="000E7EFB"/>
    <w:rsid w:val="000E7F85"/>
    <w:rsid w:val="000E7FF9"/>
    <w:rsid w:val="000EB516"/>
    <w:rsid w:val="000ECD5C"/>
    <w:rsid w:val="000F0052"/>
    <w:rsid w:val="000F0103"/>
    <w:rsid w:val="000F01E6"/>
    <w:rsid w:val="000F020C"/>
    <w:rsid w:val="000F0392"/>
    <w:rsid w:val="000F03CC"/>
    <w:rsid w:val="000F0439"/>
    <w:rsid w:val="000F04DB"/>
    <w:rsid w:val="000F0685"/>
    <w:rsid w:val="000F07CF"/>
    <w:rsid w:val="000F09C5"/>
    <w:rsid w:val="000F09DD"/>
    <w:rsid w:val="000F09E3"/>
    <w:rsid w:val="000F0B6A"/>
    <w:rsid w:val="000F0BBE"/>
    <w:rsid w:val="000F0D63"/>
    <w:rsid w:val="000F0E08"/>
    <w:rsid w:val="000F1110"/>
    <w:rsid w:val="000F129A"/>
    <w:rsid w:val="000F12D9"/>
    <w:rsid w:val="000F135A"/>
    <w:rsid w:val="000F13FA"/>
    <w:rsid w:val="000F144E"/>
    <w:rsid w:val="000F14F0"/>
    <w:rsid w:val="000F160A"/>
    <w:rsid w:val="000F160E"/>
    <w:rsid w:val="000F1647"/>
    <w:rsid w:val="000F1665"/>
    <w:rsid w:val="000F172B"/>
    <w:rsid w:val="000F17DA"/>
    <w:rsid w:val="000F17DE"/>
    <w:rsid w:val="000F180C"/>
    <w:rsid w:val="000F184D"/>
    <w:rsid w:val="000F18A9"/>
    <w:rsid w:val="000F1931"/>
    <w:rsid w:val="000F1934"/>
    <w:rsid w:val="000F198B"/>
    <w:rsid w:val="000F1B09"/>
    <w:rsid w:val="000F1B25"/>
    <w:rsid w:val="000F1BBB"/>
    <w:rsid w:val="000F1BBE"/>
    <w:rsid w:val="000F1BCE"/>
    <w:rsid w:val="000F1C7D"/>
    <w:rsid w:val="000F1D64"/>
    <w:rsid w:val="000F1DE7"/>
    <w:rsid w:val="000F1F1A"/>
    <w:rsid w:val="000F1F7E"/>
    <w:rsid w:val="000F200C"/>
    <w:rsid w:val="000F206C"/>
    <w:rsid w:val="000F20E0"/>
    <w:rsid w:val="000F21A5"/>
    <w:rsid w:val="000F21E2"/>
    <w:rsid w:val="000F2253"/>
    <w:rsid w:val="000F2254"/>
    <w:rsid w:val="000F2276"/>
    <w:rsid w:val="000F22E3"/>
    <w:rsid w:val="000F23BD"/>
    <w:rsid w:val="000F2432"/>
    <w:rsid w:val="000F247F"/>
    <w:rsid w:val="000F2526"/>
    <w:rsid w:val="000F25DE"/>
    <w:rsid w:val="000F2604"/>
    <w:rsid w:val="000F2622"/>
    <w:rsid w:val="000F2662"/>
    <w:rsid w:val="000F26B7"/>
    <w:rsid w:val="000F27D9"/>
    <w:rsid w:val="000F2820"/>
    <w:rsid w:val="000F2848"/>
    <w:rsid w:val="000F2923"/>
    <w:rsid w:val="000F2A16"/>
    <w:rsid w:val="000F2D9D"/>
    <w:rsid w:val="000F2E45"/>
    <w:rsid w:val="000F2EAF"/>
    <w:rsid w:val="000F2FA3"/>
    <w:rsid w:val="000F3044"/>
    <w:rsid w:val="000F304D"/>
    <w:rsid w:val="000F3229"/>
    <w:rsid w:val="000F3260"/>
    <w:rsid w:val="000F32A1"/>
    <w:rsid w:val="000F32B4"/>
    <w:rsid w:val="000F3303"/>
    <w:rsid w:val="000F3388"/>
    <w:rsid w:val="000F3444"/>
    <w:rsid w:val="000F35B1"/>
    <w:rsid w:val="000F36E9"/>
    <w:rsid w:val="000F3754"/>
    <w:rsid w:val="000F3A6C"/>
    <w:rsid w:val="000F3A75"/>
    <w:rsid w:val="000F3ADC"/>
    <w:rsid w:val="000F3AFF"/>
    <w:rsid w:val="000F3B09"/>
    <w:rsid w:val="000F3BC0"/>
    <w:rsid w:val="000F3CBA"/>
    <w:rsid w:val="000F3CBE"/>
    <w:rsid w:val="000F3D7D"/>
    <w:rsid w:val="000F3E0E"/>
    <w:rsid w:val="000F3EBF"/>
    <w:rsid w:val="000F3F85"/>
    <w:rsid w:val="000F40D0"/>
    <w:rsid w:val="000F416F"/>
    <w:rsid w:val="000F41B7"/>
    <w:rsid w:val="000F432F"/>
    <w:rsid w:val="000F437B"/>
    <w:rsid w:val="000F4389"/>
    <w:rsid w:val="000F4393"/>
    <w:rsid w:val="000F4481"/>
    <w:rsid w:val="000F448D"/>
    <w:rsid w:val="000F4510"/>
    <w:rsid w:val="000F45F8"/>
    <w:rsid w:val="000F4642"/>
    <w:rsid w:val="000F4679"/>
    <w:rsid w:val="000F467B"/>
    <w:rsid w:val="000F4698"/>
    <w:rsid w:val="000F4768"/>
    <w:rsid w:val="000F47A0"/>
    <w:rsid w:val="000F48C2"/>
    <w:rsid w:val="000F48E8"/>
    <w:rsid w:val="000F4A4A"/>
    <w:rsid w:val="000F4AC8"/>
    <w:rsid w:val="000F4CAC"/>
    <w:rsid w:val="000F4D8B"/>
    <w:rsid w:val="000F4DC2"/>
    <w:rsid w:val="000F4DE9"/>
    <w:rsid w:val="000F4F02"/>
    <w:rsid w:val="000F4FC6"/>
    <w:rsid w:val="000F503A"/>
    <w:rsid w:val="000F50B0"/>
    <w:rsid w:val="000F51A4"/>
    <w:rsid w:val="000F51CD"/>
    <w:rsid w:val="000F5306"/>
    <w:rsid w:val="000F5321"/>
    <w:rsid w:val="000F5393"/>
    <w:rsid w:val="000F5525"/>
    <w:rsid w:val="000F5533"/>
    <w:rsid w:val="000F5597"/>
    <w:rsid w:val="000F559B"/>
    <w:rsid w:val="000F55DF"/>
    <w:rsid w:val="000F5687"/>
    <w:rsid w:val="000F568B"/>
    <w:rsid w:val="000F57B5"/>
    <w:rsid w:val="000F5827"/>
    <w:rsid w:val="000F58B8"/>
    <w:rsid w:val="000F58D6"/>
    <w:rsid w:val="000F5970"/>
    <w:rsid w:val="000F5A8B"/>
    <w:rsid w:val="000F5B13"/>
    <w:rsid w:val="000F5B7C"/>
    <w:rsid w:val="000F5C14"/>
    <w:rsid w:val="000F5E54"/>
    <w:rsid w:val="000F5EDE"/>
    <w:rsid w:val="000F5F15"/>
    <w:rsid w:val="000F5F36"/>
    <w:rsid w:val="000F5FD0"/>
    <w:rsid w:val="000F60A7"/>
    <w:rsid w:val="000F6294"/>
    <w:rsid w:val="000F62A5"/>
    <w:rsid w:val="000F631E"/>
    <w:rsid w:val="000F63D9"/>
    <w:rsid w:val="000F63E0"/>
    <w:rsid w:val="000F6442"/>
    <w:rsid w:val="000F6452"/>
    <w:rsid w:val="000F65C8"/>
    <w:rsid w:val="000F65E4"/>
    <w:rsid w:val="000F65E9"/>
    <w:rsid w:val="000F664F"/>
    <w:rsid w:val="000F669C"/>
    <w:rsid w:val="000F68CA"/>
    <w:rsid w:val="000F690D"/>
    <w:rsid w:val="000F692F"/>
    <w:rsid w:val="000F6939"/>
    <w:rsid w:val="000F69AD"/>
    <w:rsid w:val="000F69EA"/>
    <w:rsid w:val="000F6AD8"/>
    <w:rsid w:val="000F6B03"/>
    <w:rsid w:val="000F6BD0"/>
    <w:rsid w:val="000F6C2A"/>
    <w:rsid w:val="000F6C51"/>
    <w:rsid w:val="000F6C5E"/>
    <w:rsid w:val="000F6C6C"/>
    <w:rsid w:val="000F6D05"/>
    <w:rsid w:val="000F6DB8"/>
    <w:rsid w:val="000F6E24"/>
    <w:rsid w:val="000F7022"/>
    <w:rsid w:val="000F704A"/>
    <w:rsid w:val="000F7050"/>
    <w:rsid w:val="000F7057"/>
    <w:rsid w:val="000F7083"/>
    <w:rsid w:val="000F70E2"/>
    <w:rsid w:val="000F7132"/>
    <w:rsid w:val="000F7147"/>
    <w:rsid w:val="000F72C9"/>
    <w:rsid w:val="000F760E"/>
    <w:rsid w:val="000F7618"/>
    <w:rsid w:val="000F7670"/>
    <w:rsid w:val="000F7675"/>
    <w:rsid w:val="000F76C3"/>
    <w:rsid w:val="000F77B3"/>
    <w:rsid w:val="000F7881"/>
    <w:rsid w:val="000F789F"/>
    <w:rsid w:val="000F7994"/>
    <w:rsid w:val="000F79B2"/>
    <w:rsid w:val="000F7A3D"/>
    <w:rsid w:val="000F7AD1"/>
    <w:rsid w:val="000F7B65"/>
    <w:rsid w:val="000F7C16"/>
    <w:rsid w:val="000F7C98"/>
    <w:rsid w:val="000F7DD9"/>
    <w:rsid w:val="000F7E17"/>
    <w:rsid w:val="000F7EAD"/>
    <w:rsid w:val="000F7EED"/>
    <w:rsid w:val="000F7F1F"/>
    <w:rsid w:val="000F7F24"/>
    <w:rsid w:val="000F7F93"/>
    <w:rsid w:val="000F7F97"/>
    <w:rsid w:val="0010000F"/>
    <w:rsid w:val="00100021"/>
    <w:rsid w:val="00100197"/>
    <w:rsid w:val="001003B5"/>
    <w:rsid w:val="001003D6"/>
    <w:rsid w:val="00100423"/>
    <w:rsid w:val="0010044A"/>
    <w:rsid w:val="00100455"/>
    <w:rsid w:val="00100487"/>
    <w:rsid w:val="00100580"/>
    <w:rsid w:val="001005F9"/>
    <w:rsid w:val="00100618"/>
    <w:rsid w:val="001006D9"/>
    <w:rsid w:val="00100932"/>
    <w:rsid w:val="001009E0"/>
    <w:rsid w:val="001009F3"/>
    <w:rsid w:val="00100A0A"/>
    <w:rsid w:val="00100A0F"/>
    <w:rsid w:val="00100ABD"/>
    <w:rsid w:val="00100C75"/>
    <w:rsid w:val="00100CB1"/>
    <w:rsid w:val="00100D0F"/>
    <w:rsid w:val="00100D67"/>
    <w:rsid w:val="00100D9C"/>
    <w:rsid w:val="00100E15"/>
    <w:rsid w:val="00100E9D"/>
    <w:rsid w:val="00100ECE"/>
    <w:rsid w:val="00100FDA"/>
    <w:rsid w:val="00101077"/>
    <w:rsid w:val="001010DC"/>
    <w:rsid w:val="00101100"/>
    <w:rsid w:val="00101152"/>
    <w:rsid w:val="00101174"/>
    <w:rsid w:val="001011D2"/>
    <w:rsid w:val="001012A3"/>
    <w:rsid w:val="001012BC"/>
    <w:rsid w:val="001016D7"/>
    <w:rsid w:val="0010180B"/>
    <w:rsid w:val="00101A49"/>
    <w:rsid w:val="00101B00"/>
    <w:rsid w:val="00101B50"/>
    <w:rsid w:val="00101C12"/>
    <w:rsid w:val="00101C35"/>
    <w:rsid w:val="00101C8A"/>
    <w:rsid w:val="00101D32"/>
    <w:rsid w:val="00101EC1"/>
    <w:rsid w:val="00101EDC"/>
    <w:rsid w:val="00101F24"/>
    <w:rsid w:val="00101F89"/>
    <w:rsid w:val="00102167"/>
    <w:rsid w:val="0010219F"/>
    <w:rsid w:val="001021D2"/>
    <w:rsid w:val="001021D7"/>
    <w:rsid w:val="00102286"/>
    <w:rsid w:val="0010229F"/>
    <w:rsid w:val="001022BC"/>
    <w:rsid w:val="001025AC"/>
    <w:rsid w:val="001025BF"/>
    <w:rsid w:val="001025C5"/>
    <w:rsid w:val="00102627"/>
    <w:rsid w:val="0010275C"/>
    <w:rsid w:val="00102794"/>
    <w:rsid w:val="001027B3"/>
    <w:rsid w:val="001027D0"/>
    <w:rsid w:val="00102824"/>
    <w:rsid w:val="0010284F"/>
    <w:rsid w:val="001028AE"/>
    <w:rsid w:val="001028AF"/>
    <w:rsid w:val="0010293A"/>
    <w:rsid w:val="00102974"/>
    <w:rsid w:val="00102984"/>
    <w:rsid w:val="00102A3B"/>
    <w:rsid w:val="00102AA9"/>
    <w:rsid w:val="00102B79"/>
    <w:rsid w:val="00102B7D"/>
    <w:rsid w:val="00102BB8"/>
    <w:rsid w:val="00102D24"/>
    <w:rsid w:val="00102DD1"/>
    <w:rsid w:val="00102DDB"/>
    <w:rsid w:val="00102E19"/>
    <w:rsid w:val="00102FA5"/>
    <w:rsid w:val="00102FF1"/>
    <w:rsid w:val="0010318A"/>
    <w:rsid w:val="001032A4"/>
    <w:rsid w:val="0010336A"/>
    <w:rsid w:val="001033DD"/>
    <w:rsid w:val="0010347D"/>
    <w:rsid w:val="001034C0"/>
    <w:rsid w:val="00103536"/>
    <w:rsid w:val="0010365D"/>
    <w:rsid w:val="00103668"/>
    <w:rsid w:val="0010366A"/>
    <w:rsid w:val="00103695"/>
    <w:rsid w:val="00103749"/>
    <w:rsid w:val="001037BB"/>
    <w:rsid w:val="00103845"/>
    <w:rsid w:val="00103868"/>
    <w:rsid w:val="00103875"/>
    <w:rsid w:val="0010389F"/>
    <w:rsid w:val="00103933"/>
    <w:rsid w:val="00103936"/>
    <w:rsid w:val="00103A68"/>
    <w:rsid w:val="00103A8C"/>
    <w:rsid w:val="00103BD5"/>
    <w:rsid w:val="00103C22"/>
    <w:rsid w:val="00103C39"/>
    <w:rsid w:val="00103C56"/>
    <w:rsid w:val="00103D1B"/>
    <w:rsid w:val="00103F0F"/>
    <w:rsid w:val="00103F5C"/>
    <w:rsid w:val="00103F6A"/>
    <w:rsid w:val="00103FA0"/>
    <w:rsid w:val="001041E0"/>
    <w:rsid w:val="0010429A"/>
    <w:rsid w:val="001042A7"/>
    <w:rsid w:val="001042EE"/>
    <w:rsid w:val="0010438D"/>
    <w:rsid w:val="001044AB"/>
    <w:rsid w:val="001045E1"/>
    <w:rsid w:val="0010462F"/>
    <w:rsid w:val="0010469C"/>
    <w:rsid w:val="00104700"/>
    <w:rsid w:val="00104772"/>
    <w:rsid w:val="001047CA"/>
    <w:rsid w:val="00104881"/>
    <w:rsid w:val="00104967"/>
    <w:rsid w:val="001049BF"/>
    <w:rsid w:val="001049EC"/>
    <w:rsid w:val="00104A2A"/>
    <w:rsid w:val="00104A38"/>
    <w:rsid w:val="00104B86"/>
    <w:rsid w:val="00104BAC"/>
    <w:rsid w:val="00104BF3"/>
    <w:rsid w:val="00104C50"/>
    <w:rsid w:val="00104D2F"/>
    <w:rsid w:val="00104D6A"/>
    <w:rsid w:val="00104DAB"/>
    <w:rsid w:val="00104E14"/>
    <w:rsid w:val="00104E26"/>
    <w:rsid w:val="00104E88"/>
    <w:rsid w:val="00104EB1"/>
    <w:rsid w:val="00104F0A"/>
    <w:rsid w:val="00105011"/>
    <w:rsid w:val="001050DE"/>
    <w:rsid w:val="001050EE"/>
    <w:rsid w:val="00105146"/>
    <w:rsid w:val="0010543E"/>
    <w:rsid w:val="00105503"/>
    <w:rsid w:val="00105583"/>
    <w:rsid w:val="00105592"/>
    <w:rsid w:val="001056D1"/>
    <w:rsid w:val="00105700"/>
    <w:rsid w:val="00105755"/>
    <w:rsid w:val="001057D5"/>
    <w:rsid w:val="001058FD"/>
    <w:rsid w:val="00105A54"/>
    <w:rsid w:val="00105A5D"/>
    <w:rsid w:val="00105ADF"/>
    <w:rsid w:val="00105B0A"/>
    <w:rsid w:val="00105B13"/>
    <w:rsid w:val="00105B16"/>
    <w:rsid w:val="00105B3D"/>
    <w:rsid w:val="00105C87"/>
    <w:rsid w:val="00105D46"/>
    <w:rsid w:val="00105E04"/>
    <w:rsid w:val="00105E07"/>
    <w:rsid w:val="00105F2D"/>
    <w:rsid w:val="00105F4B"/>
    <w:rsid w:val="001060B7"/>
    <w:rsid w:val="0010613C"/>
    <w:rsid w:val="001061FE"/>
    <w:rsid w:val="0010621F"/>
    <w:rsid w:val="00106307"/>
    <w:rsid w:val="001063AB"/>
    <w:rsid w:val="00106500"/>
    <w:rsid w:val="001065AB"/>
    <w:rsid w:val="00106645"/>
    <w:rsid w:val="0010675E"/>
    <w:rsid w:val="00106766"/>
    <w:rsid w:val="00106863"/>
    <w:rsid w:val="00106910"/>
    <w:rsid w:val="0010696C"/>
    <w:rsid w:val="001069D0"/>
    <w:rsid w:val="00106BA0"/>
    <w:rsid w:val="00106C26"/>
    <w:rsid w:val="00106C70"/>
    <w:rsid w:val="00106D6B"/>
    <w:rsid w:val="00106DC0"/>
    <w:rsid w:val="00106DC4"/>
    <w:rsid w:val="00106E44"/>
    <w:rsid w:val="00106EE4"/>
    <w:rsid w:val="00106F97"/>
    <w:rsid w:val="00106F9E"/>
    <w:rsid w:val="00107001"/>
    <w:rsid w:val="0010708E"/>
    <w:rsid w:val="001071B6"/>
    <w:rsid w:val="00107215"/>
    <w:rsid w:val="0010734E"/>
    <w:rsid w:val="00107371"/>
    <w:rsid w:val="001073EF"/>
    <w:rsid w:val="001074E7"/>
    <w:rsid w:val="00107611"/>
    <w:rsid w:val="00107615"/>
    <w:rsid w:val="001076E0"/>
    <w:rsid w:val="001076F1"/>
    <w:rsid w:val="0010771A"/>
    <w:rsid w:val="00107755"/>
    <w:rsid w:val="001077E3"/>
    <w:rsid w:val="0010787E"/>
    <w:rsid w:val="001078D9"/>
    <w:rsid w:val="001079DC"/>
    <w:rsid w:val="00107AAE"/>
    <w:rsid w:val="00107B1C"/>
    <w:rsid w:val="00107B1E"/>
    <w:rsid w:val="00107BCD"/>
    <w:rsid w:val="00107BE6"/>
    <w:rsid w:val="00107C4A"/>
    <w:rsid w:val="00107CA6"/>
    <w:rsid w:val="00107CFE"/>
    <w:rsid w:val="00107D6D"/>
    <w:rsid w:val="00107E1B"/>
    <w:rsid w:val="00107E9F"/>
    <w:rsid w:val="00107F64"/>
    <w:rsid w:val="00107FFD"/>
    <w:rsid w:val="00110078"/>
    <w:rsid w:val="00110135"/>
    <w:rsid w:val="00110193"/>
    <w:rsid w:val="001102A5"/>
    <w:rsid w:val="001102FE"/>
    <w:rsid w:val="00110503"/>
    <w:rsid w:val="00110527"/>
    <w:rsid w:val="00110651"/>
    <w:rsid w:val="001106E3"/>
    <w:rsid w:val="001106FA"/>
    <w:rsid w:val="001107F5"/>
    <w:rsid w:val="0011089A"/>
    <w:rsid w:val="001108B3"/>
    <w:rsid w:val="001108CE"/>
    <w:rsid w:val="0011090A"/>
    <w:rsid w:val="0011097E"/>
    <w:rsid w:val="00110A2A"/>
    <w:rsid w:val="00110A55"/>
    <w:rsid w:val="00110A6A"/>
    <w:rsid w:val="00110A82"/>
    <w:rsid w:val="00110B3E"/>
    <w:rsid w:val="00110BB3"/>
    <w:rsid w:val="00110BC4"/>
    <w:rsid w:val="00110CA8"/>
    <w:rsid w:val="00110CBF"/>
    <w:rsid w:val="00110DB3"/>
    <w:rsid w:val="00110E72"/>
    <w:rsid w:val="00110E9B"/>
    <w:rsid w:val="00110FF8"/>
    <w:rsid w:val="00111022"/>
    <w:rsid w:val="00111055"/>
    <w:rsid w:val="0011132A"/>
    <w:rsid w:val="001113BD"/>
    <w:rsid w:val="001113D5"/>
    <w:rsid w:val="00111454"/>
    <w:rsid w:val="0011148D"/>
    <w:rsid w:val="001114F0"/>
    <w:rsid w:val="00111529"/>
    <w:rsid w:val="00111546"/>
    <w:rsid w:val="001115DD"/>
    <w:rsid w:val="001117A4"/>
    <w:rsid w:val="001117D1"/>
    <w:rsid w:val="001117E1"/>
    <w:rsid w:val="0011183C"/>
    <w:rsid w:val="0011186F"/>
    <w:rsid w:val="00111881"/>
    <w:rsid w:val="0011189A"/>
    <w:rsid w:val="0011192F"/>
    <w:rsid w:val="00111930"/>
    <w:rsid w:val="00111970"/>
    <w:rsid w:val="00111971"/>
    <w:rsid w:val="00111ADF"/>
    <w:rsid w:val="00111B13"/>
    <w:rsid w:val="00111B2D"/>
    <w:rsid w:val="00111D2D"/>
    <w:rsid w:val="00111D64"/>
    <w:rsid w:val="00111DAD"/>
    <w:rsid w:val="00111DDE"/>
    <w:rsid w:val="00111E45"/>
    <w:rsid w:val="00111F0F"/>
    <w:rsid w:val="0011219E"/>
    <w:rsid w:val="001121C8"/>
    <w:rsid w:val="00112225"/>
    <w:rsid w:val="0011223C"/>
    <w:rsid w:val="00112440"/>
    <w:rsid w:val="0011250A"/>
    <w:rsid w:val="001125B5"/>
    <w:rsid w:val="0011270C"/>
    <w:rsid w:val="00112753"/>
    <w:rsid w:val="001127D5"/>
    <w:rsid w:val="001128C1"/>
    <w:rsid w:val="001128CA"/>
    <w:rsid w:val="00112994"/>
    <w:rsid w:val="001129CB"/>
    <w:rsid w:val="00112AA6"/>
    <w:rsid w:val="00112AF5"/>
    <w:rsid w:val="00112B95"/>
    <w:rsid w:val="00112C66"/>
    <w:rsid w:val="00112E36"/>
    <w:rsid w:val="00112E92"/>
    <w:rsid w:val="00112EA8"/>
    <w:rsid w:val="00112F84"/>
    <w:rsid w:val="00112FA9"/>
    <w:rsid w:val="0011310B"/>
    <w:rsid w:val="00113216"/>
    <w:rsid w:val="001132CD"/>
    <w:rsid w:val="0011332A"/>
    <w:rsid w:val="00113522"/>
    <w:rsid w:val="00113560"/>
    <w:rsid w:val="00113716"/>
    <w:rsid w:val="0011372F"/>
    <w:rsid w:val="0011384B"/>
    <w:rsid w:val="0011390E"/>
    <w:rsid w:val="0011394A"/>
    <w:rsid w:val="001139FA"/>
    <w:rsid w:val="00113B3B"/>
    <w:rsid w:val="00113C7C"/>
    <w:rsid w:val="00113D37"/>
    <w:rsid w:val="00113E54"/>
    <w:rsid w:val="00113E65"/>
    <w:rsid w:val="00113EBE"/>
    <w:rsid w:val="00113EE7"/>
    <w:rsid w:val="00113FC1"/>
    <w:rsid w:val="001140A5"/>
    <w:rsid w:val="001140C0"/>
    <w:rsid w:val="001140E6"/>
    <w:rsid w:val="001141D1"/>
    <w:rsid w:val="00114242"/>
    <w:rsid w:val="001142B8"/>
    <w:rsid w:val="001142EE"/>
    <w:rsid w:val="0011432B"/>
    <w:rsid w:val="0011436B"/>
    <w:rsid w:val="0011439E"/>
    <w:rsid w:val="00114443"/>
    <w:rsid w:val="001144DD"/>
    <w:rsid w:val="001145EE"/>
    <w:rsid w:val="001145FB"/>
    <w:rsid w:val="0011475D"/>
    <w:rsid w:val="0011480B"/>
    <w:rsid w:val="0011482D"/>
    <w:rsid w:val="00114A86"/>
    <w:rsid w:val="00114B08"/>
    <w:rsid w:val="00114B53"/>
    <w:rsid w:val="00114B88"/>
    <w:rsid w:val="00114C0D"/>
    <w:rsid w:val="00114C25"/>
    <w:rsid w:val="00114C9D"/>
    <w:rsid w:val="00114D31"/>
    <w:rsid w:val="00114E10"/>
    <w:rsid w:val="00114E90"/>
    <w:rsid w:val="00114F6D"/>
    <w:rsid w:val="00114FA8"/>
    <w:rsid w:val="00115042"/>
    <w:rsid w:val="001150E3"/>
    <w:rsid w:val="00115180"/>
    <w:rsid w:val="001151E4"/>
    <w:rsid w:val="00115220"/>
    <w:rsid w:val="0011525C"/>
    <w:rsid w:val="00115426"/>
    <w:rsid w:val="001156F6"/>
    <w:rsid w:val="0011588A"/>
    <w:rsid w:val="001158C7"/>
    <w:rsid w:val="00115940"/>
    <w:rsid w:val="00115968"/>
    <w:rsid w:val="00115A5B"/>
    <w:rsid w:val="00115A95"/>
    <w:rsid w:val="00115AD2"/>
    <w:rsid w:val="00115B49"/>
    <w:rsid w:val="00115B5F"/>
    <w:rsid w:val="00115B63"/>
    <w:rsid w:val="00115CF5"/>
    <w:rsid w:val="00115D98"/>
    <w:rsid w:val="00115DA0"/>
    <w:rsid w:val="00115DA1"/>
    <w:rsid w:val="00115DF9"/>
    <w:rsid w:val="00115EF1"/>
    <w:rsid w:val="00115EFC"/>
    <w:rsid w:val="00115F42"/>
    <w:rsid w:val="00115FC5"/>
    <w:rsid w:val="00115FDB"/>
    <w:rsid w:val="00116089"/>
    <w:rsid w:val="001160D8"/>
    <w:rsid w:val="001160E6"/>
    <w:rsid w:val="0011614E"/>
    <w:rsid w:val="001161C3"/>
    <w:rsid w:val="00116327"/>
    <w:rsid w:val="0011642B"/>
    <w:rsid w:val="00116459"/>
    <w:rsid w:val="00116700"/>
    <w:rsid w:val="00116791"/>
    <w:rsid w:val="00116798"/>
    <w:rsid w:val="001167CB"/>
    <w:rsid w:val="0011683D"/>
    <w:rsid w:val="001168BE"/>
    <w:rsid w:val="00116972"/>
    <w:rsid w:val="00116A51"/>
    <w:rsid w:val="00116BAF"/>
    <w:rsid w:val="00116D1D"/>
    <w:rsid w:val="00116D1F"/>
    <w:rsid w:val="00116DA5"/>
    <w:rsid w:val="00116F27"/>
    <w:rsid w:val="00116F41"/>
    <w:rsid w:val="00116F4F"/>
    <w:rsid w:val="00116F61"/>
    <w:rsid w:val="00116FAB"/>
    <w:rsid w:val="0011714F"/>
    <w:rsid w:val="0011716B"/>
    <w:rsid w:val="001171B8"/>
    <w:rsid w:val="001171F9"/>
    <w:rsid w:val="0011735B"/>
    <w:rsid w:val="00117463"/>
    <w:rsid w:val="00117627"/>
    <w:rsid w:val="0011762B"/>
    <w:rsid w:val="00117687"/>
    <w:rsid w:val="001176D1"/>
    <w:rsid w:val="0011776A"/>
    <w:rsid w:val="001177A5"/>
    <w:rsid w:val="001177D7"/>
    <w:rsid w:val="0011783F"/>
    <w:rsid w:val="001178FA"/>
    <w:rsid w:val="00117A82"/>
    <w:rsid w:val="00117B36"/>
    <w:rsid w:val="00117D10"/>
    <w:rsid w:val="00117E0E"/>
    <w:rsid w:val="00117EC3"/>
    <w:rsid w:val="00117ECB"/>
    <w:rsid w:val="00117FE3"/>
    <w:rsid w:val="00117FFB"/>
    <w:rsid w:val="00120012"/>
    <w:rsid w:val="0012004A"/>
    <w:rsid w:val="001201F9"/>
    <w:rsid w:val="001204F7"/>
    <w:rsid w:val="001205C4"/>
    <w:rsid w:val="001206CA"/>
    <w:rsid w:val="00120708"/>
    <w:rsid w:val="00120717"/>
    <w:rsid w:val="00120799"/>
    <w:rsid w:val="001207E9"/>
    <w:rsid w:val="00120972"/>
    <w:rsid w:val="001209B6"/>
    <w:rsid w:val="00120AE9"/>
    <w:rsid w:val="00120C0D"/>
    <w:rsid w:val="00120C53"/>
    <w:rsid w:val="00120C77"/>
    <w:rsid w:val="00120D1A"/>
    <w:rsid w:val="00120D7D"/>
    <w:rsid w:val="00120DBF"/>
    <w:rsid w:val="00120DFF"/>
    <w:rsid w:val="00120FCA"/>
    <w:rsid w:val="0012105C"/>
    <w:rsid w:val="001210AA"/>
    <w:rsid w:val="00121189"/>
    <w:rsid w:val="001211B0"/>
    <w:rsid w:val="001211F6"/>
    <w:rsid w:val="001211FC"/>
    <w:rsid w:val="00121212"/>
    <w:rsid w:val="00121227"/>
    <w:rsid w:val="00121272"/>
    <w:rsid w:val="00121349"/>
    <w:rsid w:val="001214DB"/>
    <w:rsid w:val="00121582"/>
    <w:rsid w:val="0012161B"/>
    <w:rsid w:val="0012164F"/>
    <w:rsid w:val="001216C4"/>
    <w:rsid w:val="001217A8"/>
    <w:rsid w:val="00121808"/>
    <w:rsid w:val="00121864"/>
    <w:rsid w:val="001219E9"/>
    <w:rsid w:val="00121A0F"/>
    <w:rsid w:val="00121A67"/>
    <w:rsid w:val="00121B6B"/>
    <w:rsid w:val="00121BE7"/>
    <w:rsid w:val="00121C2F"/>
    <w:rsid w:val="00121C35"/>
    <w:rsid w:val="00121CAB"/>
    <w:rsid w:val="00121DB9"/>
    <w:rsid w:val="00121DCC"/>
    <w:rsid w:val="00121DD7"/>
    <w:rsid w:val="00121E87"/>
    <w:rsid w:val="00121EE1"/>
    <w:rsid w:val="00122196"/>
    <w:rsid w:val="001221B3"/>
    <w:rsid w:val="001221B5"/>
    <w:rsid w:val="001222DE"/>
    <w:rsid w:val="0012259F"/>
    <w:rsid w:val="00122600"/>
    <w:rsid w:val="001228A8"/>
    <w:rsid w:val="001228B8"/>
    <w:rsid w:val="001229CE"/>
    <w:rsid w:val="00122B36"/>
    <w:rsid w:val="00122BD0"/>
    <w:rsid w:val="00122D0F"/>
    <w:rsid w:val="00122D99"/>
    <w:rsid w:val="00122DB1"/>
    <w:rsid w:val="00122EC3"/>
    <w:rsid w:val="00122FEA"/>
    <w:rsid w:val="00123125"/>
    <w:rsid w:val="00123149"/>
    <w:rsid w:val="00123276"/>
    <w:rsid w:val="0012328C"/>
    <w:rsid w:val="001233D8"/>
    <w:rsid w:val="00123554"/>
    <w:rsid w:val="001235C5"/>
    <w:rsid w:val="001235CF"/>
    <w:rsid w:val="001235FC"/>
    <w:rsid w:val="00123710"/>
    <w:rsid w:val="0012377A"/>
    <w:rsid w:val="001237DE"/>
    <w:rsid w:val="0012384E"/>
    <w:rsid w:val="001238FB"/>
    <w:rsid w:val="00123917"/>
    <w:rsid w:val="00123991"/>
    <w:rsid w:val="001239C7"/>
    <w:rsid w:val="00123A34"/>
    <w:rsid w:val="00123A55"/>
    <w:rsid w:val="00123AB7"/>
    <w:rsid w:val="00123B79"/>
    <w:rsid w:val="00123B99"/>
    <w:rsid w:val="00123BF5"/>
    <w:rsid w:val="00123C40"/>
    <w:rsid w:val="00123C9F"/>
    <w:rsid w:val="00123D61"/>
    <w:rsid w:val="00123DB6"/>
    <w:rsid w:val="00123E5F"/>
    <w:rsid w:val="00123F7F"/>
    <w:rsid w:val="00124029"/>
    <w:rsid w:val="0012407C"/>
    <w:rsid w:val="001240E3"/>
    <w:rsid w:val="001240F6"/>
    <w:rsid w:val="00124168"/>
    <w:rsid w:val="001241A6"/>
    <w:rsid w:val="00124285"/>
    <w:rsid w:val="001242C3"/>
    <w:rsid w:val="001243B8"/>
    <w:rsid w:val="0012444C"/>
    <w:rsid w:val="0012447F"/>
    <w:rsid w:val="001244B0"/>
    <w:rsid w:val="00124553"/>
    <w:rsid w:val="001246B9"/>
    <w:rsid w:val="001246BC"/>
    <w:rsid w:val="00124742"/>
    <w:rsid w:val="00124849"/>
    <w:rsid w:val="00124905"/>
    <w:rsid w:val="00124936"/>
    <w:rsid w:val="00124978"/>
    <w:rsid w:val="001249E0"/>
    <w:rsid w:val="00124A4E"/>
    <w:rsid w:val="00124B08"/>
    <w:rsid w:val="00124B8B"/>
    <w:rsid w:val="00124C7F"/>
    <w:rsid w:val="00124D1E"/>
    <w:rsid w:val="00124DE6"/>
    <w:rsid w:val="00124DFB"/>
    <w:rsid w:val="00124ED3"/>
    <w:rsid w:val="00124EF6"/>
    <w:rsid w:val="00125059"/>
    <w:rsid w:val="001250D8"/>
    <w:rsid w:val="001250DE"/>
    <w:rsid w:val="001251F4"/>
    <w:rsid w:val="00125204"/>
    <w:rsid w:val="0012520C"/>
    <w:rsid w:val="00125273"/>
    <w:rsid w:val="001252AB"/>
    <w:rsid w:val="001252E5"/>
    <w:rsid w:val="00125355"/>
    <w:rsid w:val="00125361"/>
    <w:rsid w:val="0012545B"/>
    <w:rsid w:val="0012566A"/>
    <w:rsid w:val="00125698"/>
    <w:rsid w:val="0012570E"/>
    <w:rsid w:val="00125882"/>
    <w:rsid w:val="00125895"/>
    <w:rsid w:val="001258AE"/>
    <w:rsid w:val="001258B5"/>
    <w:rsid w:val="001258F1"/>
    <w:rsid w:val="00125923"/>
    <w:rsid w:val="00125AC0"/>
    <w:rsid w:val="00125B3D"/>
    <w:rsid w:val="00125B68"/>
    <w:rsid w:val="00125B82"/>
    <w:rsid w:val="00125C43"/>
    <w:rsid w:val="00125C90"/>
    <w:rsid w:val="00125CDA"/>
    <w:rsid w:val="00125E8D"/>
    <w:rsid w:val="00125E92"/>
    <w:rsid w:val="00125EAE"/>
    <w:rsid w:val="00125FF9"/>
    <w:rsid w:val="001260A2"/>
    <w:rsid w:val="0012612E"/>
    <w:rsid w:val="0012617C"/>
    <w:rsid w:val="001261EB"/>
    <w:rsid w:val="00126290"/>
    <w:rsid w:val="001262F7"/>
    <w:rsid w:val="00126341"/>
    <w:rsid w:val="0012634D"/>
    <w:rsid w:val="001263FB"/>
    <w:rsid w:val="0012648D"/>
    <w:rsid w:val="0012649E"/>
    <w:rsid w:val="00126652"/>
    <w:rsid w:val="00126689"/>
    <w:rsid w:val="0012670E"/>
    <w:rsid w:val="0012673A"/>
    <w:rsid w:val="0012676A"/>
    <w:rsid w:val="001267C3"/>
    <w:rsid w:val="00126948"/>
    <w:rsid w:val="00126A98"/>
    <w:rsid w:val="00126AEE"/>
    <w:rsid w:val="00126B00"/>
    <w:rsid w:val="00126B34"/>
    <w:rsid w:val="00126CE1"/>
    <w:rsid w:val="00126E96"/>
    <w:rsid w:val="00126EEF"/>
    <w:rsid w:val="00126FB3"/>
    <w:rsid w:val="00126FFD"/>
    <w:rsid w:val="0012700C"/>
    <w:rsid w:val="0012708C"/>
    <w:rsid w:val="001273F1"/>
    <w:rsid w:val="00127729"/>
    <w:rsid w:val="0012779D"/>
    <w:rsid w:val="001277C3"/>
    <w:rsid w:val="001277EA"/>
    <w:rsid w:val="001277FF"/>
    <w:rsid w:val="0012785E"/>
    <w:rsid w:val="00127868"/>
    <w:rsid w:val="001278A6"/>
    <w:rsid w:val="001278F6"/>
    <w:rsid w:val="00127900"/>
    <w:rsid w:val="001279D5"/>
    <w:rsid w:val="00127B75"/>
    <w:rsid w:val="00127BB2"/>
    <w:rsid w:val="00127C18"/>
    <w:rsid w:val="00127D32"/>
    <w:rsid w:val="00127DDB"/>
    <w:rsid w:val="00127E61"/>
    <w:rsid w:val="00127E9F"/>
    <w:rsid w:val="00127FD1"/>
    <w:rsid w:val="00130121"/>
    <w:rsid w:val="00130202"/>
    <w:rsid w:val="0013021D"/>
    <w:rsid w:val="001302F5"/>
    <w:rsid w:val="00130308"/>
    <w:rsid w:val="001303EC"/>
    <w:rsid w:val="001304B2"/>
    <w:rsid w:val="0013054F"/>
    <w:rsid w:val="00130592"/>
    <w:rsid w:val="001305C8"/>
    <w:rsid w:val="00130673"/>
    <w:rsid w:val="00130940"/>
    <w:rsid w:val="0013097D"/>
    <w:rsid w:val="00130ADB"/>
    <w:rsid w:val="00130B5A"/>
    <w:rsid w:val="00130B77"/>
    <w:rsid w:val="00130D76"/>
    <w:rsid w:val="00130FD0"/>
    <w:rsid w:val="00131055"/>
    <w:rsid w:val="00131084"/>
    <w:rsid w:val="0013110C"/>
    <w:rsid w:val="001311EA"/>
    <w:rsid w:val="00131238"/>
    <w:rsid w:val="0013124B"/>
    <w:rsid w:val="001315AA"/>
    <w:rsid w:val="00131630"/>
    <w:rsid w:val="0013167B"/>
    <w:rsid w:val="0013168A"/>
    <w:rsid w:val="001317C4"/>
    <w:rsid w:val="00131894"/>
    <w:rsid w:val="001318AC"/>
    <w:rsid w:val="001318B9"/>
    <w:rsid w:val="001318CC"/>
    <w:rsid w:val="001319F0"/>
    <w:rsid w:val="00131A03"/>
    <w:rsid w:val="00131B2D"/>
    <w:rsid w:val="00131B2F"/>
    <w:rsid w:val="00131B86"/>
    <w:rsid w:val="00131B94"/>
    <w:rsid w:val="00131D96"/>
    <w:rsid w:val="00131DF6"/>
    <w:rsid w:val="00131E34"/>
    <w:rsid w:val="00131E77"/>
    <w:rsid w:val="00131E7F"/>
    <w:rsid w:val="00131EB6"/>
    <w:rsid w:val="00132073"/>
    <w:rsid w:val="00132244"/>
    <w:rsid w:val="0013237B"/>
    <w:rsid w:val="00132468"/>
    <w:rsid w:val="00132522"/>
    <w:rsid w:val="001325C2"/>
    <w:rsid w:val="001327E9"/>
    <w:rsid w:val="0013282D"/>
    <w:rsid w:val="00132964"/>
    <w:rsid w:val="0013297D"/>
    <w:rsid w:val="001329C7"/>
    <w:rsid w:val="00132B72"/>
    <w:rsid w:val="00132B98"/>
    <w:rsid w:val="00132DDC"/>
    <w:rsid w:val="00132E12"/>
    <w:rsid w:val="00132EB7"/>
    <w:rsid w:val="00132FBE"/>
    <w:rsid w:val="0013303C"/>
    <w:rsid w:val="00133061"/>
    <w:rsid w:val="001330C1"/>
    <w:rsid w:val="00133238"/>
    <w:rsid w:val="00133263"/>
    <w:rsid w:val="00133291"/>
    <w:rsid w:val="001332A0"/>
    <w:rsid w:val="001333F4"/>
    <w:rsid w:val="0013343E"/>
    <w:rsid w:val="001334F5"/>
    <w:rsid w:val="001335A9"/>
    <w:rsid w:val="00133741"/>
    <w:rsid w:val="001337C6"/>
    <w:rsid w:val="00133919"/>
    <w:rsid w:val="00133960"/>
    <w:rsid w:val="001339B7"/>
    <w:rsid w:val="001339D7"/>
    <w:rsid w:val="00133BF2"/>
    <w:rsid w:val="00133D22"/>
    <w:rsid w:val="00133D89"/>
    <w:rsid w:val="00133D92"/>
    <w:rsid w:val="00133DC8"/>
    <w:rsid w:val="00133ED1"/>
    <w:rsid w:val="00133EEA"/>
    <w:rsid w:val="00133F5B"/>
    <w:rsid w:val="00134005"/>
    <w:rsid w:val="00134040"/>
    <w:rsid w:val="00134085"/>
    <w:rsid w:val="001340E0"/>
    <w:rsid w:val="0013412A"/>
    <w:rsid w:val="00134156"/>
    <w:rsid w:val="001341A4"/>
    <w:rsid w:val="0013429F"/>
    <w:rsid w:val="00134327"/>
    <w:rsid w:val="0013441B"/>
    <w:rsid w:val="00134586"/>
    <w:rsid w:val="00134606"/>
    <w:rsid w:val="00134670"/>
    <w:rsid w:val="00134701"/>
    <w:rsid w:val="001347D4"/>
    <w:rsid w:val="001348AD"/>
    <w:rsid w:val="001349E5"/>
    <w:rsid w:val="00134A14"/>
    <w:rsid w:val="00134A36"/>
    <w:rsid w:val="00134B2D"/>
    <w:rsid w:val="00134B5D"/>
    <w:rsid w:val="00134B7E"/>
    <w:rsid w:val="00134D25"/>
    <w:rsid w:val="00134DCD"/>
    <w:rsid w:val="00134DEA"/>
    <w:rsid w:val="00134E3F"/>
    <w:rsid w:val="00134FD6"/>
    <w:rsid w:val="00135039"/>
    <w:rsid w:val="00135067"/>
    <w:rsid w:val="001350A7"/>
    <w:rsid w:val="001350BA"/>
    <w:rsid w:val="001350E1"/>
    <w:rsid w:val="001352CC"/>
    <w:rsid w:val="001353B7"/>
    <w:rsid w:val="00135487"/>
    <w:rsid w:val="00135536"/>
    <w:rsid w:val="00135568"/>
    <w:rsid w:val="0013569E"/>
    <w:rsid w:val="001357CE"/>
    <w:rsid w:val="001358FF"/>
    <w:rsid w:val="0013596E"/>
    <w:rsid w:val="001359DD"/>
    <w:rsid w:val="00135A49"/>
    <w:rsid w:val="00135A9B"/>
    <w:rsid w:val="00135B0D"/>
    <w:rsid w:val="00135B4B"/>
    <w:rsid w:val="00135BE0"/>
    <w:rsid w:val="00135BE2"/>
    <w:rsid w:val="00135C4F"/>
    <w:rsid w:val="00135CAA"/>
    <w:rsid w:val="00135D48"/>
    <w:rsid w:val="00135ED0"/>
    <w:rsid w:val="00135F07"/>
    <w:rsid w:val="00135F86"/>
    <w:rsid w:val="00136054"/>
    <w:rsid w:val="0013610E"/>
    <w:rsid w:val="00136145"/>
    <w:rsid w:val="00136160"/>
    <w:rsid w:val="00136282"/>
    <w:rsid w:val="001362B3"/>
    <w:rsid w:val="001362E0"/>
    <w:rsid w:val="001362FF"/>
    <w:rsid w:val="0013631A"/>
    <w:rsid w:val="0013635B"/>
    <w:rsid w:val="001363F2"/>
    <w:rsid w:val="00136408"/>
    <w:rsid w:val="00136482"/>
    <w:rsid w:val="00136485"/>
    <w:rsid w:val="001365B0"/>
    <w:rsid w:val="00136713"/>
    <w:rsid w:val="00136737"/>
    <w:rsid w:val="00136824"/>
    <w:rsid w:val="001368B5"/>
    <w:rsid w:val="001369C2"/>
    <w:rsid w:val="001369D2"/>
    <w:rsid w:val="00136A9F"/>
    <w:rsid w:val="00136AC8"/>
    <w:rsid w:val="00136AEB"/>
    <w:rsid w:val="00136B17"/>
    <w:rsid w:val="00136BB9"/>
    <w:rsid w:val="00136CE3"/>
    <w:rsid w:val="00136D26"/>
    <w:rsid w:val="00136D35"/>
    <w:rsid w:val="00136D6A"/>
    <w:rsid w:val="00136DA8"/>
    <w:rsid w:val="00136E44"/>
    <w:rsid w:val="00136F30"/>
    <w:rsid w:val="00136F65"/>
    <w:rsid w:val="00136FF3"/>
    <w:rsid w:val="001370D7"/>
    <w:rsid w:val="00137106"/>
    <w:rsid w:val="001371DE"/>
    <w:rsid w:val="0013726F"/>
    <w:rsid w:val="001373D2"/>
    <w:rsid w:val="00137429"/>
    <w:rsid w:val="0013744C"/>
    <w:rsid w:val="001374EE"/>
    <w:rsid w:val="00137518"/>
    <w:rsid w:val="0013754E"/>
    <w:rsid w:val="00137A83"/>
    <w:rsid w:val="00137A9F"/>
    <w:rsid w:val="00137AA0"/>
    <w:rsid w:val="00137BA7"/>
    <w:rsid w:val="00137BBA"/>
    <w:rsid w:val="00137BC4"/>
    <w:rsid w:val="00137C30"/>
    <w:rsid w:val="00137DBA"/>
    <w:rsid w:val="00137E51"/>
    <w:rsid w:val="00137F22"/>
    <w:rsid w:val="00137FE1"/>
    <w:rsid w:val="001400F4"/>
    <w:rsid w:val="00140107"/>
    <w:rsid w:val="0014010E"/>
    <w:rsid w:val="00140155"/>
    <w:rsid w:val="001402F9"/>
    <w:rsid w:val="0014034B"/>
    <w:rsid w:val="0014035F"/>
    <w:rsid w:val="00140541"/>
    <w:rsid w:val="00140684"/>
    <w:rsid w:val="0014073A"/>
    <w:rsid w:val="00140766"/>
    <w:rsid w:val="00140775"/>
    <w:rsid w:val="0014078C"/>
    <w:rsid w:val="001407D6"/>
    <w:rsid w:val="001408F8"/>
    <w:rsid w:val="00140930"/>
    <w:rsid w:val="0014095F"/>
    <w:rsid w:val="001409D0"/>
    <w:rsid w:val="001409DB"/>
    <w:rsid w:val="00140A04"/>
    <w:rsid w:val="00140B5D"/>
    <w:rsid w:val="00140BFC"/>
    <w:rsid w:val="00140D71"/>
    <w:rsid w:val="00140D98"/>
    <w:rsid w:val="00140F77"/>
    <w:rsid w:val="0014108F"/>
    <w:rsid w:val="0014109A"/>
    <w:rsid w:val="00141171"/>
    <w:rsid w:val="001414A8"/>
    <w:rsid w:val="001414E2"/>
    <w:rsid w:val="001414F0"/>
    <w:rsid w:val="00141537"/>
    <w:rsid w:val="00141621"/>
    <w:rsid w:val="0014168F"/>
    <w:rsid w:val="001416DF"/>
    <w:rsid w:val="00141753"/>
    <w:rsid w:val="001417C9"/>
    <w:rsid w:val="001417FB"/>
    <w:rsid w:val="00141852"/>
    <w:rsid w:val="00141922"/>
    <w:rsid w:val="0014195D"/>
    <w:rsid w:val="0014199D"/>
    <w:rsid w:val="00141A24"/>
    <w:rsid w:val="00141A70"/>
    <w:rsid w:val="00141B29"/>
    <w:rsid w:val="00141B6C"/>
    <w:rsid w:val="00141B87"/>
    <w:rsid w:val="00141BEE"/>
    <w:rsid w:val="00141C36"/>
    <w:rsid w:val="00141C9E"/>
    <w:rsid w:val="00141CDA"/>
    <w:rsid w:val="00141EBA"/>
    <w:rsid w:val="0014209A"/>
    <w:rsid w:val="001420FC"/>
    <w:rsid w:val="0014210B"/>
    <w:rsid w:val="0014219D"/>
    <w:rsid w:val="001421B7"/>
    <w:rsid w:val="0014221C"/>
    <w:rsid w:val="0014221F"/>
    <w:rsid w:val="00142251"/>
    <w:rsid w:val="001422B5"/>
    <w:rsid w:val="001422E5"/>
    <w:rsid w:val="001423B8"/>
    <w:rsid w:val="001423F1"/>
    <w:rsid w:val="00142404"/>
    <w:rsid w:val="00142424"/>
    <w:rsid w:val="00142497"/>
    <w:rsid w:val="001424A2"/>
    <w:rsid w:val="001424D8"/>
    <w:rsid w:val="001427BC"/>
    <w:rsid w:val="0014280D"/>
    <w:rsid w:val="00142821"/>
    <w:rsid w:val="00142844"/>
    <w:rsid w:val="00142992"/>
    <w:rsid w:val="001429A5"/>
    <w:rsid w:val="00142A35"/>
    <w:rsid w:val="00142A3A"/>
    <w:rsid w:val="00142AD0"/>
    <w:rsid w:val="00142AD1"/>
    <w:rsid w:val="00142DDB"/>
    <w:rsid w:val="00142DFC"/>
    <w:rsid w:val="00142F0B"/>
    <w:rsid w:val="00142F21"/>
    <w:rsid w:val="00142F3A"/>
    <w:rsid w:val="00142F3C"/>
    <w:rsid w:val="00142F9F"/>
    <w:rsid w:val="00142FBF"/>
    <w:rsid w:val="00143054"/>
    <w:rsid w:val="00143107"/>
    <w:rsid w:val="00143178"/>
    <w:rsid w:val="00143228"/>
    <w:rsid w:val="0014326D"/>
    <w:rsid w:val="001432F2"/>
    <w:rsid w:val="001434BE"/>
    <w:rsid w:val="00143523"/>
    <w:rsid w:val="00143655"/>
    <w:rsid w:val="00143695"/>
    <w:rsid w:val="00143733"/>
    <w:rsid w:val="0014378B"/>
    <w:rsid w:val="001438B4"/>
    <w:rsid w:val="001438CD"/>
    <w:rsid w:val="001439BF"/>
    <w:rsid w:val="00143A0E"/>
    <w:rsid w:val="00143A2A"/>
    <w:rsid w:val="00143A53"/>
    <w:rsid w:val="00143AD6"/>
    <w:rsid w:val="00143B38"/>
    <w:rsid w:val="00143B4A"/>
    <w:rsid w:val="00143B4E"/>
    <w:rsid w:val="00143B6F"/>
    <w:rsid w:val="00143C6B"/>
    <w:rsid w:val="00143CA8"/>
    <w:rsid w:val="00143D24"/>
    <w:rsid w:val="00143D2E"/>
    <w:rsid w:val="00143E39"/>
    <w:rsid w:val="00143F02"/>
    <w:rsid w:val="00143F2D"/>
    <w:rsid w:val="00143F52"/>
    <w:rsid w:val="00143F9F"/>
    <w:rsid w:val="00144094"/>
    <w:rsid w:val="001440B8"/>
    <w:rsid w:val="00144166"/>
    <w:rsid w:val="001441E2"/>
    <w:rsid w:val="0014433A"/>
    <w:rsid w:val="00144360"/>
    <w:rsid w:val="00144425"/>
    <w:rsid w:val="00144613"/>
    <w:rsid w:val="00144626"/>
    <w:rsid w:val="00144675"/>
    <w:rsid w:val="001447A9"/>
    <w:rsid w:val="001447C2"/>
    <w:rsid w:val="001447E5"/>
    <w:rsid w:val="0014484F"/>
    <w:rsid w:val="00144A9C"/>
    <w:rsid w:val="00144AF4"/>
    <w:rsid w:val="00144B93"/>
    <w:rsid w:val="00144BC2"/>
    <w:rsid w:val="00144C07"/>
    <w:rsid w:val="00144C79"/>
    <w:rsid w:val="00144C91"/>
    <w:rsid w:val="00144CD5"/>
    <w:rsid w:val="00144D59"/>
    <w:rsid w:val="00144D8D"/>
    <w:rsid w:val="00144DE4"/>
    <w:rsid w:val="00144DF5"/>
    <w:rsid w:val="00144E6E"/>
    <w:rsid w:val="00144E9F"/>
    <w:rsid w:val="00144F5B"/>
    <w:rsid w:val="0014501E"/>
    <w:rsid w:val="00145107"/>
    <w:rsid w:val="00145150"/>
    <w:rsid w:val="0014515E"/>
    <w:rsid w:val="001451DB"/>
    <w:rsid w:val="001452B7"/>
    <w:rsid w:val="001452C5"/>
    <w:rsid w:val="00145486"/>
    <w:rsid w:val="0014554A"/>
    <w:rsid w:val="00145555"/>
    <w:rsid w:val="0014565D"/>
    <w:rsid w:val="00145686"/>
    <w:rsid w:val="001456C7"/>
    <w:rsid w:val="001457F7"/>
    <w:rsid w:val="001459F4"/>
    <w:rsid w:val="00145A09"/>
    <w:rsid w:val="00145A4F"/>
    <w:rsid w:val="00145B01"/>
    <w:rsid w:val="00145BED"/>
    <w:rsid w:val="00145BEE"/>
    <w:rsid w:val="00145BFF"/>
    <w:rsid w:val="00145C1A"/>
    <w:rsid w:val="00145CAE"/>
    <w:rsid w:val="00145DB4"/>
    <w:rsid w:val="00145DBE"/>
    <w:rsid w:val="00145E2F"/>
    <w:rsid w:val="00145ED7"/>
    <w:rsid w:val="00145EDA"/>
    <w:rsid w:val="00146038"/>
    <w:rsid w:val="00146196"/>
    <w:rsid w:val="001461E2"/>
    <w:rsid w:val="00146236"/>
    <w:rsid w:val="0014643F"/>
    <w:rsid w:val="001465A7"/>
    <w:rsid w:val="00146602"/>
    <w:rsid w:val="00146608"/>
    <w:rsid w:val="00146715"/>
    <w:rsid w:val="00146755"/>
    <w:rsid w:val="00146759"/>
    <w:rsid w:val="0014678A"/>
    <w:rsid w:val="001467E2"/>
    <w:rsid w:val="00146939"/>
    <w:rsid w:val="00146957"/>
    <w:rsid w:val="001469BC"/>
    <w:rsid w:val="001469C8"/>
    <w:rsid w:val="00146A39"/>
    <w:rsid w:val="00146A3A"/>
    <w:rsid w:val="00146A8C"/>
    <w:rsid w:val="00146B0E"/>
    <w:rsid w:val="00146B42"/>
    <w:rsid w:val="00146CA1"/>
    <w:rsid w:val="00146CCA"/>
    <w:rsid w:val="00146E05"/>
    <w:rsid w:val="00147020"/>
    <w:rsid w:val="00147161"/>
    <w:rsid w:val="00147234"/>
    <w:rsid w:val="001472DA"/>
    <w:rsid w:val="001473D5"/>
    <w:rsid w:val="001474CC"/>
    <w:rsid w:val="00147519"/>
    <w:rsid w:val="00147582"/>
    <w:rsid w:val="001475EF"/>
    <w:rsid w:val="0014777D"/>
    <w:rsid w:val="001477EA"/>
    <w:rsid w:val="001478C2"/>
    <w:rsid w:val="00147975"/>
    <w:rsid w:val="001479FD"/>
    <w:rsid w:val="00147A1B"/>
    <w:rsid w:val="00147AC4"/>
    <w:rsid w:val="00147B52"/>
    <w:rsid w:val="00147B57"/>
    <w:rsid w:val="00147B94"/>
    <w:rsid w:val="00147BF5"/>
    <w:rsid w:val="00147C4F"/>
    <w:rsid w:val="00147C52"/>
    <w:rsid w:val="00147CB3"/>
    <w:rsid w:val="00147CFB"/>
    <w:rsid w:val="00147DF2"/>
    <w:rsid w:val="00147F78"/>
    <w:rsid w:val="00147FE4"/>
    <w:rsid w:val="00150181"/>
    <w:rsid w:val="001506AC"/>
    <w:rsid w:val="00150889"/>
    <w:rsid w:val="001509CA"/>
    <w:rsid w:val="001509E8"/>
    <w:rsid w:val="00150A8C"/>
    <w:rsid w:val="00150A95"/>
    <w:rsid w:val="00150AEB"/>
    <w:rsid w:val="00150C10"/>
    <w:rsid w:val="00150C1A"/>
    <w:rsid w:val="00150C9A"/>
    <w:rsid w:val="00150CF1"/>
    <w:rsid w:val="00150CFC"/>
    <w:rsid w:val="00150D01"/>
    <w:rsid w:val="00150D94"/>
    <w:rsid w:val="00150DB7"/>
    <w:rsid w:val="00150EA3"/>
    <w:rsid w:val="00150F70"/>
    <w:rsid w:val="00150F74"/>
    <w:rsid w:val="001510A9"/>
    <w:rsid w:val="001510C7"/>
    <w:rsid w:val="00151113"/>
    <w:rsid w:val="00151151"/>
    <w:rsid w:val="00151155"/>
    <w:rsid w:val="001512CE"/>
    <w:rsid w:val="00151310"/>
    <w:rsid w:val="00151387"/>
    <w:rsid w:val="00151478"/>
    <w:rsid w:val="001514A9"/>
    <w:rsid w:val="001514F8"/>
    <w:rsid w:val="0015156E"/>
    <w:rsid w:val="001516A7"/>
    <w:rsid w:val="00151750"/>
    <w:rsid w:val="00151755"/>
    <w:rsid w:val="00151860"/>
    <w:rsid w:val="001518BB"/>
    <w:rsid w:val="00151A7C"/>
    <w:rsid w:val="00151AEB"/>
    <w:rsid w:val="00151B05"/>
    <w:rsid w:val="00151D5A"/>
    <w:rsid w:val="00151E33"/>
    <w:rsid w:val="00151ED1"/>
    <w:rsid w:val="00151EE6"/>
    <w:rsid w:val="00151EEF"/>
    <w:rsid w:val="00151F32"/>
    <w:rsid w:val="00151F91"/>
    <w:rsid w:val="00152084"/>
    <w:rsid w:val="001520D1"/>
    <w:rsid w:val="00152105"/>
    <w:rsid w:val="00152111"/>
    <w:rsid w:val="001521F4"/>
    <w:rsid w:val="001522B9"/>
    <w:rsid w:val="001522C1"/>
    <w:rsid w:val="001523E3"/>
    <w:rsid w:val="001524A5"/>
    <w:rsid w:val="00152671"/>
    <w:rsid w:val="001527EC"/>
    <w:rsid w:val="00152A1D"/>
    <w:rsid w:val="00152A50"/>
    <w:rsid w:val="00152AEC"/>
    <w:rsid w:val="00152B01"/>
    <w:rsid w:val="00152B3A"/>
    <w:rsid w:val="00152BC2"/>
    <w:rsid w:val="00152C19"/>
    <w:rsid w:val="00152C30"/>
    <w:rsid w:val="00152DA3"/>
    <w:rsid w:val="00152E2F"/>
    <w:rsid w:val="00152F20"/>
    <w:rsid w:val="00152FD8"/>
    <w:rsid w:val="00152FE5"/>
    <w:rsid w:val="00153044"/>
    <w:rsid w:val="001530CF"/>
    <w:rsid w:val="00153157"/>
    <w:rsid w:val="00153188"/>
    <w:rsid w:val="00153240"/>
    <w:rsid w:val="001532E4"/>
    <w:rsid w:val="00153331"/>
    <w:rsid w:val="00153332"/>
    <w:rsid w:val="00153349"/>
    <w:rsid w:val="001533D1"/>
    <w:rsid w:val="001533F3"/>
    <w:rsid w:val="00153401"/>
    <w:rsid w:val="00153532"/>
    <w:rsid w:val="0015358C"/>
    <w:rsid w:val="0015365C"/>
    <w:rsid w:val="00153662"/>
    <w:rsid w:val="001536D7"/>
    <w:rsid w:val="0015375D"/>
    <w:rsid w:val="00153799"/>
    <w:rsid w:val="00153801"/>
    <w:rsid w:val="00153861"/>
    <w:rsid w:val="00153870"/>
    <w:rsid w:val="00153B30"/>
    <w:rsid w:val="00153B37"/>
    <w:rsid w:val="00153B4C"/>
    <w:rsid w:val="00153B90"/>
    <w:rsid w:val="00153C09"/>
    <w:rsid w:val="00153C8A"/>
    <w:rsid w:val="00153DCD"/>
    <w:rsid w:val="00153E47"/>
    <w:rsid w:val="00153E8F"/>
    <w:rsid w:val="00153F4F"/>
    <w:rsid w:val="00153F5E"/>
    <w:rsid w:val="001540FE"/>
    <w:rsid w:val="00154151"/>
    <w:rsid w:val="0015417B"/>
    <w:rsid w:val="0015417E"/>
    <w:rsid w:val="0015418A"/>
    <w:rsid w:val="00154210"/>
    <w:rsid w:val="001543EA"/>
    <w:rsid w:val="001543F2"/>
    <w:rsid w:val="001544A7"/>
    <w:rsid w:val="001544F1"/>
    <w:rsid w:val="0015452F"/>
    <w:rsid w:val="00154601"/>
    <w:rsid w:val="0015478D"/>
    <w:rsid w:val="00154832"/>
    <w:rsid w:val="00154B07"/>
    <w:rsid w:val="00154B44"/>
    <w:rsid w:val="00154BED"/>
    <w:rsid w:val="00154C20"/>
    <w:rsid w:val="00154D1C"/>
    <w:rsid w:val="00154FCF"/>
    <w:rsid w:val="00154FDA"/>
    <w:rsid w:val="00155081"/>
    <w:rsid w:val="001550D2"/>
    <w:rsid w:val="0015513F"/>
    <w:rsid w:val="00155157"/>
    <w:rsid w:val="001552AD"/>
    <w:rsid w:val="001552D7"/>
    <w:rsid w:val="0015534E"/>
    <w:rsid w:val="0015543F"/>
    <w:rsid w:val="001554B2"/>
    <w:rsid w:val="00155542"/>
    <w:rsid w:val="00155548"/>
    <w:rsid w:val="00155613"/>
    <w:rsid w:val="00155721"/>
    <w:rsid w:val="00155801"/>
    <w:rsid w:val="001559FA"/>
    <w:rsid w:val="00155A84"/>
    <w:rsid w:val="00155BC9"/>
    <w:rsid w:val="00155D2C"/>
    <w:rsid w:val="00155D89"/>
    <w:rsid w:val="00155E44"/>
    <w:rsid w:val="00155EC5"/>
    <w:rsid w:val="00156015"/>
    <w:rsid w:val="00156052"/>
    <w:rsid w:val="001561A6"/>
    <w:rsid w:val="001561A9"/>
    <w:rsid w:val="00156243"/>
    <w:rsid w:val="00156298"/>
    <w:rsid w:val="001562DA"/>
    <w:rsid w:val="00156350"/>
    <w:rsid w:val="001564DC"/>
    <w:rsid w:val="001565BF"/>
    <w:rsid w:val="00156723"/>
    <w:rsid w:val="00156761"/>
    <w:rsid w:val="00156769"/>
    <w:rsid w:val="00156864"/>
    <w:rsid w:val="001568CB"/>
    <w:rsid w:val="00156A86"/>
    <w:rsid w:val="00156C21"/>
    <w:rsid w:val="00156C92"/>
    <w:rsid w:val="00156CC3"/>
    <w:rsid w:val="00156D28"/>
    <w:rsid w:val="00156D8C"/>
    <w:rsid w:val="00156E1C"/>
    <w:rsid w:val="00156E4B"/>
    <w:rsid w:val="00157037"/>
    <w:rsid w:val="001570E9"/>
    <w:rsid w:val="00157105"/>
    <w:rsid w:val="00157116"/>
    <w:rsid w:val="00157265"/>
    <w:rsid w:val="0015736E"/>
    <w:rsid w:val="001573BD"/>
    <w:rsid w:val="0015742B"/>
    <w:rsid w:val="00157457"/>
    <w:rsid w:val="0015747B"/>
    <w:rsid w:val="001575F1"/>
    <w:rsid w:val="0015765E"/>
    <w:rsid w:val="0015766D"/>
    <w:rsid w:val="001576B0"/>
    <w:rsid w:val="001576B8"/>
    <w:rsid w:val="001576BA"/>
    <w:rsid w:val="001576E5"/>
    <w:rsid w:val="00157717"/>
    <w:rsid w:val="00157880"/>
    <w:rsid w:val="00157888"/>
    <w:rsid w:val="00157999"/>
    <w:rsid w:val="001579D8"/>
    <w:rsid w:val="00157AC8"/>
    <w:rsid w:val="00157AE2"/>
    <w:rsid w:val="00157AE7"/>
    <w:rsid w:val="00157C4D"/>
    <w:rsid w:val="00157D2A"/>
    <w:rsid w:val="00157EA0"/>
    <w:rsid w:val="00157F53"/>
    <w:rsid w:val="00160009"/>
    <w:rsid w:val="001600C7"/>
    <w:rsid w:val="00160122"/>
    <w:rsid w:val="001601CF"/>
    <w:rsid w:val="00160347"/>
    <w:rsid w:val="00160449"/>
    <w:rsid w:val="00160577"/>
    <w:rsid w:val="0016057B"/>
    <w:rsid w:val="001605CD"/>
    <w:rsid w:val="0016060F"/>
    <w:rsid w:val="0016069C"/>
    <w:rsid w:val="001606B6"/>
    <w:rsid w:val="0016073E"/>
    <w:rsid w:val="001607B4"/>
    <w:rsid w:val="00160895"/>
    <w:rsid w:val="00160A91"/>
    <w:rsid w:val="00160A9C"/>
    <w:rsid w:val="00160AEF"/>
    <w:rsid w:val="00160B83"/>
    <w:rsid w:val="00160B88"/>
    <w:rsid w:val="00160C3C"/>
    <w:rsid w:val="00160E41"/>
    <w:rsid w:val="00160E87"/>
    <w:rsid w:val="00160F82"/>
    <w:rsid w:val="001610DB"/>
    <w:rsid w:val="00161133"/>
    <w:rsid w:val="00161184"/>
    <w:rsid w:val="00161233"/>
    <w:rsid w:val="0016129A"/>
    <w:rsid w:val="00161300"/>
    <w:rsid w:val="0016132D"/>
    <w:rsid w:val="0016136D"/>
    <w:rsid w:val="001613CC"/>
    <w:rsid w:val="0016156F"/>
    <w:rsid w:val="00161644"/>
    <w:rsid w:val="0016167A"/>
    <w:rsid w:val="0016180F"/>
    <w:rsid w:val="001618F2"/>
    <w:rsid w:val="0016194C"/>
    <w:rsid w:val="00161964"/>
    <w:rsid w:val="0016198B"/>
    <w:rsid w:val="00161A0B"/>
    <w:rsid w:val="00161AA1"/>
    <w:rsid w:val="00161AB1"/>
    <w:rsid w:val="00161B6C"/>
    <w:rsid w:val="00161BA2"/>
    <w:rsid w:val="00161BA7"/>
    <w:rsid w:val="00161BB2"/>
    <w:rsid w:val="00161C49"/>
    <w:rsid w:val="00161D01"/>
    <w:rsid w:val="00161D9C"/>
    <w:rsid w:val="00161E4E"/>
    <w:rsid w:val="00161EB9"/>
    <w:rsid w:val="001620A0"/>
    <w:rsid w:val="001620DC"/>
    <w:rsid w:val="00162143"/>
    <w:rsid w:val="0016216E"/>
    <w:rsid w:val="001621E2"/>
    <w:rsid w:val="00162420"/>
    <w:rsid w:val="0016243C"/>
    <w:rsid w:val="00162472"/>
    <w:rsid w:val="001624DE"/>
    <w:rsid w:val="00162558"/>
    <w:rsid w:val="001625BB"/>
    <w:rsid w:val="0016262C"/>
    <w:rsid w:val="0016280B"/>
    <w:rsid w:val="0016284E"/>
    <w:rsid w:val="00162875"/>
    <w:rsid w:val="0016298F"/>
    <w:rsid w:val="001629A1"/>
    <w:rsid w:val="001629E2"/>
    <w:rsid w:val="00162A17"/>
    <w:rsid w:val="00162AD1"/>
    <w:rsid w:val="00162BD8"/>
    <w:rsid w:val="00162E4F"/>
    <w:rsid w:val="00162EDB"/>
    <w:rsid w:val="00162F3A"/>
    <w:rsid w:val="00162F98"/>
    <w:rsid w:val="00162FD1"/>
    <w:rsid w:val="00162FF1"/>
    <w:rsid w:val="00163054"/>
    <w:rsid w:val="0016316B"/>
    <w:rsid w:val="001631AD"/>
    <w:rsid w:val="001631C3"/>
    <w:rsid w:val="001631C7"/>
    <w:rsid w:val="00163378"/>
    <w:rsid w:val="00163509"/>
    <w:rsid w:val="0016363B"/>
    <w:rsid w:val="001636CA"/>
    <w:rsid w:val="0016373C"/>
    <w:rsid w:val="001637A0"/>
    <w:rsid w:val="001637BE"/>
    <w:rsid w:val="001637E6"/>
    <w:rsid w:val="00163899"/>
    <w:rsid w:val="001638E4"/>
    <w:rsid w:val="001638F8"/>
    <w:rsid w:val="001639AB"/>
    <w:rsid w:val="00163A23"/>
    <w:rsid w:val="00163AC7"/>
    <w:rsid w:val="00163AEF"/>
    <w:rsid w:val="00163B07"/>
    <w:rsid w:val="00163B1E"/>
    <w:rsid w:val="00163B67"/>
    <w:rsid w:val="00163BFA"/>
    <w:rsid w:val="00163C0B"/>
    <w:rsid w:val="00163C27"/>
    <w:rsid w:val="00163C2E"/>
    <w:rsid w:val="00163D2F"/>
    <w:rsid w:val="00163DFB"/>
    <w:rsid w:val="00163FCE"/>
    <w:rsid w:val="00164112"/>
    <w:rsid w:val="00164166"/>
    <w:rsid w:val="00164198"/>
    <w:rsid w:val="001641F1"/>
    <w:rsid w:val="00164241"/>
    <w:rsid w:val="0016444A"/>
    <w:rsid w:val="001644E2"/>
    <w:rsid w:val="001645D6"/>
    <w:rsid w:val="0016463C"/>
    <w:rsid w:val="001646A1"/>
    <w:rsid w:val="0016489B"/>
    <w:rsid w:val="001648A8"/>
    <w:rsid w:val="001648B2"/>
    <w:rsid w:val="00164919"/>
    <w:rsid w:val="001649FA"/>
    <w:rsid w:val="00164A4B"/>
    <w:rsid w:val="00164AA3"/>
    <w:rsid w:val="00164AAD"/>
    <w:rsid w:val="00164B53"/>
    <w:rsid w:val="00164BD1"/>
    <w:rsid w:val="00164BDC"/>
    <w:rsid w:val="00164C70"/>
    <w:rsid w:val="00164C7C"/>
    <w:rsid w:val="00164D5D"/>
    <w:rsid w:val="00164DA4"/>
    <w:rsid w:val="00164E17"/>
    <w:rsid w:val="00164E79"/>
    <w:rsid w:val="00164EE3"/>
    <w:rsid w:val="00164EFC"/>
    <w:rsid w:val="00164FF1"/>
    <w:rsid w:val="001650DC"/>
    <w:rsid w:val="00165147"/>
    <w:rsid w:val="001651F5"/>
    <w:rsid w:val="001652C2"/>
    <w:rsid w:val="00165357"/>
    <w:rsid w:val="001654A5"/>
    <w:rsid w:val="001655D9"/>
    <w:rsid w:val="0016560B"/>
    <w:rsid w:val="00165662"/>
    <w:rsid w:val="001657E7"/>
    <w:rsid w:val="0016588D"/>
    <w:rsid w:val="001658BF"/>
    <w:rsid w:val="001658C7"/>
    <w:rsid w:val="001658DA"/>
    <w:rsid w:val="0016590E"/>
    <w:rsid w:val="00165915"/>
    <w:rsid w:val="00165944"/>
    <w:rsid w:val="001659C1"/>
    <w:rsid w:val="00165A17"/>
    <w:rsid w:val="00165A56"/>
    <w:rsid w:val="00165A57"/>
    <w:rsid w:val="00165ABB"/>
    <w:rsid w:val="00165AD6"/>
    <w:rsid w:val="00165B79"/>
    <w:rsid w:val="00165B7E"/>
    <w:rsid w:val="00165B89"/>
    <w:rsid w:val="00165BBB"/>
    <w:rsid w:val="00165BC1"/>
    <w:rsid w:val="00165C08"/>
    <w:rsid w:val="00165D7B"/>
    <w:rsid w:val="00165DE8"/>
    <w:rsid w:val="00165DF8"/>
    <w:rsid w:val="00165E82"/>
    <w:rsid w:val="00165ED4"/>
    <w:rsid w:val="00165F71"/>
    <w:rsid w:val="00165F88"/>
    <w:rsid w:val="00165FE9"/>
    <w:rsid w:val="00166057"/>
    <w:rsid w:val="0016607C"/>
    <w:rsid w:val="0016612B"/>
    <w:rsid w:val="00166296"/>
    <w:rsid w:val="001662D7"/>
    <w:rsid w:val="001662F3"/>
    <w:rsid w:val="00166310"/>
    <w:rsid w:val="00166363"/>
    <w:rsid w:val="001664B7"/>
    <w:rsid w:val="001664C6"/>
    <w:rsid w:val="00166540"/>
    <w:rsid w:val="001665E3"/>
    <w:rsid w:val="001666BB"/>
    <w:rsid w:val="00166758"/>
    <w:rsid w:val="001667BA"/>
    <w:rsid w:val="0016697E"/>
    <w:rsid w:val="001669EC"/>
    <w:rsid w:val="00166A25"/>
    <w:rsid w:val="00166A26"/>
    <w:rsid w:val="00166A77"/>
    <w:rsid w:val="00166B82"/>
    <w:rsid w:val="00166B8D"/>
    <w:rsid w:val="00166BC4"/>
    <w:rsid w:val="00166D49"/>
    <w:rsid w:val="00166E48"/>
    <w:rsid w:val="00166E9F"/>
    <w:rsid w:val="00166F29"/>
    <w:rsid w:val="00166F57"/>
    <w:rsid w:val="00166FCD"/>
    <w:rsid w:val="00167000"/>
    <w:rsid w:val="0016702D"/>
    <w:rsid w:val="001671E0"/>
    <w:rsid w:val="001671FE"/>
    <w:rsid w:val="001673B1"/>
    <w:rsid w:val="001673E1"/>
    <w:rsid w:val="0016742C"/>
    <w:rsid w:val="001674FA"/>
    <w:rsid w:val="00167513"/>
    <w:rsid w:val="00167570"/>
    <w:rsid w:val="001675C7"/>
    <w:rsid w:val="001675E6"/>
    <w:rsid w:val="00167655"/>
    <w:rsid w:val="0016765F"/>
    <w:rsid w:val="0016767D"/>
    <w:rsid w:val="00167702"/>
    <w:rsid w:val="00167806"/>
    <w:rsid w:val="00167886"/>
    <w:rsid w:val="001678AD"/>
    <w:rsid w:val="001678EA"/>
    <w:rsid w:val="0016798F"/>
    <w:rsid w:val="00167A26"/>
    <w:rsid w:val="00167A90"/>
    <w:rsid w:val="00167A93"/>
    <w:rsid w:val="00167AA8"/>
    <w:rsid w:val="00167B7B"/>
    <w:rsid w:val="00167B91"/>
    <w:rsid w:val="00167C38"/>
    <w:rsid w:val="00167C5D"/>
    <w:rsid w:val="00167D4D"/>
    <w:rsid w:val="00167E25"/>
    <w:rsid w:val="00167E69"/>
    <w:rsid w:val="00167E8C"/>
    <w:rsid w:val="00167ED5"/>
    <w:rsid w:val="0017001C"/>
    <w:rsid w:val="00170082"/>
    <w:rsid w:val="0017010E"/>
    <w:rsid w:val="0017015F"/>
    <w:rsid w:val="00170183"/>
    <w:rsid w:val="001701F7"/>
    <w:rsid w:val="0017023C"/>
    <w:rsid w:val="001702AB"/>
    <w:rsid w:val="001703B4"/>
    <w:rsid w:val="001703EB"/>
    <w:rsid w:val="001703F6"/>
    <w:rsid w:val="00170408"/>
    <w:rsid w:val="00170450"/>
    <w:rsid w:val="00170507"/>
    <w:rsid w:val="00170565"/>
    <w:rsid w:val="00170593"/>
    <w:rsid w:val="00170759"/>
    <w:rsid w:val="001707AE"/>
    <w:rsid w:val="001707BC"/>
    <w:rsid w:val="001707FE"/>
    <w:rsid w:val="00170823"/>
    <w:rsid w:val="00170830"/>
    <w:rsid w:val="00170892"/>
    <w:rsid w:val="001709AD"/>
    <w:rsid w:val="001709FC"/>
    <w:rsid w:val="00170A4F"/>
    <w:rsid w:val="00170A8E"/>
    <w:rsid w:val="00170AC5"/>
    <w:rsid w:val="00170AF2"/>
    <w:rsid w:val="00170B00"/>
    <w:rsid w:val="00170B91"/>
    <w:rsid w:val="00170BAD"/>
    <w:rsid w:val="00170CE9"/>
    <w:rsid w:val="00170D81"/>
    <w:rsid w:val="00170DD1"/>
    <w:rsid w:val="00170DE0"/>
    <w:rsid w:val="00170EA8"/>
    <w:rsid w:val="00170EEF"/>
    <w:rsid w:val="00170EF2"/>
    <w:rsid w:val="00170F14"/>
    <w:rsid w:val="00171022"/>
    <w:rsid w:val="00171155"/>
    <w:rsid w:val="00171207"/>
    <w:rsid w:val="001712B2"/>
    <w:rsid w:val="001712DE"/>
    <w:rsid w:val="001712EF"/>
    <w:rsid w:val="001714BA"/>
    <w:rsid w:val="00171644"/>
    <w:rsid w:val="001717C3"/>
    <w:rsid w:val="00171812"/>
    <w:rsid w:val="00171873"/>
    <w:rsid w:val="001718B2"/>
    <w:rsid w:val="001719C8"/>
    <w:rsid w:val="00171A51"/>
    <w:rsid w:val="00171B53"/>
    <w:rsid w:val="00171B72"/>
    <w:rsid w:val="00171D01"/>
    <w:rsid w:val="00171DBB"/>
    <w:rsid w:val="00171E02"/>
    <w:rsid w:val="00171E54"/>
    <w:rsid w:val="00171F09"/>
    <w:rsid w:val="0017200E"/>
    <w:rsid w:val="001720AC"/>
    <w:rsid w:val="001720AD"/>
    <w:rsid w:val="0017210F"/>
    <w:rsid w:val="0017212D"/>
    <w:rsid w:val="00172141"/>
    <w:rsid w:val="0017217E"/>
    <w:rsid w:val="0017218D"/>
    <w:rsid w:val="00172364"/>
    <w:rsid w:val="001723EB"/>
    <w:rsid w:val="0017241F"/>
    <w:rsid w:val="00172423"/>
    <w:rsid w:val="00172432"/>
    <w:rsid w:val="0017244C"/>
    <w:rsid w:val="001724C8"/>
    <w:rsid w:val="00172576"/>
    <w:rsid w:val="001725E7"/>
    <w:rsid w:val="00172603"/>
    <w:rsid w:val="0017263A"/>
    <w:rsid w:val="00172665"/>
    <w:rsid w:val="001726BB"/>
    <w:rsid w:val="001726F1"/>
    <w:rsid w:val="001727DE"/>
    <w:rsid w:val="00172824"/>
    <w:rsid w:val="001728B2"/>
    <w:rsid w:val="00172A03"/>
    <w:rsid w:val="00172A45"/>
    <w:rsid w:val="00172B09"/>
    <w:rsid w:val="00172B3C"/>
    <w:rsid w:val="00172C14"/>
    <w:rsid w:val="00172C55"/>
    <w:rsid w:val="00172F1D"/>
    <w:rsid w:val="00172F33"/>
    <w:rsid w:val="00172F6F"/>
    <w:rsid w:val="00172FDC"/>
    <w:rsid w:val="0017303A"/>
    <w:rsid w:val="0017309B"/>
    <w:rsid w:val="00173123"/>
    <w:rsid w:val="0017315C"/>
    <w:rsid w:val="00173169"/>
    <w:rsid w:val="001731CF"/>
    <w:rsid w:val="00173209"/>
    <w:rsid w:val="00173243"/>
    <w:rsid w:val="001733DE"/>
    <w:rsid w:val="0017344A"/>
    <w:rsid w:val="00173492"/>
    <w:rsid w:val="001734BF"/>
    <w:rsid w:val="0017373A"/>
    <w:rsid w:val="0017377D"/>
    <w:rsid w:val="001737F8"/>
    <w:rsid w:val="00173800"/>
    <w:rsid w:val="0017381E"/>
    <w:rsid w:val="00173877"/>
    <w:rsid w:val="001739DE"/>
    <w:rsid w:val="00173D09"/>
    <w:rsid w:val="00173D33"/>
    <w:rsid w:val="00173D4D"/>
    <w:rsid w:val="00173F9A"/>
    <w:rsid w:val="00173FDE"/>
    <w:rsid w:val="00174036"/>
    <w:rsid w:val="001740E4"/>
    <w:rsid w:val="00174116"/>
    <w:rsid w:val="00174123"/>
    <w:rsid w:val="00174210"/>
    <w:rsid w:val="0017422B"/>
    <w:rsid w:val="00174252"/>
    <w:rsid w:val="00174253"/>
    <w:rsid w:val="00174290"/>
    <w:rsid w:val="00174292"/>
    <w:rsid w:val="001743A6"/>
    <w:rsid w:val="001743CF"/>
    <w:rsid w:val="00174461"/>
    <w:rsid w:val="001744A6"/>
    <w:rsid w:val="0017458D"/>
    <w:rsid w:val="001745D0"/>
    <w:rsid w:val="001746F6"/>
    <w:rsid w:val="00174903"/>
    <w:rsid w:val="001749DA"/>
    <w:rsid w:val="00174AD1"/>
    <w:rsid w:val="00174B03"/>
    <w:rsid w:val="00174BA4"/>
    <w:rsid w:val="00174BA7"/>
    <w:rsid w:val="00174BEB"/>
    <w:rsid w:val="00174CD1"/>
    <w:rsid w:val="00174DED"/>
    <w:rsid w:val="00174E7C"/>
    <w:rsid w:val="00174F0F"/>
    <w:rsid w:val="00175248"/>
    <w:rsid w:val="001752D3"/>
    <w:rsid w:val="0017531D"/>
    <w:rsid w:val="001753B2"/>
    <w:rsid w:val="00175400"/>
    <w:rsid w:val="00175408"/>
    <w:rsid w:val="0017546F"/>
    <w:rsid w:val="001754DC"/>
    <w:rsid w:val="001755F9"/>
    <w:rsid w:val="00175787"/>
    <w:rsid w:val="00175818"/>
    <w:rsid w:val="00175823"/>
    <w:rsid w:val="00175825"/>
    <w:rsid w:val="00175847"/>
    <w:rsid w:val="00175921"/>
    <w:rsid w:val="001759D5"/>
    <w:rsid w:val="00175A04"/>
    <w:rsid w:val="00175B73"/>
    <w:rsid w:val="00175BF1"/>
    <w:rsid w:val="00175C0C"/>
    <w:rsid w:val="00175CDA"/>
    <w:rsid w:val="00175DC2"/>
    <w:rsid w:val="00175EAF"/>
    <w:rsid w:val="00175F0A"/>
    <w:rsid w:val="00175F76"/>
    <w:rsid w:val="00175FCB"/>
    <w:rsid w:val="001760A8"/>
    <w:rsid w:val="001760AA"/>
    <w:rsid w:val="00176114"/>
    <w:rsid w:val="00176272"/>
    <w:rsid w:val="001762CD"/>
    <w:rsid w:val="001762F9"/>
    <w:rsid w:val="00176344"/>
    <w:rsid w:val="001763AA"/>
    <w:rsid w:val="001763BB"/>
    <w:rsid w:val="0017651A"/>
    <w:rsid w:val="0017656C"/>
    <w:rsid w:val="00176760"/>
    <w:rsid w:val="001767A9"/>
    <w:rsid w:val="00176998"/>
    <w:rsid w:val="0017699F"/>
    <w:rsid w:val="001769BD"/>
    <w:rsid w:val="00176AE9"/>
    <w:rsid w:val="00176B13"/>
    <w:rsid w:val="00176B25"/>
    <w:rsid w:val="00176B72"/>
    <w:rsid w:val="00176BFD"/>
    <w:rsid w:val="00176D25"/>
    <w:rsid w:val="00176D5E"/>
    <w:rsid w:val="00176DBA"/>
    <w:rsid w:val="00176E73"/>
    <w:rsid w:val="00176FC2"/>
    <w:rsid w:val="0017705A"/>
    <w:rsid w:val="0017709D"/>
    <w:rsid w:val="001770EF"/>
    <w:rsid w:val="00177374"/>
    <w:rsid w:val="0017738E"/>
    <w:rsid w:val="00177415"/>
    <w:rsid w:val="00177462"/>
    <w:rsid w:val="0017756E"/>
    <w:rsid w:val="001775DD"/>
    <w:rsid w:val="00177612"/>
    <w:rsid w:val="0017761A"/>
    <w:rsid w:val="00177658"/>
    <w:rsid w:val="00177677"/>
    <w:rsid w:val="00177734"/>
    <w:rsid w:val="0017779A"/>
    <w:rsid w:val="001777A4"/>
    <w:rsid w:val="0017786F"/>
    <w:rsid w:val="001778E8"/>
    <w:rsid w:val="00177A21"/>
    <w:rsid w:val="00177B58"/>
    <w:rsid w:val="00177B68"/>
    <w:rsid w:val="00177BD7"/>
    <w:rsid w:val="00177C1D"/>
    <w:rsid w:val="00177C37"/>
    <w:rsid w:val="00177C67"/>
    <w:rsid w:val="00177C75"/>
    <w:rsid w:val="00177DBA"/>
    <w:rsid w:val="00177FE0"/>
    <w:rsid w:val="001800BD"/>
    <w:rsid w:val="001800EE"/>
    <w:rsid w:val="00180272"/>
    <w:rsid w:val="00180331"/>
    <w:rsid w:val="00180332"/>
    <w:rsid w:val="0018041E"/>
    <w:rsid w:val="001804F7"/>
    <w:rsid w:val="0018067B"/>
    <w:rsid w:val="001806A8"/>
    <w:rsid w:val="001807A1"/>
    <w:rsid w:val="00180802"/>
    <w:rsid w:val="0018088A"/>
    <w:rsid w:val="001808FB"/>
    <w:rsid w:val="00180924"/>
    <w:rsid w:val="001809F2"/>
    <w:rsid w:val="00180AD1"/>
    <w:rsid w:val="00180AF8"/>
    <w:rsid w:val="00180D00"/>
    <w:rsid w:val="00180E00"/>
    <w:rsid w:val="00180EFB"/>
    <w:rsid w:val="00180F81"/>
    <w:rsid w:val="00180F9C"/>
    <w:rsid w:val="00181007"/>
    <w:rsid w:val="001810D4"/>
    <w:rsid w:val="00181228"/>
    <w:rsid w:val="001814AF"/>
    <w:rsid w:val="00181587"/>
    <w:rsid w:val="00181615"/>
    <w:rsid w:val="00181650"/>
    <w:rsid w:val="001816E8"/>
    <w:rsid w:val="001817C8"/>
    <w:rsid w:val="00181817"/>
    <w:rsid w:val="0018184A"/>
    <w:rsid w:val="00181860"/>
    <w:rsid w:val="0018193F"/>
    <w:rsid w:val="00181961"/>
    <w:rsid w:val="0018196F"/>
    <w:rsid w:val="00181A31"/>
    <w:rsid w:val="00181A42"/>
    <w:rsid w:val="00181B30"/>
    <w:rsid w:val="00181B83"/>
    <w:rsid w:val="00181C08"/>
    <w:rsid w:val="00181DDB"/>
    <w:rsid w:val="00181E60"/>
    <w:rsid w:val="00181EB5"/>
    <w:rsid w:val="00181F5B"/>
    <w:rsid w:val="0018207C"/>
    <w:rsid w:val="00182106"/>
    <w:rsid w:val="00182291"/>
    <w:rsid w:val="001822D2"/>
    <w:rsid w:val="00182385"/>
    <w:rsid w:val="001823A9"/>
    <w:rsid w:val="001825DA"/>
    <w:rsid w:val="00182636"/>
    <w:rsid w:val="0018276F"/>
    <w:rsid w:val="001827FE"/>
    <w:rsid w:val="001829A9"/>
    <w:rsid w:val="001829C1"/>
    <w:rsid w:val="00182A0B"/>
    <w:rsid w:val="00182A0D"/>
    <w:rsid w:val="00182C2A"/>
    <w:rsid w:val="00182C34"/>
    <w:rsid w:val="00182CB0"/>
    <w:rsid w:val="00182D62"/>
    <w:rsid w:val="00182D9D"/>
    <w:rsid w:val="00182DAB"/>
    <w:rsid w:val="00182E6A"/>
    <w:rsid w:val="00182EAB"/>
    <w:rsid w:val="00182F15"/>
    <w:rsid w:val="00182F27"/>
    <w:rsid w:val="00182F83"/>
    <w:rsid w:val="00182FA3"/>
    <w:rsid w:val="00182FCF"/>
    <w:rsid w:val="00182FF7"/>
    <w:rsid w:val="001830A4"/>
    <w:rsid w:val="001830B7"/>
    <w:rsid w:val="00183188"/>
    <w:rsid w:val="00183199"/>
    <w:rsid w:val="001831B5"/>
    <w:rsid w:val="001831E8"/>
    <w:rsid w:val="001832AD"/>
    <w:rsid w:val="00183366"/>
    <w:rsid w:val="00183467"/>
    <w:rsid w:val="001834D5"/>
    <w:rsid w:val="00183607"/>
    <w:rsid w:val="0018381E"/>
    <w:rsid w:val="0018391D"/>
    <w:rsid w:val="00183943"/>
    <w:rsid w:val="0018395A"/>
    <w:rsid w:val="00183965"/>
    <w:rsid w:val="001839D8"/>
    <w:rsid w:val="001839E2"/>
    <w:rsid w:val="001839E9"/>
    <w:rsid w:val="00183A05"/>
    <w:rsid w:val="00183A24"/>
    <w:rsid w:val="00183A6B"/>
    <w:rsid w:val="00183AF5"/>
    <w:rsid w:val="00183B07"/>
    <w:rsid w:val="00183B75"/>
    <w:rsid w:val="00183EC8"/>
    <w:rsid w:val="001840E0"/>
    <w:rsid w:val="001841EB"/>
    <w:rsid w:val="001843AA"/>
    <w:rsid w:val="001843B8"/>
    <w:rsid w:val="00184402"/>
    <w:rsid w:val="0018451F"/>
    <w:rsid w:val="001846C3"/>
    <w:rsid w:val="00184709"/>
    <w:rsid w:val="0018474A"/>
    <w:rsid w:val="0018486F"/>
    <w:rsid w:val="0018488C"/>
    <w:rsid w:val="001848B1"/>
    <w:rsid w:val="00184973"/>
    <w:rsid w:val="00184B14"/>
    <w:rsid w:val="00184CEA"/>
    <w:rsid w:val="00184DC4"/>
    <w:rsid w:val="00184DED"/>
    <w:rsid w:val="00184F74"/>
    <w:rsid w:val="00185015"/>
    <w:rsid w:val="00185078"/>
    <w:rsid w:val="00185092"/>
    <w:rsid w:val="001851F4"/>
    <w:rsid w:val="00185230"/>
    <w:rsid w:val="0018525D"/>
    <w:rsid w:val="0018527D"/>
    <w:rsid w:val="001852F8"/>
    <w:rsid w:val="0018535F"/>
    <w:rsid w:val="00185388"/>
    <w:rsid w:val="001853A0"/>
    <w:rsid w:val="001854B7"/>
    <w:rsid w:val="001854DC"/>
    <w:rsid w:val="00185566"/>
    <w:rsid w:val="001855B5"/>
    <w:rsid w:val="00185691"/>
    <w:rsid w:val="0018578C"/>
    <w:rsid w:val="001857E5"/>
    <w:rsid w:val="001857EC"/>
    <w:rsid w:val="001858FF"/>
    <w:rsid w:val="001859E6"/>
    <w:rsid w:val="00185A63"/>
    <w:rsid w:val="00185AB4"/>
    <w:rsid w:val="00185B25"/>
    <w:rsid w:val="00185C01"/>
    <w:rsid w:val="00185D0E"/>
    <w:rsid w:val="00185E12"/>
    <w:rsid w:val="00185E3C"/>
    <w:rsid w:val="001860F7"/>
    <w:rsid w:val="001861F1"/>
    <w:rsid w:val="0018623D"/>
    <w:rsid w:val="001863C0"/>
    <w:rsid w:val="001864D8"/>
    <w:rsid w:val="001865DE"/>
    <w:rsid w:val="00186602"/>
    <w:rsid w:val="0018665B"/>
    <w:rsid w:val="00186735"/>
    <w:rsid w:val="0018673B"/>
    <w:rsid w:val="00186965"/>
    <w:rsid w:val="00186AEE"/>
    <w:rsid w:val="00186B02"/>
    <w:rsid w:val="00186B26"/>
    <w:rsid w:val="00186B5F"/>
    <w:rsid w:val="00186C60"/>
    <w:rsid w:val="00186C74"/>
    <w:rsid w:val="00186CE8"/>
    <w:rsid w:val="00186D56"/>
    <w:rsid w:val="00186E27"/>
    <w:rsid w:val="00186F7A"/>
    <w:rsid w:val="00187076"/>
    <w:rsid w:val="0018714A"/>
    <w:rsid w:val="001871B4"/>
    <w:rsid w:val="00187270"/>
    <w:rsid w:val="001873A2"/>
    <w:rsid w:val="001873BB"/>
    <w:rsid w:val="001873D0"/>
    <w:rsid w:val="001874E3"/>
    <w:rsid w:val="001875FD"/>
    <w:rsid w:val="00187648"/>
    <w:rsid w:val="00187697"/>
    <w:rsid w:val="001876B1"/>
    <w:rsid w:val="001879B8"/>
    <w:rsid w:val="00187A5C"/>
    <w:rsid w:val="00187ADF"/>
    <w:rsid w:val="00187B8F"/>
    <w:rsid w:val="00187BAE"/>
    <w:rsid w:val="00187BF0"/>
    <w:rsid w:val="00187C8B"/>
    <w:rsid w:val="00187CBB"/>
    <w:rsid w:val="00187D4F"/>
    <w:rsid w:val="00187EAD"/>
    <w:rsid w:val="00187EB4"/>
    <w:rsid w:val="00187FDD"/>
    <w:rsid w:val="00187FE7"/>
    <w:rsid w:val="001901B2"/>
    <w:rsid w:val="00190209"/>
    <w:rsid w:val="00190271"/>
    <w:rsid w:val="001902E7"/>
    <w:rsid w:val="0019052D"/>
    <w:rsid w:val="00190552"/>
    <w:rsid w:val="001906ED"/>
    <w:rsid w:val="0019071B"/>
    <w:rsid w:val="001907A7"/>
    <w:rsid w:val="001907E0"/>
    <w:rsid w:val="001908B8"/>
    <w:rsid w:val="001908FD"/>
    <w:rsid w:val="00190965"/>
    <w:rsid w:val="00190973"/>
    <w:rsid w:val="00190A21"/>
    <w:rsid w:val="00190A6C"/>
    <w:rsid w:val="00190B45"/>
    <w:rsid w:val="00190BFD"/>
    <w:rsid w:val="00190EF5"/>
    <w:rsid w:val="00190F65"/>
    <w:rsid w:val="00190FB3"/>
    <w:rsid w:val="00190FD8"/>
    <w:rsid w:val="00191048"/>
    <w:rsid w:val="0019113D"/>
    <w:rsid w:val="0019119A"/>
    <w:rsid w:val="0019124D"/>
    <w:rsid w:val="001912CC"/>
    <w:rsid w:val="00191378"/>
    <w:rsid w:val="00191465"/>
    <w:rsid w:val="0019146C"/>
    <w:rsid w:val="001914B8"/>
    <w:rsid w:val="00191518"/>
    <w:rsid w:val="00191552"/>
    <w:rsid w:val="00191553"/>
    <w:rsid w:val="00191591"/>
    <w:rsid w:val="00191608"/>
    <w:rsid w:val="00191662"/>
    <w:rsid w:val="0019168C"/>
    <w:rsid w:val="0019169C"/>
    <w:rsid w:val="001916C1"/>
    <w:rsid w:val="00191795"/>
    <w:rsid w:val="001917A8"/>
    <w:rsid w:val="00191883"/>
    <w:rsid w:val="00191B54"/>
    <w:rsid w:val="00191BF1"/>
    <w:rsid w:val="00191C5C"/>
    <w:rsid w:val="00191CC6"/>
    <w:rsid w:val="00191D15"/>
    <w:rsid w:val="00191DBF"/>
    <w:rsid w:val="00191E2C"/>
    <w:rsid w:val="00191E4D"/>
    <w:rsid w:val="00191FF4"/>
    <w:rsid w:val="001920A3"/>
    <w:rsid w:val="00192102"/>
    <w:rsid w:val="001921AB"/>
    <w:rsid w:val="001922CE"/>
    <w:rsid w:val="001922ED"/>
    <w:rsid w:val="00192387"/>
    <w:rsid w:val="001923A1"/>
    <w:rsid w:val="001923CA"/>
    <w:rsid w:val="00192414"/>
    <w:rsid w:val="0019245C"/>
    <w:rsid w:val="001924B8"/>
    <w:rsid w:val="00192553"/>
    <w:rsid w:val="0019257A"/>
    <w:rsid w:val="001925C5"/>
    <w:rsid w:val="00192622"/>
    <w:rsid w:val="00192654"/>
    <w:rsid w:val="001927E3"/>
    <w:rsid w:val="001927FB"/>
    <w:rsid w:val="00192906"/>
    <w:rsid w:val="00192A55"/>
    <w:rsid w:val="00192C60"/>
    <w:rsid w:val="00192CD2"/>
    <w:rsid w:val="00192DB7"/>
    <w:rsid w:val="00192DBB"/>
    <w:rsid w:val="00192F20"/>
    <w:rsid w:val="00192F6F"/>
    <w:rsid w:val="00192FA8"/>
    <w:rsid w:val="00192FD7"/>
    <w:rsid w:val="001930C6"/>
    <w:rsid w:val="001931A6"/>
    <w:rsid w:val="00193202"/>
    <w:rsid w:val="00193222"/>
    <w:rsid w:val="001933C0"/>
    <w:rsid w:val="001933CB"/>
    <w:rsid w:val="00193452"/>
    <w:rsid w:val="0019348C"/>
    <w:rsid w:val="00193544"/>
    <w:rsid w:val="001935B9"/>
    <w:rsid w:val="0019368E"/>
    <w:rsid w:val="001936A4"/>
    <w:rsid w:val="0019385B"/>
    <w:rsid w:val="001938AC"/>
    <w:rsid w:val="001938F2"/>
    <w:rsid w:val="0019392D"/>
    <w:rsid w:val="00193A80"/>
    <w:rsid w:val="00193AE0"/>
    <w:rsid w:val="00193B29"/>
    <w:rsid w:val="00193C80"/>
    <w:rsid w:val="00193CF8"/>
    <w:rsid w:val="00193E5F"/>
    <w:rsid w:val="00193ED1"/>
    <w:rsid w:val="0019401E"/>
    <w:rsid w:val="0019405A"/>
    <w:rsid w:val="0019415A"/>
    <w:rsid w:val="001941B3"/>
    <w:rsid w:val="001942EB"/>
    <w:rsid w:val="001942F2"/>
    <w:rsid w:val="0019441A"/>
    <w:rsid w:val="00194567"/>
    <w:rsid w:val="001947BD"/>
    <w:rsid w:val="0019483C"/>
    <w:rsid w:val="0019485F"/>
    <w:rsid w:val="001948EC"/>
    <w:rsid w:val="00194B3B"/>
    <w:rsid w:val="00194D05"/>
    <w:rsid w:val="00194D72"/>
    <w:rsid w:val="00194DAF"/>
    <w:rsid w:val="00194E4D"/>
    <w:rsid w:val="00194E5D"/>
    <w:rsid w:val="00194EA8"/>
    <w:rsid w:val="00194FC7"/>
    <w:rsid w:val="00194FCA"/>
    <w:rsid w:val="00194FD2"/>
    <w:rsid w:val="00195083"/>
    <w:rsid w:val="00195172"/>
    <w:rsid w:val="001952D9"/>
    <w:rsid w:val="00195347"/>
    <w:rsid w:val="00195596"/>
    <w:rsid w:val="0019566E"/>
    <w:rsid w:val="00195960"/>
    <w:rsid w:val="00195B9A"/>
    <w:rsid w:val="00195C10"/>
    <w:rsid w:val="00195C73"/>
    <w:rsid w:val="00195C78"/>
    <w:rsid w:val="00195D47"/>
    <w:rsid w:val="00195EF2"/>
    <w:rsid w:val="0019611C"/>
    <w:rsid w:val="001962D6"/>
    <w:rsid w:val="0019631C"/>
    <w:rsid w:val="001964BE"/>
    <w:rsid w:val="0019650E"/>
    <w:rsid w:val="00196549"/>
    <w:rsid w:val="001965C4"/>
    <w:rsid w:val="001966FE"/>
    <w:rsid w:val="00196721"/>
    <w:rsid w:val="0019672E"/>
    <w:rsid w:val="0019674E"/>
    <w:rsid w:val="0019679D"/>
    <w:rsid w:val="001968E2"/>
    <w:rsid w:val="00196943"/>
    <w:rsid w:val="00196B1B"/>
    <w:rsid w:val="00196B35"/>
    <w:rsid w:val="00196B4B"/>
    <w:rsid w:val="00196BC4"/>
    <w:rsid w:val="00196BC9"/>
    <w:rsid w:val="00196C78"/>
    <w:rsid w:val="00196D6A"/>
    <w:rsid w:val="00196E6B"/>
    <w:rsid w:val="00196FFD"/>
    <w:rsid w:val="00197060"/>
    <w:rsid w:val="001972AB"/>
    <w:rsid w:val="00197348"/>
    <w:rsid w:val="00197660"/>
    <w:rsid w:val="001976AE"/>
    <w:rsid w:val="001978EB"/>
    <w:rsid w:val="00197913"/>
    <w:rsid w:val="00197A92"/>
    <w:rsid w:val="00197B19"/>
    <w:rsid w:val="00197C09"/>
    <w:rsid w:val="00197CD1"/>
    <w:rsid w:val="00197D61"/>
    <w:rsid w:val="00197E7F"/>
    <w:rsid w:val="00197EAD"/>
    <w:rsid w:val="00197F8E"/>
    <w:rsid w:val="00197FA9"/>
    <w:rsid w:val="001A0045"/>
    <w:rsid w:val="001A0146"/>
    <w:rsid w:val="001A0158"/>
    <w:rsid w:val="001A0173"/>
    <w:rsid w:val="001A020F"/>
    <w:rsid w:val="001A03AD"/>
    <w:rsid w:val="001A0580"/>
    <w:rsid w:val="001A0623"/>
    <w:rsid w:val="001A0838"/>
    <w:rsid w:val="001A088D"/>
    <w:rsid w:val="001A091C"/>
    <w:rsid w:val="001A09B0"/>
    <w:rsid w:val="001A0AE5"/>
    <w:rsid w:val="001A0BB8"/>
    <w:rsid w:val="001A0C37"/>
    <w:rsid w:val="001A0D1A"/>
    <w:rsid w:val="001A0DBA"/>
    <w:rsid w:val="001A0E14"/>
    <w:rsid w:val="001A0E9C"/>
    <w:rsid w:val="001A1264"/>
    <w:rsid w:val="001A126E"/>
    <w:rsid w:val="001A12BC"/>
    <w:rsid w:val="001A12DD"/>
    <w:rsid w:val="001A132B"/>
    <w:rsid w:val="001A135D"/>
    <w:rsid w:val="001A13F8"/>
    <w:rsid w:val="001A145A"/>
    <w:rsid w:val="001A1467"/>
    <w:rsid w:val="001A149C"/>
    <w:rsid w:val="001A151B"/>
    <w:rsid w:val="001A1574"/>
    <w:rsid w:val="001A1618"/>
    <w:rsid w:val="001A1638"/>
    <w:rsid w:val="001A16EE"/>
    <w:rsid w:val="001A16FF"/>
    <w:rsid w:val="001A182A"/>
    <w:rsid w:val="001A18CC"/>
    <w:rsid w:val="001A1919"/>
    <w:rsid w:val="001A19C2"/>
    <w:rsid w:val="001A19DE"/>
    <w:rsid w:val="001A1AAC"/>
    <w:rsid w:val="001A1AB8"/>
    <w:rsid w:val="001A1C21"/>
    <w:rsid w:val="001A1C3B"/>
    <w:rsid w:val="001A1F56"/>
    <w:rsid w:val="001A203D"/>
    <w:rsid w:val="001A2079"/>
    <w:rsid w:val="001A2099"/>
    <w:rsid w:val="001A20A9"/>
    <w:rsid w:val="001A20F3"/>
    <w:rsid w:val="001A21D5"/>
    <w:rsid w:val="001A226F"/>
    <w:rsid w:val="001A2276"/>
    <w:rsid w:val="001A22BB"/>
    <w:rsid w:val="001A2365"/>
    <w:rsid w:val="001A23AA"/>
    <w:rsid w:val="001A23B7"/>
    <w:rsid w:val="001A241E"/>
    <w:rsid w:val="001A253E"/>
    <w:rsid w:val="001A2540"/>
    <w:rsid w:val="001A2571"/>
    <w:rsid w:val="001A25AB"/>
    <w:rsid w:val="001A25D3"/>
    <w:rsid w:val="001A266F"/>
    <w:rsid w:val="001A2850"/>
    <w:rsid w:val="001A2B49"/>
    <w:rsid w:val="001A2B6D"/>
    <w:rsid w:val="001A2C05"/>
    <w:rsid w:val="001A2D3E"/>
    <w:rsid w:val="001A2DC5"/>
    <w:rsid w:val="001A2E6A"/>
    <w:rsid w:val="001A2EC0"/>
    <w:rsid w:val="001A2EC5"/>
    <w:rsid w:val="001A2ECE"/>
    <w:rsid w:val="001A2F1D"/>
    <w:rsid w:val="001A2F34"/>
    <w:rsid w:val="001A2F7F"/>
    <w:rsid w:val="001A2FA3"/>
    <w:rsid w:val="001A30E1"/>
    <w:rsid w:val="001A3214"/>
    <w:rsid w:val="001A3224"/>
    <w:rsid w:val="001A3304"/>
    <w:rsid w:val="001A3309"/>
    <w:rsid w:val="001A3380"/>
    <w:rsid w:val="001A33A8"/>
    <w:rsid w:val="001A34BC"/>
    <w:rsid w:val="001A3572"/>
    <w:rsid w:val="001A358E"/>
    <w:rsid w:val="001A3823"/>
    <w:rsid w:val="001A3878"/>
    <w:rsid w:val="001A3881"/>
    <w:rsid w:val="001A39D8"/>
    <w:rsid w:val="001A3A80"/>
    <w:rsid w:val="001A3A92"/>
    <w:rsid w:val="001A3AB6"/>
    <w:rsid w:val="001A3B9D"/>
    <w:rsid w:val="001A3C1B"/>
    <w:rsid w:val="001A3D03"/>
    <w:rsid w:val="001A3E27"/>
    <w:rsid w:val="001A3E98"/>
    <w:rsid w:val="001A3EFE"/>
    <w:rsid w:val="001A3F49"/>
    <w:rsid w:val="001A4061"/>
    <w:rsid w:val="001A417D"/>
    <w:rsid w:val="001A42A6"/>
    <w:rsid w:val="001A42BF"/>
    <w:rsid w:val="001A42F6"/>
    <w:rsid w:val="001A434F"/>
    <w:rsid w:val="001A4355"/>
    <w:rsid w:val="001A4358"/>
    <w:rsid w:val="001A439E"/>
    <w:rsid w:val="001A4554"/>
    <w:rsid w:val="001A4557"/>
    <w:rsid w:val="001A45FA"/>
    <w:rsid w:val="001A46EE"/>
    <w:rsid w:val="001A4749"/>
    <w:rsid w:val="001A47CA"/>
    <w:rsid w:val="001A48FC"/>
    <w:rsid w:val="001A4910"/>
    <w:rsid w:val="001A4B28"/>
    <w:rsid w:val="001A4BAC"/>
    <w:rsid w:val="001A4BB3"/>
    <w:rsid w:val="001A4BB7"/>
    <w:rsid w:val="001A4BEA"/>
    <w:rsid w:val="001A4C05"/>
    <w:rsid w:val="001A4CCA"/>
    <w:rsid w:val="001A4CCD"/>
    <w:rsid w:val="001A4CEA"/>
    <w:rsid w:val="001A4DA1"/>
    <w:rsid w:val="001A4E4D"/>
    <w:rsid w:val="001A4EFD"/>
    <w:rsid w:val="001A4F15"/>
    <w:rsid w:val="001A4F36"/>
    <w:rsid w:val="001A4F39"/>
    <w:rsid w:val="001A50D1"/>
    <w:rsid w:val="001A517A"/>
    <w:rsid w:val="001A51C8"/>
    <w:rsid w:val="001A529D"/>
    <w:rsid w:val="001A5361"/>
    <w:rsid w:val="001A5388"/>
    <w:rsid w:val="001A5522"/>
    <w:rsid w:val="001A55D2"/>
    <w:rsid w:val="001A5614"/>
    <w:rsid w:val="001A57CB"/>
    <w:rsid w:val="001A58C7"/>
    <w:rsid w:val="001A596B"/>
    <w:rsid w:val="001A59D5"/>
    <w:rsid w:val="001A5ABD"/>
    <w:rsid w:val="001A5BA5"/>
    <w:rsid w:val="001A5C17"/>
    <w:rsid w:val="001A5C86"/>
    <w:rsid w:val="001A5D07"/>
    <w:rsid w:val="001A5D52"/>
    <w:rsid w:val="001A5E1F"/>
    <w:rsid w:val="001A5F27"/>
    <w:rsid w:val="001A5F65"/>
    <w:rsid w:val="001A6169"/>
    <w:rsid w:val="001A61C9"/>
    <w:rsid w:val="001A620A"/>
    <w:rsid w:val="001A62B4"/>
    <w:rsid w:val="001A63B9"/>
    <w:rsid w:val="001A641B"/>
    <w:rsid w:val="001A657A"/>
    <w:rsid w:val="001A6767"/>
    <w:rsid w:val="001A6881"/>
    <w:rsid w:val="001A68D8"/>
    <w:rsid w:val="001A68F1"/>
    <w:rsid w:val="001A697F"/>
    <w:rsid w:val="001A6A92"/>
    <w:rsid w:val="001A6ADE"/>
    <w:rsid w:val="001A6AF8"/>
    <w:rsid w:val="001A6C60"/>
    <w:rsid w:val="001A6CC8"/>
    <w:rsid w:val="001A6D16"/>
    <w:rsid w:val="001A6DA1"/>
    <w:rsid w:val="001A6E6F"/>
    <w:rsid w:val="001A6EC8"/>
    <w:rsid w:val="001A6EFC"/>
    <w:rsid w:val="001A6F55"/>
    <w:rsid w:val="001A6F5E"/>
    <w:rsid w:val="001A6F8F"/>
    <w:rsid w:val="001A738D"/>
    <w:rsid w:val="001A73AA"/>
    <w:rsid w:val="001A750F"/>
    <w:rsid w:val="001A758D"/>
    <w:rsid w:val="001A7870"/>
    <w:rsid w:val="001A7871"/>
    <w:rsid w:val="001A788D"/>
    <w:rsid w:val="001A78D7"/>
    <w:rsid w:val="001A78FF"/>
    <w:rsid w:val="001A7AA1"/>
    <w:rsid w:val="001A7AA8"/>
    <w:rsid w:val="001A7B4E"/>
    <w:rsid w:val="001A7B60"/>
    <w:rsid w:val="001A7BFC"/>
    <w:rsid w:val="001A7CD9"/>
    <w:rsid w:val="001A7D29"/>
    <w:rsid w:val="001A7D53"/>
    <w:rsid w:val="001A7D8A"/>
    <w:rsid w:val="001A7E0C"/>
    <w:rsid w:val="001A7E1D"/>
    <w:rsid w:val="001A7E26"/>
    <w:rsid w:val="001A7F06"/>
    <w:rsid w:val="001A7F21"/>
    <w:rsid w:val="001A7FB1"/>
    <w:rsid w:val="001A7FE1"/>
    <w:rsid w:val="001B001A"/>
    <w:rsid w:val="001B00D9"/>
    <w:rsid w:val="001B010E"/>
    <w:rsid w:val="001B0124"/>
    <w:rsid w:val="001B0161"/>
    <w:rsid w:val="001B01CC"/>
    <w:rsid w:val="001B0307"/>
    <w:rsid w:val="001B03FF"/>
    <w:rsid w:val="001B0416"/>
    <w:rsid w:val="001B043D"/>
    <w:rsid w:val="001B0456"/>
    <w:rsid w:val="001B054B"/>
    <w:rsid w:val="001B0588"/>
    <w:rsid w:val="001B0599"/>
    <w:rsid w:val="001B0707"/>
    <w:rsid w:val="001B07C8"/>
    <w:rsid w:val="001B088F"/>
    <w:rsid w:val="001B08C7"/>
    <w:rsid w:val="001B08DC"/>
    <w:rsid w:val="001B093C"/>
    <w:rsid w:val="001B09AE"/>
    <w:rsid w:val="001B0AE2"/>
    <w:rsid w:val="001B0B1C"/>
    <w:rsid w:val="001B0BD7"/>
    <w:rsid w:val="001B0C1A"/>
    <w:rsid w:val="001B0CAE"/>
    <w:rsid w:val="001B0CE6"/>
    <w:rsid w:val="001B0D55"/>
    <w:rsid w:val="001B0DCE"/>
    <w:rsid w:val="001B0DE3"/>
    <w:rsid w:val="001B0E30"/>
    <w:rsid w:val="001B0E4F"/>
    <w:rsid w:val="001B0F26"/>
    <w:rsid w:val="001B10A3"/>
    <w:rsid w:val="001B10BE"/>
    <w:rsid w:val="001B10FB"/>
    <w:rsid w:val="001B1131"/>
    <w:rsid w:val="001B11BF"/>
    <w:rsid w:val="001B12F9"/>
    <w:rsid w:val="001B1351"/>
    <w:rsid w:val="001B1433"/>
    <w:rsid w:val="001B145A"/>
    <w:rsid w:val="001B152A"/>
    <w:rsid w:val="001B157F"/>
    <w:rsid w:val="001B1660"/>
    <w:rsid w:val="001B16D8"/>
    <w:rsid w:val="001B17C7"/>
    <w:rsid w:val="001B1801"/>
    <w:rsid w:val="001B1824"/>
    <w:rsid w:val="001B1882"/>
    <w:rsid w:val="001B18E6"/>
    <w:rsid w:val="001B1964"/>
    <w:rsid w:val="001B19A6"/>
    <w:rsid w:val="001B19A8"/>
    <w:rsid w:val="001B1AC6"/>
    <w:rsid w:val="001B1ACC"/>
    <w:rsid w:val="001B1B88"/>
    <w:rsid w:val="001B1BE2"/>
    <w:rsid w:val="001B1CF4"/>
    <w:rsid w:val="001B1D23"/>
    <w:rsid w:val="001B1D2E"/>
    <w:rsid w:val="001B1E3F"/>
    <w:rsid w:val="001B1F13"/>
    <w:rsid w:val="001B212F"/>
    <w:rsid w:val="001B213E"/>
    <w:rsid w:val="001B215C"/>
    <w:rsid w:val="001B21A0"/>
    <w:rsid w:val="001B21E7"/>
    <w:rsid w:val="001B21EC"/>
    <w:rsid w:val="001B221E"/>
    <w:rsid w:val="001B22E1"/>
    <w:rsid w:val="001B2314"/>
    <w:rsid w:val="001B2361"/>
    <w:rsid w:val="001B23BB"/>
    <w:rsid w:val="001B23D9"/>
    <w:rsid w:val="001B247D"/>
    <w:rsid w:val="001B2519"/>
    <w:rsid w:val="001B259A"/>
    <w:rsid w:val="001B25B5"/>
    <w:rsid w:val="001B2684"/>
    <w:rsid w:val="001B26E1"/>
    <w:rsid w:val="001B2726"/>
    <w:rsid w:val="001B2766"/>
    <w:rsid w:val="001B27E1"/>
    <w:rsid w:val="001B2A05"/>
    <w:rsid w:val="001B2CAB"/>
    <w:rsid w:val="001B2E74"/>
    <w:rsid w:val="001B2E82"/>
    <w:rsid w:val="001B3044"/>
    <w:rsid w:val="001B3064"/>
    <w:rsid w:val="001B30C0"/>
    <w:rsid w:val="001B30C3"/>
    <w:rsid w:val="001B3189"/>
    <w:rsid w:val="001B31AD"/>
    <w:rsid w:val="001B32B2"/>
    <w:rsid w:val="001B33F5"/>
    <w:rsid w:val="001B3536"/>
    <w:rsid w:val="001B35C6"/>
    <w:rsid w:val="001B35C7"/>
    <w:rsid w:val="001B3607"/>
    <w:rsid w:val="001B363E"/>
    <w:rsid w:val="001B3645"/>
    <w:rsid w:val="001B36E6"/>
    <w:rsid w:val="001B3719"/>
    <w:rsid w:val="001B37D4"/>
    <w:rsid w:val="001B3822"/>
    <w:rsid w:val="001B3A2E"/>
    <w:rsid w:val="001B3AF3"/>
    <w:rsid w:val="001B3BB5"/>
    <w:rsid w:val="001B3C24"/>
    <w:rsid w:val="001B3CDF"/>
    <w:rsid w:val="001B3D9E"/>
    <w:rsid w:val="001B3E9D"/>
    <w:rsid w:val="001B3F5B"/>
    <w:rsid w:val="001B3F62"/>
    <w:rsid w:val="001B3F92"/>
    <w:rsid w:val="001B3FA7"/>
    <w:rsid w:val="001B3FC6"/>
    <w:rsid w:val="001B3FEC"/>
    <w:rsid w:val="001B4063"/>
    <w:rsid w:val="001B431D"/>
    <w:rsid w:val="001B43A2"/>
    <w:rsid w:val="001B4414"/>
    <w:rsid w:val="001B442A"/>
    <w:rsid w:val="001B44DA"/>
    <w:rsid w:val="001B4599"/>
    <w:rsid w:val="001B45AE"/>
    <w:rsid w:val="001B45F1"/>
    <w:rsid w:val="001B46AA"/>
    <w:rsid w:val="001B4814"/>
    <w:rsid w:val="001B490B"/>
    <w:rsid w:val="001B4B4B"/>
    <w:rsid w:val="001B4B51"/>
    <w:rsid w:val="001B4B9D"/>
    <w:rsid w:val="001B4BEB"/>
    <w:rsid w:val="001B4C6D"/>
    <w:rsid w:val="001B4C8E"/>
    <w:rsid w:val="001B4C9E"/>
    <w:rsid w:val="001B4DD5"/>
    <w:rsid w:val="001B4DEA"/>
    <w:rsid w:val="001B4E46"/>
    <w:rsid w:val="001B4FE0"/>
    <w:rsid w:val="001B509F"/>
    <w:rsid w:val="001B50F7"/>
    <w:rsid w:val="001B51DE"/>
    <w:rsid w:val="001B53C8"/>
    <w:rsid w:val="001B540E"/>
    <w:rsid w:val="001B5423"/>
    <w:rsid w:val="001B543D"/>
    <w:rsid w:val="001B5488"/>
    <w:rsid w:val="001B556C"/>
    <w:rsid w:val="001B5634"/>
    <w:rsid w:val="001B566A"/>
    <w:rsid w:val="001B5722"/>
    <w:rsid w:val="001B57BE"/>
    <w:rsid w:val="001B5805"/>
    <w:rsid w:val="001B580C"/>
    <w:rsid w:val="001B5895"/>
    <w:rsid w:val="001B5904"/>
    <w:rsid w:val="001B59D0"/>
    <w:rsid w:val="001B5A13"/>
    <w:rsid w:val="001B5A36"/>
    <w:rsid w:val="001B5B7E"/>
    <w:rsid w:val="001B5C4E"/>
    <w:rsid w:val="001B5D5B"/>
    <w:rsid w:val="001B5E91"/>
    <w:rsid w:val="001B5ECD"/>
    <w:rsid w:val="001B5F23"/>
    <w:rsid w:val="001B5FC3"/>
    <w:rsid w:val="001B6069"/>
    <w:rsid w:val="001B60A6"/>
    <w:rsid w:val="001B60A7"/>
    <w:rsid w:val="001B60B7"/>
    <w:rsid w:val="001B60B9"/>
    <w:rsid w:val="001B60D6"/>
    <w:rsid w:val="001B60F0"/>
    <w:rsid w:val="001B61A2"/>
    <w:rsid w:val="001B61EB"/>
    <w:rsid w:val="001B6266"/>
    <w:rsid w:val="001B6299"/>
    <w:rsid w:val="001B6395"/>
    <w:rsid w:val="001B63C8"/>
    <w:rsid w:val="001B63F9"/>
    <w:rsid w:val="001B640C"/>
    <w:rsid w:val="001B642B"/>
    <w:rsid w:val="001B6875"/>
    <w:rsid w:val="001B687A"/>
    <w:rsid w:val="001B6908"/>
    <w:rsid w:val="001B69B0"/>
    <w:rsid w:val="001B6C00"/>
    <w:rsid w:val="001B6C07"/>
    <w:rsid w:val="001B6E15"/>
    <w:rsid w:val="001B6EB6"/>
    <w:rsid w:val="001B6FAD"/>
    <w:rsid w:val="001B6FBA"/>
    <w:rsid w:val="001B6FCD"/>
    <w:rsid w:val="001B7143"/>
    <w:rsid w:val="001B7190"/>
    <w:rsid w:val="001B722C"/>
    <w:rsid w:val="001B729B"/>
    <w:rsid w:val="001B7407"/>
    <w:rsid w:val="001B7449"/>
    <w:rsid w:val="001B7486"/>
    <w:rsid w:val="001B75AE"/>
    <w:rsid w:val="001B75B8"/>
    <w:rsid w:val="001B764C"/>
    <w:rsid w:val="001B7677"/>
    <w:rsid w:val="001B7723"/>
    <w:rsid w:val="001B777C"/>
    <w:rsid w:val="001B77F6"/>
    <w:rsid w:val="001B7824"/>
    <w:rsid w:val="001B785A"/>
    <w:rsid w:val="001B7BD8"/>
    <w:rsid w:val="001B7BE8"/>
    <w:rsid w:val="001B7CEB"/>
    <w:rsid w:val="001B7CFA"/>
    <w:rsid w:val="001B7D90"/>
    <w:rsid w:val="001B7E03"/>
    <w:rsid w:val="001B7E8F"/>
    <w:rsid w:val="001B7EE9"/>
    <w:rsid w:val="001B7F00"/>
    <w:rsid w:val="001B7F18"/>
    <w:rsid w:val="001B7F70"/>
    <w:rsid w:val="001B7FF4"/>
    <w:rsid w:val="001C0025"/>
    <w:rsid w:val="001C0042"/>
    <w:rsid w:val="001C0047"/>
    <w:rsid w:val="001C00EB"/>
    <w:rsid w:val="001C0144"/>
    <w:rsid w:val="001C01B6"/>
    <w:rsid w:val="001C01FC"/>
    <w:rsid w:val="001C0229"/>
    <w:rsid w:val="001C0253"/>
    <w:rsid w:val="001C02EB"/>
    <w:rsid w:val="001C0383"/>
    <w:rsid w:val="001C03A4"/>
    <w:rsid w:val="001C0492"/>
    <w:rsid w:val="001C04D6"/>
    <w:rsid w:val="001C0770"/>
    <w:rsid w:val="001C07F7"/>
    <w:rsid w:val="001C08C2"/>
    <w:rsid w:val="001C08F1"/>
    <w:rsid w:val="001C08F9"/>
    <w:rsid w:val="001C0943"/>
    <w:rsid w:val="001C09A7"/>
    <w:rsid w:val="001C0A17"/>
    <w:rsid w:val="001C0C13"/>
    <w:rsid w:val="001C0C42"/>
    <w:rsid w:val="001C0E33"/>
    <w:rsid w:val="001C0E4C"/>
    <w:rsid w:val="001C0FCF"/>
    <w:rsid w:val="001C1060"/>
    <w:rsid w:val="001C111C"/>
    <w:rsid w:val="001C113B"/>
    <w:rsid w:val="001C11ED"/>
    <w:rsid w:val="001C1247"/>
    <w:rsid w:val="001C137E"/>
    <w:rsid w:val="001C1463"/>
    <w:rsid w:val="001C1481"/>
    <w:rsid w:val="001C1569"/>
    <w:rsid w:val="001C1692"/>
    <w:rsid w:val="001C1960"/>
    <w:rsid w:val="001C1B43"/>
    <w:rsid w:val="001C1B5F"/>
    <w:rsid w:val="001C1BD2"/>
    <w:rsid w:val="001C1C54"/>
    <w:rsid w:val="001C1DFA"/>
    <w:rsid w:val="001C1E60"/>
    <w:rsid w:val="001C1E68"/>
    <w:rsid w:val="001C1E73"/>
    <w:rsid w:val="001C1E98"/>
    <w:rsid w:val="001C1E9C"/>
    <w:rsid w:val="001C2037"/>
    <w:rsid w:val="001C2111"/>
    <w:rsid w:val="001C214A"/>
    <w:rsid w:val="001C2236"/>
    <w:rsid w:val="001C22E7"/>
    <w:rsid w:val="001C23A2"/>
    <w:rsid w:val="001C2433"/>
    <w:rsid w:val="001C2573"/>
    <w:rsid w:val="001C25BE"/>
    <w:rsid w:val="001C25D2"/>
    <w:rsid w:val="001C2696"/>
    <w:rsid w:val="001C26A3"/>
    <w:rsid w:val="001C2830"/>
    <w:rsid w:val="001C290E"/>
    <w:rsid w:val="001C29F8"/>
    <w:rsid w:val="001C2B90"/>
    <w:rsid w:val="001C2BB5"/>
    <w:rsid w:val="001C2D18"/>
    <w:rsid w:val="001C2D49"/>
    <w:rsid w:val="001C2DB2"/>
    <w:rsid w:val="001C2DEC"/>
    <w:rsid w:val="001C2E25"/>
    <w:rsid w:val="001C2E9C"/>
    <w:rsid w:val="001C2F97"/>
    <w:rsid w:val="001C2F9B"/>
    <w:rsid w:val="001C2FB6"/>
    <w:rsid w:val="001C30B7"/>
    <w:rsid w:val="001C30E4"/>
    <w:rsid w:val="001C3168"/>
    <w:rsid w:val="001C31CA"/>
    <w:rsid w:val="001C31FE"/>
    <w:rsid w:val="001C341C"/>
    <w:rsid w:val="001C3491"/>
    <w:rsid w:val="001C34E9"/>
    <w:rsid w:val="001C351B"/>
    <w:rsid w:val="001C3630"/>
    <w:rsid w:val="001C3709"/>
    <w:rsid w:val="001C373D"/>
    <w:rsid w:val="001C37C1"/>
    <w:rsid w:val="001C380E"/>
    <w:rsid w:val="001C3814"/>
    <w:rsid w:val="001C3853"/>
    <w:rsid w:val="001C388D"/>
    <w:rsid w:val="001C38C4"/>
    <w:rsid w:val="001C39C6"/>
    <w:rsid w:val="001C3A07"/>
    <w:rsid w:val="001C3A6A"/>
    <w:rsid w:val="001C3A76"/>
    <w:rsid w:val="001C3A84"/>
    <w:rsid w:val="001C3A94"/>
    <w:rsid w:val="001C3A9D"/>
    <w:rsid w:val="001C3AAB"/>
    <w:rsid w:val="001C3AB8"/>
    <w:rsid w:val="001C3B76"/>
    <w:rsid w:val="001C3B7D"/>
    <w:rsid w:val="001C3BC7"/>
    <w:rsid w:val="001C3E71"/>
    <w:rsid w:val="001C3F0B"/>
    <w:rsid w:val="001C3F4F"/>
    <w:rsid w:val="001C4039"/>
    <w:rsid w:val="001C4071"/>
    <w:rsid w:val="001C40C2"/>
    <w:rsid w:val="001C40D7"/>
    <w:rsid w:val="001C4211"/>
    <w:rsid w:val="001C4215"/>
    <w:rsid w:val="001C425F"/>
    <w:rsid w:val="001C427A"/>
    <w:rsid w:val="001C42C1"/>
    <w:rsid w:val="001C42C5"/>
    <w:rsid w:val="001C4341"/>
    <w:rsid w:val="001C4417"/>
    <w:rsid w:val="001C4581"/>
    <w:rsid w:val="001C4589"/>
    <w:rsid w:val="001C4686"/>
    <w:rsid w:val="001C4697"/>
    <w:rsid w:val="001C47F1"/>
    <w:rsid w:val="001C4815"/>
    <w:rsid w:val="001C482B"/>
    <w:rsid w:val="001C49A6"/>
    <w:rsid w:val="001C4A53"/>
    <w:rsid w:val="001C4AE0"/>
    <w:rsid w:val="001C4AEA"/>
    <w:rsid w:val="001C4BEA"/>
    <w:rsid w:val="001C4C01"/>
    <w:rsid w:val="001C4C1F"/>
    <w:rsid w:val="001C4C6D"/>
    <w:rsid w:val="001C4D52"/>
    <w:rsid w:val="001C4E3F"/>
    <w:rsid w:val="001C4E4D"/>
    <w:rsid w:val="001C4EEB"/>
    <w:rsid w:val="001C4FEC"/>
    <w:rsid w:val="001C5046"/>
    <w:rsid w:val="001C5073"/>
    <w:rsid w:val="001C50B9"/>
    <w:rsid w:val="001C50CA"/>
    <w:rsid w:val="001C5104"/>
    <w:rsid w:val="001C5110"/>
    <w:rsid w:val="001C5183"/>
    <w:rsid w:val="001C5257"/>
    <w:rsid w:val="001C5286"/>
    <w:rsid w:val="001C52BD"/>
    <w:rsid w:val="001C52F7"/>
    <w:rsid w:val="001C53C9"/>
    <w:rsid w:val="001C53D8"/>
    <w:rsid w:val="001C540B"/>
    <w:rsid w:val="001C545D"/>
    <w:rsid w:val="001C5567"/>
    <w:rsid w:val="001C55A6"/>
    <w:rsid w:val="001C560D"/>
    <w:rsid w:val="001C5699"/>
    <w:rsid w:val="001C58D1"/>
    <w:rsid w:val="001C59C4"/>
    <w:rsid w:val="001C59EC"/>
    <w:rsid w:val="001C5A1D"/>
    <w:rsid w:val="001C5A93"/>
    <w:rsid w:val="001C5B32"/>
    <w:rsid w:val="001C5BD7"/>
    <w:rsid w:val="001C5C13"/>
    <w:rsid w:val="001C5C80"/>
    <w:rsid w:val="001C5CC7"/>
    <w:rsid w:val="001C5DA4"/>
    <w:rsid w:val="001C5E3C"/>
    <w:rsid w:val="001C5FC7"/>
    <w:rsid w:val="001C6035"/>
    <w:rsid w:val="001C6067"/>
    <w:rsid w:val="001C6259"/>
    <w:rsid w:val="001C6313"/>
    <w:rsid w:val="001C6380"/>
    <w:rsid w:val="001C6417"/>
    <w:rsid w:val="001C65F3"/>
    <w:rsid w:val="001C65F6"/>
    <w:rsid w:val="001C6612"/>
    <w:rsid w:val="001C661A"/>
    <w:rsid w:val="001C664F"/>
    <w:rsid w:val="001C6682"/>
    <w:rsid w:val="001C693C"/>
    <w:rsid w:val="001C697E"/>
    <w:rsid w:val="001C69D4"/>
    <w:rsid w:val="001C6A13"/>
    <w:rsid w:val="001C6A6C"/>
    <w:rsid w:val="001C6A6F"/>
    <w:rsid w:val="001C6B07"/>
    <w:rsid w:val="001C6B1E"/>
    <w:rsid w:val="001C6B5C"/>
    <w:rsid w:val="001C6C3F"/>
    <w:rsid w:val="001C6C4C"/>
    <w:rsid w:val="001C6C9F"/>
    <w:rsid w:val="001C6D58"/>
    <w:rsid w:val="001C6EE5"/>
    <w:rsid w:val="001C6F04"/>
    <w:rsid w:val="001C6FFE"/>
    <w:rsid w:val="001C7109"/>
    <w:rsid w:val="001C7110"/>
    <w:rsid w:val="001C7126"/>
    <w:rsid w:val="001C717D"/>
    <w:rsid w:val="001C722D"/>
    <w:rsid w:val="001C7290"/>
    <w:rsid w:val="001C72E4"/>
    <w:rsid w:val="001C7391"/>
    <w:rsid w:val="001C7422"/>
    <w:rsid w:val="001C7590"/>
    <w:rsid w:val="001C7647"/>
    <w:rsid w:val="001C76AD"/>
    <w:rsid w:val="001C7711"/>
    <w:rsid w:val="001C772E"/>
    <w:rsid w:val="001C7893"/>
    <w:rsid w:val="001C7A6F"/>
    <w:rsid w:val="001C7C36"/>
    <w:rsid w:val="001C7D8B"/>
    <w:rsid w:val="001C7F0C"/>
    <w:rsid w:val="001C7F94"/>
    <w:rsid w:val="001D0022"/>
    <w:rsid w:val="001D0114"/>
    <w:rsid w:val="001D0167"/>
    <w:rsid w:val="001D01B5"/>
    <w:rsid w:val="001D02B7"/>
    <w:rsid w:val="001D02C0"/>
    <w:rsid w:val="001D0525"/>
    <w:rsid w:val="001D05C2"/>
    <w:rsid w:val="001D05F8"/>
    <w:rsid w:val="001D060F"/>
    <w:rsid w:val="001D075C"/>
    <w:rsid w:val="001D0774"/>
    <w:rsid w:val="001D0782"/>
    <w:rsid w:val="001D07D6"/>
    <w:rsid w:val="001D080B"/>
    <w:rsid w:val="001D084B"/>
    <w:rsid w:val="001D0866"/>
    <w:rsid w:val="001D08F8"/>
    <w:rsid w:val="001D0979"/>
    <w:rsid w:val="001D0A7B"/>
    <w:rsid w:val="001D0A9F"/>
    <w:rsid w:val="001D0AD1"/>
    <w:rsid w:val="001D0B35"/>
    <w:rsid w:val="001D0B63"/>
    <w:rsid w:val="001D0B69"/>
    <w:rsid w:val="001D0BE3"/>
    <w:rsid w:val="001D0BE4"/>
    <w:rsid w:val="001D0CB2"/>
    <w:rsid w:val="001D0DBB"/>
    <w:rsid w:val="001D0DC5"/>
    <w:rsid w:val="001D0E9B"/>
    <w:rsid w:val="001D0EB9"/>
    <w:rsid w:val="001D1092"/>
    <w:rsid w:val="001D11CA"/>
    <w:rsid w:val="001D1359"/>
    <w:rsid w:val="001D136B"/>
    <w:rsid w:val="001D13A1"/>
    <w:rsid w:val="001D13EF"/>
    <w:rsid w:val="001D140F"/>
    <w:rsid w:val="001D1625"/>
    <w:rsid w:val="001D16E4"/>
    <w:rsid w:val="001D1755"/>
    <w:rsid w:val="001D1830"/>
    <w:rsid w:val="001D1876"/>
    <w:rsid w:val="001D18C4"/>
    <w:rsid w:val="001D1A3F"/>
    <w:rsid w:val="001D1BC8"/>
    <w:rsid w:val="001D1C73"/>
    <w:rsid w:val="001D1C97"/>
    <w:rsid w:val="001D1CAB"/>
    <w:rsid w:val="001D1DD7"/>
    <w:rsid w:val="001D1E27"/>
    <w:rsid w:val="001D1F40"/>
    <w:rsid w:val="001D1FD5"/>
    <w:rsid w:val="001D20EE"/>
    <w:rsid w:val="001D2230"/>
    <w:rsid w:val="001D22A7"/>
    <w:rsid w:val="001D22DA"/>
    <w:rsid w:val="001D25E1"/>
    <w:rsid w:val="001D2663"/>
    <w:rsid w:val="001D2691"/>
    <w:rsid w:val="001D2709"/>
    <w:rsid w:val="001D282A"/>
    <w:rsid w:val="001D28D2"/>
    <w:rsid w:val="001D291D"/>
    <w:rsid w:val="001D2989"/>
    <w:rsid w:val="001D2C97"/>
    <w:rsid w:val="001D2D0F"/>
    <w:rsid w:val="001D2D2C"/>
    <w:rsid w:val="001D2EB7"/>
    <w:rsid w:val="001D2FFD"/>
    <w:rsid w:val="001D3034"/>
    <w:rsid w:val="001D304D"/>
    <w:rsid w:val="001D307C"/>
    <w:rsid w:val="001D309C"/>
    <w:rsid w:val="001D31F7"/>
    <w:rsid w:val="001D3214"/>
    <w:rsid w:val="001D3302"/>
    <w:rsid w:val="001D3530"/>
    <w:rsid w:val="001D357F"/>
    <w:rsid w:val="001D35B2"/>
    <w:rsid w:val="001D35D5"/>
    <w:rsid w:val="001D375D"/>
    <w:rsid w:val="001D376A"/>
    <w:rsid w:val="001D37CE"/>
    <w:rsid w:val="001D3817"/>
    <w:rsid w:val="001D38DF"/>
    <w:rsid w:val="001D3940"/>
    <w:rsid w:val="001D3A2D"/>
    <w:rsid w:val="001D3BC5"/>
    <w:rsid w:val="001D3BD5"/>
    <w:rsid w:val="001D3BD9"/>
    <w:rsid w:val="001D3D3F"/>
    <w:rsid w:val="001D3D50"/>
    <w:rsid w:val="001D3E47"/>
    <w:rsid w:val="001D3F10"/>
    <w:rsid w:val="001D3FCE"/>
    <w:rsid w:val="001D41FA"/>
    <w:rsid w:val="001D431E"/>
    <w:rsid w:val="001D4363"/>
    <w:rsid w:val="001D4407"/>
    <w:rsid w:val="001D4450"/>
    <w:rsid w:val="001D452F"/>
    <w:rsid w:val="001D453D"/>
    <w:rsid w:val="001D45B4"/>
    <w:rsid w:val="001D4607"/>
    <w:rsid w:val="001D469D"/>
    <w:rsid w:val="001D47BA"/>
    <w:rsid w:val="001D488F"/>
    <w:rsid w:val="001D4966"/>
    <w:rsid w:val="001D4AD1"/>
    <w:rsid w:val="001D4AE5"/>
    <w:rsid w:val="001D4B48"/>
    <w:rsid w:val="001D4BE2"/>
    <w:rsid w:val="001D4D8E"/>
    <w:rsid w:val="001D4EEA"/>
    <w:rsid w:val="001D5049"/>
    <w:rsid w:val="001D514F"/>
    <w:rsid w:val="001D521E"/>
    <w:rsid w:val="001D555B"/>
    <w:rsid w:val="001D5607"/>
    <w:rsid w:val="001D572C"/>
    <w:rsid w:val="001D5809"/>
    <w:rsid w:val="001D591C"/>
    <w:rsid w:val="001D5A3C"/>
    <w:rsid w:val="001D5ADD"/>
    <w:rsid w:val="001D5B12"/>
    <w:rsid w:val="001D5B59"/>
    <w:rsid w:val="001D5BE8"/>
    <w:rsid w:val="001D5D1A"/>
    <w:rsid w:val="001D5D90"/>
    <w:rsid w:val="001D5DDF"/>
    <w:rsid w:val="001D5ED1"/>
    <w:rsid w:val="001D5F08"/>
    <w:rsid w:val="001D5F45"/>
    <w:rsid w:val="001D5FCD"/>
    <w:rsid w:val="001D5FDE"/>
    <w:rsid w:val="001D6151"/>
    <w:rsid w:val="001D628B"/>
    <w:rsid w:val="001D6309"/>
    <w:rsid w:val="001D6328"/>
    <w:rsid w:val="001D6375"/>
    <w:rsid w:val="001D64DE"/>
    <w:rsid w:val="001D675B"/>
    <w:rsid w:val="001D68F0"/>
    <w:rsid w:val="001D691A"/>
    <w:rsid w:val="001D6961"/>
    <w:rsid w:val="001D6A8B"/>
    <w:rsid w:val="001D6A9C"/>
    <w:rsid w:val="001D6ACD"/>
    <w:rsid w:val="001D6AFC"/>
    <w:rsid w:val="001D6B07"/>
    <w:rsid w:val="001D6C0D"/>
    <w:rsid w:val="001D6C89"/>
    <w:rsid w:val="001D6D97"/>
    <w:rsid w:val="001D6E0F"/>
    <w:rsid w:val="001D6E34"/>
    <w:rsid w:val="001D6E99"/>
    <w:rsid w:val="001D6EF0"/>
    <w:rsid w:val="001D6EF6"/>
    <w:rsid w:val="001D6F8C"/>
    <w:rsid w:val="001D7017"/>
    <w:rsid w:val="001D722D"/>
    <w:rsid w:val="001D7260"/>
    <w:rsid w:val="001D7275"/>
    <w:rsid w:val="001D7280"/>
    <w:rsid w:val="001D7404"/>
    <w:rsid w:val="001D7565"/>
    <w:rsid w:val="001D7677"/>
    <w:rsid w:val="001D76DD"/>
    <w:rsid w:val="001D786F"/>
    <w:rsid w:val="001D78BC"/>
    <w:rsid w:val="001D7AC1"/>
    <w:rsid w:val="001D7AFB"/>
    <w:rsid w:val="001D7BA5"/>
    <w:rsid w:val="001D7C3F"/>
    <w:rsid w:val="001D7C69"/>
    <w:rsid w:val="001D7CEC"/>
    <w:rsid w:val="001D7D0B"/>
    <w:rsid w:val="001D7D17"/>
    <w:rsid w:val="001D7DF6"/>
    <w:rsid w:val="001D7ED8"/>
    <w:rsid w:val="001D7F3E"/>
    <w:rsid w:val="001E0323"/>
    <w:rsid w:val="001E038B"/>
    <w:rsid w:val="001E03E8"/>
    <w:rsid w:val="001E04D4"/>
    <w:rsid w:val="001E0522"/>
    <w:rsid w:val="001E0583"/>
    <w:rsid w:val="001E06A3"/>
    <w:rsid w:val="001E0749"/>
    <w:rsid w:val="001E075C"/>
    <w:rsid w:val="001E07C6"/>
    <w:rsid w:val="001E0908"/>
    <w:rsid w:val="001E0933"/>
    <w:rsid w:val="001E09C6"/>
    <w:rsid w:val="001E0A49"/>
    <w:rsid w:val="001E0B13"/>
    <w:rsid w:val="001E0BAA"/>
    <w:rsid w:val="001E0C9B"/>
    <w:rsid w:val="001E0CC9"/>
    <w:rsid w:val="001E0CCB"/>
    <w:rsid w:val="001E0D44"/>
    <w:rsid w:val="001E0D67"/>
    <w:rsid w:val="001E0D7B"/>
    <w:rsid w:val="001E0DE1"/>
    <w:rsid w:val="001E0E7E"/>
    <w:rsid w:val="001E0ECE"/>
    <w:rsid w:val="001E0F10"/>
    <w:rsid w:val="001E0F69"/>
    <w:rsid w:val="001E0FAE"/>
    <w:rsid w:val="001E0FF9"/>
    <w:rsid w:val="001E100A"/>
    <w:rsid w:val="001E1114"/>
    <w:rsid w:val="001E12B8"/>
    <w:rsid w:val="001E130B"/>
    <w:rsid w:val="001E1362"/>
    <w:rsid w:val="001E142B"/>
    <w:rsid w:val="001E1534"/>
    <w:rsid w:val="001E16A6"/>
    <w:rsid w:val="001E16ED"/>
    <w:rsid w:val="001E17C3"/>
    <w:rsid w:val="001E17CF"/>
    <w:rsid w:val="001E182A"/>
    <w:rsid w:val="001E191D"/>
    <w:rsid w:val="001E1947"/>
    <w:rsid w:val="001E1A0E"/>
    <w:rsid w:val="001E1AEB"/>
    <w:rsid w:val="001E1B47"/>
    <w:rsid w:val="001E1BD9"/>
    <w:rsid w:val="001E1BE2"/>
    <w:rsid w:val="001E1C38"/>
    <w:rsid w:val="001E1C68"/>
    <w:rsid w:val="001E1C99"/>
    <w:rsid w:val="001E1D26"/>
    <w:rsid w:val="001E1E2F"/>
    <w:rsid w:val="001E1E48"/>
    <w:rsid w:val="001E1FAB"/>
    <w:rsid w:val="001E1FEE"/>
    <w:rsid w:val="001E204E"/>
    <w:rsid w:val="001E2087"/>
    <w:rsid w:val="001E20A7"/>
    <w:rsid w:val="001E21E7"/>
    <w:rsid w:val="001E2214"/>
    <w:rsid w:val="001E22A0"/>
    <w:rsid w:val="001E22D3"/>
    <w:rsid w:val="001E22F8"/>
    <w:rsid w:val="001E2304"/>
    <w:rsid w:val="001E230B"/>
    <w:rsid w:val="001E23E7"/>
    <w:rsid w:val="001E23FE"/>
    <w:rsid w:val="001E253F"/>
    <w:rsid w:val="001E270D"/>
    <w:rsid w:val="001E274D"/>
    <w:rsid w:val="001E2753"/>
    <w:rsid w:val="001E2839"/>
    <w:rsid w:val="001E2861"/>
    <w:rsid w:val="001E28D2"/>
    <w:rsid w:val="001E2940"/>
    <w:rsid w:val="001E29A7"/>
    <w:rsid w:val="001E2A49"/>
    <w:rsid w:val="001E2B99"/>
    <w:rsid w:val="001E2D80"/>
    <w:rsid w:val="001E2F97"/>
    <w:rsid w:val="001E316D"/>
    <w:rsid w:val="001E31F1"/>
    <w:rsid w:val="001E3204"/>
    <w:rsid w:val="001E3379"/>
    <w:rsid w:val="001E3462"/>
    <w:rsid w:val="001E3498"/>
    <w:rsid w:val="001E34C3"/>
    <w:rsid w:val="001E34E3"/>
    <w:rsid w:val="001E351C"/>
    <w:rsid w:val="001E35BD"/>
    <w:rsid w:val="001E35D5"/>
    <w:rsid w:val="001E36C8"/>
    <w:rsid w:val="001E3855"/>
    <w:rsid w:val="001E3869"/>
    <w:rsid w:val="001E38AE"/>
    <w:rsid w:val="001E3993"/>
    <w:rsid w:val="001E39A3"/>
    <w:rsid w:val="001E3B13"/>
    <w:rsid w:val="001E3C1C"/>
    <w:rsid w:val="001E3C40"/>
    <w:rsid w:val="001E3C4B"/>
    <w:rsid w:val="001E3C8B"/>
    <w:rsid w:val="001E3CFE"/>
    <w:rsid w:val="001E3D02"/>
    <w:rsid w:val="001E3D12"/>
    <w:rsid w:val="001E3EFF"/>
    <w:rsid w:val="001E3FAA"/>
    <w:rsid w:val="001E403F"/>
    <w:rsid w:val="001E41EC"/>
    <w:rsid w:val="001E41FC"/>
    <w:rsid w:val="001E4287"/>
    <w:rsid w:val="001E42C1"/>
    <w:rsid w:val="001E431A"/>
    <w:rsid w:val="001E4355"/>
    <w:rsid w:val="001E4385"/>
    <w:rsid w:val="001E448E"/>
    <w:rsid w:val="001E44B2"/>
    <w:rsid w:val="001E44B9"/>
    <w:rsid w:val="001E45DE"/>
    <w:rsid w:val="001E45E9"/>
    <w:rsid w:val="001E462F"/>
    <w:rsid w:val="001E4632"/>
    <w:rsid w:val="001E47D3"/>
    <w:rsid w:val="001E485F"/>
    <w:rsid w:val="001E488C"/>
    <w:rsid w:val="001E499D"/>
    <w:rsid w:val="001E49B3"/>
    <w:rsid w:val="001E49BF"/>
    <w:rsid w:val="001E49E5"/>
    <w:rsid w:val="001E4A42"/>
    <w:rsid w:val="001E4A93"/>
    <w:rsid w:val="001E4AE6"/>
    <w:rsid w:val="001E4BE3"/>
    <w:rsid w:val="001E4E1B"/>
    <w:rsid w:val="001E4E1D"/>
    <w:rsid w:val="001E4ED5"/>
    <w:rsid w:val="001E4F39"/>
    <w:rsid w:val="001E4FA5"/>
    <w:rsid w:val="001E4FEB"/>
    <w:rsid w:val="001E5119"/>
    <w:rsid w:val="001E5145"/>
    <w:rsid w:val="001E51C5"/>
    <w:rsid w:val="001E51CE"/>
    <w:rsid w:val="001E51E3"/>
    <w:rsid w:val="001E5201"/>
    <w:rsid w:val="001E5302"/>
    <w:rsid w:val="001E5339"/>
    <w:rsid w:val="001E539C"/>
    <w:rsid w:val="001E53ED"/>
    <w:rsid w:val="001E540F"/>
    <w:rsid w:val="001E54E3"/>
    <w:rsid w:val="001E5552"/>
    <w:rsid w:val="001E5566"/>
    <w:rsid w:val="001E55C2"/>
    <w:rsid w:val="001E5613"/>
    <w:rsid w:val="001E578F"/>
    <w:rsid w:val="001E581E"/>
    <w:rsid w:val="001E587E"/>
    <w:rsid w:val="001E5B42"/>
    <w:rsid w:val="001E5B54"/>
    <w:rsid w:val="001E5B6B"/>
    <w:rsid w:val="001E5B8D"/>
    <w:rsid w:val="001E5C45"/>
    <w:rsid w:val="001E5CA9"/>
    <w:rsid w:val="001E5CF5"/>
    <w:rsid w:val="001E5D1E"/>
    <w:rsid w:val="001E5D58"/>
    <w:rsid w:val="001E5E1A"/>
    <w:rsid w:val="001E5E88"/>
    <w:rsid w:val="001E5E8E"/>
    <w:rsid w:val="001E5EAF"/>
    <w:rsid w:val="001E5F3A"/>
    <w:rsid w:val="001E5FA5"/>
    <w:rsid w:val="001E6171"/>
    <w:rsid w:val="001E62CC"/>
    <w:rsid w:val="001E633E"/>
    <w:rsid w:val="001E63CA"/>
    <w:rsid w:val="001E6528"/>
    <w:rsid w:val="001E6564"/>
    <w:rsid w:val="001E6573"/>
    <w:rsid w:val="001E67A2"/>
    <w:rsid w:val="001E680E"/>
    <w:rsid w:val="001E6839"/>
    <w:rsid w:val="001E686E"/>
    <w:rsid w:val="001E68A1"/>
    <w:rsid w:val="001E68DE"/>
    <w:rsid w:val="001E68EB"/>
    <w:rsid w:val="001E6925"/>
    <w:rsid w:val="001E6957"/>
    <w:rsid w:val="001E69C0"/>
    <w:rsid w:val="001E6A3A"/>
    <w:rsid w:val="001E6A50"/>
    <w:rsid w:val="001E6A6C"/>
    <w:rsid w:val="001E6B04"/>
    <w:rsid w:val="001E6B4E"/>
    <w:rsid w:val="001E6BA4"/>
    <w:rsid w:val="001E6BB4"/>
    <w:rsid w:val="001E6BFA"/>
    <w:rsid w:val="001E6C83"/>
    <w:rsid w:val="001E6D10"/>
    <w:rsid w:val="001E6D18"/>
    <w:rsid w:val="001E6E30"/>
    <w:rsid w:val="001E6E88"/>
    <w:rsid w:val="001E6EAA"/>
    <w:rsid w:val="001E6FA8"/>
    <w:rsid w:val="001E7017"/>
    <w:rsid w:val="001E7052"/>
    <w:rsid w:val="001E7072"/>
    <w:rsid w:val="001E70DA"/>
    <w:rsid w:val="001E713E"/>
    <w:rsid w:val="001E7151"/>
    <w:rsid w:val="001E7194"/>
    <w:rsid w:val="001E7274"/>
    <w:rsid w:val="001E728E"/>
    <w:rsid w:val="001E72BA"/>
    <w:rsid w:val="001E733F"/>
    <w:rsid w:val="001E73B9"/>
    <w:rsid w:val="001E73D1"/>
    <w:rsid w:val="001E73FD"/>
    <w:rsid w:val="001E746B"/>
    <w:rsid w:val="001E7555"/>
    <w:rsid w:val="001E7572"/>
    <w:rsid w:val="001E7607"/>
    <w:rsid w:val="001E7641"/>
    <w:rsid w:val="001E7658"/>
    <w:rsid w:val="001E7993"/>
    <w:rsid w:val="001E79B8"/>
    <w:rsid w:val="001E7A88"/>
    <w:rsid w:val="001E7B0D"/>
    <w:rsid w:val="001E7B19"/>
    <w:rsid w:val="001E7EF5"/>
    <w:rsid w:val="001E7F49"/>
    <w:rsid w:val="001E7FD8"/>
    <w:rsid w:val="001F00F1"/>
    <w:rsid w:val="001F0110"/>
    <w:rsid w:val="001F013D"/>
    <w:rsid w:val="001F014D"/>
    <w:rsid w:val="001F01D4"/>
    <w:rsid w:val="001F02A4"/>
    <w:rsid w:val="001F03A4"/>
    <w:rsid w:val="001F03B8"/>
    <w:rsid w:val="001F04EF"/>
    <w:rsid w:val="001F0598"/>
    <w:rsid w:val="001F063D"/>
    <w:rsid w:val="001F06E0"/>
    <w:rsid w:val="001F0734"/>
    <w:rsid w:val="001F077B"/>
    <w:rsid w:val="001F07CE"/>
    <w:rsid w:val="001F07D0"/>
    <w:rsid w:val="001F07F3"/>
    <w:rsid w:val="001F0929"/>
    <w:rsid w:val="001F0938"/>
    <w:rsid w:val="001F098C"/>
    <w:rsid w:val="001F09D3"/>
    <w:rsid w:val="001F0A04"/>
    <w:rsid w:val="001F0A79"/>
    <w:rsid w:val="001F0A95"/>
    <w:rsid w:val="001F0ABF"/>
    <w:rsid w:val="001F0AE7"/>
    <w:rsid w:val="001F0B74"/>
    <w:rsid w:val="001F0CF4"/>
    <w:rsid w:val="001F0DE9"/>
    <w:rsid w:val="001F0E1E"/>
    <w:rsid w:val="001F0EC3"/>
    <w:rsid w:val="001F0ED2"/>
    <w:rsid w:val="001F0EE4"/>
    <w:rsid w:val="001F0EE9"/>
    <w:rsid w:val="001F1033"/>
    <w:rsid w:val="001F106E"/>
    <w:rsid w:val="001F1079"/>
    <w:rsid w:val="001F10B4"/>
    <w:rsid w:val="001F10E6"/>
    <w:rsid w:val="001F1190"/>
    <w:rsid w:val="001F1208"/>
    <w:rsid w:val="001F1251"/>
    <w:rsid w:val="001F136F"/>
    <w:rsid w:val="001F1458"/>
    <w:rsid w:val="001F1580"/>
    <w:rsid w:val="001F15F0"/>
    <w:rsid w:val="001F1637"/>
    <w:rsid w:val="001F1676"/>
    <w:rsid w:val="001F16DC"/>
    <w:rsid w:val="001F1730"/>
    <w:rsid w:val="001F1887"/>
    <w:rsid w:val="001F1907"/>
    <w:rsid w:val="001F197F"/>
    <w:rsid w:val="001F198F"/>
    <w:rsid w:val="001F1A77"/>
    <w:rsid w:val="001F1B19"/>
    <w:rsid w:val="001F1B2F"/>
    <w:rsid w:val="001F1B40"/>
    <w:rsid w:val="001F1BC5"/>
    <w:rsid w:val="001F1BCC"/>
    <w:rsid w:val="001F1C17"/>
    <w:rsid w:val="001F1C56"/>
    <w:rsid w:val="001F1CD7"/>
    <w:rsid w:val="001F1D6F"/>
    <w:rsid w:val="001F1E25"/>
    <w:rsid w:val="001F1E71"/>
    <w:rsid w:val="001F1E7C"/>
    <w:rsid w:val="001F2088"/>
    <w:rsid w:val="001F208A"/>
    <w:rsid w:val="001F2098"/>
    <w:rsid w:val="001F2194"/>
    <w:rsid w:val="001F21DE"/>
    <w:rsid w:val="001F22CF"/>
    <w:rsid w:val="001F2367"/>
    <w:rsid w:val="001F2378"/>
    <w:rsid w:val="001F2389"/>
    <w:rsid w:val="001F2468"/>
    <w:rsid w:val="001F2553"/>
    <w:rsid w:val="001F2639"/>
    <w:rsid w:val="001F264E"/>
    <w:rsid w:val="001F2662"/>
    <w:rsid w:val="001F2663"/>
    <w:rsid w:val="001F2786"/>
    <w:rsid w:val="001F29AA"/>
    <w:rsid w:val="001F2B90"/>
    <w:rsid w:val="001F2BFF"/>
    <w:rsid w:val="001F2EAF"/>
    <w:rsid w:val="001F2F27"/>
    <w:rsid w:val="001F2FE5"/>
    <w:rsid w:val="001F3020"/>
    <w:rsid w:val="001F30EA"/>
    <w:rsid w:val="001F3190"/>
    <w:rsid w:val="001F3393"/>
    <w:rsid w:val="001F3512"/>
    <w:rsid w:val="001F3519"/>
    <w:rsid w:val="001F35E4"/>
    <w:rsid w:val="001F3604"/>
    <w:rsid w:val="001F366E"/>
    <w:rsid w:val="001F3699"/>
    <w:rsid w:val="001F3705"/>
    <w:rsid w:val="001F3756"/>
    <w:rsid w:val="001F3765"/>
    <w:rsid w:val="001F380A"/>
    <w:rsid w:val="001F3811"/>
    <w:rsid w:val="001F382A"/>
    <w:rsid w:val="001F38DC"/>
    <w:rsid w:val="001F3916"/>
    <w:rsid w:val="001F3993"/>
    <w:rsid w:val="001F3B0B"/>
    <w:rsid w:val="001F3B4B"/>
    <w:rsid w:val="001F3C88"/>
    <w:rsid w:val="001F3C8E"/>
    <w:rsid w:val="001F3D15"/>
    <w:rsid w:val="001F3D59"/>
    <w:rsid w:val="001F3D8C"/>
    <w:rsid w:val="001F3F0C"/>
    <w:rsid w:val="001F3F5E"/>
    <w:rsid w:val="001F40DB"/>
    <w:rsid w:val="001F423E"/>
    <w:rsid w:val="001F42F0"/>
    <w:rsid w:val="001F4306"/>
    <w:rsid w:val="001F440B"/>
    <w:rsid w:val="001F4546"/>
    <w:rsid w:val="001F4624"/>
    <w:rsid w:val="001F4740"/>
    <w:rsid w:val="001F4780"/>
    <w:rsid w:val="001F478A"/>
    <w:rsid w:val="001F48BF"/>
    <w:rsid w:val="001F48D1"/>
    <w:rsid w:val="001F4A54"/>
    <w:rsid w:val="001F4AA6"/>
    <w:rsid w:val="001F4B41"/>
    <w:rsid w:val="001F4BC0"/>
    <w:rsid w:val="001F4C3E"/>
    <w:rsid w:val="001F4CDF"/>
    <w:rsid w:val="001F4DC3"/>
    <w:rsid w:val="001F4DF3"/>
    <w:rsid w:val="001F4E05"/>
    <w:rsid w:val="001F4FF5"/>
    <w:rsid w:val="001F504C"/>
    <w:rsid w:val="001F5070"/>
    <w:rsid w:val="001F5114"/>
    <w:rsid w:val="001F5292"/>
    <w:rsid w:val="001F52D9"/>
    <w:rsid w:val="001F5341"/>
    <w:rsid w:val="001F53A6"/>
    <w:rsid w:val="001F53AD"/>
    <w:rsid w:val="001F549A"/>
    <w:rsid w:val="001F54AC"/>
    <w:rsid w:val="001F54BB"/>
    <w:rsid w:val="001F54DF"/>
    <w:rsid w:val="001F555E"/>
    <w:rsid w:val="001F56E1"/>
    <w:rsid w:val="001F5835"/>
    <w:rsid w:val="001F5984"/>
    <w:rsid w:val="001F5A64"/>
    <w:rsid w:val="001F5A6A"/>
    <w:rsid w:val="001F5A73"/>
    <w:rsid w:val="001F5AF3"/>
    <w:rsid w:val="001F5CD0"/>
    <w:rsid w:val="001F5CE1"/>
    <w:rsid w:val="001F5EA4"/>
    <w:rsid w:val="001F5EDA"/>
    <w:rsid w:val="001F5EE0"/>
    <w:rsid w:val="001F5F40"/>
    <w:rsid w:val="001F5FA1"/>
    <w:rsid w:val="001F5FC9"/>
    <w:rsid w:val="001F60AF"/>
    <w:rsid w:val="001F60D3"/>
    <w:rsid w:val="001F60EA"/>
    <w:rsid w:val="001F6122"/>
    <w:rsid w:val="001F616B"/>
    <w:rsid w:val="001F62EF"/>
    <w:rsid w:val="001F630D"/>
    <w:rsid w:val="001F6391"/>
    <w:rsid w:val="001F63CD"/>
    <w:rsid w:val="001F63F2"/>
    <w:rsid w:val="001F6417"/>
    <w:rsid w:val="001F6479"/>
    <w:rsid w:val="001F6484"/>
    <w:rsid w:val="001F6578"/>
    <w:rsid w:val="001F65BC"/>
    <w:rsid w:val="001F6649"/>
    <w:rsid w:val="001F6679"/>
    <w:rsid w:val="001F6714"/>
    <w:rsid w:val="001F6788"/>
    <w:rsid w:val="001F678A"/>
    <w:rsid w:val="001F689C"/>
    <w:rsid w:val="001F68C4"/>
    <w:rsid w:val="001F68FA"/>
    <w:rsid w:val="001F6936"/>
    <w:rsid w:val="001F69F0"/>
    <w:rsid w:val="001F6A05"/>
    <w:rsid w:val="001F6BEB"/>
    <w:rsid w:val="001F6C05"/>
    <w:rsid w:val="001F6C86"/>
    <w:rsid w:val="001F6CE7"/>
    <w:rsid w:val="001F6D21"/>
    <w:rsid w:val="001F6D9B"/>
    <w:rsid w:val="001F6DC8"/>
    <w:rsid w:val="001F6DFF"/>
    <w:rsid w:val="001F711D"/>
    <w:rsid w:val="001F73DD"/>
    <w:rsid w:val="001F7447"/>
    <w:rsid w:val="001F745D"/>
    <w:rsid w:val="001F7554"/>
    <w:rsid w:val="001F75C7"/>
    <w:rsid w:val="001F762E"/>
    <w:rsid w:val="001F767E"/>
    <w:rsid w:val="001F770A"/>
    <w:rsid w:val="001F7721"/>
    <w:rsid w:val="001F777C"/>
    <w:rsid w:val="001F77BC"/>
    <w:rsid w:val="001F786C"/>
    <w:rsid w:val="001F78B6"/>
    <w:rsid w:val="001F78E4"/>
    <w:rsid w:val="001F795B"/>
    <w:rsid w:val="001F79AF"/>
    <w:rsid w:val="001F7B55"/>
    <w:rsid w:val="001F7BB0"/>
    <w:rsid w:val="001F7BCB"/>
    <w:rsid w:val="001F7BFB"/>
    <w:rsid w:val="001F7CA3"/>
    <w:rsid w:val="001F7D01"/>
    <w:rsid w:val="001F7D98"/>
    <w:rsid w:val="001F7EB5"/>
    <w:rsid w:val="001F7F80"/>
    <w:rsid w:val="001F7F8D"/>
    <w:rsid w:val="001F7FB4"/>
    <w:rsid w:val="00200068"/>
    <w:rsid w:val="00200102"/>
    <w:rsid w:val="0020010B"/>
    <w:rsid w:val="002001A8"/>
    <w:rsid w:val="002001AC"/>
    <w:rsid w:val="002002A4"/>
    <w:rsid w:val="002002D9"/>
    <w:rsid w:val="002003C3"/>
    <w:rsid w:val="00200441"/>
    <w:rsid w:val="00200486"/>
    <w:rsid w:val="00200508"/>
    <w:rsid w:val="002005FF"/>
    <w:rsid w:val="0020076C"/>
    <w:rsid w:val="002007C7"/>
    <w:rsid w:val="00200830"/>
    <w:rsid w:val="00200838"/>
    <w:rsid w:val="00200919"/>
    <w:rsid w:val="00200972"/>
    <w:rsid w:val="00200A15"/>
    <w:rsid w:val="00200B47"/>
    <w:rsid w:val="00200D04"/>
    <w:rsid w:val="00200DA0"/>
    <w:rsid w:val="00200EA6"/>
    <w:rsid w:val="00200F11"/>
    <w:rsid w:val="00201023"/>
    <w:rsid w:val="00201093"/>
    <w:rsid w:val="002011B3"/>
    <w:rsid w:val="00201254"/>
    <w:rsid w:val="00201265"/>
    <w:rsid w:val="002012E2"/>
    <w:rsid w:val="0020130A"/>
    <w:rsid w:val="002015F0"/>
    <w:rsid w:val="00201978"/>
    <w:rsid w:val="00201A77"/>
    <w:rsid w:val="00201A80"/>
    <w:rsid w:val="00201AF6"/>
    <w:rsid w:val="00201B3B"/>
    <w:rsid w:val="00201B96"/>
    <w:rsid w:val="00201C54"/>
    <w:rsid w:val="00201C70"/>
    <w:rsid w:val="00201F53"/>
    <w:rsid w:val="00202086"/>
    <w:rsid w:val="00202193"/>
    <w:rsid w:val="00202302"/>
    <w:rsid w:val="00202305"/>
    <w:rsid w:val="00202485"/>
    <w:rsid w:val="002024DE"/>
    <w:rsid w:val="002024E3"/>
    <w:rsid w:val="0020253D"/>
    <w:rsid w:val="00202594"/>
    <w:rsid w:val="0020259C"/>
    <w:rsid w:val="002027A3"/>
    <w:rsid w:val="00202800"/>
    <w:rsid w:val="00202849"/>
    <w:rsid w:val="00202853"/>
    <w:rsid w:val="00202860"/>
    <w:rsid w:val="002029C9"/>
    <w:rsid w:val="00202A49"/>
    <w:rsid w:val="00202AAC"/>
    <w:rsid w:val="00202AF3"/>
    <w:rsid w:val="00202BEE"/>
    <w:rsid w:val="00202C48"/>
    <w:rsid w:val="00202CB6"/>
    <w:rsid w:val="00202D0D"/>
    <w:rsid w:val="00202D74"/>
    <w:rsid w:val="00202E8A"/>
    <w:rsid w:val="00202F31"/>
    <w:rsid w:val="00202F4E"/>
    <w:rsid w:val="00202F5B"/>
    <w:rsid w:val="002030C6"/>
    <w:rsid w:val="00203102"/>
    <w:rsid w:val="00203110"/>
    <w:rsid w:val="002031F6"/>
    <w:rsid w:val="0020321E"/>
    <w:rsid w:val="00203240"/>
    <w:rsid w:val="002032F9"/>
    <w:rsid w:val="002033BC"/>
    <w:rsid w:val="002033F1"/>
    <w:rsid w:val="002035BE"/>
    <w:rsid w:val="0020362F"/>
    <w:rsid w:val="002036E3"/>
    <w:rsid w:val="002036F5"/>
    <w:rsid w:val="00203836"/>
    <w:rsid w:val="00203845"/>
    <w:rsid w:val="0020389C"/>
    <w:rsid w:val="00203983"/>
    <w:rsid w:val="002039A6"/>
    <w:rsid w:val="00203A0A"/>
    <w:rsid w:val="00203AFC"/>
    <w:rsid w:val="00203B6B"/>
    <w:rsid w:val="00203CFF"/>
    <w:rsid w:val="00203DEA"/>
    <w:rsid w:val="00203E29"/>
    <w:rsid w:val="00203E8B"/>
    <w:rsid w:val="00203EE1"/>
    <w:rsid w:val="00203EF3"/>
    <w:rsid w:val="00203F03"/>
    <w:rsid w:val="00203FB0"/>
    <w:rsid w:val="0020400F"/>
    <w:rsid w:val="00204081"/>
    <w:rsid w:val="002040BE"/>
    <w:rsid w:val="0020414E"/>
    <w:rsid w:val="002041C3"/>
    <w:rsid w:val="00204284"/>
    <w:rsid w:val="002044CF"/>
    <w:rsid w:val="00204542"/>
    <w:rsid w:val="002045C4"/>
    <w:rsid w:val="002046A0"/>
    <w:rsid w:val="002046EC"/>
    <w:rsid w:val="002046F1"/>
    <w:rsid w:val="00204718"/>
    <w:rsid w:val="0020471A"/>
    <w:rsid w:val="0020472B"/>
    <w:rsid w:val="0020474A"/>
    <w:rsid w:val="002049B2"/>
    <w:rsid w:val="00204A30"/>
    <w:rsid w:val="00204C8C"/>
    <w:rsid w:val="00204CD5"/>
    <w:rsid w:val="00204D57"/>
    <w:rsid w:val="00204DC7"/>
    <w:rsid w:val="00204DF5"/>
    <w:rsid w:val="00204E1F"/>
    <w:rsid w:val="00204FD8"/>
    <w:rsid w:val="002050D2"/>
    <w:rsid w:val="00205132"/>
    <w:rsid w:val="00205144"/>
    <w:rsid w:val="0020515F"/>
    <w:rsid w:val="0020517C"/>
    <w:rsid w:val="00205195"/>
    <w:rsid w:val="002051A8"/>
    <w:rsid w:val="00205276"/>
    <w:rsid w:val="002052AE"/>
    <w:rsid w:val="0020537D"/>
    <w:rsid w:val="002053C6"/>
    <w:rsid w:val="002054B6"/>
    <w:rsid w:val="002054C9"/>
    <w:rsid w:val="00205634"/>
    <w:rsid w:val="002056A7"/>
    <w:rsid w:val="002056AB"/>
    <w:rsid w:val="00205797"/>
    <w:rsid w:val="00205839"/>
    <w:rsid w:val="0020589A"/>
    <w:rsid w:val="00205A55"/>
    <w:rsid w:val="00205ABF"/>
    <w:rsid w:val="00205B22"/>
    <w:rsid w:val="00205B9E"/>
    <w:rsid w:val="00205BBD"/>
    <w:rsid w:val="00205D05"/>
    <w:rsid w:val="00205D19"/>
    <w:rsid w:val="00205E96"/>
    <w:rsid w:val="00205F78"/>
    <w:rsid w:val="00205F95"/>
    <w:rsid w:val="00205FF1"/>
    <w:rsid w:val="0020600D"/>
    <w:rsid w:val="00206139"/>
    <w:rsid w:val="002061F8"/>
    <w:rsid w:val="002062A3"/>
    <w:rsid w:val="0020637C"/>
    <w:rsid w:val="002064C2"/>
    <w:rsid w:val="00206544"/>
    <w:rsid w:val="0020654B"/>
    <w:rsid w:val="002065EC"/>
    <w:rsid w:val="0020669A"/>
    <w:rsid w:val="002067F2"/>
    <w:rsid w:val="002068E9"/>
    <w:rsid w:val="00206A61"/>
    <w:rsid w:val="00206A8F"/>
    <w:rsid w:val="00206AE5"/>
    <w:rsid w:val="00206B5C"/>
    <w:rsid w:val="00206B99"/>
    <w:rsid w:val="00206CD8"/>
    <w:rsid w:val="00206CDC"/>
    <w:rsid w:val="00206DC8"/>
    <w:rsid w:val="00206DFC"/>
    <w:rsid w:val="00206E15"/>
    <w:rsid w:val="00206E7F"/>
    <w:rsid w:val="00206EEF"/>
    <w:rsid w:val="00206F5A"/>
    <w:rsid w:val="00207018"/>
    <w:rsid w:val="0020704E"/>
    <w:rsid w:val="00207059"/>
    <w:rsid w:val="00207063"/>
    <w:rsid w:val="00207086"/>
    <w:rsid w:val="0020713A"/>
    <w:rsid w:val="0020714A"/>
    <w:rsid w:val="002071D3"/>
    <w:rsid w:val="002071EF"/>
    <w:rsid w:val="002072B6"/>
    <w:rsid w:val="0020730E"/>
    <w:rsid w:val="0020735F"/>
    <w:rsid w:val="00207371"/>
    <w:rsid w:val="00207418"/>
    <w:rsid w:val="0020742B"/>
    <w:rsid w:val="00207474"/>
    <w:rsid w:val="002074CE"/>
    <w:rsid w:val="002074DA"/>
    <w:rsid w:val="00207517"/>
    <w:rsid w:val="0020770B"/>
    <w:rsid w:val="00207722"/>
    <w:rsid w:val="0020772C"/>
    <w:rsid w:val="002077CC"/>
    <w:rsid w:val="00207816"/>
    <w:rsid w:val="00207839"/>
    <w:rsid w:val="002079C5"/>
    <w:rsid w:val="00207C77"/>
    <w:rsid w:val="00207CB8"/>
    <w:rsid w:val="00207CEA"/>
    <w:rsid w:val="00207E0A"/>
    <w:rsid w:val="0020E221"/>
    <w:rsid w:val="0021002E"/>
    <w:rsid w:val="00210197"/>
    <w:rsid w:val="002102E4"/>
    <w:rsid w:val="00210427"/>
    <w:rsid w:val="00210442"/>
    <w:rsid w:val="00210471"/>
    <w:rsid w:val="00210680"/>
    <w:rsid w:val="0021071C"/>
    <w:rsid w:val="0021095A"/>
    <w:rsid w:val="00210961"/>
    <w:rsid w:val="00210A7D"/>
    <w:rsid w:val="00210B1E"/>
    <w:rsid w:val="00210B69"/>
    <w:rsid w:val="00210C27"/>
    <w:rsid w:val="00210C2C"/>
    <w:rsid w:val="00210D74"/>
    <w:rsid w:val="00210D85"/>
    <w:rsid w:val="00210DB5"/>
    <w:rsid w:val="00210EE0"/>
    <w:rsid w:val="00210FA8"/>
    <w:rsid w:val="0021107C"/>
    <w:rsid w:val="002110E8"/>
    <w:rsid w:val="00211102"/>
    <w:rsid w:val="0021115B"/>
    <w:rsid w:val="002111B4"/>
    <w:rsid w:val="002112CE"/>
    <w:rsid w:val="00211547"/>
    <w:rsid w:val="0021166F"/>
    <w:rsid w:val="002116A8"/>
    <w:rsid w:val="002116BD"/>
    <w:rsid w:val="002117C9"/>
    <w:rsid w:val="002117D4"/>
    <w:rsid w:val="0021182E"/>
    <w:rsid w:val="002118FC"/>
    <w:rsid w:val="00211AA5"/>
    <w:rsid w:val="00211B2D"/>
    <w:rsid w:val="00211B9A"/>
    <w:rsid w:val="00211BF6"/>
    <w:rsid w:val="00211EB6"/>
    <w:rsid w:val="00211EF9"/>
    <w:rsid w:val="00211F20"/>
    <w:rsid w:val="00211F42"/>
    <w:rsid w:val="00211F93"/>
    <w:rsid w:val="00212059"/>
    <w:rsid w:val="00212156"/>
    <w:rsid w:val="00212293"/>
    <w:rsid w:val="00212353"/>
    <w:rsid w:val="00212365"/>
    <w:rsid w:val="002123D8"/>
    <w:rsid w:val="0021245A"/>
    <w:rsid w:val="00212465"/>
    <w:rsid w:val="002125DF"/>
    <w:rsid w:val="0021264A"/>
    <w:rsid w:val="00212654"/>
    <w:rsid w:val="0021270F"/>
    <w:rsid w:val="00212766"/>
    <w:rsid w:val="00212790"/>
    <w:rsid w:val="00212807"/>
    <w:rsid w:val="002128AE"/>
    <w:rsid w:val="002128D6"/>
    <w:rsid w:val="00212959"/>
    <w:rsid w:val="0021297B"/>
    <w:rsid w:val="002129A0"/>
    <w:rsid w:val="002129EC"/>
    <w:rsid w:val="00212AB4"/>
    <w:rsid w:val="00212B4F"/>
    <w:rsid w:val="00212B68"/>
    <w:rsid w:val="00212BD6"/>
    <w:rsid w:val="00212C4C"/>
    <w:rsid w:val="00212CC1"/>
    <w:rsid w:val="00212D5E"/>
    <w:rsid w:val="00212D67"/>
    <w:rsid w:val="00212DE8"/>
    <w:rsid w:val="00212E2C"/>
    <w:rsid w:val="00212EF2"/>
    <w:rsid w:val="00212F7F"/>
    <w:rsid w:val="0021306D"/>
    <w:rsid w:val="002130E4"/>
    <w:rsid w:val="002130E9"/>
    <w:rsid w:val="00213159"/>
    <w:rsid w:val="0021322C"/>
    <w:rsid w:val="00213253"/>
    <w:rsid w:val="0021331B"/>
    <w:rsid w:val="0021342B"/>
    <w:rsid w:val="00213483"/>
    <w:rsid w:val="0021353C"/>
    <w:rsid w:val="00213556"/>
    <w:rsid w:val="002135C6"/>
    <w:rsid w:val="002135D9"/>
    <w:rsid w:val="00213643"/>
    <w:rsid w:val="00213694"/>
    <w:rsid w:val="0021375E"/>
    <w:rsid w:val="00213948"/>
    <w:rsid w:val="0021394A"/>
    <w:rsid w:val="00213A0F"/>
    <w:rsid w:val="00213A3B"/>
    <w:rsid w:val="00213A87"/>
    <w:rsid w:val="00213AD7"/>
    <w:rsid w:val="00213B01"/>
    <w:rsid w:val="00213C27"/>
    <w:rsid w:val="00213C5D"/>
    <w:rsid w:val="00213E4A"/>
    <w:rsid w:val="00213F46"/>
    <w:rsid w:val="00214062"/>
    <w:rsid w:val="002140A8"/>
    <w:rsid w:val="002141DA"/>
    <w:rsid w:val="002141DE"/>
    <w:rsid w:val="00214227"/>
    <w:rsid w:val="002142E1"/>
    <w:rsid w:val="00214337"/>
    <w:rsid w:val="00214386"/>
    <w:rsid w:val="002143BB"/>
    <w:rsid w:val="00214600"/>
    <w:rsid w:val="00214613"/>
    <w:rsid w:val="00214660"/>
    <w:rsid w:val="002146CD"/>
    <w:rsid w:val="0021479A"/>
    <w:rsid w:val="002148AA"/>
    <w:rsid w:val="00214928"/>
    <w:rsid w:val="00214964"/>
    <w:rsid w:val="00214978"/>
    <w:rsid w:val="00214981"/>
    <w:rsid w:val="00214BC2"/>
    <w:rsid w:val="00214C39"/>
    <w:rsid w:val="00214DA4"/>
    <w:rsid w:val="00214E54"/>
    <w:rsid w:val="00214E84"/>
    <w:rsid w:val="00214FD0"/>
    <w:rsid w:val="00214FD4"/>
    <w:rsid w:val="0021502B"/>
    <w:rsid w:val="00215088"/>
    <w:rsid w:val="002150E1"/>
    <w:rsid w:val="0021514C"/>
    <w:rsid w:val="00215151"/>
    <w:rsid w:val="002153E2"/>
    <w:rsid w:val="00215483"/>
    <w:rsid w:val="00215560"/>
    <w:rsid w:val="00215680"/>
    <w:rsid w:val="002157DC"/>
    <w:rsid w:val="002157E8"/>
    <w:rsid w:val="0021590A"/>
    <w:rsid w:val="00215A3D"/>
    <w:rsid w:val="00215B82"/>
    <w:rsid w:val="00215C29"/>
    <w:rsid w:val="00215CFB"/>
    <w:rsid w:val="00215D13"/>
    <w:rsid w:val="00215D47"/>
    <w:rsid w:val="00215D55"/>
    <w:rsid w:val="00215DAF"/>
    <w:rsid w:val="00215E0D"/>
    <w:rsid w:val="00215E36"/>
    <w:rsid w:val="00216019"/>
    <w:rsid w:val="002160FD"/>
    <w:rsid w:val="00216129"/>
    <w:rsid w:val="00216191"/>
    <w:rsid w:val="0021623E"/>
    <w:rsid w:val="002162D2"/>
    <w:rsid w:val="00216356"/>
    <w:rsid w:val="002163EA"/>
    <w:rsid w:val="00216423"/>
    <w:rsid w:val="0021647A"/>
    <w:rsid w:val="00216506"/>
    <w:rsid w:val="002165AD"/>
    <w:rsid w:val="002165B3"/>
    <w:rsid w:val="002165BB"/>
    <w:rsid w:val="0021662B"/>
    <w:rsid w:val="002166F8"/>
    <w:rsid w:val="00216728"/>
    <w:rsid w:val="0021676A"/>
    <w:rsid w:val="00216839"/>
    <w:rsid w:val="002168EA"/>
    <w:rsid w:val="00216943"/>
    <w:rsid w:val="0021699F"/>
    <w:rsid w:val="00216AF4"/>
    <w:rsid w:val="00216B55"/>
    <w:rsid w:val="00216BD3"/>
    <w:rsid w:val="00216C2F"/>
    <w:rsid w:val="00216EF7"/>
    <w:rsid w:val="00216F80"/>
    <w:rsid w:val="00217020"/>
    <w:rsid w:val="002170B0"/>
    <w:rsid w:val="002170D8"/>
    <w:rsid w:val="002171AC"/>
    <w:rsid w:val="0021724D"/>
    <w:rsid w:val="00217290"/>
    <w:rsid w:val="002172A6"/>
    <w:rsid w:val="002172EE"/>
    <w:rsid w:val="0021738F"/>
    <w:rsid w:val="0021749B"/>
    <w:rsid w:val="0021752C"/>
    <w:rsid w:val="00217600"/>
    <w:rsid w:val="0021772E"/>
    <w:rsid w:val="002177DD"/>
    <w:rsid w:val="00217A9C"/>
    <w:rsid w:val="00217B10"/>
    <w:rsid w:val="00217B62"/>
    <w:rsid w:val="00217B63"/>
    <w:rsid w:val="00217B76"/>
    <w:rsid w:val="00217D06"/>
    <w:rsid w:val="00217D61"/>
    <w:rsid w:val="00220002"/>
    <w:rsid w:val="0022001C"/>
    <w:rsid w:val="00220025"/>
    <w:rsid w:val="002200AD"/>
    <w:rsid w:val="002200D2"/>
    <w:rsid w:val="0022016D"/>
    <w:rsid w:val="002201AA"/>
    <w:rsid w:val="002201CD"/>
    <w:rsid w:val="002201DF"/>
    <w:rsid w:val="00220246"/>
    <w:rsid w:val="0022053B"/>
    <w:rsid w:val="002206AC"/>
    <w:rsid w:val="002206E3"/>
    <w:rsid w:val="00220709"/>
    <w:rsid w:val="00220723"/>
    <w:rsid w:val="00220866"/>
    <w:rsid w:val="00220914"/>
    <w:rsid w:val="00220957"/>
    <w:rsid w:val="002209DB"/>
    <w:rsid w:val="00220A72"/>
    <w:rsid w:val="00220B78"/>
    <w:rsid w:val="00220C82"/>
    <w:rsid w:val="00220C97"/>
    <w:rsid w:val="00220D7E"/>
    <w:rsid w:val="00220D99"/>
    <w:rsid w:val="00220DAD"/>
    <w:rsid w:val="00220E5C"/>
    <w:rsid w:val="00220F15"/>
    <w:rsid w:val="002211C5"/>
    <w:rsid w:val="0022129F"/>
    <w:rsid w:val="00221381"/>
    <w:rsid w:val="00221401"/>
    <w:rsid w:val="0022140A"/>
    <w:rsid w:val="00221456"/>
    <w:rsid w:val="0022146E"/>
    <w:rsid w:val="0022155F"/>
    <w:rsid w:val="002215E1"/>
    <w:rsid w:val="00221641"/>
    <w:rsid w:val="0022173E"/>
    <w:rsid w:val="0022198A"/>
    <w:rsid w:val="002219CE"/>
    <w:rsid w:val="00221A20"/>
    <w:rsid w:val="00221A42"/>
    <w:rsid w:val="00221AE7"/>
    <w:rsid w:val="00221B94"/>
    <w:rsid w:val="00221C38"/>
    <w:rsid w:val="00221D0B"/>
    <w:rsid w:val="00221E30"/>
    <w:rsid w:val="00221E77"/>
    <w:rsid w:val="00221EE1"/>
    <w:rsid w:val="00221F7A"/>
    <w:rsid w:val="00221FB2"/>
    <w:rsid w:val="002220DA"/>
    <w:rsid w:val="0022219E"/>
    <w:rsid w:val="0022221E"/>
    <w:rsid w:val="00222225"/>
    <w:rsid w:val="0022224C"/>
    <w:rsid w:val="00222288"/>
    <w:rsid w:val="00222321"/>
    <w:rsid w:val="00222384"/>
    <w:rsid w:val="002223E4"/>
    <w:rsid w:val="00222451"/>
    <w:rsid w:val="00222455"/>
    <w:rsid w:val="0022250D"/>
    <w:rsid w:val="00222567"/>
    <w:rsid w:val="002225CA"/>
    <w:rsid w:val="002227A7"/>
    <w:rsid w:val="002227A9"/>
    <w:rsid w:val="002228E7"/>
    <w:rsid w:val="0022292E"/>
    <w:rsid w:val="002229B2"/>
    <w:rsid w:val="00222A32"/>
    <w:rsid w:val="00222A7F"/>
    <w:rsid w:val="00222B06"/>
    <w:rsid w:val="00222B52"/>
    <w:rsid w:val="00222B90"/>
    <w:rsid w:val="00222BC4"/>
    <w:rsid w:val="00222BE2"/>
    <w:rsid w:val="00222D09"/>
    <w:rsid w:val="00222D1A"/>
    <w:rsid w:val="00222D38"/>
    <w:rsid w:val="00222ED2"/>
    <w:rsid w:val="00222F5B"/>
    <w:rsid w:val="00223051"/>
    <w:rsid w:val="0022308D"/>
    <w:rsid w:val="00223148"/>
    <w:rsid w:val="00223154"/>
    <w:rsid w:val="00223227"/>
    <w:rsid w:val="00223325"/>
    <w:rsid w:val="00223391"/>
    <w:rsid w:val="002233B9"/>
    <w:rsid w:val="00223417"/>
    <w:rsid w:val="00223632"/>
    <w:rsid w:val="00223882"/>
    <w:rsid w:val="002238AA"/>
    <w:rsid w:val="002238F9"/>
    <w:rsid w:val="00223A14"/>
    <w:rsid w:val="00223A36"/>
    <w:rsid w:val="00223A76"/>
    <w:rsid w:val="00223AE6"/>
    <w:rsid w:val="00223B04"/>
    <w:rsid w:val="00223B30"/>
    <w:rsid w:val="00223B71"/>
    <w:rsid w:val="00223CAA"/>
    <w:rsid w:val="00223CEF"/>
    <w:rsid w:val="00223DB7"/>
    <w:rsid w:val="00223E7D"/>
    <w:rsid w:val="00223EDF"/>
    <w:rsid w:val="00223FB6"/>
    <w:rsid w:val="00223FD5"/>
    <w:rsid w:val="00224018"/>
    <w:rsid w:val="00224037"/>
    <w:rsid w:val="00224086"/>
    <w:rsid w:val="0022409D"/>
    <w:rsid w:val="002240DF"/>
    <w:rsid w:val="00224165"/>
    <w:rsid w:val="002241BF"/>
    <w:rsid w:val="00224209"/>
    <w:rsid w:val="0022429E"/>
    <w:rsid w:val="0022430B"/>
    <w:rsid w:val="00224340"/>
    <w:rsid w:val="00224377"/>
    <w:rsid w:val="002244E5"/>
    <w:rsid w:val="002245B9"/>
    <w:rsid w:val="002245ED"/>
    <w:rsid w:val="0022469E"/>
    <w:rsid w:val="00224787"/>
    <w:rsid w:val="002247CE"/>
    <w:rsid w:val="0022483F"/>
    <w:rsid w:val="00224A3C"/>
    <w:rsid w:val="00224ADA"/>
    <w:rsid w:val="00224C09"/>
    <w:rsid w:val="00224D66"/>
    <w:rsid w:val="00224E13"/>
    <w:rsid w:val="00224E2D"/>
    <w:rsid w:val="00224F1D"/>
    <w:rsid w:val="00224F53"/>
    <w:rsid w:val="00224F95"/>
    <w:rsid w:val="00224FA8"/>
    <w:rsid w:val="00224FC4"/>
    <w:rsid w:val="0022503B"/>
    <w:rsid w:val="0022504E"/>
    <w:rsid w:val="00225171"/>
    <w:rsid w:val="002251A5"/>
    <w:rsid w:val="002251D2"/>
    <w:rsid w:val="002251D8"/>
    <w:rsid w:val="002252CF"/>
    <w:rsid w:val="00225505"/>
    <w:rsid w:val="002255F7"/>
    <w:rsid w:val="00225729"/>
    <w:rsid w:val="00225802"/>
    <w:rsid w:val="00225818"/>
    <w:rsid w:val="00225895"/>
    <w:rsid w:val="002258F7"/>
    <w:rsid w:val="00225908"/>
    <w:rsid w:val="0022599C"/>
    <w:rsid w:val="002259E9"/>
    <w:rsid w:val="002259EA"/>
    <w:rsid w:val="00225B6E"/>
    <w:rsid w:val="00225BF5"/>
    <w:rsid w:val="00225C20"/>
    <w:rsid w:val="00225C4E"/>
    <w:rsid w:val="00225D48"/>
    <w:rsid w:val="00225DB1"/>
    <w:rsid w:val="00225E03"/>
    <w:rsid w:val="00225E15"/>
    <w:rsid w:val="00225E26"/>
    <w:rsid w:val="00225F5A"/>
    <w:rsid w:val="00225FC7"/>
    <w:rsid w:val="00226024"/>
    <w:rsid w:val="00226053"/>
    <w:rsid w:val="002260F7"/>
    <w:rsid w:val="0022629E"/>
    <w:rsid w:val="00226329"/>
    <w:rsid w:val="0022642D"/>
    <w:rsid w:val="002264B5"/>
    <w:rsid w:val="00226507"/>
    <w:rsid w:val="002265B7"/>
    <w:rsid w:val="00226636"/>
    <w:rsid w:val="00226658"/>
    <w:rsid w:val="00226696"/>
    <w:rsid w:val="00226698"/>
    <w:rsid w:val="002267D6"/>
    <w:rsid w:val="00226821"/>
    <w:rsid w:val="00226889"/>
    <w:rsid w:val="002269B5"/>
    <w:rsid w:val="002269FC"/>
    <w:rsid w:val="00226A9B"/>
    <w:rsid w:val="00226BAD"/>
    <w:rsid w:val="00226C38"/>
    <w:rsid w:val="00226CD0"/>
    <w:rsid w:val="00226CFB"/>
    <w:rsid w:val="00226D30"/>
    <w:rsid w:val="00226D7D"/>
    <w:rsid w:val="00226E2B"/>
    <w:rsid w:val="00226E60"/>
    <w:rsid w:val="00226E61"/>
    <w:rsid w:val="00226F2B"/>
    <w:rsid w:val="00226F8F"/>
    <w:rsid w:val="002270C5"/>
    <w:rsid w:val="002270C6"/>
    <w:rsid w:val="00227165"/>
    <w:rsid w:val="002271C0"/>
    <w:rsid w:val="002271FD"/>
    <w:rsid w:val="002272CF"/>
    <w:rsid w:val="002273B7"/>
    <w:rsid w:val="00227410"/>
    <w:rsid w:val="00227445"/>
    <w:rsid w:val="002276B0"/>
    <w:rsid w:val="0022796F"/>
    <w:rsid w:val="00227B40"/>
    <w:rsid w:val="00227C64"/>
    <w:rsid w:val="00227DC5"/>
    <w:rsid w:val="00227E8A"/>
    <w:rsid w:val="00230118"/>
    <w:rsid w:val="0023012F"/>
    <w:rsid w:val="002301B2"/>
    <w:rsid w:val="002301C0"/>
    <w:rsid w:val="00230295"/>
    <w:rsid w:val="002303E5"/>
    <w:rsid w:val="00230414"/>
    <w:rsid w:val="002304D9"/>
    <w:rsid w:val="00230511"/>
    <w:rsid w:val="00230585"/>
    <w:rsid w:val="00230730"/>
    <w:rsid w:val="00230821"/>
    <w:rsid w:val="0023087F"/>
    <w:rsid w:val="002309C4"/>
    <w:rsid w:val="00230A6B"/>
    <w:rsid w:val="00230B52"/>
    <w:rsid w:val="00230CBB"/>
    <w:rsid w:val="00230DC7"/>
    <w:rsid w:val="00230E7B"/>
    <w:rsid w:val="00230E9D"/>
    <w:rsid w:val="00230F5B"/>
    <w:rsid w:val="00231001"/>
    <w:rsid w:val="0023116D"/>
    <w:rsid w:val="002311AE"/>
    <w:rsid w:val="002311C6"/>
    <w:rsid w:val="002313BF"/>
    <w:rsid w:val="002315D1"/>
    <w:rsid w:val="00231680"/>
    <w:rsid w:val="002317D0"/>
    <w:rsid w:val="0023189D"/>
    <w:rsid w:val="00231965"/>
    <w:rsid w:val="0023197D"/>
    <w:rsid w:val="00231997"/>
    <w:rsid w:val="002319B3"/>
    <w:rsid w:val="002319D3"/>
    <w:rsid w:val="00231A50"/>
    <w:rsid w:val="00231ACE"/>
    <w:rsid w:val="00231B1D"/>
    <w:rsid w:val="00231B35"/>
    <w:rsid w:val="00231BA2"/>
    <w:rsid w:val="00231CC1"/>
    <w:rsid w:val="00231D14"/>
    <w:rsid w:val="00231D2B"/>
    <w:rsid w:val="00231D55"/>
    <w:rsid w:val="00231DAA"/>
    <w:rsid w:val="00231DAC"/>
    <w:rsid w:val="00231E7B"/>
    <w:rsid w:val="00231EF3"/>
    <w:rsid w:val="00231F0B"/>
    <w:rsid w:val="00231F2B"/>
    <w:rsid w:val="00231F5D"/>
    <w:rsid w:val="00231F62"/>
    <w:rsid w:val="00231F95"/>
    <w:rsid w:val="002321DE"/>
    <w:rsid w:val="00232220"/>
    <w:rsid w:val="002323D9"/>
    <w:rsid w:val="00232445"/>
    <w:rsid w:val="0023250D"/>
    <w:rsid w:val="00232591"/>
    <w:rsid w:val="00232598"/>
    <w:rsid w:val="002325AC"/>
    <w:rsid w:val="002325DF"/>
    <w:rsid w:val="002326BF"/>
    <w:rsid w:val="002326C7"/>
    <w:rsid w:val="002326CD"/>
    <w:rsid w:val="00232753"/>
    <w:rsid w:val="002327B4"/>
    <w:rsid w:val="00232879"/>
    <w:rsid w:val="00232889"/>
    <w:rsid w:val="00232BFC"/>
    <w:rsid w:val="00232DF6"/>
    <w:rsid w:val="00232F0F"/>
    <w:rsid w:val="0023314B"/>
    <w:rsid w:val="002331B4"/>
    <w:rsid w:val="002331B5"/>
    <w:rsid w:val="002332B2"/>
    <w:rsid w:val="002332FA"/>
    <w:rsid w:val="00233332"/>
    <w:rsid w:val="00233381"/>
    <w:rsid w:val="002333B5"/>
    <w:rsid w:val="002333CA"/>
    <w:rsid w:val="00233424"/>
    <w:rsid w:val="00233446"/>
    <w:rsid w:val="0023346B"/>
    <w:rsid w:val="002334CC"/>
    <w:rsid w:val="002335F5"/>
    <w:rsid w:val="00233654"/>
    <w:rsid w:val="0023377A"/>
    <w:rsid w:val="002337BD"/>
    <w:rsid w:val="002337D9"/>
    <w:rsid w:val="00233823"/>
    <w:rsid w:val="00233828"/>
    <w:rsid w:val="0023388B"/>
    <w:rsid w:val="0023388D"/>
    <w:rsid w:val="0023389B"/>
    <w:rsid w:val="002338B5"/>
    <w:rsid w:val="002338E6"/>
    <w:rsid w:val="002339D8"/>
    <w:rsid w:val="00233A1F"/>
    <w:rsid w:val="00233A3F"/>
    <w:rsid w:val="00233AF3"/>
    <w:rsid w:val="00233B44"/>
    <w:rsid w:val="00233BB2"/>
    <w:rsid w:val="00233C0A"/>
    <w:rsid w:val="00233E01"/>
    <w:rsid w:val="00233E6A"/>
    <w:rsid w:val="00233EA2"/>
    <w:rsid w:val="00233EF9"/>
    <w:rsid w:val="0023407E"/>
    <w:rsid w:val="00234084"/>
    <w:rsid w:val="002340DE"/>
    <w:rsid w:val="00234237"/>
    <w:rsid w:val="0023424C"/>
    <w:rsid w:val="00234300"/>
    <w:rsid w:val="0023435E"/>
    <w:rsid w:val="00234395"/>
    <w:rsid w:val="002343B4"/>
    <w:rsid w:val="00234410"/>
    <w:rsid w:val="00234501"/>
    <w:rsid w:val="00234551"/>
    <w:rsid w:val="002345CD"/>
    <w:rsid w:val="00234745"/>
    <w:rsid w:val="0023474D"/>
    <w:rsid w:val="002347E0"/>
    <w:rsid w:val="002347E4"/>
    <w:rsid w:val="002347EF"/>
    <w:rsid w:val="0023484A"/>
    <w:rsid w:val="002348EC"/>
    <w:rsid w:val="00234958"/>
    <w:rsid w:val="002349E3"/>
    <w:rsid w:val="002349F1"/>
    <w:rsid w:val="00234B41"/>
    <w:rsid w:val="00234B9B"/>
    <w:rsid w:val="00234BC3"/>
    <w:rsid w:val="00234BD6"/>
    <w:rsid w:val="00234CC4"/>
    <w:rsid w:val="00234DCC"/>
    <w:rsid w:val="00234DDA"/>
    <w:rsid w:val="00234F0E"/>
    <w:rsid w:val="00235007"/>
    <w:rsid w:val="002350E4"/>
    <w:rsid w:val="002350F2"/>
    <w:rsid w:val="00235189"/>
    <w:rsid w:val="002351AF"/>
    <w:rsid w:val="00235278"/>
    <w:rsid w:val="002352A4"/>
    <w:rsid w:val="002352AF"/>
    <w:rsid w:val="002352D4"/>
    <w:rsid w:val="00235331"/>
    <w:rsid w:val="002354B9"/>
    <w:rsid w:val="002354F2"/>
    <w:rsid w:val="0023563D"/>
    <w:rsid w:val="002357E9"/>
    <w:rsid w:val="00235814"/>
    <w:rsid w:val="002358EE"/>
    <w:rsid w:val="00235929"/>
    <w:rsid w:val="00235963"/>
    <w:rsid w:val="002359DC"/>
    <w:rsid w:val="00235A05"/>
    <w:rsid w:val="00235B4B"/>
    <w:rsid w:val="00235B70"/>
    <w:rsid w:val="00235B76"/>
    <w:rsid w:val="00235BDD"/>
    <w:rsid w:val="00235C13"/>
    <w:rsid w:val="00235C73"/>
    <w:rsid w:val="00235D54"/>
    <w:rsid w:val="00235D6E"/>
    <w:rsid w:val="00235D94"/>
    <w:rsid w:val="00235EAE"/>
    <w:rsid w:val="00235F78"/>
    <w:rsid w:val="00236141"/>
    <w:rsid w:val="00236289"/>
    <w:rsid w:val="0023642D"/>
    <w:rsid w:val="0023645A"/>
    <w:rsid w:val="00236468"/>
    <w:rsid w:val="0023650D"/>
    <w:rsid w:val="00236517"/>
    <w:rsid w:val="00236604"/>
    <w:rsid w:val="00236657"/>
    <w:rsid w:val="002367C7"/>
    <w:rsid w:val="0023687D"/>
    <w:rsid w:val="002368E5"/>
    <w:rsid w:val="0023690E"/>
    <w:rsid w:val="00236910"/>
    <w:rsid w:val="00236915"/>
    <w:rsid w:val="00236958"/>
    <w:rsid w:val="00236A5E"/>
    <w:rsid w:val="00236B6C"/>
    <w:rsid w:val="00236C04"/>
    <w:rsid w:val="00236C7B"/>
    <w:rsid w:val="00236CA0"/>
    <w:rsid w:val="00236CBF"/>
    <w:rsid w:val="00236DE1"/>
    <w:rsid w:val="00236E2F"/>
    <w:rsid w:val="00236E31"/>
    <w:rsid w:val="00236E43"/>
    <w:rsid w:val="00236ECA"/>
    <w:rsid w:val="00236F57"/>
    <w:rsid w:val="00236FC4"/>
    <w:rsid w:val="00237189"/>
    <w:rsid w:val="002371BF"/>
    <w:rsid w:val="002372A2"/>
    <w:rsid w:val="0023735D"/>
    <w:rsid w:val="00237391"/>
    <w:rsid w:val="00237431"/>
    <w:rsid w:val="00237474"/>
    <w:rsid w:val="00237489"/>
    <w:rsid w:val="00237510"/>
    <w:rsid w:val="00237631"/>
    <w:rsid w:val="002376DA"/>
    <w:rsid w:val="0023773B"/>
    <w:rsid w:val="0023773F"/>
    <w:rsid w:val="00237779"/>
    <w:rsid w:val="0023777C"/>
    <w:rsid w:val="002377B4"/>
    <w:rsid w:val="00237863"/>
    <w:rsid w:val="0023795E"/>
    <w:rsid w:val="00237B74"/>
    <w:rsid w:val="00237BDF"/>
    <w:rsid w:val="00237C63"/>
    <w:rsid w:val="00237D11"/>
    <w:rsid w:val="00237DF6"/>
    <w:rsid w:val="00237EB4"/>
    <w:rsid w:val="002400D9"/>
    <w:rsid w:val="002401C2"/>
    <w:rsid w:val="002401F2"/>
    <w:rsid w:val="0024024A"/>
    <w:rsid w:val="002402E6"/>
    <w:rsid w:val="00240390"/>
    <w:rsid w:val="0024043B"/>
    <w:rsid w:val="00240595"/>
    <w:rsid w:val="00240605"/>
    <w:rsid w:val="0024060C"/>
    <w:rsid w:val="00240634"/>
    <w:rsid w:val="002406E9"/>
    <w:rsid w:val="002406F7"/>
    <w:rsid w:val="00240778"/>
    <w:rsid w:val="002407B3"/>
    <w:rsid w:val="0024094B"/>
    <w:rsid w:val="00240951"/>
    <w:rsid w:val="00240AB3"/>
    <w:rsid w:val="00240B5A"/>
    <w:rsid w:val="00240D4A"/>
    <w:rsid w:val="00240F4E"/>
    <w:rsid w:val="00240F9A"/>
    <w:rsid w:val="00240FA5"/>
    <w:rsid w:val="0024110A"/>
    <w:rsid w:val="00241182"/>
    <w:rsid w:val="002411A4"/>
    <w:rsid w:val="002411C8"/>
    <w:rsid w:val="002411EC"/>
    <w:rsid w:val="002411F3"/>
    <w:rsid w:val="002411F9"/>
    <w:rsid w:val="0024122E"/>
    <w:rsid w:val="002413BA"/>
    <w:rsid w:val="00241528"/>
    <w:rsid w:val="00241564"/>
    <w:rsid w:val="00241578"/>
    <w:rsid w:val="00241579"/>
    <w:rsid w:val="0024164C"/>
    <w:rsid w:val="00241670"/>
    <w:rsid w:val="0024167F"/>
    <w:rsid w:val="002417C4"/>
    <w:rsid w:val="0024183F"/>
    <w:rsid w:val="0024186B"/>
    <w:rsid w:val="0024192C"/>
    <w:rsid w:val="00241943"/>
    <w:rsid w:val="002419D0"/>
    <w:rsid w:val="00241A48"/>
    <w:rsid w:val="00241B69"/>
    <w:rsid w:val="00241BE1"/>
    <w:rsid w:val="00241C02"/>
    <w:rsid w:val="00241C91"/>
    <w:rsid w:val="00241E9B"/>
    <w:rsid w:val="00241EC3"/>
    <w:rsid w:val="00241EF4"/>
    <w:rsid w:val="00241F33"/>
    <w:rsid w:val="00241FD6"/>
    <w:rsid w:val="0024200C"/>
    <w:rsid w:val="002421F4"/>
    <w:rsid w:val="00242210"/>
    <w:rsid w:val="0024231B"/>
    <w:rsid w:val="00242391"/>
    <w:rsid w:val="00242465"/>
    <w:rsid w:val="0024254B"/>
    <w:rsid w:val="0024266F"/>
    <w:rsid w:val="002426CB"/>
    <w:rsid w:val="0024275C"/>
    <w:rsid w:val="002427AE"/>
    <w:rsid w:val="002427BF"/>
    <w:rsid w:val="002427DA"/>
    <w:rsid w:val="002428A0"/>
    <w:rsid w:val="00242901"/>
    <w:rsid w:val="0024294C"/>
    <w:rsid w:val="00242998"/>
    <w:rsid w:val="00242999"/>
    <w:rsid w:val="00242B04"/>
    <w:rsid w:val="00242BEE"/>
    <w:rsid w:val="00242C09"/>
    <w:rsid w:val="00242C7D"/>
    <w:rsid w:val="00242C9C"/>
    <w:rsid w:val="00242CB0"/>
    <w:rsid w:val="00242D35"/>
    <w:rsid w:val="00242F20"/>
    <w:rsid w:val="00242F81"/>
    <w:rsid w:val="00242F83"/>
    <w:rsid w:val="00242FC5"/>
    <w:rsid w:val="00242FF0"/>
    <w:rsid w:val="002430CF"/>
    <w:rsid w:val="002431F6"/>
    <w:rsid w:val="00243227"/>
    <w:rsid w:val="0024329E"/>
    <w:rsid w:val="00243364"/>
    <w:rsid w:val="002433BA"/>
    <w:rsid w:val="0024348C"/>
    <w:rsid w:val="00243605"/>
    <w:rsid w:val="002436AD"/>
    <w:rsid w:val="002436AE"/>
    <w:rsid w:val="002436E8"/>
    <w:rsid w:val="002437FB"/>
    <w:rsid w:val="0024384B"/>
    <w:rsid w:val="00243A26"/>
    <w:rsid w:val="00243A7C"/>
    <w:rsid w:val="00243B25"/>
    <w:rsid w:val="00243B35"/>
    <w:rsid w:val="00243B4C"/>
    <w:rsid w:val="00243B7F"/>
    <w:rsid w:val="00243D75"/>
    <w:rsid w:val="00243EE5"/>
    <w:rsid w:val="00243EFE"/>
    <w:rsid w:val="00243F05"/>
    <w:rsid w:val="00243F52"/>
    <w:rsid w:val="00243FF3"/>
    <w:rsid w:val="00244060"/>
    <w:rsid w:val="00244262"/>
    <w:rsid w:val="002442F6"/>
    <w:rsid w:val="00244306"/>
    <w:rsid w:val="00244377"/>
    <w:rsid w:val="00244430"/>
    <w:rsid w:val="00244567"/>
    <w:rsid w:val="002445BA"/>
    <w:rsid w:val="0024461B"/>
    <w:rsid w:val="0024463D"/>
    <w:rsid w:val="00244738"/>
    <w:rsid w:val="002447A2"/>
    <w:rsid w:val="002447AF"/>
    <w:rsid w:val="002449B1"/>
    <w:rsid w:val="002449DA"/>
    <w:rsid w:val="00244B93"/>
    <w:rsid w:val="00244D43"/>
    <w:rsid w:val="00244D52"/>
    <w:rsid w:val="00244DDE"/>
    <w:rsid w:val="00244E06"/>
    <w:rsid w:val="00244E17"/>
    <w:rsid w:val="0024504B"/>
    <w:rsid w:val="00245058"/>
    <w:rsid w:val="002452B2"/>
    <w:rsid w:val="0024536E"/>
    <w:rsid w:val="002454A6"/>
    <w:rsid w:val="002454B3"/>
    <w:rsid w:val="00245511"/>
    <w:rsid w:val="0024566D"/>
    <w:rsid w:val="0024569D"/>
    <w:rsid w:val="0024578D"/>
    <w:rsid w:val="002457EF"/>
    <w:rsid w:val="00245878"/>
    <w:rsid w:val="00245956"/>
    <w:rsid w:val="00245993"/>
    <w:rsid w:val="002459E5"/>
    <w:rsid w:val="002459EE"/>
    <w:rsid w:val="00245A73"/>
    <w:rsid w:val="00245BA4"/>
    <w:rsid w:val="00245BC4"/>
    <w:rsid w:val="00245D45"/>
    <w:rsid w:val="00245DB8"/>
    <w:rsid w:val="00245F60"/>
    <w:rsid w:val="00246000"/>
    <w:rsid w:val="0024600D"/>
    <w:rsid w:val="002460C0"/>
    <w:rsid w:val="00246102"/>
    <w:rsid w:val="0024613B"/>
    <w:rsid w:val="002461B6"/>
    <w:rsid w:val="0024620E"/>
    <w:rsid w:val="00246311"/>
    <w:rsid w:val="0024658C"/>
    <w:rsid w:val="002465B9"/>
    <w:rsid w:val="002465E5"/>
    <w:rsid w:val="002466A5"/>
    <w:rsid w:val="002466BF"/>
    <w:rsid w:val="00246701"/>
    <w:rsid w:val="00246762"/>
    <w:rsid w:val="002467F3"/>
    <w:rsid w:val="0024680A"/>
    <w:rsid w:val="00246827"/>
    <w:rsid w:val="002468CB"/>
    <w:rsid w:val="002468F4"/>
    <w:rsid w:val="00246932"/>
    <w:rsid w:val="00246942"/>
    <w:rsid w:val="00246945"/>
    <w:rsid w:val="00246974"/>
    <w:rsid w:val="00246A09"/>
    <w:rsid w:val="00246A0B"/>
    <w:rsid w:val="00246A2D"/>
    <w:rsid w:val="00246ABB"/>
    <w:rsid w:val="00246BB4"/>
    <w:rsid w:val="00246CD2"/>
    <w:rsid w:val="00246CD4"/>
    <w:rsid w:val="00246D51"/>
    <w:rsid w:val="00246DB2"/>
    <w:rsid w:val="00246DFA"/>
    <w:rsid w:val="00246E80"/>
    <w:rsid w:val="00246E93"/>
    <w:rsid w:val="00246EB2"/>
    <w:rsid w:val="0024705F"/>
    <w:rsid w:val="0024706D"/>
    <w:rsid w:val="00247097"/>
    <w:rsid w:val="002470C0"/>
    <w:rsid w:val="002470F0"/>
    <w:rsid w:val="002470F7"/>
    <w:rsid w:val="00247133"/>
    <w:rsid w:val="00247173"/>
    <w:rsid w:val="00247185"/>
    <w:rsid w:val="002471AC"/>
    <w:rsid w:val="00247268"/>
    <w:rsid w:val="0024727D"/>
    <w:rsid w:val="00247290"/>
    <w:rsid w:val="0024731E"/>
    <w:rsid w:val="00247322"/>
    <w:rsid w:val="00247387"/>
    <w:rsid w:val="0024738D"/>
    <w:rsid w:val="00247409"/>
    <w:rsid w:val="00247525"/>
    <w:rsid w:val="002475C1"/>
    <w:rsid w:val="00247783"/>
    <w:rsid w:val="002477FD"/>
    <w:rsid w:val="0024784D"/>
    <w:rsid w:val="00247856"/>
    <w:rsid w:val="002479D4"/>
    <w:rsid w:val="00247A72"/>
    <w:rsid w:val="00247B47"/>
    <w:rsid w:val="00247BA0"/>
    <w:rsid w:val="00247E5D"/>
    <w:rsid w:val="00247F2B"/>
    <w:rsid w:val="00247F7B"/>
    <w:rsid w:val="00247FE5"/>
    <w:rsid w:val="0024C76C"/>
    <w:rsid w:val="002501C4"/>
    <w:rsid w:val="002502C8"/>
    <w:rsid w:val="00250335"/>
    <w:rsid w:val="002503EF"/>
    <w:rsid w:val="00250490"/>
    <w:rsid w:val="002504C3"/>
    <w:rsid w:val="00250560"/>
    <w:rsid w:val="002508DB"/>
    <w:rsid w:val="00250930"/>
    <w:rsid w:val="002509AB"/>
    <w:rsid w:val="00250AD8"/>
    <w:rsid w:val="00250B5C"/>
    <w:rsid w:val="00250CBD"/>
    <w:rsid w:val="00250DCC"/>
    <w:rsid w:val="00250E2B"/>
    <w:rsid w:val="00250FA8"/>
    <w:rsid w:val="0025107E"/>
    <w:rsid w:val="002510B0"/>
    <w:rsid w:val="00251178"/>
    <w:rsid w:val="00251275"/>
    <w:rsid w:val="0025132A"/>
    <w:rsid w:val="0025148B"/>
    <w:rsid w:val="0025153E"/>
    <w:rsid w:val="00251592"/>
    <w:rsid w:val="00251660"/>
    <w:rsid w:val="002516C9"/>
    <w:rsid w:val="0025171E"/>
    <w:rsid w:val="00251774"/>
    <w:rsid w:val="0025185D"/>
    <w:rsid w:val="002518DE"/>
    <w:rsid w:val="002519A9"/>
    <w:rsid w:val="002519AD"/>
    <w:rsid w:val="002519D9"/>
    <w:rsid w:val="00251AF1"/>
    <w:rsid w:val="00251B7B"/>
    <w:rsid w:val="00251C2D"/>
    <w:rsid w:val="00251D5E"/>
    <w:rsid w:val="00251DCE"/>
    <w:rsid w:val="00251DCF"/>
    <w:rsid w:val="00251E3E"/>
    <w:rsid w:val="00251EA3"/>
    <w:rsid w:val="00251EF5"/>
    <w:rsid w:val="00251EF6"/>
    <w:rsid w:val="00251F6A"/>
    <w:rsid w:val="00252066"/>
    <w:rsid w:val="00252098"/>
    <w:rsid w:val="002520EC"/>
    <w:rsid w:val="002522F8"/>
    <w:rsid w:val="00252338"/>
    <w:rsid w:val="0025238F"/>
    <w:rsid w:val="00252438"/>
    <w:rsid w:val="0025243E"/>
    <w:rsid w:val="0025251C"/>
    <w:rsid w:val="00252675"/>
    <w:rsid w:val="0025275B"/>
    <w:rsid w:val="002527BA"/>
    <w:rsid w:val="00252834"/>
    <w:rsid w:val="00252851"/>
    <w:rsid w:val="002528A5"/>
    <w:rsid w:val="0025294C"/>
    <w:rsid w:val="00252C1D"/>
    <w:rsid w:val="00252C5C"/>
    <w:rsid w:val="00252D09"/>
    <w:rsid w:val="00252E81"/>
    <w:rsid w:val="00252EF6"/>
    <w:rsid w:val="00252EF9"/>
    <w:rsid w:val="00252F86"/>
    <w:rsid w:val="002531E7"/>
    <w:rsid w:val="0025323B"/>
    <w:rsid w:val="0025324B"/>
    <w:rsid w:val="0025328F"/>
    <w:rsid w:val="002532AF"/>
    <w:rsid w:val="002532BF"/>
    <w:rsid w:val="002532C8"/>
    <w:rsid w:val="002532F4"/>
    <w:rsid w:val="00253550"/>
    <w:rsid w:val="002536F8"/>
    <w:rsid w:val="00253706"/>
    <w:rsid w:val="0025372F"/>
    <w:rsid w:val="0025375F"/>
    <w:rsid w:val="002537A2"/>
    <w:rsid w:val="00253864"/>
    <w:rsid w:val="00253AA8"/>
    <w:rsid w:val="00253AF5"/>
    <w:rsid w:val="00253BF1"/>
    <w:rsid w:val="00253C09"/>
    <w:rsid w:val="00253C14"/>
    <w:rsid w:val="00253C41"/>
    <w:rsid w:val="00253DA6"/>
    <w:rsid w:val="00253DC2"/>
    <w:rsid w:val="00253DCA"/>
    <w:rsid w:val="00253E10"/>
    <w:rsid w:val="00253E63"/>
    <w:rsid w:val="00253E6E"/>
    <w:rsid w:val="00253E87"/>
    <w:rsid w:val="00253F13"/>
    <w:rsid w:val="00253F16"/>
    <w:rsid w:val="00253F70"/>
    <w:rsid w:val="00253FD5"/>
    <w:rsid w:val="00253FFF"/>
    <w:rsid w:val="002541AD"/>
    <w:rsid w:val="002541B2"/>
    <w:rsid w:val="0025427D"/>
    <w:rsid w:val="002542D9"/>
    <w:rsid w:val="002543A2"/>
    <w:rsid w:val="002543C1"/>
    <w:rsid w:val="002543C4"/>
    <w:rsid w:val="00254440"/>
    <w:rsid w:val="002544C4"/>
    <w:rsid w:val="002544E2"/>
    <w:rsid w:val="002544FD"/>
    <w:rsid w:val="0025450C"/>
    <w:rsid w:val="00254544"/>
    <w:rsid w:val="002545B7"/>
    <w:rsid w:val="00254605"/>
    <w:rsid w:val="002546CE"/>
    <w:rsid w:val="0025471E"/>
    <w:rsid w:val="002547B8"/>
    <w:rsid w:val="0025489F"/>
    <w:rsid w:val="002548CD"/>
    <w:rsid w:val="002549C5"/>
    <w:rsid w:val="00254A0C"/>
    <w:rsid w:val="00254A15"/>
    <w:rsid w:val="00254B39"/>
    <w:rsid w:val="00254B56"/>
    <w:rsid w:val="00254B85"/>
    <w:rsid w:val="00254C61"/>
    <w:rsid w:val="00254CC3"/>
    <w:rsid w:val="00254D29"/>
    <w:rsid w:val="00254E2A"/>
    <w:rsid w:val="0025500A"/>
    <w:rsid w:val="0025500D"/>
    <w:rsid w:val="00255035"/>
    <w:rsid w:val="0025531D"/>
    <w:rsid w:val="0025533D"/>
    <w:rsid w:val="002553CD"/>
    <w:rsid w:val="0025543D"/>
    <w:rsid w:val="002554FF"/>
    <w:rsid w:val="002555B6"/>
    <w:rsid w:val="0025592C"/>
    <w:rsid w:val="00255967"/>
    <w:rsid w:val="002559E1"/>
    <w:rsid w:val="00255A6B"/>
    <w:rsid w:val="00255B10"/>
    <w:rsid w:val="00255CBC"/>
    <w:rsid w:val="00255CE6"/>
    <w:rsid w:val="00255F7C"/>
    <w:rsid w:val="00255F9C"/>
    <w:rsid w:val="00256022"/>
    <w:rsid w:val="0025602E"/>
    <w:rsid w:val="0025603E"/>
    <w:rsid w:val="00256150"/>
    <w:rsid w:val="0025625B"/>
    <w:rsid w:val="00256334"/>
    <w:rsid w:val="00256338"/>
    <w:rsid w:val="002564DE"/>
    <w:rsid w:val="00256568"/>
    <w:rsid w:val="00256679"/>
    <w:rsid w:val="002566BF"/>
    <w:rsid w:val="00256771"/>
    <w:rsid w:val="002567C5"/>
    <w:rsid w:val="0025680A"/>
    <w:rsid w:val="00256850"/>
    <w:rsid w:val="0025697E"/>
    <w:rsid w:val="00256A0C"/>
    <w:rsid w:val="00256A12"/>
    <w:rsid w:val="00256A41"/>
    <w:rsid w:val="00256A63"/>
    <w:rsid w:val="00256A8E"/>
    <w:rsid w:val="00256B31"/>
    <w:rsid w:val="00256BDD"/>
    <w:rsid w:val="00256CA2"/>
    <w:rsid w:val="00256CBB"/>
    <w:rsid w:val="00256E45"/>
    <w:rsid w:val="00256FE1"/>
    <w:rsid w:val="0025707A"/>
    <w:rsid w:val="002574DE"/>
    <w:rsid w:val="002574E3"/>
    <w:rsid w:val="0025756D"/>
    <w:rsid w:val="002575BE"/>
    <w:rsid w:val="00257635"/>
    <w:rsid w:val="0025763A"/>
    <w:rsid w:val="0025766D"/>
    <w:rsid w:val="00257946"/>
    <w:rsid w:val="002579A4"/>
    <w:rsid w:val="00257AF9"/>
    <w:rsid w:val="00257B23"/>
    <w:rsid w:val="00257B37"/>
    <w:rsid w:val="00257B4E"/>
    <w:rsid w:val="00257C4B"/>
    <w:rsid w:val="00257D2F"/>
    <w:rsid w:val="00257D4F"/>
    <w:rsid w:val="00257E0D"/>
    <w:rsid w:val="00257E22"/>
    <w:rsid w:val="00257F22"/>
    <w:rsid w:val="00257FB7"/>
    <w:rsid w:val="0025A379"/>
    <w:rsid w:val="00260034"/>
    <w:rsid w:val="0026009E"/>
    <w:rsid w:val="00260135"/>
    <w:rsid w:val="00260142"/>
    <w:rsid w:val="002602DB"/>
    <w:rsid w:val="0026038F"/>
    <w:rsid w:val="002603C7"/>
    <w:rsid w:val="0026047A"/>
    <w:rsid w:val="0026047E"/>
    <w:rsid w:val="00260527"/>
    <w:rsid w:val="0026057D"/>
    <w:rsid w:val="00260789"/>
    <w:rsid w:val="00260793"/>
    <w:rsid w:val="002607A7"/>
    <w:rsid w:val="00260805"/>
    <w:rsid w:val="002608C8"/>
    <w:rsid w:val="002608D5"/>
    <w:rsid w:val="002608F4"/>
    <w:rsid w:val="00260903"/>
    <w:rsid w:val="00260921"/>
    <w:rsid w:val="00260952"/>
    <w:rsid w:val="00260ACF"/>
    <w:rsid w:val="00260AFF"/>
    <w:rsid w:val="00260BF5"/>
    <w:rsid w:val="00260BFD"/>
    <w:rsid w:val="00260C3F"/>
    <w:rsid w:val="00260C67"/>
    <w:rsid w:val="00260C9D"/>
    <w:rsid w:val="00260CA8"/>
    <w:rsid w:val="00260D4E"/>
    <w:rsid w:val="00260D9E"/>
    <w:rsid w:val="00260E46"/>
    <w:rsid w:val="00260F01"/>
    <w:rsid w:val="00260F76"/>
    <w:rsid w:val="00260FC9"/>
    <w:rsid w:val="0026107B"/>
    <w:rsid w:val="002611E2"/>
    <w:rsid w:val="00261497"/>
    <w:rsid w:val="002614E8"/>
    <w:rsid w:val="0026155D"/>
    <w:rsid w:val="002615B3"/>
    <w:rsid w:val="0026171E"/>
    <w:rsid w:val="00261807"/>
    <w:rsid w:val="00261817"/>
    <w:rsid w:val="00261891"/>
    <w:rsid w:val="0026191D"/>
    <w:rsid w:val="0026194B"/>
    <w:rsid w:val="002619CE"/>
    <w:rsid w:val="00261B4E"/>
    <w:rsid w:val="00261B68"/>
    <w:rsid w:val="00261CA2"/>
    <w:rsid w:val="00261CC6"/>
    <w:rsid w:val="00261CD5"/>
    <w:rsid w:val="00261D16"/>
    <w:rsid w:val="00261E6A"/>
    <w:rsid w:val="00261EA3"/>
    <w:rsid w:val="00261F94"/>
    <w:rsid w:val="00261FAF"/>
    <w:rsid w:val="0026247A"/>
    <w:rsid w:val="0026251D"/>
    <w:rsid w:val="00262581"/>
    <w:rsid w:val="00262620"/>
    <w:rsid w:val="002626A4"/>
    <w:rsid w:val="00262901"/>
    <w:rsid w:val="00262927"/>
    <w:rsid w:val="00262947"/>
    <w:rsid w:val="002629F1"/>
    <w:rsid w:val="00262B00"/>
    <w:rsid w:val="00262B1A"/>
    <w:rsid w:val="00262B26"/>
    <w:rsid w:val="00262B29"/>
    <w:rsid w:val="00262C06"/>
    <w:rsid w:val="00262C7B"/>
    <w:rsid w:val="00262D4A"/>
    <w:rsid w:val="00262D70"/>
    <w:rsid w:val="00262EA0"/>
    <w:rsid w:val="00263000"/>
    <w:rsid w:val="0026303D"/>
    <w:rsid w:val="0026307B"/>
    <w:rsid w:val="002630A5"/>
    <w:rsid w:val="002630C8"/>
    <w:rsid w:val="00263199"/>
    <w:rsid w:val="00263229"/>
    <w:rsid w:val="00263284"/>
    <w:rsid w:val="002632B6"/>
    <w:rsid w:val="0026333C"/>
    <w:rsid w:val="0026349D"/>
    <w:rsid w:val="0026351C"/>
    <w:rsid w:val="002635F4"/>
    <w:rsid w:val="0026364B"/>
    <w:rsid w:val="002636CE"/>
    <w:rsid w:val="00263744"/>
    <w:rsid w:val="002637F2"/>
    <w:rsid w:val="00263957"/>
    <w:rsid w:val="00263A8B"/>
    <w:rsid w:val="00263AE6"/>
    <w:rsid w:val="00263B0F"/>
    <w:rsid w:val="00263B29"/>
    <w:rsid w:val="00263BE1"/>
    <w:rsid w:val="00263D0A"/>
    <w:rsid w:val="00263D11"/>
    <w:rsid w:val="00263D42"/>
    <w:rsid w:val="00263E6D"/>
    <w:rsid w:val="00263E88"/>
    <w:rsid w:val="00263F51"/>
    <w:rsid w:val="00264023"/>
    <w:rsid w:val="0026402B"/>
    <w:rsid w:val="00264030"/>
    <w:rsid w:val="002640CA"/>
    <w:rsid w:val="002640D8"/>
    <w:rsid w:val="002641C7"/>
    <w:rsid w:val="002642BB"/>
    <w:rsid w:val="00264357"/>
    <w:rsid w:val="0026436D"/>
    <w:rsid w:val="0026441A"/>
    <w:rsid w:val="00264426"/>
    <w:rsid w:val="00264526"/>
    <w:rsid w:val="0026458F"/>
    <w:rsid w:val="0026465A"/>
    <w:rsid w:val="00264662"/>
    <w:rsid w:val="002647AD"/>
    <w:rsid w:val="002648DC"/>
    <w:rsid w:val="00264930"/>
    <w:rsid w:val="002649A8"/>
    <w:rsid w:val="00264A7F"/>
    <w:rsid w:val="00264B30"/>
    <w:rsid w:val="00264B54"/>
    <w:rsid w:val="00264C3D"/>
    <w:rsid w:val="00264C7A"/>
    <w:rsid w:val="00264D6D"/>
    <w:rsid w:val="00264E57"/>
    <w:rsid w:val="00264E9B"/>
    <w:rsid w:val="00264FE0"/>
    <w:rsid w:val="00265178"/>
    <w:rsid w:val="002651EB"/>
    <w:rsid w:val="00265462"/>
    <w:rsid w:val="00265490"/>
    <w:rsid w:val="00265592"/>
    <w:rsid w:val="00265686"/>
    <w:rsid w:val="002656D9"/>
    <w:rsid w:val="00265705"/>
    <w:rsid w:val="00265796"/>
    <w:rsid w:val="002657D2"/>
    <w:rsid w:val="002657E5"/>
    <w:rsid w:val="002657F7"/>
    <w:rsid w:val="00265818"/>
    <w:rsid w:val="002658BC"/>
    <w:rsid w:val="00265A00"/>
    <w:rsid w:val="00265A1B"/>
    <w:rsid w:val="00265ABF"/>
    <w:rsid w:val="00265B60"/>
    <w:rsid w:val="00265B82"/>
    <w:rsid w:val="00265C04"/>
    <w:rsid w:val="00265C0B"/>
    <w:rsid w:val="00265C77"/>
    <w:rsid w:val="00265D6A"/>
    <w:rsid w:val="00265E9E"/>
    <w:rsid w:val="00265F6C"/>
    <w:rsid w:val="00265FDA"/>
    <w:rsid w:val="002661E0"/>
    <w:rsid w:val="00266246"/>
    <w:rsid w:val="00266267"/>
    <w:rsid w:val="0026626B"/>
    <w:rsid w:val="00266312"/>
    <w:rsid w:val="002663AF"/>
    <w:rsid w:val="002663B8"/>
    <w:rsid w:val="0026641C"/>
    <w:rsid w:val="00266461"/>
    <w:rsid w:val="00266562"/>
    <w:rsid w:val="00266569"/>
    <w:rsid w:val="00266685"/>
    <w:rsid w:val="002666C7"/>
    <w:rsid w:val="002666CD"/>
    <w:rsid w:val="002666E9"/>
    <w:rsid w:val="00266864"/>
    <w:rsid w:val="00266902"/>
    <w:rsid w:val="0026696E"/>
    <w:rsid w:val="0026698A"/>
    <w:rsid w:val="0026699D"/>
    <w:rsid w:val="00266A56"/>
    <w:rsid w:val="00266A67"/>
    <w:rsid w:val="00266B6F"/>
    <w:rsid w:val="00266BA2"/>
    <w:rsid w:val="00266C0B"/>
    <w:rsid w:val="00266C14"/>
    <w:rsid w:val="00266CF3"/>
    <w:rsid w:val="00266E28"/>
    <w:rsid w:val="00266E5A"/>
    <w:rsid w:val="00266E69"/>
    <w:rsid w:val="00266EE0"/>
    <w:rsid w:val="00266F1A"/>
    <w:rsid w:val="00266FD1"/>
    <w:rsid w:val="002670AE"/>
    <w:rsid w:val="0026711C"/>
    <w:rsid w:val="00267142"/>
    <w:rsid w:val="00267411"/>
    <w:rsid w:val="0026742E"/>
    <w:rsid w:val="00267469"/>
    <w:rsid w:val="00267490"/>
    <w:rsid w:val="00267585"/>
    <w:rsid w:val="0026766B"/>
    <w:rsid w:val="002676DA"/>
    <w:rsid w:val="002677E3"/>
    <w:rsid w:val="002677FC"/>
    <w:rsid w:val="0026792D"/>
    <w:rsid w:val="00267989"/>
    <w:rsid w:val="00267A74"/>
    <w:rsid w:val="00267C03"/>
    <w:rsid w:val="00267D6A"/>
    <w:rsid w:val="00267DEF"/>
    <w:rsid w:val="00267F09"/>
    <w:rsid w:val="00267F92"/>
    <w:rsid w:val="00270113"/>
    <w:rsid w:val="00270319"/>
    <w:rsid w:val="0027044B"/>
    <w:rsid w:val="00270571"/>
    <w:rsid w:val="00270578"/>
    <w:rsid w:val="00270603"/>
    <w:rsid w:val="0027093E"/>
    <w:rsid w:val="00270A3D"/>
    <w:rsid w:val="00270B45"/>
    <w:rsid w:val="00270BA3"/>
    <w:rsid w:val="00270CC9"/>
    <w:rsid w:val="00270D00"/>
    <w:rsid w:val="00270D1E"/>
    <w:rsid w:val="00270DAD"/>
    <w:rsid w:val="00270DF1"/>
    <w:rsid w:val="00270E85"/>
    <w:rsid w:val="00270EB7"/>
    <w:rsid w:val="00270F1D"/>
    <w:rsid w:val="00270F51"/>
    <w:rsid w:val="00270F7C"/>
    <w:rsid w:val="0027107B"/>
    <w:rsid w:val="00271160"/>
    <w:rsid w:val="00271177"/>
    <w:rsid w:val="002712AC"/>
    <w:rsid w:val="00271347"/>
    <w:rsid w:val="00271373"/>
    <w:rsid w:val="00271390"/>
    <w:rsid w:val="00271481"/>
    <w:rsid w:val="002714A7"/>
    <w:rsid w:val="00271591"/>
    <w:rsid w:val="0027169D"/>
    <w:rsid w:val="002716B5"/>
    <w:rsid w:val="00271793"/>
    <w:rsid w:val="002718E6"/>
    <w:rsid w:val="00271914"/>
    <w:rsid w:val="00271951"/>
    <w:rsid w:val="002719A4"/>
    <w:rsid w:val="002719A6"/>
    <w:rsid w:val="00271A17"/>
    <w:rsid w:val="00271B48"/>
    <w:rsid w:val="00271BB7"/>
    <w:rsid w:val="00271C49"/>
    <w:rsid w:val="00271C9D"/>
    <w:rsid w:val="00271CC4"/>
    <w:rsid w:val="00271D0C"/>
    <w:rsid w:val="00271FC7"/>
    <w:rsid w:val="0027200C"/>
    <w:rsid w:val="002720AE"/>
    <w:rsid w:val="002720BC"/>
    <w:rsid w:val="00272109"/>
    <w:rsid w:val="0027211D"/>
    <w:rsid w:val="00272236"/>
    <w:rsid w:val="0027234F"/>
    <w:rsid w:val="002723C3"/>
    <w:rsid w:val="0027240D"/>
    <w:rsid w:val="002724A2"/>
    <w:rsid w:val="00272722"/>
    <w:rsid w:val="002727AF"/>
    <w:rsid w:val="0027282F"/>
    <w:rsid w:val="002728FA"/>
    <w:rsid w:val="00272923"/>
    <w:rsid w:val="002729A0"/>
    <w:rsid w:val="00272B60"/>
    <w:rsid w:val="00272B7D"/>
    <w:rsid w:val="00272C56"/>
    <w:rsid w:val="00272CE6"/>
    <w:rsid w:val="00272DC3"/>
    <w:rsid w:val="00272DE3"/>
    <w:rsid w:val="00272DEC"/>
    <w:rsid w:val="00272ED6"/>
    <w:rsid w:val="002730C0"/>
    <w:rsid w:val="0027319F"/>
    <w:rsid w:val="0027323E"/>
    <w:rsid w:val="002732C9"/>
    <w:rsid w:val="002732D2"/>
    <w:rsid w:val="0027332E"/>
    <w:rsid w:val="00273447"/>
    <w:rsid w:val="00273494"/>
    <w:rsid w:val="0027358E"/>
    <w:rsid w:val="002736FE"/>
    <w:rsid w:val="002737FE"/>
    <w:rsid w:val="00273883"/>
    <w:rsid w:val="0027388A"/>
    <w:rsid w:val="00273A6E"/>
    <w:rsid w:val="00273C4A"/>
    <w:rsid w:val="00273C53"/>
    <w:rsid w:val="00273C57"/>
    <w:rsid w:val="00273D76"/>
    <w:rsid w:val="00273EA2"/>
    <w:rsid w:val="0027401A"/>
    <w:rsid w:val="002741DC"/>
    <w:rsid w:val="00274254"/>
    <w:rsid w:val="0027430F"/>
    <w:rsid w:val="00274393"/>
    <w:rsid w:val="002745C6"/>
    <w:rsid w:val="002746CB"/>
    <w:rsid w:val="00274992"/>
    <w:rsid w:val="002749C5"/>
    <w:rsid w:val="002749D2"/>
    <w:rsid w:val="00274A5F"/>
    <w:rsid w:val="00274A76"/>
    <w:rsid w:val="00274B10"/>
    <w:rsid w:val="00274B36"/>
    <w:rsid w:val="00274BFA"/>
    <w:rsid w:val="00274C1F"/>
    <w:rsid w:val="00274C4F"/>
    <w:rsid w:val="00274C7E"/>
    <w:rsid w:val="00274F20"/>
    <w:rsid w:val="00274F34"/>
    <w:rsid w:val="00275091"/>
    <w:rsid w:val="00275102"/>
    <w:rsid w:val="00275108"/>
    <w:rsid w:val="0027510F"/>
    <w:rsid w:val="0027512D"/>
    <w:rsid w:val="00275150"/>
    <w:rsid w:val="0027518E"/>
    <w:rsid w:val="002751A4"/>
    <w:rsid w:val="002751A9"/>
    <w:rsid w:val="00275226"/>
    <w:rsid w:val="0027523A"/>
    <w:rsid w:val="002752EC"/>
    <w:rsid w:val="002753E8"/>
    <w:rsid w:val="002753F1"/>
    <w:rsid w:val="0027542C"/>
    <w:rsid w:val="00275465"/>
    <w:rsid w:val="00275491"/>
    <w:rsid w:val="00275572"/>
    <w:rsid w:val="0027587D"/>
    <w:rsid w:val="002758AC"/>
    <w:rsid w:val="00275911"/>
    <w:rsid w:val="0027596F"/>
    <w:rsid w:val="00275974"/>
    <w:rsid w:val="002759AE"/>
    <w:rsid w:val="002759BA"/>
    <w:rsid w:val="002759D0"/>
    <w:rsid w:val="002759E6"/>
    <w:rsid w:val="00275A09"/>
    <w:rsid w:val="00275A1F"/>
    <w:rsid w:val="00275A31"/>
    <w:rsid w:val="00275A38"/>
    <w:rsid w:val="00275A43"/>
    <w:rsid w:val="00275A4A"/>
    <w:rsid w:val="00275ABB"/>
    <w:rsid w:val="00275B15"/>
    <w:rsid w:val="00275B57"/>
    <w:rsid w:val="00275B5F"/>
    <w:rsid w:val="00275E29"/>
    <w:rsid w:val="00275E80"/>
    <w:rsid w:val="00275E89"/>
    <w:rsid w:val="00275E91"/>
    <w:rsid w:val="00275F0C"/>
    <w:rsid w:val="00275F0D"/>
    <w:rsid w:val="00275FE8"/>
    <w:rsid w:val="00276000"/>
    <w:rsid w:val="0027604B"/>
    <w:rsid w:val="002760A6"/>
    <w:rsid w:val="002760F5"/>
    <w:rsid w:val="002761D9"/>
    <w:rsid w:val="00276209"/>
    <w:rsid w:val="00276307"/>
    <w:rsid w:val="002763E5"/>
    <w:rsid w:val="0027641B"/>
    <w:rsid w:val="00276497"/>
    <w:rsid w:val="002766B0"/>
    <w:rsid w:val="00276700"/>
    <w:rsid w:val="00276703"/>
    <w:rsid w:val="00276721"/>
    <w:rsid w:val="0027677C"/>
    <w:rsid w:val="0027680A"/>
    <w:rsid w:val="00276928"/>
    <w:rsid w:val="0027694C"/>
    <w:rsid w:val="00276A26"/>
    <w:rsid w:val="00276A4F"/>
    <w:rsid w:val="00276C74"/>
    <w:rsid w:val="00276C9E"/>
    <w:rsid w:val="00276E62"/>
    <w:rsid w:val="00276EAD"/>
    <w:rsid w:val="00276F1E"/>
    <w:rsid w:val="00276F49"/>
    <w:rsid w:val="00276F91"/>
    <w:rsid w:val="00276F9D"/>
    <w:rsid w:val="00277171"/>
    <w:rsid w:val="002771DB"/>
    <w:rsid w:val="00277232"/>
    <w:rsid w:val="00277288"/>
    <w:rsid w:val="002772FF"/>
    <w:rsid w:val="00277378"/>
    <w:rsid w:val="00277459"/>
    <w:rsid w:val="00277589"/>
    <w:rsid w:val="002775B0"/>
    <w:rsid w:val="00277621"/>
    <w:rsid w:val="002777B7"/>
    <w:rsid w:val="002777B8"/>
    <w:rsid w:val="002777C9"/>
    <w:rsid w:val="0027781A"/>
    <w:rsid w:val="00277856"/>
    <w:rsid w:val="002778A8"/>
    <w:rsid w:val="00277904"/>
    <w:rsid w:val="0027790B"/>
    <w:rsid w:val="002779AC"/>
    <w:rsid w:val="00277A57"/>
    <w:rsid w:val="00277B78"/>
    <w:rsid w:val="00277BA1"/>
    <w:rsid w:val="00277BD7"/>
    <w:rsid w:val="00277BE6"/>
    <w:rsid w:val="00277DB0"/>
    <w:rsid w:val="00277DCC"/>
    <w:rsid w:val="00277DE3"/>
    <w:rsid w:val="00277E00"/>
    <w:rsid w:val="00277E6D"/>
    <w:rsid w:val="00277E6F"/>
    <w:rsid w:val="00277F11"/>
    <w:rsid w:val="0027B060"/>
    <w:rsid w:val="002800AA"/>
    <w:rsid w:val="002800EC"/>
    <w:rsid w:val="002800FA"/>
    <w:rsid w:val="00280124"/>
    <w:rsid w:val="0028017C"/>
    <w:rsid w:val="002802A9"/>
    <w:rsid w:val="002802CA"/>
    <w:rsid w:val="00280346"/>
    <w:rsid w:val="0028038B"/>
    <w:rsid w:val="002803A4"/>
    <w:rsid w:val="0028041B"/>
    <w:rsid w:val="00280482"/>
    <w:rsid w:val="0028055B"/>
    <w:rsid w:val="0028061E"/>
    <w:rsid w:val="0028064D"/>
    <w:rsid w:val="00280656"/>
    <w:rsid w:val="002807DE"/>
    <w:rsid w:val="002808FC"/>
    <w:rsid w:val="00280969"/>
    <w:rsid w:val="002809EF"/>
    <w:rsid w:val="00280A25"/>
    <w:rsid w:val="00280A5F"/>
    <w:rsid w:val="00280A73"/>
    <w:rsid w:val="00280BCC"/>
    <w:rsid w:val="00280C8E"/>
    <w:rsid w:val="00281186"/>
    <w:rsid w:val="00281207"/>
    <w:rsid w:val="002812E8"/>
    <w:rsid w:val="002813E2"/>
    <w:rsid w:val="00281412"/>
    <w:rsid w:val="0028143A"/>
    <w:rsid w:val="00281467"/>
    <w:rsid w:val="002814E1"/>
    <w:rsid w:val="00281539"/>
    <w:rsid w:val="00281573"/>
    <w:rsid w:val="002815DE"/>
    <w:rsid w:val="002815F0"/>
    <w:rsid w:val="002817A2"/>
    <w:rsid w:val="002817A3"/>
    <w:rsid w:val="002817BB"/>
    <w:rsid w:val="00281854"/>
    <w:rsid w:val="00281923"/>
    <w:rsid w:val="00281A92"/>
    <w:rsid w:val="00281AFF"/>
    <w:rsid w:val="00281B91"/>
    <w:rsid w:val="00281D4B"/>
    <w:rsid w:val="00281DA6"/>
    <w:rsid w:val="00281E29"/>
    <w:rsid w:val="00281EEF"/>
    <w:rsid w:val="00281F54"/>
    <w:rsid w:val="00281F88"/>
    <w:rsid w:val="00281F9D"/>
    <w:rsid w:val="0028202E"/>
    <w:rsid w:val="00282177"/>
    <w:rsid w:val="002821C9"/>
    <w:rsid w:val="0028221B"/>
    <w:rsid w:val="0028222F"/>
    <w:rsid w:val="002822C8"/>
    <w:rsid w:val="002822F1"/>
    <w:rsid w:val="002823FE"/>
    <w:rsid w:val="0028241B"/>
    <w:rsid w:val="00282443"/>
    <w:rsid w:val="0028245E"/>
    <w:rsid w:val="002825DC"/>
    <w:rsid w:val="00282636"/>
    <w:rsid w:val="00282678"/>
    <w:rsid w:val="0028268E"/>
    <w:rsid w:val="002826F5"/>
    <w:rsid w:val="00282732"/>
    <w:rsid w:val="00282815"/>
    <w:rsid w:val="00282837"/>
    <w:rsid w:val="002828D5"/>
    <w:rsid w:val="00282A08"/>
    <w:rsid w:val="00282ABA"/>
    <w:rsid w:val="00282C4C"/>
    <w:rsid w:val="00282C87"/>
    <w:rsid w:val="00282CE8"/>
    <w:rsid w:val="00282CED"/>
    <w:rsid w:val="00282D65"/>
    <w:rsid w:val="00282E94"/>
    <w:rsid w:val="00282FA9"/>
    <w:rsid w:val="002830F9"/>
    <w:rsid w:val="0028310B"/>
    <w:rsid w:val="0028316D"/>
    <w:rsid w:val="00283202"/>
    <w:rsid w:val="00283287"/>
    <w:rsid w:val="002832B8"/>
    <w:rsid w:val="00283455"/>
    <w:rsid w:val="00283465"/>
    <w:rsid w:val="00283539"/>
    <w:rsid w:val="00283683"/>
    <w:rsid w:val="0028368B"/>
    <w:rsid w:val="002837BB"/>
    <w:rsid w:val="002837E5"/>
    <w:rsid w:val="002839E0"/>
    <w:rsid w:val="002839ED"/>
    <w:rsid w:val="00283A41"/>
    <w:rsid w:val="00283AF1"/>
    <w:rsid w:val="00283BD1"/>
    <w:rsid w:val="00283BE2"/>
    <w:rsid w:val="00283C5B"/>
    <w:rsid w:val="00283C73"/>
    <w:rsid w:val="00283C92"/>
    <w:rsid w:val="00283D53"/>
    <w:rsid w:val="00283D9F"/>
    <w:rsid w:val="00283E17"/>
    <w:rsid w:val="00283ED4"/>
    <w:rsid w:val="0028406A"/>
    <w:rsid w:val="00284364"/>
    <w:rsid w:val="00284459"/>
    <w:rsid w:val="00284486"/>
    <w:rsid w:val="00284587"/>
    <w:rsid w:val="00284692"/>
    <w:rsid w:val="002846BF"/>
    <w:rsid w:val="002846CF"/>
    <w:rsid w:val="00284703"/>
    <w:rsid w:val="00284799"/>
    <w:rsid w:val="00284864"/>
    <w:rsid w:val="00284875"/>
    <w:rsid w:val="002848A1"/>
    <w:rsid w:val="002848DF"/>
    <w:rsid w:val="00284922"/>
    <w:rsid w:val="00284939"/>
    <w:rsid w:val="0028499A"/>
    <w:rsid w:val="00284AA2"/>
    <w:rsid w:val="00284AB2"/>
    <w:rsid w:val="00284ACB"/>
    <w:rsid w:val="00284B00"/>
    <w:rsid w:val="00284C2F"/>
    <w:rsid w:val="00284C5F"/>
    <w:rsid w:val="00284C6A"/>
    <w:rsid w:val="00284D0B"/>
    <w:rsid w:val="00284F05"/>
    <w:rsid w:val="0028502F"/>
    <w:rsid w:val="002850F2"/>
    <w:rsid w:val="002851E6"/>
    <w:rsid w:val="00285204"/>
    <w:rsid w:val="00285272"/>
    <w:rsid w:val="002853AA"/>
    <w:rsid w:val="002854B7"/>
    <w:rsid w:val="00285670"/>
    <w:rsid w:val="002856FD"/>
    <w:rsid w:val="00285832"/>
    <w:rsid w:val="002859BB"/>
    <w:rsid w:val="002859F7"/>
    <w:rsid w:val="00285C03"/>
    <w:rsid w:val="00285CE9"/>
    <w:rsid w:val="00285D44"/>
    <w:rsid w:val="00285D75"/>
    <w:rsid w:val="00285D7E"/>
    <w:rsid w:val="00285DE8"/>
    <w:rsid w:val="00285DFB"/>
    <w:rsid w:val="00285E2E"/>
    <w:rsid w:val="00285E6E"/>
    <w:rsid w:val="00285E91"/>
    <w:rsid w:val="00285FEC"/>
    <w:rsid w:val="0028611E"/>
    <w:rsid w:val="00286284"/>
    <w:rsid w:val="00286320"/>
    <w:rsid w:val="00286363"/>
    <w:rsid w:val="00286399"/>
    <w:rsid w:val="002863C3"/>
    <w:rsid w:val="00286402"/>
    <w:rsid w:val="0028643B"/>
    <w:rsid w:val="00286469"/>
    <w:rsid w:val="002864B9"/>
    <w:rsid w:val="002864E0"/>
    <w:rsid w:val="002865B7"/>
    <w:rsid w:val="00286688"/>
    <w:rsid w:val="00286733"/>
    <w:rsid w:val="0028679D"/>
    <w:rsid w:val="002867AC"/>
    <w:rsid w:val="002867AF"/>
    <w:rsid w:val="002869BC"/>
    <w:rsid w:val="00286B07"/>
    <w:rsid w:val="00286D42"/>
    <w:rsid w:val="00286D8E"/>
    <w:rsid w:val="00286E6E"/>
    <w:rsid w:val="00286EFF"/>
    <w:rsid w:val="00286F0D"/>
    <w:rsid w:val="00286F9E"/>
    <w:rsid w:val="00286FCE"/>
    <w:rsid w:val="00286FF8"/>
    <w:rsid w:val="0028705B"/>
    <w:rsid w:val="002870F4"/>
    <w:rsid w:val="00287179"/>
    <w:rsid w:val="0028721B"/>
    <w:rsid w:val="0028723C"/>
    <w:rsid w:val="002872C0"/>
    <w:rsid w:val="00287356"/>
    <w:rsid w:val="00287361"/>
    <w:rsid w:val="002873B1"/>
    <w:rsid w:val="00287487"/>
    <w:rsid w:val="002874FE"/>
    <w:rsid w:val="00287506"/>
    <w:rsid w:val="00287566"/>
    <w:rsid w:val="00287729"/>
    <w:rsid w:val="002877D6"/>
    <w:rsid w:val="002878B9"/>
    <w:rsid w:val="002878BD"/>
    <w:rsid w:val="00287A3B"/>
    <w:rsid w:val="00287A52"/>
    <w:rsid w:val="00287A55"/>
    <w:rsid w:val="00287B20"/>
    <w:rsid w:val="00287BA9"/>
    <w:rsid w:val="00287C02"/>
    <w:rsid w:val="00287C85"/>
    <w:rsid w:val="00287CBD"/>
    <w:rsid w:val="00287D0E"/>
    <w:rsid w:val="00287D71"/>
    <w:rsid w:val="00287DFC"/>
    <w:rsid w:val="00287EEB"/>
    <w:rsid w:val="00287F0C"/>
    <w:rsid w:val="00287F4F"/>
    <w:rsid w:val="00287FA0"/>
    <w:rsid w:val="00287FD4"/>
    <w:rsid w:val="00287FF6"/>
    <w:rsid w:val="0029009F"/>
    <w:rsid w:val="002901A0"/>
    <w:rsid w:val="002901CA"/>
    <w:rsid w:val="00290227"/>
    <w:rsid w:val="002902E1"/>
    <w:rsid w:val="0029034D"/>
    <w:rsid w:val="00290403"/>
    <w:rsid w:val="00290427"/>
    <w:rsid w:val="0029044E"/>
    <w:rsid w:val="002904CF"/>
    <w:rsid w:val="002904DF"/>
    <w:rsid w:val="0029050F"/>
    <w:rsid w:val="00290596"/>
    <w:rsid w:val="002905BE"/>
    <w:rsid w:val="002905DB"/>
    <w:rsid w:val="002906C7"/>
    <w:rsid w:val="00290918"/>
    <w:rsid w:val="00290A43"/>
    <w:rsid w:val="00290AE1"/>
    <w:rsid w:val="00290C19"/>
    <w:rsid w:val="00290C66"/>
    <w:rsid w:val="00290D59"/>
    <w:rsid w:val="00290DBE"/>
    <w:rsid w:val="00290E7A"/>
    <w:rsid w:val="00290F4B"/>
    <w:rsid w:val="00290F99"/>
    <w:rsid w:val="00291075"/>
    <w:rsid w:val="00291087"/>
    <w:rsid w:val="00291129"/>
    <w:rsid w:val="0029116A"/>
    <w:rsid w:val="002912FF"/>
    <w:rsid w:val="00291380"/>
    <w:rsid w:val="002913E4"/>
    <w:rsid w:val="00291444"/>
    <w:rsid w:val="00291488"/>
    <w:rsid w:val="00291489"/>
    <w:rsid w:val="002914A4"/>
    <w:rsid w:val="00291510"/>
    <w:rsid w:val="002915E0"/>
    <w:rsid w:val="00291765"/>
    <w:rsid w:val="002917A7"/>
    <w:rsid w:val="002917C2"/>
    <w:rsid w:val="002918A6"/>
    <w:rsid w:val="002918AA"/>
    <w:rsid w:val="00291970"/>
    <w:rsid w:val="00291A55"/>
    <w:rsid w:val="00291BDD"/>
    <w:rsid w:val="00291BE5"/>
    <w:rsid w:val="00291C72"/>
    <w:rsid w:val="00291C7F"/>
    <w:rsid w:val="00291E75"/>
    <w:rsid w:val="00291E82"/>
    <w:rsid w:val="00291F4D"/>
    <w:rsid w:val="00291F6A"/>
    <w:rsid w:val="00291F6F"/>
    <w:rsid w:val="0029205C"/>
    <w:rsid w:val="0029209E"/>
    <w:rsid w:val="002920E1"/>
    <w:rsid w:val="00292104"/>
    <w:rsid w:val="002921B1"/>
    <w:rsid w:val="00292267"/>
    <w:rsid w:val="00292276"/>
    <w:rsid w:val="002922E9"/>
    <w:rsid w:val="0029249D"/>
    <w:rsid w:val="002924F6"/>
    <w:rsid w:val="00292669"/>
    <w:rsid w:val="00292729"/>
    <w:rsid w:val="00292841"/>
    <w:rsid w:val="0029287A"/>
    <w:rsid w:val="00292948"/>
    <w:rsid w:val="00292A17"/>
    <w:rsid w:val="00292C5D"/>
    <w:rsid w:val="00292CB8"/>
    <w:rsid w:val="00292DA8"/>
    <w:rsid w:val="00292DAB"/>
    <w:rsid w:val="00292DAC"/>
    <w:rsid w:val="00292E9C"/>
    <w:rsid w:val="00292F08"/>
    <w:rsid w:val="00292F24"/>
    <w:rsid w:val="00292F38"/>
    <w:rsid w:val="00292FED"/>
    <w:rsid w:val="00293009"/>
    <w:rsid w:val="002931B9"/>
    <w:rsid w:val="00293292"/>
    <w:rsid w:val="00293293"/>
    <w:rsid w:val="00293362"/>
    <w:rsid w:val="002933A7"/>
    <w:rsid w:val="002933E2"/>
    <w:rsid w:val="002934FE"/>
    <w:rsid w:val="002936AE"/>
    <w:rsid w:val="002937C9"/>
    <w:rsid w:val="0029388B"/>
    <w:rsid w:val="00293A57"/>
    <w:rsid w:val="00293A73"/>
    <w:rsid w:val="00293AD2"/>
    <w:rsid w:val="00293B50"/>
    <w:rsid w:val="00293C76"/>
    <w:rsid w:val="00293E08"/>
    <w:rsid w:val="00293E5A"/>
    <w:rsid w:val="00293ED8"/>
    <w:rsid w:val="0029400D"/>
    <w:rsid w:val="00294097"/>
    <w:rsid w:val="0029409A"/>
    <w:rsid w:val="00294133"/>
    <w:rsid w:val="0029419A"/>
    <w:rsid w:val="00294267"/>
    <w:rsid w:val="002942C7"/>
    <w:rsid w:val="00294353"/>
    <w:rsid w:val="002943F0"/>
    <w:rsid w:val="00294403"/>
    <w:rsid w:val="00294468"/>
    <w:rsid w:val="0029453B"/>
    <w:rsid w:val="002945E8"/>
    <w:rsid w:val="0029462A"/>
    <w:rsid w:val="00294718"/>
    <w:rsid w:val="0029478C"/>
    <w:rsid w:val="00294795"/>
    <w:rsid w:val="00294976"/>
    <w:rsid w:val="0029498A"/>
    <w:rsid w:val="00294A08"/>
    <w:rsid w:val="00294A4D"/>
    <w:rsid w:val="00294A5A"/>
    <w:rsid w:val="00294A94"/>
    <w:rsid w:val="00294AAF"/>
    <w:rsid w:val="00294C2C"/>
    <w:rsid w:val="00294CDF"/>
    <w:rsid w:val="00294D7B"/>
    <w:rsid w:val="00294DA1"/>
    <w:rsid w:val="00294E53"/>
    <w:rsid w:val="00294FF4"/>
    <w:rsid w:val="00295067"/>
    <w:rsid w:val="002951EB"/>
    <w:rsid w:val="002953A1"/>
    <w:rsid w:val="002953FB"/>
    <w:rsid w:val="002954C6"/>
    <w:rsid w:val="0029551B"/>
    <w:rsid w:val="002955A0"/>
    <w:rsid w:val="00295674"/>
    <w:rsid w:val="00295728"/>
    <w:rsid w:val="002957A1"/>
    <w:rsid w:val="002957EB"/>
    <w:rsid w:val="00295885"/>
    <w:rsid w:val="0029593E"/>
    <w:rsid w:val="002959AF"/>
    <w:rsid w:val="00295A3A"/>
    <w:rsid w:val="00295A41"/>
    <w:rsid w:val="00295AB5"/>
    <w:rsid w:val="00295B8D"/>
    <w:rsid w:val="00295C36"/>
    <w:rsid w:val="00295E3E"/>
    <w:rsid w:val="00295E46"/>
    <w:rsid w:val="00295E57"/>
    <w:rsid w:val="00295E64"/>
    <w:rsid w:val="00295E9B"/>
    <w:rsid w:val="00295FE5"/>
    <w:rsid w:val="00295FEE"/>
    <w:rsid w:val="00296079"/>
    <w:rsid w:val="002963D9"/>
    <w:rsid w:val="00296418"/>
    <w:rsid w:val="00296482"/>
    <w:rsid w:val="0029649E"/>
    <w:rsid w:val="002964A4"/>
    <w:rsid w:val="002964FF"/>
    <w:rsid w:val="002966A5"/>
    <w:rsid w:val="00296740"/>
    <w:rsid w:val="002967BA"/>
    <w:rsid w:val="002967BE"/>
    <w:rsid w:val="00296816"/>
    <w:rsid w:val="002968BE"/>
    <w:rsid w:val="00296B40"/>
    <w:rsid w:val="00296D4E"/>
    <w:rsid w:val="00296D9F"/>
    <w:rsid w:val="00296E08"/>
    <w:rsid w:val="00296E57"/>
    <w:rsid w:val="00296EF5"/>
    <w:rsid w:val="00296F31"/>
    <w:rsid w:val="002970EF"/>
    <w:rsid w:val="00297315"/>
    <w:rsid w:val="002973A9"/>
    <w:rsid w:val="0029741D"/>
    <w:rsid w:val="00297421"/>
    <w:rsid w:val="00297475"/>
    <w:rsid w:val="00297623"/>
    <w:rsid w:val="00297631"/>
    <w:rsid w:val="002976C2"/>
    <w:rsid w:val="00297835"/>
    <w:rsid w:val="00297935"/>
    <w:rsid w:val="002979C8"/>
    <w:rsid w:val="00297A12"/>
    <w:rsid w:val="00297A5B"/>
    <w:rsid w:val="00297A79"/>
    <w:rsid w:val="00297B37"/>
    <w:rsid w:val="00297B50"/>
    <w:rsid w:val="00297CE2"/>
    <w:rsid w:val="00297DDB"/>
    <w:rsid w:val="00297EA5"/>
    <w:rsid w:val="00297F4B"/>
    <w:rsid w:val="00297F82"/>
    <w:rsid w:val="00297FD4"/>
    <w:rsid w:val="00297FE9"/>
    <w:rsid w:val="0029DFAD"/>
    <w:rsid w:val="002A0059"/>
    <w:rsid w:val="002A00B6"/>
    <w:rsid w:val="002A00FD"/>
    <w:rsid w:val="002A016A"/>
    <w:rsid w:val="002A028D"/>
    <w:rsid w:val="002A02EE"/>
    <w:rsid w:val="002A037F"/>
    <w:rsid w:val="002A0456"/>
    <w:rsid w:val="002A0629"/>
    <w:rsid w:val="002A062B"/>
    <w:rsid w:val="002A0778"/>
    <w:rsid w:val="002A07D8"/>
    <w:rsid w:val="002A07F1"/>
    <w:rsid w:val="002A0801"/>
    <w:rsid w:val="002A0881"/>
    <w:rsid w:val="002A0A1B"/>
    <w:rsid w:val="002A0B15"/>
    <w:rsid w:val="002A0BC1"/>
    <w:rsid w:val="002A0CB0"/>
    <w:rsid w:val="002A0CBE"/>
    <w:rsid w:val="002A0DD0"/>
    <w:rsid w:val="002A0E9B"/>
    <w:rsid w:val="002A0F79"/>
    <w:rsid w:val="002A0FE1"/>
    <w:rsid w:val="002A106F"/>
    <w:rsid w:val="002A1078"/>
    <w:rsid w:val="002A1150"/>
    <w:rsid w:val="002A1180"/>
    <w:rsid w:val="002A118F"/>
    <w:rsid w:val="002A13D3"/>
    <w:rsid w:val="002A14FD"/>
    <w:rsid w:val="002A151B"/>
    <w:rsid w:val="002A1522"/>
    <w:rsid w:val="002A1598"/>
    <w:rsid w:val="002A15D9"/>
    <w:rsid w:val="002A16A9"/>
    <w:rsid w:val="002A16EB"/>
    <w:rsid w:val="002A16FC"/>
    <w:rsid w:val="002A1790"/>
    <w:rsid w:val="002A189A"/>
    <w:rsid w:val="002A1972"/>
    <w:rsid w:val="002A19C3"/>
    <w:rsid w:val="002A1AFF"/>
    <w:rsid w:val="002A1B06"/>
    <w:rsid w:val="002A1B95"/>
    <w:rsid w:val="002A1BB8"/>
    <w:rsid w:val="002A1BF0"/>
    <w:rsid w:val="002A1CB5"/>
    <w:rsid w:val="002A1DD3"/>
    <w:rsid w:val="002A1E0B"/>
    <w:rsid w:val="002A1F2B"/>
    <w:rsid w:val="002A1F4D"/>
    <w:rsid w:val="002A1F86"/>
    <w:rsid w:val="002A2087"/>
    <w:rsid w:val="002A21A9"/>
    <w:rsid w:val="002A21BC"/>
    <w:rsid w:val="002A2215"/>
    <w:rsid w:val="002A2304"/>
    <w:rsid w:val="002A231F"/>
    <w:rsid w:val="002A23E4"/>
    <w:rsid w:val="002A2412"/>
    <w:rsid w:val="002A2521"/>
    <w:rsid w:val="002A2582"/>
    <w:rsid w:val="002A2765"/>
    <w:rsid w:val="002A27EE"/>
    <w:rsid w:val="002A28DB"/>
    <w:rsid w:val="002A296D"/>
    <w:rsid w:val="002A2A4A"/>
    <w:rsid w:val="002A2A7F"/>
    <w:rsid w:val="002A2AD0"/>
    <w:rsid w:val="002A2AF3"/>
    <w:rsid w:val="002A2C18"/>
    <w:rsid w:val="002A2C8E"/>
    <w:rsid w:val="002A2D65"/>
    <w:rsid w:val="002A2E74"/>
    <w:rsid w:val="002A2ECB"/>
    <w:rsid w:val="002A2F94"/>
    <w:rsid w:val="002A30C9"/>
    <w:rsid w:val="002A31CE"/>
    <w:rsid w:val="002A3351"/>
    <w:rsid w:val="002A3387"/>
    <w:rsid w:val="002A33B6"/>
    <w:rsid w:val="002A3514"/>
    <w:rsid w:val="002A37FF"/>
    <w:rsid w:val="002A38B6"/>
    <w:rsid w:val="002A38F9"/>
    <w:rsid w:val="002A39DD"/>
    <w:rsid w:val="002A3A2F"/>
    <w:rsid w:val="002A3A77"/>
    <w:rsid w:val="002A3A84"/>
    <w:rsid w:val="002A3B1A"/>
    <w:rsid w:val="002A3B4A"/>
    <w:rsid w:val="002A3D96"/>
    <w:rsid w:val="002A3DB1"/>
    <w:rsid w:val="002A3EAF"/>
    <w:rsid w:val="002A3EB4"/>
    <w:rsid w:val="002A3EB5"/>
    <w:rsid w:val="002A409E"/>
    <w:rsid w:val="002A40D3"/>
    <w:rsid w:val="002A410F"/>
    <w:rsid w:val="002A411B"/>
    <w:rsid w:val="002A42CF"/>
    <w:rsid w:val="002A42E1"/>
    <w:rsid w:val="002A42FA"/>
    <w:rsid w:val="002A42FB"/>
    <w:rsid w:val="002A44D4"/>
    <w:rsid w:val="002A453F"/>
    <w:rsid w:val="002A459E"/>
    <w:rsid w:val="002A45C7"/>
    <w:rsid w:val="002A4608"/>
    <w:rsid w:val="002A46D9"/>
    <w:rsid w:val="002A47DE"/>
    <w:rsid w:val="002A480B"/>
    <w:rsid w:val="002A4818"/>
    <w:rsid w:val="002A485B"/>
    <w:rsid w:val="002A4862"/>
    <w:rsid w:val="002A49FC"/>
    <w:rsid w:val="002A4A0B"/>
    <w:rsid w:val="002A4AEF"/>
    <w:rsid w:val="002A4B43"/>
    <w:rsid w:val="002A4B7D"/>
    <w:rsid w:val="002A4C0F"/>
    <w:rsid w:val="002A4D42"/>
    <w:rsid w:val="002A4D7A"/>
    <w:rsid w:val="002A4DDA"/>
    <w:rsid w:val="002A4E01"/>
    <w:rsid w:val="002A4E3F"/>
    <w:rsid w:val="002A4EB2"/>
    <w:rsid w:val="002A4EBB"/>
    <w:rsid w:val="002A5063"/>
    <w:rsid w:val="002A5064"/>
    <w:rsid w:val="002A50C9"/>
    <w:rsid w:val="002A50E6"/>
    <w:rsid w:val="002A51FE"/>
    <w:rsid w:val="002A51FF"/>
    <w:rsid w:val="002A5229"/>
    <w:rsid w:val="002A52A5"/>
    <w:rsid w:val="002A539E"/>
    <w:rsid w:val="002A5491"/>
    <w:rsid w:val="002A54FE"/>
    <w:rsid w:val="002A5572"/>
    <w:rsid w:val="002A5583"/>
    <w:rsid w:val="002A5663"/>
    <w:rsid w:val="002A57C9"/>
    <w:rsid w:val="002A5901"/>
    <w:rsid w:val="002A59A8"/>
    <w:rsid w:val="002A5A8A"/>
    <w:rsid w:val="002A5B18"/>
    <w:rsid w:val="002A5E23"/>
    <w:rsid w:val="002A5F2B"/>
    <w:rsid w:val="002A5FFD"/>
    <w:rsid w:val="002A609B"/>
    <w:rsid w:val="002A60B9"/>
    <w:rsid w:val="002A6158"/>
    <w:rsid w:val="002A61F3"/>
    <w:rsid w:val="002A6299"/>
    <w:rsid w:val="002A62E1"/>
    <w:rsid w:val="002A6477"/>
    <w:rsid w:val="002A6487"/>
    <w:rsid w:val="002A64D8"/>
    <w:rsid w:val="002A66FA"/>
    <w:rsid w:val="002A6715"/>
    <w:rsid w:val="002A67D9"/>
    <w:rsid w:val="002A67DB"/>
    <w:rsid w:val="002A6812"/>
    <w:rsid w:val="002A6891"/>
    <w:rsid w:val="002A6A38"/>
    <w:rsid w:val="002A6A92"/>
    <w:rsid w:val="002A6B8D"/>
    <w:rsid w:val="002A6CB8"/>
    <w:rsid w:val="002A6E3C"/>
    <w:rsid w:val="002A6E93"/>
    <w:rsid w:val="002A6F3A"/>
    <w:rsid w:val="002A6F7A"/>
    <w:rsid w:val="002A6FCB"/>
    <w:rsid w:val="002A70BD"/>
    <w:rsid w:val="002A70C2"/>
    <w:rsid w:val="002A711B"/>
    <w:rsid w:val="002A713E"/>
    <w:rsid w:val="002A71C2"/>
    <w:rsid w:val="002A71F8"/>
    <w:rsid w:val="002A735D"/>
    <w:rsid w:val="002A73CC"/>
    <w:rsid w:val="002A73D0"/>
    <w:rsid w:val="002A73F6"/>
    <w:rsid w:val="002A749E"/>
    <w:rsid w:val="002A7569"/>
    <w:rsid w:val="002A7633"/>
    <w:rsid w:val="002A7666"/>
    <w:rsid w:val="002A76F4"/>
    <w:rsid w:val="002A774C"/>
    <w:rsid w:val="002A777D"/>
    <w:rsid w:val="002A77E4"/>
    <w:rsid w:val="002A77FA"/>
    <w:rsid w:val="002A7807"/>
    <w:rsid w:val="002A7855"/>
    <w:rsid w:val="002A7880"/>
    <w:rsid w:val="002A78A5"/>
    <w:rsid w:val="002A79A2"/>
    <w:rsid w:val="002A7A31"/>
    <w:rsid w:val="002A7C3F"/>
    <w:rsid w:val="002A7E7D"/>
    <w:rsid w:val="002A7FFB"/>
    <w:rsid w:val="002B0076"/>
    <w:rsid w:val="002B0357"/>
    <w:rsid w:val="002B042E"/>
    <w:rsid w:val="002B067A"/>
    <w:rsid w:val="002B08D1"/>
    <w:rsid w:val="002B08D6"/>
    <w:rsid w:val="002B0957"/>
    <w:rsid w:val="002B09CA"/>
    <w:rsid w:val="002B0A02"/>
    <w:rsid w:val="002B0A0D"/>
    <w:rsid w:val="002B0B48"/>
    <w:rsid w:val="002B0BD2"/>
    <w:rsid w:val="002B0D9D"/>
    <w:rsid w:val="002B0E7C"/>
    <w:rsid w:val="002B0E8F"/>
    <w:rsid w:val="002B1089"/>
    <w:rsid w:val="002B110E"/>
    <w:rsid w:val="002B1125"/>
    <w:rsid w:val="002B1151"/>
    <w:rsid w:val="002B12EF"/>
    <w:rsid w:val="002B13E1"/>
    <w:rsid w:val="002B143B"/>
    <w:rsid w:val="002B14B4"/>
    <w:rsid w:val="002B158C"/>
    <w:rsid w:val="002B16E9"/>
    <w:rsid w:val="002B17EE"/>
    <w:rsid w:val="002B18F4"/>
    <w:rsid w:val="002B194F"/>
    <w:rsid w:val="002B19B2"/>
    <w:rsid w:val="002B1A07"/>
    <w:rsid w:val="002B1A9A"/>
    <w:rsid w:val="002B1AE4"/>
    <w:rsid w:val="002B1BB5"/>
    <w:rsid w:val="002B1C1C"/>
    <w:rsid w:val="002B1C2A"/>
    <w:rsid w:val="002B1D03"/>
    <w:rsid w:val="002B1F40"/>
    <w:rsid w:val="002B1F73"/>
    <w:rsid w:val="002B1FE2"/>
    <w:rsid w:val="002B203E"/>
    <w:rsid w:val="002B2043"/>
    <w:rsid w:val="002B2082"/>
    <w:rsid w:val="002B209D"/>
    <w:rsid w:val="002B20BC"/>
    <w:rsid w:val="002B232B"/>
    <w:rsid w:val="002B23C4"/>
    <w:rsid w:val="002B2444"/>
    <w:rsid w:val="002B2463"/>
    <w:rsid w:val="002B24BC"/>
    <w:rsid w:val="002B2501"/>
    <w:rsid w:val="002B25CA"/>
    <w:rsid w:val="002B261C"/>
    <w:rsid w:val="002B26D2"/>
    <w:rsid w:val="002B26FB"/>
    <w:rsid w:val="002B27D8"/>
    <w:rsid w:val="002B28DE"/>
    <w:rsid w:val="002B28EF"/>
    <w:rsid w:val="002B2998"/>
    <w:rsid w:val="002B2A8B"/>
    <w:rsid w:val="002B2AE7"/>
    <w:rsid w:val="002B2B28"/>
    <w:rsid w:val="002B2B48"/>
    <w:rsid w:val="002B2B68"/>
    <w:rsid w:val="002B2C29"/>
    <w:rsid w:val="002B2C43"/>
    <w:rsid w:val="002B2C7B"/>
    <w:rsid w:val="002B2D0D"/>
    <w:rsid w:val="002B2DF1"/>
    <w:rsid w:val="002B2E85"/>
    <w:rsid w:val="002B2EE2"/>
    <w:rsid w:val="002B2F47"/>
    <w:rsid w:val="002B2F98"/>
    <w:rsid w:val="002B2FAF"/>
    <w:rsid w:val="002B3060"/>
    <w:rsid w:val="002B3124"/>
    <w:rsid w:val="002B313B"/>
    <w:rsid w:val="002B3166"/>
    <w:rsid w:val="002B3174"/>
    <w:rsid w:val="002B325B"/>
    <w:rsid w:val="002B3281"/>
    <w:rsid w:val="002B32A7"/>
    <w:rsid w:val="002B32FB"/>
    <w:rsid w:val="002B330E"/>
    <w:rsid w:val="002B3325"/>
    <w:rsid w:val="002B346F"/>
    <w:rsid w:val="002B34A8"/>
    <w:rsid w:val="002B34C5"/>
    <w:rsid w:val="002B34CE"/>
    <w:rsid w:val="002B34E7"/>
    <w:rsid w:val="002B362F"/>
    <w:rsid w:val="002B372F"/>
    <w:rsid w:val="002B3749"/>
    <w:rsid w:val="002B379B"/>
    <w:rsid w:val="002B37A7"/>
    <w:rsid w:val="002B382F"/>
    <w:rsid w:val="002B3A64"/>
    <w:rsid w:val="002B3A73"/>
    <w:rsid w:val="002B3B0D"/>
    <w:rsid w:val="002B3C19"/>
    <w:rsid w:val="002B3C51"/>
    <w:rsid w:val="002B3CDD"/>
    <w:rsid w:val="002B3D27"/>
    <w:rsid w:val="002B3D2D"/>
    <w:rsid w:val="002B3D94"/>
    <w:rsid w:val="002B3E7E"/>
    <w:rsid w:val="002B3FC0"/>
    <w:rsid w:val="002B3FF5"/>
    <w:rsid w:val="002B4011"/>
    <w:rsid w:val="002B41AF"/>
    <w:rsid w:val="002B4206"/>
    <w:rsid w:val="002B4286"/>
    <w:rsid w:val="002B429D"/>
    <w:rsid w:val="002B4300"/>
    <w:rsid w:val="002B43F4"/>
    <w:rsid w:val="002B44F6"/>
    <w:rsid w:val="002B4526"/>
    <w:rsid w:val="002B455B"/>
    <w:rsid w:val="002B46D5"/>
    <w:rsid w:val="002B4798"/>
    <w:rsid w:val="002B47BC"/>
    <w:rsid w:val="002B4815"/>
    <w:rsid w:val="002B4898"/>
    <w:rsid w:val="002B4B5C"/>
    <w:rsid w:val="002B4BD7"/>
    <w:rsid w:val="002B4C17"/>
    <w:rsid w:val="002B4CAA"/>
    <w:rsid w:val="002B4CBF"/>
    <w:rsid w:val="002B4CFE"/>
    <w:rsid w:val="002B4D3F"/>
    <w:rsid w:val="002B4D85"/>
    <w:rsid w:val="002B4DC4"/>
    <w:rsid w:val="002B4E7B"/>
    <w:rsid w:val="002B4F3C"/>
    <w:rsid w:val="002B5177"/>
    <w:rsid w:val="002B519C"/>
    <w:rsid w:val="002B5241"/>
    <w:rsid w:val="002B524B"/>
    <w:rsid w:val="002B5267"/>
    <w:rsid w:val="002B528C"/>
    <w:rsid w:val="002B52D8"/>
    <w:rsid w:val="002B5485"/>
    <w:rsid w:val="002B5490"/>
    <w:rsid w:val="002B562E"/>
    <w:rsid w:val="002B5690"/>
    <w:rsid w:val="002B56B0"/>
    <w:rsid w:val="002B56E4"/>
    <w:rsid w:val="002B58BD"/>
    <w:rsid w:val="002B58D9"/>
    <w:rsid w:val="002B58E8"/>
    <w:rsid w:val="002B5A1C"/>
    <w:rsid w:val="002B5A26"/>
    <w:rsid w:val="002B5BD3"/>
    <w:rsid w:val="002B5BF7"/>
    <w:rsid w:val="002B5C92"/>
    <w:rsid w:val="002B5CA9"/>
    <w:rsid w:val="002B5D40"/>
    <w:rsid w:val="002B5D97"/>
    <w:rsid w:val="002B5E89"/>
    <w:rsid w:val="002B5F58"/>
    <w:rsid w:val="002B5FF7"/>
    <w:rsid w:val="002B601D"/>
    <w:rsid w:val="002B60AA"/>
    <w:rsid w:val="002B60EE"/>
    <w:rsid w:val="002B612D"/>
    <w:rsid w:val="002B613B"/>
    <w:rsid w:val="002B6193"/>
    <w:rsid w:val="002B61C9"/>
    <w:rsid w:val="002B6288"/>
    <w:rsid w:val="002B62BD"/>
    <w:rsid w:val="002B62F8"/>
    <w:rsid w:val="002B6327"/>
    <w:rsid w:val="002B6385"/>
    <w:rsid w:val="002B63CF"/>
    <w:rsid w:val="002B63FC"/>
    <w:rsid w:val="002B64D5"/>
    <w:rsid w:val="002B651A"/>
    <w:rsid w:val="002B657E"/>
    <w:rsid w:val="002B65BA"/>
    <w:rsid w:val="002B65C6"/>
    <w:rsid w:val="002B662F"/>
    <w:rsid w:val="002B66B5"/>
    <w:rsid w:val="002B67DF"/>
    <w:rsid w:val="002B699E"/>
    <w:rsid w:val="002B6B15"/>
    <w:rsid w:val="002B6BE3"/>
    <w:rsid w:val="002B6D7E"/>
    <w:rsid w:val="002B6D95"/>
    <w:rsid w:val="002B6DC2"/>
    <w:rsid w:val="002B6DD7"/>
    <w:rsid w:val="002B6DFA"/>
    <w:rsid w:val="002B6EB9"/>
    <w:rsid w:val="002B6FBE"/>
    <w:rsid w:val="002B7157"/>
    <w:rsid w:val="002B71E6"/>
    <w:rsid w:val="002B72F2"/>
    <w:rsid w:val="002B7439"/>
    <w:rsid w:val="002B7454"/>
    <w:rsid w:val="002B74C0"/>
    <w:rsid w:val="002B74EE"/>
    <w:rsid w:val="002B75FA"/>
    <w:rsid w:val="002B7646"/>
    <w:rsid w:val="002B7659"/>
    <w:rsid w:val="002B76E3"/>
    <w:rsid w:val="002B7775"/>
    <w:rsid w:val="002B7803"/>
    <w:rsid w:val="002B780E"/>
    <w:rsid w:val="002B7872"/>
    <w:rsid w:val="002B795C"/>
    <w:rsid w:val="002B7B28"/>
    <w:rsid w:val="002B7B38"/>
    <w:rsid w:val="002B7B43"/>
    <w:rsid w:val="002B7B55"/>
    <w:rsid w:val="002B7CC9"/>
    <w:rsid w:val="002B7D03"/>
    <w:rsid w:val="002B7D5F"/>
    <w:rsid w:val="002C0314"/>
    <w:rsid w:val="002C0334"/>
    <w:rsid w:val="002C0346"/>
    <w:rsid w:val="002C03CD"/>
    <w:rsid w:val="002C0474"/>
    <w:rsid w:val="002C04FF"/>
    <w:rsid w:val="002C0662"/>
    <w:rsid w:val="002C066A"/>
    <w:rsid w:val="002C0680"/>
    <w:rsid w:val="002C068F"/>
    <w:rsid w:val="002C069D"/>
    <w:rsid w:val="002C07FA"/>
    <w:rsid w:val="002C0820"/>
    <w:rsid w:val="002C0826"/>
    <w:rsid w:val="002C0855"/>
    <w:rsid w:val="002C0890"/>
    <w:rsid w:val="002C08A0"/>
    <w:rsid w:val="002C08BA"/>
    <w:rsid w:val="002C095C"/>
    <w:rsid w:val="002C0964"/>
    <w:rsid w:val="002C099A"/>
    <w:rsid w:val="002C09C2"/>
    <w:rsid w:val="002C0A39"/>
    <w:rsid w:val="002C0A3A"/>
    <w:rsid w:val="002C0B1E"/>
    <w:rsid w:val="002C0B2E"/>
    <w:rsid w:val="002C0B83"/>
    <w:rsid w:val="002C0BA6"/>
    <w:rsid w:val="002C0C48"/>
    <w:rsid w:val="002C0C6B"/>
    <w:rsid w:val="002C0D09"/>
    <w:rsid w:val="002C0D69"/>
    <w:rsid w:val="002C0DEB"/>
    <w:rsid w:val="002C0F77"/>
    <w:rsid w:val="002C0FE7"/>
    <w:rsid w:val="002C1016"/>
    <w:rsid w:val="002C103A"/>
    <w:rsid w:val="002C1137"/>
    <w:rsid w:val="002C120A"/>
    <w:rsid w:val="002C1251"/>
    <w:rsid w:val="002C127E"/>
    <w:rsid w:val="002C12B0"/>
    <w:rsid w:val="002C12CE"/>
    <w:rsid w:val="002C12F9"/>
    <w:rsid w:val="002C1316"/>
    <w:rsid w:val="002C134E"/>
    <w:rsid w:val="002C136D"/>
    <w:rsid w:val="002C13D7"/>
    <w:rsid w:val="002C141B"/>
    <w:rsid w:val="002C1487"/>
    <w:rsid w:val="002C148E"/>
    <w:rsid w:val="002C1552"/>
    <w:rsid w:val="002C1686"/>
    <w:rsid w:val="002C1716"/>
    <w:rsid w:val="002C1720"/>
    <w:rsid w:val="002C17E1"/>
    <w:rsid w:val="002C1894"/>
    <w:rsid w:val="002C1935"/>
    <w:rsid w:val="002C1952"/>
    <w:rsid w:val="002C196F"/>
    <w:rsid w:val="002C1977"/>
    <w:rsid w:val="002C19F5"/>
    <w:rsid w:val="002C1BF1"/>
    <w:rsid w:val="002C1C45"/>
    <w:rsid w:val="002C1D31"/>
    <w:rsid w:val="002C1D86"/>
    <w:rsid w:val="002C1E68"/>
    <w:rsid w:val="002C2029"/>
    <w:rsid w:val="002C2087"/>
    <w:rsid w:val="002C2088"/>
    <w:rsid w:val="002C20F5"/>
    <w:rsid w:val="002C220B"/>
    <w:rsid w:val="002C2290"/>
    <w:rsid w:val="002C240B"/>
    <w:rsid w:val="002C2433"/>
    <w:rsid w:val="002C252A"/>
    <w:rsid w:val="002C2548"/>
    <w:rsid w:val="002C2614"/>
    <w:rsid w:val="002C261E"/>
    <w:rsid w:val="002C26EE"/>
    <w:rsid w:val="002C271F"/>
    <w:rsid w:val="002C2876"/>
    <w:rsid w:val="002C28F5"/>
    <w:rsid w:val="002C2A2C"/>
    <w:rsid w:val="002C2A38"/>
    <w:rsid w:val="002C2B6F"/>
    <w:rsid w:val="002C2C28"/>
    <w:rsid w:val="002C2CF5"/>
    <w:rsid w:val="002C2D23"/>
    <w:rsid w:val="002C2D4D"/>
    <w:rsid w:val="002C2D59"/>
    <w:rsid w:val="002C2E0A"/>
    <w:rsid w:val="002C2E2C"/>
    <w:rsid w:val="002C2ED2"/>
    <w:rsid w:val="002C2F8D"/>
    <w:rsid w:val="002C2FA3"/>
    <w:rsid w:val="002C3033"/>
    <w:rsid w:val="002C3053"/>
    <w:rsid w:val="002C3092"/>
    <w:rsid w:val="002C30C0"/>
    <w:rsid w:val="002C3199"/>
    <w:rsid w:val="002C31A0"/>
    <w:rsid w:val="002C31AF"/>
    <w:rsid w:val="002C33CA"/>
    <w:rsid w:val="002C34D6"/>
    <w:rsid w:val="002C34FF"/>
    <w:rsid w:val="002C3636"/>
    <w:rsid w:val="002C371E"/>
    <w:rsid w:val="002C376B"/>
    <w:rsid w:val="002C38DF"/>
    <w:rsid w:val="002C399A"/>
    <w:rsid w:val="002C3A95"/>
    <w:rsid w:val="002C3B41"/>
    <w:rsid w:val="002C3C7A"/>
    <w:rsid w:val="002C3D6D"/>
    <w:rsid w:val="002C3FA9"/>
    <w:rsid w:val="002C3FD3"/>
    <w:rsid w:val="002C4036"/>
    <w:rsid w:val="002C403E"/>
    <w:rsid w:val="002C4058"/>
    <w:rsid w:val="002C40CA"/>
    <w:rsid w:val="002C417B"/>
    <w:rsid w:val="002C41E7"/>
    <w:rsid w:val="002C42E5"/>
    <w:rsid w:val="002C4494"/>
    <w:rsid w:val="002C44E7"/>
    <w:rsid w:val="002C450C"/>
    <w:rsid w:val="002C4527"/>
    <w:rsid w:val="002C462B"/>
    <w:rsid w:val="002C4673"/>
    <w:rsid w:val="002C467B"/>
    <w:rsid w:val="002C472B"/>
    <w:rsid w:val="002C48C4"/>
    <w:rsid w:val="002C48FA"/>
    <w:rsid w:val="002C491F"/>
    <w:rsid w:val="002C494F"/>
    <w:rsid w:val="002C49A0"/>
    <w:rsid w:val="002C49B9"/>
    <w:rsid w:val="002C4A58"/>
    <w:rsid w:val="002C4A5A"/>
    <w:rsid w:val="002C4A61"/>
    <w:rsid w:val="002C4ABF"/>
    <w:rsid w:val="002C4B07"/>
    <w:rsid w:val="002C4B24"/>
    <w:rsid w:val="002C4B39"/>
    <w:rsid w:val="002C4C20"/>
    <w:rsid w:val="002C4C30"/>
    <w:rsid w:val="002C4CB1"/>
    <w:rsid w:val="002C4CC6"/>
    <w:rsid w:val="002C4D19"/>
    <w:rsid w:val="002C4D32"/>
    <w:rsid w:val="002C4D4F"/>
    <w:rsid w:val="002C4DCF"/>
    <w:rsid w:val="002C4E19"/>
    <w:rsid w:val="002C4E32"/>
    <w:rsid w:val="002C4E48"/>
    <w:rsid w:val="002C4EB9"/>
    <w:rsid w:val="002C4F15"/>
    <w:rsid w:val="002C4F8C"/>
    <w:rsid w:val="002C5138"/>
    <w:rsid w:val="002C51A1"/>
    <w:rsid w:val="002C5200"/>
    <w:rsid w:val="002C5209"/>
    <w:rsid w:val="002C5255"/>
    <w:rsid w:val="002C52F1"/>
    <w:rsid w:val="002C53D0"/>
    <w:rsid w:val="002C546B"/>
    <w:rsid w:val="002C54B7"/>
    <w:rsid w:val="002C54D4"/>
    <w:rsid w:val="002C5687"/>
    <w:rsid w:val="002C56C6"/>
    <w:rsid w:val="002C5815"/>
    <w:rsid w:val="002C5829"/>
    <w:rsid w:val="002C5852"/>
    <w:rsid w:val="002C5991"/>
    <w:rsid w:val="002C5D7D"/>
    <w:rsid w:val="002C5E52"/>
    <w:rsid w:val="002C5E70"/>
    <w:rsid w:val="002C5F5C"/>
    <w:rsid w:val="002C5FA7"/>
    <w:rsid w:val="002C5FE8"/>
    <w:rsid w:val="002C6079"/>
    <w:rsid w:val="002C6178"/>
    <w:rsid w:val="002C6238"/>
    <w:rsid w:val="002C6266"/>
    <w:rsid w:val="002C62DD"/>
    <w:rsid w:val="002C6354"/>
    <w:rsid w:val="002C63CE"/>
    <w:rsid w:val="002C6413"/>
    <w:rsid w:val="002C6515"/>
    <w:rsid w:val="002C6546"/>
    <w:rsid w:val="002C6619"/>
    <w:rsid w:val="002C668B"/>
    <w:rsid w:val="002C6735"/>
    <w:rsid w:val="002C699D"/>
    <w:rsid w:val="002C69DB"/>
    <w:rsid w:val="002C6A9E"/>
    <w:rsid w:val="002C6B40"/>
    <w:rsid w:val="002C6BB1"/>
    <w:rsid w:val="002C6BF4"/>
    <w:rsid w:val="002C6C8D"/>
    <w:rsid w:val="002C6CB8"/>
    <w:rsid w:val="002C6D32"/>
    <w:rsid w:val="002C6DDC"/>
    <w:rsid w:val="002C6E3E"/>
    <w:rsid w:val="002C6F54"/>
    <w:rsid w:val="002C6FBA"/>
    <w:rsid w:val="002C7005"/>
    <w:rsid w:val="002C705A"/>
    <w:rsid w:val="002C7063"/>
    <w:rsid w:val="002C70D6"/>
    <w:rsid w:val="002C70EA"/>
    <w:rsid w:val="002C71FF"/>
    <w:rsid w:val="002C721A"/>
    <w:rsid w:val="002C733F"/>
    <w:rsid w:val="002C7371"/>
    <w:rsid w:val="002C738C"/>
    <w:rsid w:val="002C7422"/>
    <w:rsid w:val="002C7516"/>
    <w:rsid w:val="002C75BD"/>
    <w:rsid w:val="002C7697"/>
    <w:rsid w:val="002C76DA"/>
    <w:rsid w:val="002C76E9"/>
    <w:rsid w:val="002C76EB"/>
    <w:rsid w:val="002C772E"/>
    <w:rsid w:val="002C7760"/>
    <w:rsid w:val="002C77D3"/>
    <w:rsid w:val="002C7805"/>
    <w:rsid w:val="002C782F"/>
    <w:rsid w:val="002C7842"/>
    <w:rsid w:val="002C784A"/>
    <w:rsid w:val="002C7878"/>
    <w:rsid w:val="002C7899"/>
    <w:rsid w:val="002C78C7"/>
    <w:rsid w:val="002C7A0F"/>
    <w:rsid w:val="002C7A28"/>
    <w:rsid w:val="002C7A83"/>
    <w:rsid w:val="002C7B29"/>
    <w:rsid w:val="002C7BDF"/>
    <w:rsid w:val="002C7BF2"/>
    <w:rsid w:val="002C7C20"/>
    <w:rsid w:val="002C7CC0"/>
    <w:rsid w:val="002C7CC1"/>
    <w:rsid w:val="002C7CCE"/>
    <w:rsid w:val="002C7D88"/>
    <w:rsid w:val="002C7EAE"/>
    <w:rsid w:val="002C7EBF"/>
    <w:rsid w:val="002C7F87"/>
    <w:rsid w:val="002C7FC5"/>
    <w:rsid w:val="002D0078"/>
    <w:rsid w:val="002D013D"/>
    <w:rsid w:val="002D0146"/>
    <w:rsid w:val="002D019A"/>
    <w:rsid w:val="002D020A"/>
    <w:rsid w:val="002D02A5"/>
    <w:rsid w:val="002D034F"/>
    <w:rsid w:val="002D039A"/>
    <w:rsid w:val="002D04E2"/>
    <w:rsid w:val="002D0565"/>
    <w:rsid w:val="002D057C"/>
    <w:rsid w:val="002D063E"/>
    <w:rsid w:val="002D063F"/>
    <w:rsid w:val="002D0665"/>
    <w:rsid w:val="002D06D8"/>
    <w:rsid w:val="002D082B"/>
    <w:rsid w:val="002D0850"/>
    <w:rsid w:val="002D085B"/>
    <w:rsid w:val="002D086E"/>
    <w:rsid w:val="002D08BD"/>
    <w:rsid w:val="002D0AAA"/>
    <w:rsid w:val="002D0B91"/>
    <w:rsid w:val="002D0BAA"/>
    <w:rsid w:val="002D0C29"/>
    <w:rsid w:val="002D0C98"/>
    <w:rsid w:val="002D0D0A"/>
    <w:rsid w:val="002D0D5E"/>
    <w:rsid w:val="002D0DFA"/>
    <w:rsid w:val="002D0E07"/>
    <w:rsid w:val="002D0F20"/>
    <w:rsid w:val="002D1016"/>
    <w:rsid w:val="002D10C0"/>
    <w:rsid w:val="002D10F4"/>
    <w:rsid w:val="002D1153"/>
    <w:rsid w:val="002D115A"/>
    <w:rsid w:val="002D11C6"/>
    <w:rsid w:val="002D1237"/>
    <w:rsid w:val="002D1405"/>
    <w:rsid w:val="002D142A"/>
    <w:rsid w:val="002D1459"/>
    <w:rsid w:val="002D14C1"/>
    <w:rsid w:val="002D1504"/>
    <w:rsid w:val="002D15D1"/>
    <w:rsid w:val="002D162A"/>
    <w:rsid w:val="002D16C0"/>
    <w:rsid w:val="002D16EB"/>
    <w:rsid w:val="002D17CD"/>
    <w:rsid w:val="002D17DC"/>
    <w:rsid w:val="002D1835"/>
    <w:rsid w:val="002D19B0"/>
    <w:rsid w:val="002D1B27"/>
    <w:rsid w:val="002D1BA4"/>
    <w:rsid w:val="002D1BB2"/>
    <w:rsid w:val="002D1D2E"/>
    <w:rsid w:val="002D1D76"/>
    <w:rsid w:val="002D1E09"/>
    <w:rsid w:val="002D1F47"/>
    <w:rsid w:val="002D1F93"/>
    <w:rsid w:val="002D2086"/>
    <w:rsid w:val="002D20BC"/>
    <w:rsid w:val="002D20F0"/>
    <w:rsid w:val="002D20F4"/>
    <w:rsid w:val="002D226C"/>
    <w:rsid w:val="002D2295"/>
    <w:rsid w:val="002D23B8"/>
    <w:rsid w:val="002D243E"/>
    <w:rsid w:val="002D255B"/>
    <w:rsid w:val="002D257C"/>
    <w:rsid w:val="002D267C"/>
    <w:rsid w:val="002D26BC"/>
    <w:rsid w:val="002D2858"/>
    <w:rsid w:val="002D285A"/>
    <w:rsid w:val="002D28DF"/>
    <w:rsid w:val="002D29B0"/>
    <w:rsid w:val="002D29E5"/>
    <w:rsid w:val="002D2A37"/>
    <w:rsid w:val="002D2B0A"/>
    <w:rsid w:val="002D2B78"/>
    <w:rsid w:val="002D2C1F"/>
    <w:rsid w:val="002D2DB3"/>
    <w:rsid w:val="002D2EA8"/>
    <w:rsid w:val="002D2F68"/>
    <w:rsid w:val="002D3030"/>
    <w:rsid w:val="002D312D"/>
    <w:rsid w:val="002D3167"/>
    <w:rsid w:val="002D31BB"/>
    <w:rsid w:val="002D32AA"/>
    <w:rsid w:val="002D334F"/>
    <w:rsid w:val="002D33C3"/>
    <w:rsid w:val="002D34A8"/>
    <w:rsid w:val="002D35E0"/>
    <w:rsid w:val="002D3611"/>
    <w:rsid w:val="002D367D"/>
    <w:rsid w:val="002D3682"/>
    <w:rsid w:val="002D3700"/>
    <w:rsid w:val="002D3821"/>
    <w:rsid w:val="002D3830"/>
    <w:rsid w:val="002D386F"/>
    <w:rsid w:val="002D3881"/>
    <w:rsid w:val="002D388E"/>
    <w:rsid w:val="002D38B9"/>
    <w:rsid w:val="002D3905"/>
    <w:rsid w:val="002D390B"/>
    <w:rsid w:val="002D3A98"/>
    <w:rsid w:val="002D3B6D"/>
    <w:rsid w:val="002D3BDE"/>
    <w:rsid w:val="002D3CD7"/>
    <w:rsid w:val="002D3D54"/>
    <w:rsid w:val="002D3D5C"/>
    <w:rsid w:val="002D3DF8"/>
    <w:rsid w:val="002D3E50"/>
    <w:rsid w:val="002D3E51"/>
    <w:rsid w:val="002D3F1B"/>
    <w:rsid w:val="002D3F93"/>
    <w:rsid w:val="002D3F9C"/>
    <w:rsid w:val="002D4034"/>
    <w:rsid w:val="002D4042"/>
    <w:rsid w:val="002D4163"/>
    <w:rsid w:val="002D41C8"/>
    <w:rsid w:val="002D427B"/>
    <w:rsid w:val="002D4372"/>
    <w:rsid w:val="002D4475"/>
    <w:rsid w:val="002D447E"/>
    <w:rsid w:val="002D448B"/>
    <w:rsid w:val="002D44FC"/>
    <w:rsid w:val="002D45D3"/>
    <w:rsid w:val="002D4604"/>
    <w:rsid w:val="002D46DF"/>
    <w:rsid w:val="002D4753"/>
    <w:rsid w:val="002D4827"/>
    <w:rsid w:val="002D49B8"/>
    <w:rsid w:val="002D4A45"/>
    <w:rsid w:val="002D4AD0"/>
    <w:rsid w:val="002D4AF9"/>
    <w:rsid w:val="002D4BEE"/>
    <w:rsid w:val="002D4C01"/>
    <w:rsid w:val="002D4C65"/>
    <w:rsid w:val="002D4CF3"/>
    <w:rsid w:val="002D4D65"/>
    <w:rsid w:val="002D4D7B"/>
    <w:rsid w:val="002D4DC4"/>
    <w:rsid w:val="002D4E12"/>
    <w:rsid w:val="002D4E6F"/>
    <w:rsid w:val="002D4F43"/>
    <w:rsid w:val="002D4F8B"/>
    <w:rsid w:val="002D4F9B"/>
    <w:rsid w:val="002D4FDE"/>
    <w:rsid w:val="002D5035"/>
    <w:rsid w:val="002D5045"/>
    <w:rsid w:val="002D504D"/>
    <w:rsid w:val="002D5074"/>
    <w:rsid w:val="002D5080"/>
    <w:rsid w:val="002D50C8"/>
    <w:rsid w:val="002D5175"/>
    <w:rsid w:val="002D530C"/>
    <w:rsid w:val="002D5489"/>
    <w:rsid w:val="002D54A5"/>
    <w:rsid w:val="002D5536"/>
    <w:rsid w:val="002D55AA"/>
    <w:rsid w:val="002D55FA"/>
    <w:rsid w:val="002D563C"/>
    <w:rsid w:val="002D566D"/>
    <w:rsid w:val="002D5798"/>
    <w:rsid w:val="002D57BD"/>
    <w:rsid w:val="002D57BF"/>
    <w:rsid w:val="002D5907"/>
    <w:rsid w:val="002D592A"/>
    <w:rsid w:val="002D5956"/>
    <w:rsid w:val="002D5957"/>
    <w:rsid w:val="002D5970"/>
    <w:rsid w:val="002D59AD"/>
    <w:rsid w:val="002D59CD"/>
    <w:rsid w:val="002D5A2C"/>
    <w:rsid w:val="002D5ADB"/>
    <w:rsid w:val="002D5B1A"/>
    <w:rsid w:val="002D5B87"/>
    <w:rsid w:val="002D5C24"/>
    <w:rsid w:val="002D5C6B"/>
    <w:rsid w:val="002D5CA5"/>
    <w:rsid w:val="002D5D7E"/>
    <w:rsid w:val="002D5E64"/>
    <w:rsid w:val="002D5EA9"/>
    <w:rsid w:val="002D5EAA"/>
    <w:rsid w:val="002D5F97"/>
    <w:rsid w:val="002D6013"/>
    <w:rsid w:val="002D60DC"/>
    <w:rsid w:val="002D60E2"/>
    <w:rsid w:val="002D61D1"/>
    <w:rsid w:val="002D6217"/>
    <w:rsid w:val="002D6252"/>
    <w:rsid w:val="002D628E"/>
    <w:rsid w:val="002D62BA"/>
    <w:rsid w:val="002D62D5"/>
    <w:rsid w:val="002D6353"/>
    <w:rsid w:val="002D64C4"/>
    <w:rsid w:val="002D65AA"/>
    <w:rsid w:val="002D65FB"/>
    <w:rsid w:val="002D666F"/>
    <w:rsid w:val="002D668C"/>
    <w:rsid w:val="002D6695"/>
    <w:rsid w:val="002D66CE"/>
    <w:rsid w:val="002D66DC"/>
    <w:rsid w:val="002D689B"/>
    <w:rsid w:val="002D6A15"/>
    <w:rsid w:val="002D6A64"/>
    <w:rsid w:val="002D6B10"/>
    <w:rsid w:val="002D6B24"/>
    <w:rsid w:val="002D6B4F"/>
    <w:rsid w:val="002D6BAB"/>
    <w:rsid w:val="002D6BD0"/>
    <w:rsid w:val="002D6D51"/>
    <w:rsid w:val="002D6DAD"/>
    <w:rsid w:val="002D6F07"/>
    <w:rsid w:val="002D703C"/>
    <w:rsid w:val="002D7040"/>
    <w:rsid w:val="002D70E6"/>
    <w:rsid w:val="002D710A"/>
    <w:rsid w:val="002D72D9"/>
    <w:rsid w:val="002D72EC"/>
    <w:rsid w:val="002D73E2"/>
    <w:rsid w:val="002D74B5"/>
    <w:rsid w:val="002D74BE"/>
    <w:rsid w:val="002D74F0"/>
    <w:rsid w:val="002D7647"/>
    <w:rsid w:val="002D766D"/>
    <w:rsid w:val="002D7742"/>
    <w:rsid w:val="002D780A"/>
    <w:rsid w:val="002D7A1F"/>
    <w:rsid w:val="002D7AEC"/>
    <w:rsid w:val="002D7AFE"/>
    <w:rsid w:val="002D7B74"/>
    <w:rsid w:val="002D7C14"/>
    <w:rsid w:val="002D7CA2"/>
    <w:rsid w:val="002D7CA9"/>
    <w:rsid w:val="002D7CEE"/>
    <w:rsid w:val="002D7DCD"/>
    <w:rsid w:val="002D7E69"/>
    <w:rsid w:val="002D7E78"/>
    <w:rsid w:val="002D7F9F"/>
    <w:rsid w:val="002E0098"/>
    <w:rsid w:val="002E00B8"/>
    <w:rsid w:val="002E0119"/>
    <w:rsid w:val="002E013E"/>
    <w:rsid w:val="002E0146"/>
    <w:rsid w:val="002E02AF"/>
    <w:rsid w:val="002E035D"/>
    <w:rsid w:val="002E03B2"/>
    <w:rsid w:val="002E03C6"/>
    <w:rsid w:val="002E05A4"/>
    <w:rsid w:val="002E062B"/>
    <w:rsid w:val="002E079D"/>
    <w:rsid w:val="002E0A48"/>
    <w:rsid w:val="002E0BD1"/>
    <w:rsid w:val="002E0CEC"/>
    <w:rsid w:val="002E0D89"/>
    <w:rsid w:val="002E0E5C"/>
    <w:rsid w:val="002E0F45"/>
    <w:rsid w:val="002E1079"/>
    <w:rsid w:val="002E1095"/>
    <w:rsid w:val="002E1129"/>
    <w:rsid w:val="002E11C9"/>
    <w:rsid w:val="002E13A6"/>
    <w:rsid w:val="002E13AB"/>
    <w:rsid w:val="002E180B"/>
    <w:rsid w:val="002E1810"/>
    <w:rsid w:val="002E1856"/>
    <w:rsid w:val="002E18FD"/>
    <w:rsid w:val="002E1A27"/>
    <w:rsid w:val="002E1A4A"/>
    <w:rsid w:val="002E1AA9"/>
    <w:rsid w:val="002E1AD8"/>
    <w:rsid w:val="002E1B2C"/>
    <w:rsid w:val="002E1EE8"/>
    <w:rsid w:val="002E1F63"/>
    <w:rsid w:val="002E1F8A"/>
    <w:rsid w:val="002E1FF2"/>
    <w:rsid w:val="002E202D"/>
    <w:rsid w:val="002E205A"/>
    <w:rsid w:val="002E2162"/>
    <w:rsid w:val="002E2182"/>
    <w:rsid w:val="002E21DA"/>
    <w:rsid w:val="002E2230"/>
    <w:rsid w:val="002E23EC"/>
    <w:rsid w:val="002E245D"/>
    <w:rsid w:val="002E24FE"/>
    <w:rsid w:val="002E255E"/>
    <w:rsid w:val="002E2636"/>
    <w:rsid w:val="002E268D"/>
    <w:rsid w:val="002E2814"/>
    <w:rsid w:val="002E2899"/>
    <w:rsid w:val="002E28BE"/>
    <w:rsid w:val="002E29AB"/>
    <w:rsid w:val="002E2BFC"/>
    <w:rsid w:val="002E2D42"/>
    <w:rsid w:val="002E2F34"/>
    <w:rsid w:val="002E2FAA"/>
    <w:rsid w:val="002E3046"/>
    <w:rsid w:val="002E3218"/>
    <w:rsid w:val="002E3262"/>
    <w:rsid w:val="002E33F5"/>
    <w:rsid w:val="002E3432"/>
    <w:rsid w:val="002E352F"/>
    <w:rsid w:val="002E3649"/>
    <w:rsid w:val="002E36EF"/>
    <w:rsid w:val="002E37CE"/>
    <w:rsid w:val="002E3801"/>
    <w:rsid w:val="002E3869"/>
    <w:rsid w:val="002E38B6"/>
    <w:rsid w:val="002E38CA"/>
    <w:rsid w:val="002E3903"/>
    <w:rsid w:val="002E395A"/>
    <w:rsid w:val="002E396A"/>
    <w:rsid w:val="002E3AB4"/>
    <w:rsid w:val="002E3AF0"/>
    <w:rsid w:val="002E3BA8"/>
    <w:rsid w:val="002E3D1E"/>
    <w:rsid w:val="002E3D52"/>
    <w:rsid w:val="002E3D68"/>
    <w:rsid w:val="002E3D6E"/>
    <w:rsid w:val="002E3D83"/>
    <w:rsid w:val="002E3E6A"/>
    <w:rsid w:val="002E3F63"/>
    <w:rsid w:val="002E3FCD"/>
    <w:rsid w:val="002E41D5"/>
    <w:rsid w:val="002E4267"/>
    <w:rsid w:val="002E4277"/>
    <w:rsid w:val="002E42DB"/>
    <w:rsid w:val="002E443E"/>
    <w:rsid w:val="002E4514"/>
    <w:rsid w:val="002E4576"/>
    <w:rsid w:val="002E45B3"/>
    <w:rsid w:val="002E4625"/>
    <w:rsid w:val="002E47A2"/>
    <w:rsid w:val="002E47FB"/>
    <w:rsid w:val="002E4916"/>
    <w:rsid w:val="002E4934"/>
    <w:rsid w:val="002E49D9"/>
    <w:rsid w:val="002E4B2D"/>
    <w:rsid w:val="002E4B8B"/>
    <w:rsid w:val="002E4BC2"/>
    <w:rsid w:val="002E4CB1"/>
    <w:rsid w:val="002E4CD4"/>
    <w:rsid w:val="002E4D3C"/>
    <w:rsid w:val="002E4D85"/>
    <w:rsid w:val="002E4D99"/>
    <w:rsid w:val="002E4E13"/>
    <w:rsid w:val="002E4FBF"/>
    <w:rsid w:val="002E500F"/>
    <w:rsid w:val="002E5037"/>
    <w:rsid w:val="002E53EF"/>
    <w:rsid w:val="002E5481"/>
    <w:rsid w:val="002E5488"/>
    <w:rsid w:val="002E54B7"/>
    <w:rsid w:val="002E54D2"/>
    <w:rsid w:val="002E55AC"/>
    <w:rsid w:val="002E560D"/>
    <w:rsid w:val="002E560F"/>
    <w:rsid w:val="002E5632"/>
    <w:rsid w:val="002E5637"/>
    <w:rsid w:val="002E567D"/>
    <w:rsid w:val="002E5685"/>
    <w:rsid w:val="002E56D9"/>
    <w:rsid w:val="002E56F9"/>
    <w:rsid w:val="002E56FA"/>
    <w:rsid w:val="002E5702"/>
    <w:rsid w:val="002E572D"/>
    <w:rsid w:val="002E583D"/>
    <w:rsid w:val="002E5847"/>
    <w:rsid w:val="002E592A"/>
    <w:rsid w:val="002E5932"/>
    <w:rsid w:val="002E597E"/>
    <w:rsid w:val="002E5BC9"/>
    <w:rsid w:val="002E5CDB"/>
    <w:rsid w:val="002E5CFA"/>
    <w:rsid w:val="002E5D39"/>
    <w:rsid w:val="002E5D59"/>
    <w:rsid w:val="002E5D84"/>
    <w:rsid w:val="002E5FCC"/>
    <w:rsid w:val="002E6027"/>
    <w:rsid w:val="002E61A4"/>
    <w:rsid w:val="002E61F8"/>
    <w:rsid w:val="002E6280"/>
    <w:rsid w:val="002E62A3"/>
    <w:rsid w:val="002E63ED"/>
    <w:rsid w:val="002E6466"/>
    <w:rsid w:val="002E6490"/>
    <w:rsid w:val="002E6580"/>
    <w:rsid w:val="002E65EC"/>
    <w:rsid w:val="002E668A"/>
    <w:rsid w:val="002E66A2"/>
    <w:rsid w:val="002E67EA"/>
    <w:rsid w:val="002E6A60"/>
    <w:rsid w:val="002E6B36"/>
    <w:rsid w:val="002E6B66"/>
    <w:rsid w:val="002E6BF5"/>
    <w:rsid w:val="002E6C05"/>
    <w:rsid w:val="002E6C4D"/>
    <w:rsid w:val="002E6E59"/>
    <w:rsid w:val="002E6F1F"/>
    <w:rsid w:val="002E6FA7"/>
    <w:rsid w:val="002E6FF8"/>
    <w:rsid w:val="002E7173"/>
    <w:rsid w:val="002E71AF"/>
    <w:rsid w:val="002E71C0"/>
    <w:rsid w:val="002E7481"/>
    <w:rsid w:val="002E74A2"/>
    <w:rsid w:val="002E752E"/>
    <w:rsid w:val="002E755A"/>
    <w:rsid w:val="002E772E"/>
    <w:rsid w:val="002E7790"/>
    <w:rsid w:val="002E779B"/>
    <w:rsid w:val="002E7977"/>
    <w:rsid w:val="002E7A0D"/>
    <w:rsid w:val="002E7D6D"/>
    <w:rsid w:val="002E7DDF"/>
    <w:rsid w:val="002E7E19"/>
    <w:rsid w:val="002E7E31"/>
    <w:rsid w:val="002E7EA3"/>
    <w:rsid w:val="002E7F2A"/>
    <w:rsid w:val="002E7F43"/>
    <w:rsid w:val="002E7FF2"/>
    <w:rsid w:val="002F0080"/>
    <w:rsid w:val="002F00F6"/>
    <w:rsid w:val="002F0233"/>
    <w:rsid w:val="002F0243"/>
    <w:rsid w:val="002F03C5"/>
    <w:rsid w:val="002F0426"/>
    <w:rsid w:val="002F060F"/>
    <w:rsid w:val="002F0729"/>
    <w:rsid w:val="002F0739"/>
    <w:rsid w:val="002F08B5"/>
    <w:rsid w:val="002F09E2"/>
    <w:rsid w:val="002F0A0A"/>
    <w:rsid w:val="002F0B1B"/>
    <w:rsid w:val="002F0B94"/>
    <w:rsid w:val="002F0BFF"/>
    <w:rsid w:val="002F0D11"/>
    <w:rsid w:val="002F0DBE"/>
    <w:rsid w:val="002F0DDC"/>
    <w:rsid w:val="002F0E3B"/>
    <w:rsid w:val="002F1043"/>
    <w:rsid w:val="002F11D1"/>
    <w:rsid w:val="002F11F3"/>
    <w:rsid w:val="002F1207"/>
    <w:rsid w:val="002F12F0"/>
    <w:rsid w:val="002F1326"/>
    <w:rsid w:val="002F13C6"/>
    <w:rsid w:val="002F13E1"/>
    <w:rsid w:val="002F1557"/>
    <w:rsid w:val="002F168B"/>
    <w:rsid w:val="002F1720"/>
    <w:rsid w:val="002F18E9"/>
    <w:rsid w:val="002F1B03"/>
    <w:rsid w:val="002F1B0F"/>
    <w:rsid w:val="002F1BAE"/>
    <w:rsid w:val="002F1C4A"/>
    <w:rsid w:val="002F1CDE"/>
    <w:rsid w:val="002F1E5F"/>
    <w:rsid w:val="002F1FEA"/>
    <w:rsid w:val="002F2036"/>
    <w:rsid w:val="002F20FE"/>
    <w:rsid w:val="002F22A4"/>
    <w:rsid w:val="002F23C3"/>
    <w:rsid w:val="002F2557"/>
    <w:rsid w:val="002F25B5"/>
    <w:rsid w:val="002F266E"/>
    <w:rsid w:val="002F2677"/>
    <w:rsid w:val="002F26DC"/>
    <w:rsid w:val="002F2764"/>
    <w:rsid w:val="002F27C2"/>
    <w:rsid w:val="002F284C"/>
    <w:rsid w:val="002F288F"/>
    <w:rsid w:val="002F2B55"/>
    <w:rsid w:val="002F2C35"/>
    <w:rsid w:val="002F2CA5"/>
    <w:rsid w:val="002F2CD2"/>
    <w:rsid w:val="002F2D7F"/>
    <w:rsid w:val="002F2DC0"/>
    <w:rsid w:val="002F2E98"/>
    <w:rsid w:val="002F2EA5"/>
    <w:rsid w:val="002F2F2E"/>
    <w:rsid w:val="002F302C"/>
    <w:rsid w:val="002F3158"/>
    <w:rsid w:val="002F33EB"/>
    <w:rsid w:val="002F3402"/>
    <w:rsid w:val="002F352E"/>
    <w:rsid w:val="002F367D"/>
    <w:rsid w:val="002F3863"/>
    <w:rsid w:val="002F38BA"/>
    <w:rsid w:val="002F39AB"/>
    <w:rsid w:val="002F3A82"/>
    <w:rsid w:val="002F3A9F"/>
    <w:rsid w:val="002F3B36"/>
    <w:rsid w:val="002F3B53"/>
    <w:rsid w:val="002F3D6E"/>
    <w:rsid w:val="002F3D74"/>
    <w:rsid w:val="002F3D79"/>
    <w:rsid w:val="002F3E66"/>
    <w:rsid w:val="002F3EA4"/>
    <w:rsid w:val="002F3ED1"/>
    <w:rsid w:val="002F3FF7"/>
    <w:rsid w:val="002F40CC"/>
    <w:rsid w:val="002F40DD"/>
    <w:rsid w:val="002F4226"/>
    <w:rsid w:val="002F4259"/>
    <w:rsid w:val="002F4267"/>
    <w:rsid w:val="002F4293"/>
    <w:rsid w:val="002F433A"/>
    <w:rsid w:val="002F4366"/>
    <w:rsid w:val="002F440D"/>
    <w:rsid w:val="002F4447"/>
    <w:rsid w:val="002F44C9"/>
    <w:rsid w:val="002F4577"/>
    <w:rsid w:val="002F458F"/>
    <w:rsid w:val="002F45CE"/>
    <w:rsid w:val="002F4669"/>
    <w:rsid w:val="002F4678"/>
    <w:rsid w:val="002F4796"/>
    <w:rsid w:val="002F47C6"/>
    <w:rsid w:val="002F47E8"/>
    <w:rsid w:val="002F488E"/>
    <w:rsid w:val="002F4973"/>
    <w:rsid w:val="002F49F4"/>
    <w:rsid w:val="002F4ABC"/>
    <w:rsid w:val="002F4AFE"/>
    <w:rsid w:val="002F4BFE"/>
    <w:rsid w:val="002F4C1B"/>
    <w:rsid w:val="002F4C4C"/>
    <w:rsid w:val="002F4CBB"/>
    <w:rsid w:val="002F4FD4"/>
    <w:rsid w:val="002F501F"/>
    <w:rsid w:val="002F5069"/>
    <w:rsid w:val="002F50BD"/>
    <w:rsid w:val="002F5122"/>
    <w:rsid w:val="002F516F"/>
    <w:rsid w:val="002F5232"/>
    <w:rsid w:val="002F5237"/>
    <w:rsid w:val="002F54CE"/>
    <w:rsid w:val="002F5532"/>
    <w:rsid w:val="002F5594"/>
    <w:rsid w:val="002F5668"/>
    <w:rsid w:val="002F56E2"/>
    <w:rsid w:val="002F5732"/>
    <w:rsid w:val="002F5818"/>
    <w:rsid w:val="002F58A9"/>
    <w:rsid w:val="002F5925"/>
    <w:rsid w:val="002F5A31"/>
    <w:rsid w:val="002F5ABB"/>
    <w:rsid w:val="002F5B26"/>
    <w:rsid w:val="002F5BCA"/>
    <w:rsid w:val="002F5BD7"/>
    <w:rsid w:val="002F5C30"/>
    <w:rsid w:val="002F5CB4"/>
    <w:rsid w:val="002F5E29"/>
    <w:rsid w:val="002F5E56"/>
    <w:rsid w:val="002F5EED"/>
    <w:rsid w:val="002F5F18"/>
    <w:rsid w:val="002F5F4E"/>
    <w:rsid w:val="002F5F8E"/>
    <w:rsid w:val="002F5FD4"/>
    <w:rsid w:val="002F604F"/>
    <w:rsid w:val="002F60B5"/>
    <w:rsid w:val="002F60C9"/>
    <w:rsid w:val="002F6217"/>
    <w:rsid w:val="002F62AB"/>
    <w:rsid w:val="002F630A"/>
    <w:rsid w:val="002F6354"/>
    <w:rsid w:val="002F639A"/>
    <w:rsid w:val="002F664E"/>
    <w:rsid w:val="002F669F"/>
    <w:rsid w:val="002F66F3"/>
    <w:rsid w:val="002F66FA"/>
    <w:rsid w:val="002F6705"/>
    <w:rsid w:val="002F6713"/>
    <w:rsid w:val="002F6729"/>
    <w:rsid w:val="002F67DE"/>
    <w:rsid w:val="002F6803"/>
    <w:rsid w:val="002F692C"/>
    <w:rsid w:val="002F69B8"/>
    <w:rsid w:val="002F6A7D"/>
    <w:rsid w:val="002F6AEA"/>
    <w:rsid w:val="002F6C07"/>
    <w:rsid w:val="002F6C2E"/>
    <w:rsid w:val="002F6E7F"/>
    <w:rsid w:val="002F6F31"/>
    <w:rsid w:val="002F704A"/>
    <w:rsid w:val="002F7052"/>
    <w:rsid w:val="002F709C"/>
    <w:rsid w:val="002F712B"/>
    <w:rsid w:val="002F716B"/>
    <w:rsid w:val="002F716C"/>
    <w:rsid w:val="002F71D3"/>
    <w:rsid w:val="002F7358"/>
    <w:rsid w:val="002F7488"/>
    <w:rsid w:val="002F74E4"/>
    <w:rsid w:val="002F75AA"/>
    <w:rsid w:val="002F7709"/>
    <w:rsid w:val="002F77C3"/>
    <w:rsid w:val="002F77D3"/>
    <w:rsid w:val="002F786F"/>
    <w:rsid w:val="002F7919"/>
    <w:rsid w:val="002F7A44"/>
    <w:rsid w:val="002F7A46"/>
    <w:rsid w:val="002F7AB9"/>
    <w:rsid w:val="002F7AD1"/>
    <w:rsid w:val="002F7B02"/>
    <w:rsid w:val="002F7BE6"/>
    <w:rsid w:val="002F7C29"/>
    <w:rsid w:val="002F7CB7"/>
    <w:rsid w:val="002F7CE5"/>
    <w:rsid w:val="002F7D35"/>
    <w:rsid w:val="002F7D8E"/>
    <w:rsid w:val="002F7EE5"/>
    <w:rsid w:val="002F7F06"/>
    <w:rsid w:val="002F7FC7"/>
    <w:rsid w:val="00300004"/>
    <w:rsid w:val="0030005B"/>
    <w:rsid w:val="0030007B"/>
    <w:rsid w:val="00300106"/>
    <w:rsid w:val="00300172"/>
    <w:rsid w:val="003001A0"/>
    <w:rsid w:val="00300235"/>
    <w:rsid w:val="0030031B"/>
    <w:rsid w:val="00300473"/>
    <w:rsid w:val="00300531"/>
    <w:rsid w:val="003006D7"/>
    <w:rsid w:val="0030082F"/>
    <w:rsid w:val="0030089E"/>
    <w:rsid w:val="003008B3"/>
    <w:rsid w:val="003008FC"/>
    <w:rsid w:val="00300B1E"/>
    <w:rsid w:val="00300B2D"/>
    <w:rsid w:val="00300B4B"/>
    <w:rsid w:val="00300DEF"/>
    <w:rsid w:val="00301166"/>
    <w:rsid w:val="00301269"/>
    <w:rsid w:val="003012B1"/>
    <w:rsid w:val="003012FA"/>
    <w:rsid w:val="0030132A"/>
    <w:rsid w:val="00301331"/>
    <w:rsid w:val="00301386"/>
    <w:rsid w:val="00301458"/>
    <w:rsid w:val="003015DE"/>
    <w:rsid w:val="0030166D"/>
    <w:rsid w:val="00301693"/>
    <w:rsid w:val="003016CB"/>
    <w:rsid w:val="00301700"/>
    <w:rsid w:val="00301759"/>
    <w:rsid w:val="003017A4"/>
    <w:rsid w:val="00301832"/>
    <w:rsid w:val="00301895"/>
    <w:rsid w:val="003018C7"/>
    <w:rsid w:val="00301968"/>
    <w:rsid w:val="003019EB"/>
    <w:rsid w:val="00301BF8"/>
    <w:rsid w:val="00301C6B"/>
    <w:rsid w:val="00301CDD"/>
    <w:rsid w:val="00301D94"/>
    <w:rsid w:val="00301FC5"/>
    <w:rsid w:val="00301FC7"/>
    <w:rsid w:val="00302147"/>
    <w:rsid w:val="0030218A"/>
    <w:rsid w:val="003021AE"/>
    <w:rsid w:val="0030223E"/>
    <w:rsid w:val="003022CE"/>
    <w:rsid w:val="00302329"/>
    <w:rsid w:val="00302442"/>
    <w:rsid w:val="003024E0"/>
    <w:rsid w:val="0030259A"/>
    <w:rsid w:val="003025DE"/>
    <w:rsid w:val="00302603"/>
    <w:rsid w:val="00302676"/>
    <w:rsid w:val="003026E3"/>
    <w:rsid w:val="003028ED"/>
    <w:rsid w:val="00302923"/>
    <w:rsid w:val="00302988"/>
    <w:rsid w:val="003029DB"/>
    <w:rsid w:val="00302BED"/>
    <w:rsid w:val="00302C2F"/>
    <w:rsid w:val="00302C43"/>
    <w:rsid w:val="00302D4F"/>
    <w:rsid w:val="00302DA1"/>
    <w:rsid w:val="00302E37"/>
    <w:rsid w:val="00302EBD"/>
    <w:rsid w:val="00303041"/>
    <w:rsid w:val="0030325F"/>
    <w:rsid w:val="00303291"/>
    <w:rsid w:val="00303393"/>
    <w:rsid w:val="003033C2"/>
    <w:rsid w:val="00303437"/>
    <w:rsid w:val="00303460"/>
    <w:rsid w:val="0030347B"/>
    <w:rsid w:val="003035A1"/>
    <w:rsid w:val="00303619"/>
    <w:rsid w:val="0030361F"/>
    <w:rsid w:val="0030362F"/>
    <w:rsid w:val="003037BD"/>
    <w:rsid w:val="003037ED"/>
    <w:rsid w:val="0030381E"/>
    <w:rsid w:val="00303A10"/>
    <w:rsid w:val="00303A13"/>
    <w:rsid w:val="00303A2B"/>
    <w:rsid w:val="00303A46"/>
    <w:rsid w:val="00303A59"/>
    <w:rsid w:val="00303B14"/>
    <w:rsid w:val="00303B74"/>
    <w:rsid w:val="00303B87"/>
    <w:rsid w:val="00303B8A"/>
    <w:rsid w:val="00303C0C"/>
    <w:rsid w:val="00303D4C"/>
    <w:rsid w:val="00303D9A"/>
    <w:rsid w:val="00303DCB"/>
    <w:rsid w:val="00303E37"/>
    <w:rsid w:val="00303EC5"/>
    <w:rsid w:val="00303ED8"/>
    <w:rsid w:val="00304005"/>
    <w:rsid w:val="00304071"/>
    <w:rsid w:val="00304134"/>
    <w:rsid w:val="003041E2"/>
    <w:rsid w:val="00304239"/>
    <w:rsid w:val="0030439F"/>
    <w:rsid w:val="003043FB"/>
    <w:rsid w:val="00304462"/>
    <w:rsid w:val="003044B8"/>
    <w:rsid w:val="003045C6"/>
    <w:rsid w:val="003045EE"/>
    <w:rsid w:val="0030461F"/>
    <w:rsid w:val="0030465E"/>
    <w:rsid w:val="003046C6"/>
    <w:rsid w:val="00304785"/>
    <w:rsid w:val="0030478F"/>
    <w:rsid w:val="00304859"/>
    <w:rsid w:val="0030485E"/>
    <w:rsid w:val="00304AD1"/>
    <w:rsid w:val="00304B74"/>
    <w:rsid w:val="00304BAA"/>
    <w:rsid w:val="00304BE3"/>
    <w:rsid w:val="00304BEE"/>
    <w:rsid w:val="00304CAF"/>
    <w:rsid w:val="00304D78"/>
    <w:rsid w:val="00304E08"/>
    <w:rsid w:val="00304E2F"/>
    <w:rsid w:val="00304E77"/>
    <w:rsid w:val="00304EBB"/>
    <w:rsid w:val="00304EC0"/>
    <w:rsid w:val="00304F41"/>
    <w:rsid w:val="00304F75"/>
    <w:rsid w:val="00304F9B"/>
    <w:rsid w:val="00304FB3"/>
    <w:rsid w:val="00305021"/>
    <w:rsid w:val="00305050"/>
    <w:rsid w:val="00305136"/>
    <w:rsid w:val="00305167"/>
    <w:rsid w:val="00305189"/>
    <w:rsid w:val="0030524F"/>
    <w:rsid w:val="0030526D"/>
    <w:rsid w:val="0030527F"/>
    <w:rsid w:val="00305299"/>
    <w:rsid w:val="003052AF"/>
    <w:rsid w:val="00305379"/>
    <w:rsid w:val="003054D2"/>
    <w:rsid w:val="003055D5"/>
    <w:rsid w:val="00305702"/>
    <w:rsid w:val="0030570C"/>
    <w:rsid w:val="00305814"/>
    <w:rsid w:val="003058CC"/>
    <w:rsid w:val="003058F0"/>
    <w:rsid w:val="00305952"/>
    <w:rsid w:val="00305988"/>
    <w:rsid w:val="003059A4"/>
    <w:rsid w:val="003059EF"/>
    <w:rsid w:val="00305A5C"/>
    <w:rsid w:val="00305A66"/>
    <w:rsid w:val="00305AB8"/>
    <w:rsid w:val="00305BFA"/>
    <w:rsid w:val="00305C7D"/>
    <w:rsid w:val="00305CB0"/>
    <w:rsid w:val="00305DAC"/>
    <w:rsid w:val="00305DC4"/>
    <w:rsid w:val="00305E2C"/>
    <w:rsid w:val="00305F8F"/>
    <w:rsid w:val="00305F9C"/>
    <w:rsid w:val="00305FD2"/>
    <w:rsid w:val="00305FE5"/>
    <w:rsid w:val="003060DA"/>
    <w:rsid w:val="0030618F"/>
    <w:rsid w:val="003062CD"/>
    <w:rsid w:val="00306306"/>
    <w:rsid w:val="0030640B"/>
    <w:rsid w:val="003064B9"/>
    <w:rsid w:val="003064C5"/>
    <w:rsid w:val="003065E1"/>
    <w:rsid w:val="0030661E"/>
    <w:rsid w:val="00306643"/>
    <w:rsid w:val="003066CE"/>
    <w:rsid w:val="00306730"/>
    <w:rsid w:val="0030676E"/>
    <w:rsid w:val="003067A2"/>
    <w:rsid w:val="0030691A"/>
    <w:rsid w:val="00306C16"/>
    <w:rsid w:val="00306C96"/>
    <w:rsid w:val="00306CA2"/>
    <w:rsid w:val="00306CD9"/>
    <w:rsid w:val="00306EA9"/>
    <w:rsid w:val="003071AD"/>
    <w:rsid w:val="0030722F"/>
    <w:rsid w:val="0030766F"/>
    <w:rsid w:val="003076C5"/>
    <w:rsid w:val="00307761"/>
    <w:rsid w:val="00307832"/>
    <w:rsid w:val="003079B9"/>
    <w:rsid w:val="003079C7"/>
    <w:rsid w:val="003079C9"/>
    <w:rsid w:val="00307A30"/>
    <w:rsid w:val="00307ACE"/>
    <w:rsid w:val="00307AFF"/>
    <w:rsid w:val="00307B3E"/>
    <w:rsid w:val="00307C3F"/>
    <w:rsid w:val="00307C5F"/>
    <w:rsid w:val="00307C7B"/>
    <w:rsid w:val="00307CA3"/>
    <w:rsid w:val="00307D7E"/>
    <w:rsid w:val="00307D9F"/>
    <w:rsid w:val="00307EA3"/>
    <w:rsid w:val="00307EAF"/>
    <w:rsid w:val="00307F89"/>
    <w:rsid w:val="00310013"/>
    <w:rsid w:val="00310105"/>
    <w:rsid w:val="00310112"/>
    <w:rsid w:val="003102C8"/>
    <w:rsid w:val="003102E1"/>
    <w:rsid w:val="00310452"/>
    <w:rsid w:val="0031054D"/>
    <w:rsid w:val="00310683"/>
    <w:rsid w:val="003106D0"/>
    <w:rsid w:val="003106FC"/>
    <w:rsid w:val="003107D2"/>
    <w:rsid w:val="003108F1"/>
    <w:rsid w:val="003108F7"/>
    <w:rsid w:val="00310986"/>
    <w:rsid w:val="003109AD"/>
    <w:rsid w:val="00310A5C"/>
    <w:rsid w:val="00310A77"/>
    <w:rsid w:val="00310B54"/>
    <w:rsid w:val="00310B71"/>
    <w:rsid w:val="00310C03"/>
    <w:rsid w:val="00310CC2"/>
    <w:rsid w:val="00310D17"/>
    <w:rsid w:val="00310D33"/>
    <w:rsid w:val="00310EFE"/>
    <w:rsid w:val="00310FDE"/>
    <w:rsid w:val="003110FE"/>
    <w:rsid w:val="00311172"/>
    <w:rsid w:val="0031117F"/>
    <w:rsid w:val="0031118F"/>
    <w:rsid w:val="0031119D"/>
    <w:rsid w:val="0031121E"/>
    <w:rsid w:val="00311270"/>
    <w:rsid w:val="003112B6"/>
    <w:rsid w:val="003114C6"/>
    <w:rsid w:val="00311685"/>
    <w:rsid w:val="003116C5"/>
    <w:rsid w:val="00311735"/>
    <w:rsid w:val="0031179F"/>
    <w:rsid w:val="003117F2"/>
    <w:rsid w:val="00311934"/>
    <w:rsid w:val="00311940"/>
    <w:rsid w:val="00311A40"/>
    <w:rsid w:val="00311A4E"/>
    <w:rsid w:val="00311B17"/>
    <w:rsid w:val="00311BC0"/>
    <w:rsid w:val="00311BF1"/>
    <w:rsid w:val="00311C81"/>
    <w:rsid w:val="00311CC6"/>
    <w:rsid w:val="00311DD4"/>
    <w:rsid w:val="00311F07"/>
    <w:rsid w:val="00311FA7"/>
    <w:rsid w:val="00311FF8"/>
    <w:rsid w:val="00312012"/>
    <w:rsid w:val="0031202F"/>
    <w:rsid w:val="00312034"/>
    <w:rsid w:val="00312202"/>
    <w:rsid w:val="003122B2"/>
    <w:rsid w:val="0031230D"/>
    <w:rsid w:val="0031231C"/>
    <w:rsid w:val="0031237A"/>
    <w:rsid w:val="0031243D"/>
    <w:rsid w:val="00312477"/>
    <w:rsid w:val="00312628"/>
    <w:rsid w:val="0031263D"/>
    <w:rsid w:val="00312759"/>
    <w:rsid w:val="003128FA"/>
    <w:rsid w:val="0031297C"/>
    <w:rsid w:val="003129E4"/>
    <w:rsid w:val="00312A33"/>
    <w:rsid w:val="00312A70"/>
    <w:rsid w:val="00312BC7"/>
    <w:rsid w:val="00312BCE"/>
    <w:rsid w:val="00312D3B"/>
    <w:rsid w:val="00312D54"/>
    <w:rsid w:val="00312D8E"/>
    <w:rsid w:val="00312F26"/>
    <w:rsid w:val="00313091"/>
    <w:rsid w:val="00313145"/>
    <w:rsid w:val="003132E2"/>
    <w:rsid w:val="00313327"/>
    <w:rsid w:val="003133F3"/>
    <w:rsid w:val="003133FC"/>
    <w:rsid w:val="00313445"/>
    <w:rsid w:val="00313480"/>
    <w:rsid w:val="003134B6"/>
    <w:rsid w:val="003134FD"/>
    <w:rsid w:val="003135C0"/>
    <w:rsid w:val="0031363F"/>
    <w:rsid w:val="003136E5"/>
    <w:rsid w:val="003137F8"/>
    <w:rsid w:val="003137F9"/>
    <w:rsid w:val="00313965"/>
    <w:rsid w:val="003139FC"/>
    <w:rsid w:val="00313AC6"/>
    <w:rsid w:val="00313AFA"/>
    <w:rsid w:val="00313C6E"/>
    <w:rsid w:val="00313C83"/>
    <w:rsid w:val="00313CE6"/>
    <w:rsid w:val="00313CE7"/>
    <w:rsid w:val="00313D5E"/>
    <w:rsid w:val="00313DD8"/>
    <w:rsid w:val="00313F0F"/>
    <w:rsid w:val="00313F31"/>
    <w:rsid w:val="003140CF"/>
    <w:rsid w:val="003140F4"/>
    <w:rsid w:val="0031418B"/>
    <w:rsid w:val="003141A8"/>
    <w:rsid w:val="003141CD"/>
    <w:rsid w:val="003142AD"/>
    <w:rsid w:val="003142BA"/>
    <w:rsid w:val="003142DB"/>
    <w:rsid w:val="003142E0"/>
    <w:rsid w:val="003142F6"/>
    <w:rsid w:val="003143E3"/>
    <w:rsid w:val="00314431"/>
    <w:rsid w:val="0031465B"/>
    <w:rsid w:val="00314677"/>
    <w:rsid w:val="00314686"/>
    <w:rsid w:val="003146D1"/>
    <w:rsid w:val="0031472D"/>
    <w:rsid w:val="0031473A"/>
    <w:rsid w:val="00314854"/>
    <w:rsid w:val="003148CC"/>
    <w:rsid w:val="00314926"/>
    <w:rsid w:val="0031493B"/>
    <w:rsid w:val="00314B46"/>
    <w:rsid w:val="00314C89"/>
    <w:rsid w:val="00314D02"/>
    <w:rsid w:val="00314E60"/>
    <w:rsid w:val="00314EB2"/>
    <w:rsid w:val="00314EDD"/>
    <w:rsid w:val="00314F3E"/>
    <w:rsid w:val="00314FCC"/>
    <w:rsid w:val="00315041"/>
    <w:rsid w:val="0031506E"/>
    <w:rsid w:val="0031508F"/>
    <w:rsid w:val="003150C5"/>
    <w:rsid w:val="00315226"/>
    <w:rsid w:val="00315260"/>
    <w:rsid w:val="0031528A"/>
    <w:rsid w:val="00315315"/>
    <w:rsid w:val="00315355"/>
    <w:rsid w:val="003153DB"/>
    <w:rsid w:val="0031542A"/>
    <w:rsid w:val="0031546A"/>
    <w:rsid w:val="00315496"/>
    <w:rsid w:val="003154E4"/>
    <w:rsid w:val="00315538"/>
    <w:rsid w:val="0031563D"/>
    <w:rsid w:val="003156F9"/>
    <w:rsid w:val="003156FE"/>
    <w:rsid w:val="00315771"/>
    <w:rsid w:val="0031586B"/>
    <w:rsid w:val="003158D9"/>
    <w:rsid w:val="00315A47"/>
    <w:rsid w:val="00315A66"/>
    <w:rsid w:val="00315AA8"/>
    <w:rsid w:val="00315B43"/>
    <w:rsid w:val="00315C1F"/>
    <w:rsid w:val="00315C24"/>
    <w:rsid w:val="00315C2D"/>
    <w:rsid w:val="00315CF2"/>
    <w:rsid w:val="00315D32"/>
    <w:rsid w:val="00315DDA"/>
    <w:rsid w:val="00315E46"/>
    <w:rsid w:val="00315EA5"/>
    <w:rsid w:val="00315F02"/>
    <w:rsid w:val="00315F0D"/>
    <w:rsid w:val="00315F59"/>
    <w:rsid w:val="00316010"/>
    <w:rsid w:val="003160A5"/>
    <w:rsid w:val="00316136"/>
    <w:rsid w:val="00316160"/>
    <w:rsid w:val="00316437"/>
    <w:rsid w:val="00316539"/>
    <w:rsid w:val="00316574"/>
    <w:rsid w:val="0031657F"/>
    <w:rsid w:val="00316685"/>
    <w:rsid w:val="0031668F"/>
    <w:rsid w:val="003166A2"/>
    <w:rsid w:val="00316751"/>
    <w:rsid w:val="003167DD"/>
    <w:rsid w:val="00316889"/>
    <w:rsid w:val="003168DD"/>
    <w:rsid w:val="00316918"/>
    <w:rsid w:val="003169A9"/>
    <w:rsid w:val="00316A56"/>
    <w:rsid w:val="00316AE0"/>
    <w:rsid w:val="00316AE5"/>
    <w:rsid w:val="00316D19"/>
    <w:rsid w:val="00316DF6"/>
    <w:rsid w:val="00316E71"/>
    <w:rsid w:val="00316E89"/>
    <w:rsid w:val="00316F08"/>
    <w:rsid w:val="00316F29"/>
    <w:rsid w:val="00316F5D"/>
    <w:rsid w:val="00316F60"/>
    <w:rsid w:val="00317178"/>
    <w:rsid w:val="00317222"/>
    <w:rsid w:val="00317287"/>
    <w:rsid w:val="003172B1"/>
    <w:rsid w:val="003172B2"/>
    <w:rsid w:val="00317329"/>
    <w:rsid w:val="00317356"/>
    <w:rsid w:val="00317359"/>
    <w:rsid w:val="0031736B"/>
    <w:rsid w:val="0031738B"/>
    <w:rsid w:val="00317406"/>
    <w:rsid w:val="00317475"/>
    <w:rsid w:val="003175CA"/>
    <w:rsid w:val="00317690"/>
    <w:rsid w:val="003176AE"/>
    <w:rsid w:val="00317715"/>
    <w:rsid w:val="00317750"/>
    <w:rsid w:val="00317788"/>
    <w:rsid w:val="003177CB"/>
    <w:rsid w:val="003177EC"/>
    <w:rsid w:val="003177ED"/>
    <w:rsid w:val="00317861"/>
    <w:rsid w:val="00317946"/>
    <w:rsid w:val="003179F8"/>
    <w:rsid w:val="00317A06"/>
    <w:rsid w:val="00317A6C"/>
    <w:rsid w:val="00317A9F"/>
    <w:rsid w:val="00317AD8"/>
    <w:rsid w:val="00317C64"/>
    <w:rsid w:val="00317D14"/>
    <w:rsid w:val="00317DD8"/>
    <w:rsid w:val="00317EBE"/>
    <w:rsid w:val="00320001"/>
    <w:rsid w:val="0032012E"/>
    <w:rsid w:val="003201F2"/>
    <w:rsid w:val="00320208"/>
    <w:rsid w:val="003202BD"/>
    <w:rsid w:val="00320331"/>
    <w:rsid w:val="0032035A"/>
    <w:rsid w:val="0032037F"/>
    <w:rsid w:val="00320383"/>
    <w:rsid w:val="003203E8"/>
    <w:rsid w:val="0032045E"/>
    <w:rsid w:val="0032049A"/>
    <w:rsid w:val="003206B7"/>
    <w:rsid w:val="0032083D"/>
    <w:rsid w:val="003208CE"/>
    <w:rsid w:val="0032096A"/>
    <w:rsid w:val="0032097C"/>
    <w:rsid w:val="003209C2"/>
    <w:rsid w:val="003209DC"/>
    <w:rsid w:val="00320AC6"/>
    <w:rsid w:val="00320B89"/>
    <w:rsid w:val="00320BB3"/>
    <w:rsid w:val="00320E4E"/>
    <w:rsid w:val="00320E5B"/>
    <w:rsid w:val="00320F11"/>
    <w:rsid w:val="00320F22"/>
    <w:rsid w:val="00320F76"/>
    <w:rsid w:val="00320F8B"/>
    <w:rsid w:val="00321006"/>
    <w:rsid w:val="003211F5"/>
    <w:rsid w:val="00321202"/>
    <w:rsid w:val="00321213"/>
    <w:rsid w:val="00321343"/>
    <w:rsid w:val="0032146A"/>
    <w:rsid w:val="00321534"/>
    <w:rsid w:val="003215D2"/>
    <w:rsid w:val="0032177B"/>
    <w:rsid w:val="0032190B"/>
    <w:rsid w:val="00321917"/>
    <w:rsid w:val="003219FB"/>
    <w:rsid w:val="00321A57"/>
    <w:rsid w:val="00321A5A"/>
    <w:rsid w:val="00321AE2"/>
    <w:rsid w:val="00321AE7"/>
    <w:rsid w:val="00321AFA"/>
    <w:rsid w:val="00321B6A"/>
    <w:rsid w:val="00321B70"/>
    <w:rsid w:val="00321C0F"/>
    <w:rsid w:val="00321C4E"/>
    <w:rsid w:val="00321D0B"/>
    <w:rsid w:val="00321D5A"/>
    <w:rsid w:val="00321EFE"/>
    <w:rsid w:val="00321F85"/>
    <w:rsid w:val="00322038"/>
    <w:rsid w:val="0032205B"/>
    <w:rsid w:val="00322291"/>
    <w:rsid w:val="003223E7"/>
    <w:rsid w:val="003224DD"/>
    <w:rsid w:val="00322549"/>
    <w:rsid w:val="0032270F"/>
    <w:rsid w:val="003227D1"/>
    <w:rsid w:val="0032286E"/>
    <w:rsid w:val="00322A62"/>
    <w:rsid w:val="00322A7E"/>
    <w:rsid w:val="00322A86"/>
    <w:rsid w:val="00322B8F"/>
    <w:rsid w:val="00322BF5"/>
    <w:rsid w:val="00322E73"/>
    <w:rsid w:val="00322ECC"/>
    <w:rsid w:val="00322F49"/>
    <w:rsid w:val="00322FA4"/>
    <w:rsid w:val="003230B3"/>
    <w:rsid w:val="003230C1"/>
    <w:rsid w:val="003231CF"/>
    <w:rsid w:val="003232BC"/>
    <w:rsid w:val="0032330D"/>
    <w:rsid w:val="0032336E"/>
    <w:rsid w:val="0032337F"/>
    <w:rsid w:val="00323403"/>
    <w:rsid w:val="00323450"/>
    <w:rsid w:val="0032354D"/>
    <w:rsid w:val="00323551"/>
    <w:rsid w:val="003235A1"/>
    <w:rsid w:val="00323738"/>
    <w:rsid w:val="00323829"/>
    <w:rsid w:val="003238A0"/>
    <w:rsid w:val="003238D5"/>
    <w:rsid w:val="00323A3E"/>
    <w:rsid w:val="00323AD1"/>
    <w:rsid w:val="00323AF6"/>
    <w:rsid w:val="00323BD9"/>
    <w:rsid w:val="00323C49"/>
    <w:rsid w:val="00323C51"/>
    <w:rsid w:val="00323C5C"/>
    <w:rsid w:val="00323D33"/>
    <w:rsid w:val="00323E53"/>
    <w:rsid w:val="00323ED1"/>
    <w:rsid w:val="00324018"/>
    <w:rsid w:val="003240AA"/>
    <w:rsid w:val="0032411A"/>
    <w:rsid w:val="00324154"/>
    <w:rsid w:val="003241B4"/>
    <w:rsid w:val="003241E8"/>
    <w:rsid w:val="003242F7"/>
    <w:rsid w:val="00324316"/>
    <w:rsid w:val="0032436B"/>
    <w:rsid w:val="00324453"/>
    <w:rsid w:val="003244C2"/>
    <w:rsid w:val="00324595"/>
    <w:rsid w:val="0032482D"/>
    <w:rsid w:val="00324862"/>
    <w:rsid w:val="003248D6"/>
    <w:rsid w:val="003249D5"/>
    <w:rsid w:val="00324A31"/>
    <w:rsid w:val="00324A51"/>
    <w:rsid w:val="00324B00"/>
    <w:rsid w:val="00324B45"/>
    <w:rsid w:val="00324B86"/>
    <w:rsid w:val="00324BE2"/>
    <w:rsid w:val="00324C2C"/>
    <w:rsid w:val="00324CAE"/>
    <w:rsid w:val="00324E9E"/>
    <w:rsid w:val="00324FED"/>
    <w:rsid w:val="0032503E"/>
    <w:rsid w:val="00325060"/>
    <w:rsid w:val="003250C0"/>
    <w:rsid w:val="003250E4"/>
    <w:rsid w:val="00325181"/>
    <w:rsid w:val="00325189"/>
    <w:rsid w:val="003251C1"/>
    <w:rsid w:val="003253FD"/>
    <w:rsid w:val="0032559C"/>
    <w:rsid w:val="00325606"/>
    <w:rsid w:val="0032565F"/>
    <w:rsid w:val="003256D8"/>
    <w:rsid w:val="003256FB"/>
    <w:rsid w:val="0032573F"/>
    <w:rsid w:val="00325837"/>
    <w:rsid w:val="00325849"/>
    <w:rsid w:val="003258C1"/>
    <w:rsid w:val="00325920"/>
    <w:rsid w:val="0032595E"/>
    <w:rsid w:val="003259B9"/>
    <w:rsid w:val="00325A8E"/>
    <w:rsid w:val="00325B28"/>
    <w:rsid w:val="00325BC8"/>
    <w:rsid w:val="00325D55"/>
    <w:rsid w:val="00325E62"/>
    <w:rsid w:val="00325FFB"/>
    <w:rsid w:val="003260C9"/>
    <w:rsid w:val="00326119"/>
    <w:rsid w:val="003261D7"/>
    <w:rsid w:val="003261EC"/>
    <w:rsid w:val="003261FA"/>
    <w:rsid w:val="0032622D"/>
    <w:rsid w:val="003263E8"/>
    <w:rsid w:val="00326509"/>
    <w:rsid w:val="0032655C"/>
    <w:rsid w:val="003265A8"/>
    <w:rsid w:val="0032663E"/>
    <w:rsid w:val="0032668D"/>
    <w:rsid w:val="003266BC"/>
    <w:rsid w:val="003266CA"/>
    <w:rsid w:val="00326867"/>
    <w:rsid w:val="00326874"/>
    <w:rsid w:val="0032687B"/>
    <w:rsid w:val="00326892"/>
    <w:rsid w:val="003268AF"/>
    <w:rsid w:val="0032693D"/>
    <w:rsid w:val="00326974"/>
    <w:rsid w:val="00326A45"/>
    <w:rsid w:val="00326A72"/>
    <w:rsid w:val="00326A9E"/>
    <w:rsid w:val="00326AC0"/>
    <w:rsid w:val="00326B02"/>
    <w:rsid w:val="00326B5A"/>
    <w:rsid w:val="00326B75"/>
    <w:rsid w:val="00326B95"/>
    <w:rsid w:val="00326C06"/>
    <w:rsid w:val="00326D1C"/>
    <w:rsid w:val="00326E44"/>
    <w:rsid w:val="00326F1A"/>
    <w:rsid w:val="00326F34"/>
    <w:rsid w:val="00326FCF"/>
    <w:rsid w:val="003270D6"/>
    <w:rsid w:val="00327307"/>
    <w:rsid w:val="003273A3"/>
    <w:rsid w:val="0032743B"/>
    <w:rsid w:val="00327520"/>
    <w:rsid w:val="00327562"/>
    <w:rsid w:val="0032762D"/>
    <w:rsid w:val="003277BE"/>
    <w:rsid w:val="003278BD"/>
    <w:rsid w:val="003279B7"/>
    <w:rsid w:val="00327AAE"/>
    <w:rsid w:val="00327B6A"/>
    <w:rsid w:val="00327C5C"/>
    <w:rsid w:val="00327F58"/>
    <w:rsid w:val="00327F68"/>
    <w:rsid w:val="003301B0"/>
    <w:rsid w:val="00330328"/>
    <w:rsid w:val="00330460"/>
    <w:rsid w:val="003304A8"/>
    <w:rsid w:val="003304C0"/>
    <w:rsid w:val="0033069A"/>
    <w:rsid w:val="00330751"/>
    <w:rsid w:val="00330816"/>
    <w:rsid w:val="00330996"/>
    <w:rsid w:val="003309DB"/>
    <w:rsid w:val="00330A77"/>
    <w:rsid w:val="00330B74"/>
    <w:rsid w:val="00330BB9"/>
    <w:rsid w:val="00330C86"/>
    <w:rsid w:val="00330CAF"/>
    <w:rsid w:val="00330CC7"/>
    <w:rsid w:val="00330E2E"/>
    <w:rsid w:val="00330E6C"/>
    <w:rsid w:val="00330E8C"/>
    <w:rsid w:val="00330EC2"/>
    <w:rsid w:val="00330F82"/>
    <w:rsid w:val="00331008"/>
    <w:rsid w:val="00331080"/>
    <w:rsid w:val="00331143"/>
    <w:rsid w:val="00331181"/>
    <w:rsid w:val="003311C0"/>
    <w:rsid w:val="00331219"/>
    <w:rsid w:val="003313E9"/>
    <w:rsid w:val="00331474"/>
    <w:rsid w:val="00331482"/>
    <w:rsid w:val="00331510"/>
    <w:rsid w:val="00331598"/>
    <w:rsid w:val="00331612"/>
    <w:rsid w:val="003317B8"/>
    <w:rsid w:val="0033189C"/>
    <w:rsid w:val="003318E0"/>
    <w:rsid w:val="003318E1"/>
    <w:rsid w:val="003318E7"/>
    <w:rsid w:val="00331932"/>
    <w:rsid w:val="00331974"/>
    <w:rsid w:val="003319F7"/>
    <w:rsid w:val="00331AA8"/>
    <w:rsid w:val="00331B5A"/>
    <w:rsid w:val="00331BA2"/>
    <w:rsid w:val="00331C18"/>
    <w:rsid w:val="00331C89"/>
    <w:rsid w:val="00331CD0"/>
    <w:rsid w:val="00331D0A"/>
    <w:rsid w:val="00331D7D"/>
    <w:rsid w:val="00331DAF"/>
    <w:rsid w:val="00331DB3"/>
    <w:rsid w:val="00331E3A"/>
    <w:rsid w:val="00331EF6"/>
    <w:rsid w:val="00331F15"/>
    <w:rsid w:val="00331F48"/>
    <w:rsid w:val="00332071"/>
    <w:rsid w:val="003320AA"/>
    <w:rsid w:val="003320D4"/>
    <w:rsid w:val="00332230"/>
    <w:rsid w:val="00332370"/>
    <w:rsid w:val="0033237D"/>
    <w:rsid w:val="0033240B"/>
    <w:rsid w:val="003324A1"/>
    <w:rsid w:val="003324AE"/>
    <w:rsid w:val="003324B2"/>
    <w:rsid w:val="0033253F"/>
    <w:rsid w:val="00332590"/>
    <w:rsid w:val="003325E9"/>
    <w:rsid w:val="0033281C"/>
    <w:rsid w:val="0033293A"/>
    <w:rsid w:val="00332B1A"/>
    <w:rsid w:val="00332B55"/>
    <w:rsid w:val="00332BB4"/>
    <w:rsid w:val="00332BC0"/>
    <w:rsid w:val="00332BDA"/>
    <w:rsid w:val="00332BFC"/>
    <w:rsid w:val="00332C7E"/>
    <w:rsid w:val="00332C8E"/>
    <w:rsid w:val="00332CA1"/>
    <w:rsid w:val="00332E2D"/>
    <w:rsid w:val="00332F64"/>
    <w:rsid w:val="00332FB2"/>
    <w:rsid w:val="00333050"/>
    <w:rsid w:val="00333163"/>
    <w:rsid w:val="0033316A"/>
    <w:rsid w:val="0033316D"/>
    <w:rsid w:val="00333207"/>
    <w:rsid w:val="00333217"/>
    <w:rsid w:val="003332C9"/>
    <w:rsid w:val="00333327"/>
    <w:rsid w:val="0033332B"/>
    <w:rsid w:val="0033333F"/>
    <w:rsid w:val="003333CB"/>
    <w:rsid w:val="0033348C"/>
    <w:rsid w:val="003334F9"/>
    <w:rsid w:val="0033354E"/>
    <w:rsid w:val="003335E9"/>
    <w:rsid w:val="003335EA"/>
    <w:rsid w:val="00333644"/>
    <w:rsid w:val="003336BF"/>
    <w:rsid w:val="00333866"/>
    <w:rsid w:val="0033388E"/>
    <w:rsid w:val="00333895"/>
    <w:rsid w:val="0033399A"/>
    <w:rsid w:val="00333A8B"/>
    <w:rsid w:val="00333B11"/>
    <w:rsid w:val="00333B1A"/>
    <w:rsid w:val="00333B47"/>
    <w:rsid w:val="00333BFE"/>
    <w:rsid w:val="00333CD7"/>
    <w:rsid w:val="00333DB4"/>
    <w:rsid w:val="00333F2B"/>
    <w:rsid w:val="00333F7E"/>
    <w:rsid w:val="00333F9A"/>
    <w:rsid w:val="0033404F"/>
    <w:rsid w:val="003340D8"/>
    <w:rsid w:val="00334186"/>
    <w:rsid w:val="0033426A"/>
    <w:rsid w:val="0033435D"/>
    <w:rsid w:val="00334395"/>
    <w:rsid w:val="00334449"/>
    <w:rsid w:val="003344BA"/>
    <w:rsid w:val="00334535"/>
    <w:rsid w:val="00334573"/>
    <w:rsid w:val="003345D3"/>
    <w:rsid w:val="003345EB"/>
    <w:rsid w:val="0033462D"/>
    <w:rsid w:val="0033462F"/>
    <w:rsid w:val="0033474B"/>
    <w:rsid w:val="00334789"/>
    <w:rsid w:val="00334830"/>
    <w:rsid w:val="00334859"/>
    <w:rsid w:val="0033488A"/>
    <w:rsid w:val="00334904"/>
    <w:rsid w:val="00334A6C"/>
    <w:rsid w:val="00334B71"/>
    <w:rsid w:val="00334B8D"/>
    <w:rsid w:val="00334CF0"/>
    <w:rsid w:val="00334D73"/>
    <w:rsid w:val="00334D77"/>
    <w:rsid w:val="00334E3B"/>
    <w:rsid w:val="00334E82"/>
    <w:rsid w:val="00334EB5"/>
    <w:rsid w:val="00334F21"/>
    <w:rsid w:val="00334F9D"/>
    <w:rsid w:val="00334FEF"/>
    <w:rsid w:val="00335118"/>
    <w:rsid w:val="00335158"/>
    <w:rsid w:val="00335199"/>
    <w:rsid w:val="0033519C"/>
    <w:rsid w:val="00335370"/>
    <w:rsid w:val="0033549A"/>
    <w:rsid w:val="003354C4"/>
    <w:rsid w:val="00335540"/>
    <w:rsid w:val="00335585"/>
    <w:rsid w:val="0033559B"/>
    <w:rsid w:val="003355AA"/>
    <w:rsid w:val="003355E1"/>
    <w:rsid w:val="003356A3"/>
    <w:rsid w:val="003356CE"/>
    <w:rsid w:val="00335753"/>
    <w:rsid w:val="00335764"/>
    <w:rsid w:val="003358B4"/>
    <w:rsid w:val="00335952"/>
    <w:rsid w:val="00335A1A"/>
    <w:rsid w:val="00335A49"/>
    <w:rsid w:val="00335A69"/>
    <w:rsid w:val="00335AE4"/>
    <w:rsid w:val="00335B3D"/>
    <w:rsid w:val="00335D0F"/>
    <w:rsid w:val="00335D9A"/>
    <w:rsid w:val="00335DFE"/>
    <w:rsid w:val="0033606C"/>
    <w:rsid w:val="00336125"/>
    <w:rsid w:val="00336219"/>
    <w:rsid w:val="003362D5"/>
    <w:rsid w:val="00336330"/>
    <w:rsid w:val="00336382"/>
    <w:rsid w:val="003363DC"/>
    <w:rsid w:val="00336501"/>
    <w:rsid w:val="00336505"/>
    <w:rsid w:val="0033652C"/>
    <w:rsid w:val="00336539"/>
    <w:rsid w:val="0033654D"/>
    <w:rsid w:val="00336563"/>
    <w:rsid w:val="00336582"/>
    <w:rsid w:val="003365E7"/>
    <w:rsid w:val="00336693"/>
    <w:rsid w:val="0033678F"/>
    <w:rsid w:val="003367EA"/>
    <w:rsid w:val="00336893"/>
    <w:rsid w:val="003368C0"/>
    <w:rsid w:val="003368C4"/>
    <w:rsid w:val="003368DA"/>
    <w:rsid w:val="0033698D"/>
    <w:rsid w:val="0033698F"/>
    <w:rsid w:val="00336A04"/>
    <w:rsid w:val="00336A1F"/>
    <w:rsid w:val="00336B1F"/>
    <w:rsid w:val="00336BBA"/>
    <w:rsid w:val="00336C12"/>
    <w:rsid w:val="00336CB0"/>
    <w:rsid w:val="00336CED"/>
    <w:rsid w:val="00336DF9"/>
    <w:rsid w:val="00336E5C"/>
    <w:rsid w:val="00336FD9"/>
    <w:rsid w:val="00337083"/>
    <w:rsid w:val="003370C1"/>
    <w:rsid w:val="0033719B"/>
    <w:rsid w:val="003372C3"/>
    <w:rsid w:val="0033755A"/>
    <w:rsid w:val="003375D3"/>
    <w:rsid w:val="003377EA"/>
    <w:rsid w:val="0033780A"/>
    <w:rsid w:val="003378CF"/>
    <w:rsid w:val="00337975"/>
    <w:rsid w:val="00337ABB"/>
    <w:rsid w:val="00337AE5"/>
    <w:rsid w:val="00337AEA"/>
    <w:rsid w:val="00337B92"/>
    <w:rsid w:val="00337CB0"/>
    <w:rsid w:val="00337D59"/>
    <w:rsid w:val="00337D81"/>
    <w:rsid w:val="00337D86"/>
    <w:rsid w:val="00337EC8"/>
    <w:rsid w:val="00337F1F"/>
    <w:rsid w:val="00340092"/>
    <w:rsid w:val="0034010A"/>
    <w:rsid w:val="00340143"/>
    <w:rsid w:val="00340223"/>
    <w:rsid w:val="0034055C"/>
    <w:rsid w:val="003405E1"/>
    <w:rsid w:val="00340628"/>
    <w:rsid w:val="00340643"/>
    <w:rsid w:val="0034068F"/>
    <w:rsid w:val="00340756"/>
    <w:rsid w:val="00340758"/>
    <w:rsid w:val="00340778"/>
    <w:rsid w:val="003407E7"/>
    <w:rsid w:val="00340817"/>
    <w:rsid w:val="00340831"/>
    <w:rsid w:val="0034084D"/>
    <w:rsid w:val="00340879"/>
    <w:rsid w:val="0034098D"/>
    <w:rsid w:val="00340A6F"/>
    <w:rsid w:val="00340AFA"/>
    <w:rsid w:val="00340B05"/>
    <w:rsid w:val="00340BCF"/>
    <w:rsid w:val="00340C7E"/>
    <w:rsid w:val="00340DA3"/>
    <w:rsid w:val="00340DE5"/>
    <w:rsid w:val="00340E42"/>
    <w:rsid w:val="00340E7E"/>
    <w:rsid w:val="00340F6F"/>
    <w:rsid w:val="00340F7B"/>
    <w:rsid w:val="00341041"/>
    <w:rsid w:val="00341231"/>
    <w:rsid w:val="003412A4"/>
    <w:rsid w:val="00341371"/>
    <w:rsid w:val="0034140E"/>
    <w:rsid w:val="0034163D"/>
    <w:rsid w:val="003416E6"/>
    <w:rsid w:val="00341702"/>
    <w:rsid w:val="00341867"/>
    <w:rsid w:val="0034197C"/>
    <w:rsid w:val="00341A05"/>
    <w:rsid w:val="00341B4A"/>
    <w:rsid w:val="00341CA7"/>
    <w:rsid w:val="00341E75"/>
    <w:rsid w:val="0034203E"/>
    <w:rsid w:val="00342040"/>
    <w:rsid w:val="0034209D"/>
    <w:rsid w:val="0034215B"/>
    <w:rsid w:val="003421A9"/>
    <w:rsid w:val="00342234"/>
    <w:rsid w:val="0034228A"/>
    <w:rsid w:val="00342293"/>
    <w:rsid w:val="00342295"/>
    <w:rsid w:val="00342499"/>
    <w:rsid w:val="00342715"/>
    <w:rsid w:val="00342933"/>
    <w:rsid w:val="0034296B"/>
    <w:rsid w:val="0034297E"/>
    <w:rsid w:val="00342B73"/>
    <w:rsid w:val="00342BD4"/>
    <w:rsid w:val="00342C02"/>
    <w:rsid w:val="00342C69"/>
    <w:rsid w:val="00342D1B"/>
    <w:rsid w:val="00342DE8"/>
    <w:rsid w:val="00342E6D"/>
    <w:rsid w:val="00342EA9"/>
    <w:rsid w:val="00342EFA"/>
    <w:rsid w:val="00342F4A"/>
    <w:rsid w:val="003430BB"/>
    <w:rsid w:val="0034312D"/>
    <w:rsid w:val="00343167"/>
    <w:rsid w:val="003431E8"/>
    <w:rsid w:val="00343279"/>
    <w:rsid w:val="003432A5"/>
    <w:rsid w:val="00343426"/>
    <w:rsid w:val="003434EA"/>
    <w:rsid w:val="0034350E"/>
    <w:rsid w:val="003435AD"/>
    <w:rsid w:val="0034368B"/>
    <w:rsid w:val="0034369D"/>
    <w:rsid w:val="0034371F"/>
    <w:rsid w:val="0034372A"/>
    <w:rsid w:val="0034381F"/>
    <w:rsid w:val="0034383E"/>
    <w:rsid w:val="00343914"/>
    <w:rsid w:val="00343A6D"/>
    <w:rsid w:val="00343A7A"/>
    <w:rsid w:val="00343AB2"/>
    <w:rsid w:val="00343ADB"/>
    <w:rsid w:val="00343AE7"/>
    <w:rsid w:val="00343AE8"/>
    <w:rsid w:val="00343D81"/>
    <w:rsid w:val="00343DA5"/>
    <w:rsid w:val="00343DB2"/>
    <w:rsid w:val="00343E1C"/>
    <w:rsid w:val="00343F5E"/>
    <w:rsid w:val="00343FAE"/>
    <w:rsid w:val="00344263"/>
    <w:rsid w:val="00344268"/>
    <w:rsid w:val="0034447B"/>
    <w:rsid w:val="003444BD"/>
    <w:rsid w:val="0034456B"/>
    <w:rsid w:val="00344573"/>
    <w:rsid w:val="00344678"/>
    <w:rsid w:val="003446B3"/>
    <w:rsid w:val="00344757"/>
    <w:rsid w:val="0034478D"/>
    <w:rsid w:val="003447A4"/>
    <w:rsid w:val="003447BF"/>
    <w:rsid w:val="003447D7"/>
    <w:rsid w:val="00344964"/>
    <w:rsid w:val="0034497F"/>
    <w:rsid w:val="0034498F"/>
    <w:rsid w:val="00344992"/>
    <w:rsid w:val="0034499B"/>
    <w:rsid w:val="00344A7A"/>
    <w:rsid w:val="00344AF9"/>
    <w:rsid w:val="00344B77"/>
    <w:rsid w:val="00344BB4"/>
    <w:rsid w:val="00344BBF"/>
    <w:rsid w:val="00344C09"/>
    <w:rsid w:val="00344C32"/>
    <w:rsid w:val="00344CC9"/>
    <w:rsid w:val="00344D05"/>
    <w:rsid w:val="00344D6D"/>
    <w:rsid w:val="00344E44"/>
    <w:rsid w:val="00344E5F"/>
    <w:rsid w:val="00344E63"/>
    <w:rsid w:val="00344F1E"/>
    <w:rsid w:val="00345065"/>
    <w:rsid w:val="00345130"/>
    <w:rsid w:val="00345199"/>
    <w:rsid w:val="003451DD"/>
    <w:rsid w:val="00345232"/>
    <w:rsid w:val="0034523B"/>
    <w:rsid w:val="00345286"/>
    <w:rsid w:val="003452A3"/>
    <w:rsid w:val="003452BD"/>
    <w:rsid w:val="003453E6"/>
    <w:rsid w:val="0034543D"/>
    <w:rsid w:val="00345446"/>
    <w:rsid w:val="00345457"/>
    <w:rsid w:val="0034545B"/>
    <w:rsid w:val="00345467"/>
    <w:rsid w:val="003454DC"/>
    <w:rsid w:val="00345560"/>
    <w:rsid w:val="003458C5"/>
    <w:rsid w:val="003458C6"/>
    <w:rsid w:val="00345909"/>
    <w:rsid w:val="0034597D"/>
    <w:rsid w:val="00345984"/>
    <w:rsid w:val="00345B45"/>
    <w:rsid w:val="00345B75"/>
    <w:rsid w:val="00345E41"/>
    <w:rsid w:val="00345E6E"/>
    <w:rsid w:val="00346020"/>
    <w:rsid w:val="003460BC"/>
    <w:rsid w:val="00346102"/>
    <w:rsid w:val="0034628D"/>
    <w:rsid w:val="00346295"/>
    <w:rsid w:val="00346390"/>
    <w:rsid w:val="00346412"/>
    <w:rsid w:val="0034654C"/>
    <w:rsid w:val="0034658D"/>
    <w:rsid w:val="003465E8"/>
    <w:rsid w:val="00346655"/>
    <w:rsid w:val="00346726"/>
    <w:rsid w:val="0034673D"/>
    <w:rsid w:val="003468B2"/>
    <w:rsid w:val="003468CD"/>
    <w:rsid w:val="003468FF"/>
    <w:rsid w:val="00346995"/>
    <w:rsid w:val="00346A03"/>
    <w:rsid w:val="00346A45"/>
    <w:rsid w:val="00346A4A"/>
    <w:rsid w:val="00346AB7"/>
    <w:rsid w:val="00346B18"/>
    <w:rsid w:val="00346B42"/>
    <w:rsid w:val="00346BB4"/>
    <w:rsid w:val="00346BF4"/>
    <w:rsid w:val="00346C90"/>
    <w:rsid w:val="00346E4C"/>
    <w:rsid w:val="00346F96"/>
    <w:rsid w:val="00346FE3"/>
    <w:rsid w:val="003470DB"/>
    <w:rsid w:val="00347178"/>
    <w:rsid w:val="0034727E"/>
    <w:rsid w:val="0034734F"/>
    <w:rsid w:val="00347417"/>
    <w:rsid w:val="00347487"/>
    <w:rsid w:val="003474EE"/>
    <w:rsid w:val="00347545"/>
    <w:rsid w:val="003476FA"/>
    <w:rsid w:val="003476FF"/>
    <w:rsid w:val="00347773"/>
    <w:rsid w:val="003477C2"/>
    <w:rsid w:val="003477CE"/>
    <w:rsid w:val="003477F2"/>
    <w:rsid w:val="00347817"/>
    <w:rsid w:val="00347860"/>
    <w:rsid w:val="00347870"/>
    <w:rsid w:val="003478BF"/>
    <w:rsid w:val="00347A7D"/>
    <w:rsid w:val="00347A93"/>
    <w:rsid w:val="00347B5B"/>
    <w:rsid w:val="00347BC4"/>
    <w:rsid w:val="00347D59"/>
    <w:rsid w:val="00347D70"/>
    <w:rsid w:val="00347D82"/>
    <w:rsid w:val="00347EBC"/>
    <w:rsid w:val="00347EFC"/>
    <w:rsid w:val="00347F99"/>
    <w:rsid w:val="00347FF0"/>
    <w:rsid w:val="00350039"/>
    <w:rsid w:val="003500AF"/>
    <w:rsid w:val="003501AF"/>
    <w:rsid w:val="003501D7"/>
    <w:rsid w:val="0035036F"/>
    <w:rsid w:val="0035038D"/>
    <w:rsid w:val="003503B4"/>
    <w:rsid w:val="0035047F"/>
    <w:rsid w:val="003504F5"/>
    <w:rsid w:val="00350585"/>
    <w:rsid w:val="00350605"/>
    <w:rsid w:val="00350632"/>
    <w:rsid w:val="003506A0"/>
    <w:rsid w:val="003507A8"/>
    <w:rsid w:val="003507AD"/>
    <w:rsid w:val="0035081E"/>
    <w:rsid w:val="003508E4"/>
    <w:rsid w:val="00350A05"/>
    <w:rsid w:val="00350AE6"/>
    <w:rsid w:val="00350B45"/>
    <w:rsid w:val="00350B72"/>
    <w:rsid w:val="00350D16"/>
    <w:rsid w:val="00350D22"/>
    <w:rsid w:val="00350F40"/>
    <w:rsid w:val="00350F49"/>
    <w:rsid w:val="00350F56"/>
    <w:rsid w:val="00351086"/>
    <w:rsid w:val="00351177"/>
    <w:rsid w:val="003511B2"/>
    <w:rsid w:val="0035121F"/>
    <w:rsid w:val="00351223"/>
    <w:rsid w:val="00351271"/>
    <w:rsid w:val="0035127F"/>
    <w:rsid w:val="0035130C"/>
    <w:rsid w:val="0035134C"/>
    <w:rsid w:val="003515DB"/>
    <w:rsid w:val="003517DF"/>
    <w:rsid w:val="00351821"/>
    <w:rsid w:val="00351842"/>
    <w:rsid w:val="003518B6"/>
    <w:rsid w:val="003518CA"/>
    <w:rsid w:val="00351AAD"/>
    <w:rsid w:val="00351BC3"/>
    <w:rsid w:val="00351C7B"/>
    <w:rsid w:val="00351CA8"/>
    <w:rsid w:val="00351CBA"/>
    <w:rsid w:val="00351D3B"/>
    <w:rsid w:val="00351D7F"/>
    <w:rsid w:val="00351DBA"/>
    <w:rsid w:val="00351DEF"/>
    <w:rsid w:val="00351E36"/>
    <w:rsid w:val="00351EDD"/>
    <w:rsid w:val="00351F52"/>
    <w:rsid w:val="00351FE3"/>
    <w:rsid w:val="00352069"/>
    <w:rsid w:val="00352202"/>
    <w:rsid w:val="003522CE"/>
    <w:rsid w:val="003523AB"/>
    <w:rsid w:val="003523AD"/>
    <w:rsid w:val="00352457"/>
    <w:rsid w:val="00352472"/>
    <w:rsid w:val="00352541"/>
    <w:rsid w:val="0035279B"/>
    <w:rsid w:val="003527BD"/>
    <w:rsid w:val="003527C4"/>
    <w:rsid w:val="003528A3"/>
    <w:rsid w:val="003528FD"/>
    <w:rsid w:val="00352948"/>
    <w:rsid w:val="0035294D"/>
    <w:rsid w:val="00352A8E"/>
    <w:rsid w:val="00352AA8"/>
    <w:rsid w:val="00352AB2"/>
    <w:rsid w:val="00352B39"/>
    <w:rsid w:val="00352C73"/>
    <w:rsid w:val="00352D91"/>
    <w:rsid w:val="00352DA1"/>
    <w:rsid w:val="00352E66"/>
    <w:rsid w:val="00352E85"/>
    <w:rsid w:val="00352EC8"/>
    <w:rsid w:val="00352ED8"/>
    <w:rsid w:val="00352F49"/>
    <w:rsid w:val="00352FC2"/>
    <w:rsid w:val="0035309E"/>
    <w:rsid w:val="0035316E"/>
    <w:rsid w:val="0035323B"/>
    <w:rsid w:val="00353393"/>
    <w:rsid w:val="00353441"/>
    <w:rsid w:val="003534DC"/>
    <w:rsid w:val="00353647"/>
    <w:rsid w:val="0035364E"/>
    <w:rsid w:val="00353660"/>
    <w:rsid w:val="003536EF"/>
    <w:rsid w:val="0035377F"/>
    <w:rsid w:val="003538C9"/>
    <w:rsid w:val="003538E5"/>
    <w:rsid w:val="00353AA1"/>
    <w:rsid w:val="00353BA0"/>
    <w:rsid w:val="00353BA7"/>
    <w:rsid w:val="00353C3E"/>
    <w:rsid w:val="00353C48"/>
    <w:rsid w:val="00353C7E"/>
    <w:rsid w:val="00353CC8"/>
    <w:rsid w:val="00353D91"/>
    <w:rsid w:val="00353D9F"/>
    <w:rsid w:val="00353DDE"/>
    <w:rsid w:val="00353E78"/>
    <w:rsid w:val="00353F51"/>
    <w:rsid w:val="00354066"/>
    <w:rsid w:val="00354070"/>
    <w:rsid w:val="00354080"/>
    <w:rsid w:val="003541EC"/>
    <w:rsid w:val="003543A6"/>
    <w:rsid w:val="00354411"/>
    <w:rsid w:val="0035442A"/>
    <w:rsid w:val="00354452"/>
    <w:rsid w:val="003544D6"/>
    <w:rsid w:val="003544EC"/>
    <w:rsid w:val="0035458D"/>
    <w:rsid w:val="003545B9"/>
    <w:rsid w:val="00354825"/>
    <w:rsid w:val="0035483A"/>
    <w:rsid w:val="0035487D"/>
    <w:rsid w:val="003548C0"/>
    <w:rsid w:val="003548D6"/>
    <w:rsid w:val="003549A3"/>
    <w:rsid w:val="00354B43"/>
    <w:rsid w:val="00354B89"/>
    <w:rsid w:val="00354C0A"/>
    <w:rsid w:val="00354CE3"/>
    <w:rsid w:val="00354D0D"/>
    <w:rsid w:val="00354E80"/>
    <w:rsid w:val="00354E9F"/>
    <w:rsid w:val="00355041"/>
    <w:rsid w:val="00355054"/>
    <w:rsid w:val="0035509F"/>
    <w:rsid w:val="00355189"/>
    <w:rsid w:val="003552F3"/>
    <w:rsid w:val="0035534C"/>
    <w:rsid w:val="003553EC"/>
    <w:rsid w:val="0035545B"/>
    <w:rsid w:val="0035557C"/>
    <w:rsid w:val="0035559C"/>
    <w:rsid w:val="003556A8"/>
    <w:rsid w:val="003556AC"/>
    <w:rsid w:val="0035571F"/>
    <w:rsid w:val="0035580E"/>
    <w:rsid w:val="00355812"/>
    <w:rsid w:val="0035589A"/>
    <w:rsid w:val="003558A7"/>
    <w:rsid w:val="00355A49"/>
    <w:rsid w:val="00355ACF"/>
    <w:rsid w:val="00355B1B"/>
    <w:rsid w:val="00355B2A"/>
    <w:rsid w:val="00355CA3"/>
    <w:rsid w:val="00355CC1"/>
    <w:rsid w:val="00355CF8"/>
    <w:rsid w:val="00355D4D"/>
    <w:rsid w:val="00355D64"/>
    <w:rsid w:val="00355E3D"/>
    <w:rsid w:val="00355F2C"/>
    <w:rsid w:val="00355F3E"/>
    <w:rsid w:val="00355F5D"/>
    <w:rsid w:val="00355FB9"/>
    <w:rsid w:val="00355FE8"/>
    <w:rsid w:val="0035603A"/>
    <w:rsid w:val="003561B1"/>
    <w:rsid w:val="0035626B"/>
    <w:rsid w:val="0035627C"/>
    <w:rsid w:val="0035637F"/>
    <w:rsid w:val="003565F5"/>
    <w:rsid w:val="0035664C"/>
    <w:rsid w:val="0035664E"/>
    <w:rsid w:val="003566EB"/>
    <w:rsid w:val="003567C8"/>
    <w:rsid w:val="00356811"/>
    <w:rsid w:val="00356860"/>
    <w:rsid w:val="003568C9"/>
    <w:rsid w:val="00356925"/>
    <w:rsid w:val="003569F6"/>
    <w:rsid w:val="00356A72"/>
    <w:rsid w:val="00356A74"/>
    <w:rsid w:val="00356A82"/>
    <w:rsid w:val="00356B0E"/>
    <w:rsid w:val="00356B69"/>
    <w:rsid w:val="00356B73"/>
    <w:rsid w:val="00356C20"/>
    <w:rsid w:val="00356C71"/>
    <w:rsid w:val="00356D05"/>
    <w:rsid w:val="00356D1F"/>
    <w:rsid w:val="00356D34"/>
    <w:rsid w:val="00356F00"/>
    <w:rsid w:val="00356F20"/>
    <w:rsid w:val="00357021"/>
    <w:rsid w:val="00357106"/>
    <w:rsid w:val="0035718E"/>
    <w:rsid w:val="00357197"/>
    <w:rsid w:val="003571A0"/>
    <w:rsid w:val="00357224"/>
    <w:rsid w:val="00357234"/>
    <w:rsid w:val="00357287"/>
    <w:rsid w:val="0035728C"/>
    <w:rsid w:val="0035730E"/>
    <w:rsid w:val="00357343"/>
    <w:rsid w:val="003573AB"/>
    <w:rsid w:val="0035748C"/>
    <w:rsid w:val="00357515"/>
    <w:rsid w:val="0035760D"/>
    <w:rsid w:val="0035762C"/>
    <w:rsid w:val="0035766F"/>
    <w:rsid w:val="00357781"/>
    <w:rsid w:val="00357855"/>
    <w:rsid w:val="00357897"/>
    <w:rsid w:val="0035792E"/>
    <w:rsid w:val="003579F5"/>
    <w:rsid w:val="00357A09"/>
    <w:rsid w:val="00357A42"/>
    <w:rsid w:val="00357A5D"/>
    <w:rsid w:val="00357B59"/>
    <w:rsid w:val="00357C04"/>
    <w:rsid w:val="00357C59"/>
    <w:rsid w:val="00357CA8"/>
    <w:rsid w:val="00357D23"/>
    <w:rsid w:val="00357D8C"/>
    <w:rsid w:val="00357E94"/>
    <w:rsid w:val="00357EA8"/>
    <w:rsid w:val="00357EB6"/>
    <w:rsid w:val="00357F20"/>
    <w:rsid w:val="00357F55"/>
    <w:rsid w:val="00360015"/>
    <w:rsid w:val="003600B5"/>
    <w:rsid w:val="00360113"/>
    <w:rsid w:val="0036018B"/>
    <w:rsid w:val="0036022F"/>
    <w:rsid w:val="00360239"/>
    <w:rsid w:val="00360352"/>
    <w:rsid w:val="0036037E"/>
    <w:rsid w:val="003603AE"/>
    <w:rsid w:val="003603F0"/>
    <w:rsid w:val="003603F2"/>
    <w:rsid w:val="003605FB"/>
    <w:rsid w:val="003606CA"/>
    <w:rsid w:val="003606F9"/>
    <w:rsid w:val="00360768"/>
    <w:rsid w:val="003607D3"/>
    <w:rsid w:val="003608DD"/>
    <w:rsid w:val="0036090F"/>
    <w:rsid w:val="0036094B"/>
    <w:rsid w:val="00360B30"/>
    <w:rsid w:val="00360BBC"/>
    <w:rsid w:val="00360C8B"/>
    <w:rsid w:val="00360CD1"/>
    <w:rsid w:val="00360D25"/>
    <w:rsid w:val="00360D74"/>
    <w:rsid w:val="00360F41"/>
    <w:rsid w:val="00360F52"/>
    <w:rsid w:val="00361007"/>
    <w:rsid w:val="00361030"/>
    <w:rsid w:val="00361090"/>
    <w:rsid w:val="003610A5"/>
    <w:rsid w:val="0036112F"/>
    <w:rsid w:val="0036114E"/>
    <w:rsid w:val="0036115C"/>
    <w:rsid w:val="003611B2"/>
    <w:rsid w:val="00361232"/>
    <w:rsid w:val="0036126F"/>
    <w:rsid w:val="003613F3"/>
    <w:rsid w:val="003614C1"/>
    <w:rsid w:val="003615C3"/>
    <w:rsid w:val="003615C5"/>
    <w:rsid w:val="00361619"/>
    <w:rsid w:val="00361681"/>
    <w:rsid w:val="003616E1"/>
    <w:rsid w:val="0036177C"/>
    <w:rsid w:val="0036178A"/>
    <w:rsid w:val="003617ED"/>
    <w:rsid w:val="003619DA"/>
    <w:rsid w:val="00361A61"/>
    <w:rsid w:val="00361A9F"/>
    <w:rsid w:val="00361AC7"/>
    <w:rsid w:val="00361BE7"/>
    <w:rsid w:val="00361C2C"/>
    <w:rsid w:val="00361C7A"/>
    <w:rsid w:val="00361CEC"/>
    <w:rsid w:val="00361D77"/>
    <w:rsid w:val="00361E02"/>
    <w:rsid w:val="00361E88"/>
    <w:rsid w:val="00361EB9"/>
    <w:rsid w:val="00362002"/>
    <w:rsid w:val="003620AC"/>
    <w:rsid w:val="003620C5"/>
    <w:rsid w:val="003620FA"/>
    <w:rsid w:val="0036220C"/>
    <w:rsid w:val="0036223B"/>
    <w:rsid w:val="003624E7"/>
    <w:rsid w:val="0036253C"/>
    <w:rsid w:val="003625B3"/>
    <w:rsid w:val="003625E0"/>
    <w:rsid w:val="003626AB"/>
    <w:rsid w:val="0036279B"/>
    <w:rsid w:val="003627AC"/>
    <w:rsid w:val="003627CD"/>
    <w:rsid w:val="00362856"/>
    <w:rsid w:val="003628A0"/>
    <w:rsid w:val="0036298A"/>
    <w:rsid w:val="00362AC6"/>
    <w:rsid w:val="00362B1D"/>
    <w:rsid w:val="00362B34"/>
    <w:rsid w:val="00362BA6"/>
    <w:rsid w:val="00362D2D"/>
    <w:rsid w:val="00362F1B"/>
    <w:rsid w:val="00362FB5"/>
    <w:rsid w:val="00362FCF"/>
    <w:rsid w:val="003630BA"/>
    <w:rsid w:val="0036319F"/>
    <w:rsid w:val="0036324B"/>
    <w:rsid w:val="003632A2"/>
    <w:rsid w:val="003632B4"/>
    <w:rsid w:val="0036337D"/>
    <w:rsid w:val="00363459"/>
    <w:rsid w:val="003634C6"/>
    <w:rsid w:val="0036350A"/>
    <w:rsid w:val="00363566"/>
    <w:rsid w:val="00363627"/>
    <w:rsid w:val="003637CB"/>
    <w:rsid w:val="003638D9"/>
    <w:rsid w:val="00363973"/>
    <w:rsid w:val="00363A32"/>
    <w:rsid w:val="00363AFB"/>
    <w:rsid w:val="00363B59"/>
    <w:rsid w:val="00363BEB"/>
    <w:rsid w:val="00363DCB"/>
    <w:rsid w:val="00363EAD"/>
    <w:rsid w:val="00363FA4"/>
    <w:rsid w:val="00363FE8"/>
    <w:rsid w:val="00363FEE"/>
    <w:rsid w:val="0036403F"/>
    <w:rsid w:val="003642B9"/>
    <w:rsid w:val="00364354"/>
    <w:rsid w:val="003643AE"/>
    <w:rsid w:val="003644B6"/>
    <w:rsid w:val="003644C1"/>
    <w:rsid w:val="0036453F"/>
    <w:rsid w:val="00364556"/>
    <w:rsid w:val="0036466F"/>
    <w:rsid w:val="003646CB"/>
    <w:rsid w:val="0036475A"/>
    <w:rsid w:val="0036475C"/>
    <w:rsid w:val="003647AF"/>
    <w:rsid w:val="0036482A"/>
    <w:rsid w:val="0036499D"/>
    <w:rsid w:val="003649FE"/>
    <w:rsid w:val="00364A6F"/>
    <w:rsid w:val="00364C28"/>
    <w:rsid w:val="00364C34"/>
    <w:rsid w:val="00364CB9"/>
    <w:rsid w:val="00364CF0"/>
    <w:rsid w:val="00364D0B"/>
    <w:rsid w:val="00364FCE"/>
    <w:rsid w:val="00364FF2"/>
    <w:rsid w:val="00365001"/>
    <w:rsid w:val="003650DF"/>
    <w:rsid w:val="003651A0"/>
    <w:rsid w:val="00365264"/>
    <w:rsid w:val="00365277"/>
    <w:rsid w:val="00365413"/>
    <w:rsid w:val="00365467"/>
    <w:rsid w:val="0036550F"/>
    <w:rsid w:val="00365545"/>
    <w:rsid w:val="00365644"/>
    <w:rsid w:val="003656A4"/>
    <w:rsid w:val="003656B8"/>
    <w:rsid w:val="003657D8"/>
    <w:rsid w:val="003657DE"/>
    <w:rsid w:val="00365906"/>
    <w:rsid w:val="00365923"/>
    <w:rsid w:val="0036598C"/>
    <w:rsid w:val="0036599B"/>
    <w:rsid w:val="003659C5"/>
    <w:rsid w:val="00365A4C"/>
    <w:rsid w:val="00365A72"/>
    <w:rsid w:val="00365AF9"/>
    <w:rsid w:val="00365C08"/>
    <w:rsid w:val="00365C32"/>
    <w:rsid w:val="00365C9E"/>
    <w:rsid w:val="00365CCE"/>
    <w:rsid w:val="00365D87"/>
    <w:rsid w:val="00365E1E"/>
    <w:rsid w:val="00365F9B"/>
    <w:rsid w:val="00365FE9"/>
    <w:rsid w:val="00366074"/>
    <w:rsid w:val="003660DC"/>
    <w:rsid w:val="00366153"/>
    <w:rsid w:val="003661F8"/>
    <w:rsid w:val="0036621D"/>
    <w:rsid w:val="00366306"/>
    <w:rsid w:val="00366408"/>
    <w:rsid w:val="00366437"/>
    <w:rsid w:val="00366570"/>
    <w:rsid w:val="00366595"/>
    <w:rsid w:val="003665AB"/>
    <w:rsid w:val="00366640"/>
    <w:rsid w:val="0036665B"/>
    <w:rsid w:val="00366692"/>
    <w:rsid w:val="003666F9"/>
    <w:rsid w:val="003668A4"/>
    <w:rsid w:val="003668DC"/>
    <w:rsid w:val="0036692F"/>
    <w:rsid w:val="0036694B"/>
    <w:rsid w:val="003669BE"/>
    <w:rsid w:val="003669FF"/>
    <w:rsid w:val="00366A26"/>
    <w:rsid w:val="00366A3A"/>
    <w:rsid w:val="00366A82"/>
    <w:rsid w:val="00366AE7"/>
    <w:rsid w:val="00366B2B"/>
    <w:rsid w:val="00366BC0"/>
    <w:rsid w:val="00366CAC"/>
    <w:rsid w:val="00366CCD"/>
    <w:rsid w:val="00366DB4"/>
    <w:rsid w:val="00366E45"/>
    <w:rsid w:val="00366E8F"/>
    <w:rsid w:val="00366EB6"/>
    <w:rsid w:val="00366EEF"/>
    <w:rsid w:val="00366FCE"/>
    <w:rsid w:val="0036701D"/>
    <w:rsid w:val="00367024"/>
    <w:rsid w:val="00367123"/>
    <w:rsid w:val="003671B3"/>
    <w:rsid w:val="003671F5"/>
    <w:rsid w:val="00367262"/>
    <w:rsid w:val="00367474"/>
    <w:rsid w:val="003675AD"/>
    <w:rsid w:val="0036767C"/>
    <w:rsid w:val="00367796"/>
    <w:rsid w:val="00367829"/>
    <w:rsid w:val="00367BB2"/>
    <w:rsid w:val="00367BC5"/>
    <w:rsid w:val="00367BC8"/>
    <w:rsid w:val="00367C2D"/>
    <w:rsid w:val="00367CCB"/>
    <w:rsid w:val="00367DDD"/>
    <w:rsid w:val="00367E9D"/>
    <w:rsid w:val="00367EB3"/>
    <w:rsid w:val="00367F1D"/>
    <w:rsid w:val="00367F6A"/>
    <w:rsid w:val="0037011D"/>
    <w:rsid w:val="00370195"/>
    <w:rsid w:val="00370288"/>
    <w:rsid w:val="00370305"/>
    <w:rsid w:val="0037034C"/>
    <w:rsid w:val="00370370"/>
    <w:rsid w:val="003703A4"/>
    <w:rsid w:val="003703DF"/>
    <w:rsid w:val="003705BC"/>
    <w:rsid w:val="003705DD"/>
    <w:rsid w:val="00370725"/>
    <w:rsid w:val="00370772"/>
    <w:rsid w:val="00370880"/>
    <w:rsid w:val="0037091A"/>
    <w:rsid w:val="00370A48"/>
    <w:rsid w:val="00370AAC"/>
    <w:rsid w:val="00370AEE"/>
    <w:rsid w:val="00370B08"/>
    <w:rsid w:val="00370BAD"/>
    <w:rsid w:val="00370D3F"/>
    <w:rsid w:val="00370FE0"/>
    <w:rsid w:val="00370FFB"/>
    <w:rsid w:val="003710F2"/>
    <w:rsid w:val="00371240"/>
    <w:rsid w:val="00371322"/>
    <w:rsid w:val="00371389"/>
    <w:rsid w:val="0037148E"/>
    <w:rsid w:val="003714CE"/>
    <w:rsid w:val="00371502"/>
    <w:rsid w:val="003715C2"/>
    <w:rsid w:val="0037163B"/>
    <w:rsid w:val="00371656"/>
    <w:rsid w:val="003716AA"/>
    <w:rsid w:val="003716BF"/>
    <w:rsid w:val="003716C3"/>
    <w:rsid w:val="0037176A"/>
    <w:rsid w:val="0037176B"/>
    <w:rsid w:val="0037185A"/>
    <w:rsid w:val="003718DA"/>
    <w:rsid w:val="0037191D"/>
    <w:rsid w:val="003719CA"/>
    <w:rsid w:val="003719DF"/>
    <w:rsid w:val="00371A74"/>
    <w:rsid w:val="00371A9B"/>
    <w:rsid w:val="00371B9D"/>
    <w:rsid w:val="00371BEA"/>
    <w:rsid w:val="00371CAC"/>
    <w:rsid w:val="00371D8F"/>
    <w:rsid w:val="00371E73"/>
    <w:rsid w:val="00371ED5"/>
    <w:rsid w:val="00371F00"/>
    <w:rsid w:val="00371F53"/>
    <w:rsid w:val="00371F82"/>
    <w:rsid w:val="00371F98"/>
    <w:rsid w:val="00371FAA"/>
    <w:rsid w:val="0037202B"/>
    <w:rsid w:val="003721B8"/>
    <w:rsid w:val="00372233"/>
    <w:rsid w:val="003723F1"/>
    <w:rsid w:val="00372421"/>
    <w:rsid w:val="0037244B"/>
    <w:rsid w:val="00372457"/>
    <w:rsid w:val="00372503"/>
    <w:rsid w:val="00372521"/>
    <w:rsid w:val="00372533"/>
    <w:rsid w:val="00372676"/>
    <w:rsid w:val="003726A1"/>
    <w:rsid w:val="0037272F"/>
    <w:rsid w:val="00372788"/>
    <w:rsid w:val="0037283C"/>
    <w:rsid w:val="0037288B"/>
    <w:rsid w:val="00372890"/>
    <w:rsid w:val="00372ADF"/>
    <w:rsid w:val="00372AE3"/>
    <w:rsid w:val="00372B1B"/>
    <w:rsid w:val="00372B85"/>
    <w:rsid w:val="00372CE5"/>
    <w:rsid w:val="00372DAA"/>
    <w:rsid w:val="00372DAB"/>
    <w:rsid w:val="00372F5C"/>
    <w:rsid w:val="00372F91"/>
    <w:rsid w:val="00373045"/>
    <w:rsid w:val="00373144"/>
    <w:rsid w:val="003731F4"/>
    <w:rsid w:val="00373282"/>
    <w:rsid w:val="0037348C"/>
    <w:rsid w:val="00373521"/>
    <w:rsid w:val="0037369B"/>
    <w:rsid w:val="00373813"/>
    <w:rsid w:val="00373830"/>
    <w:rsid w:val="00373852"/>
    <w:rsid w:val="003738EB"/>
    <w:rsid w:val="00373949"/>
    <w:rsid w:val="003739D1"/>
    <w:rsid w:val="003739FA"/>
    <w:rsid w:val="00373A3A"/>
    <w:rsid w:val="00373A73"/>
    <w:rsid w:val="00373B43"/>
    <w:rsid w:val="00373B5C"/>
    <w:rsid w:val="00373BB5"/>
    <w:rsid w:val="00373BF8"/>
    <w:rsid w:val="00373C53"/>
    <w:rsid w:val="00373F16"/>
    <w:rsid w:val="00373FD0"/>
    <w:rsid w:val="003740CC"/>
    <w:rsid w:val="00374178"/>
    <w:rsid w:val="003743ED"/>
    <w:rsid w:val="00374512"/>
    <w:rsid w:val="00374526"/>
    <w:rsid w:val="0037454C"/>
    <w:rsid w:val="003745C3"/>
    <w:rsid w:val="00374663"/>
    <w:rsid w:val="0037469F"/>
    <w:rsid w:val="003746B1"/>
    <w:rsid w:val="00374745"/>
    <w:rsid w:val="0037484A"/>
    <w:rsid w:val="00374876"/>
    <w:rsid w:val="00374974"/>
    <w:rsid w:val="00374985"/>
    <w:rsid w:val="00374987"/>
    <w:rsid w:val="003749B9"/>
    <w:rsid w:val="00374B23"/>
    <w:rsid w:val="00374C98"/>
    <w:rsid w:val="00374C9A"/>
    <w:rsid w:val="00374CBF"/>
    <w:rsid w:val="00374D1C"/>
    <w:rsid w:val="00374D33"/>
    <w:rsid w:val="00374D7A"/>
    <w:rsid w:val="00374DC1"/>
    <w:rsid w:val="00374DFE"/>
    <w:rsid w:val="00374E70"/>
    <w:rsid w:val="00374E8F"/>
    <w:rsid w:val="00374EB9"/>
    <w:rsid w:val="00374F0D"/>
    <w:rsid w:val="00374F5A"/>
    <w:rsid w:val="0037500D"/>
    <w:rsid w:val="0037509B"/>
    <w:rsid w:val="003750A3"/>
    <w:rsid w:val="003750D0"/>
    <w:rsid w:val="00375133"/>
    <w:rsid w:val="003751A4"/>
    <w:rsid w:val="00375286"/>
    <w:rsid w:val="00375517"/>
    <w:rsid w:val="00375606"/>
    <w:rsid w:val="00375888"/>
    <w:rsid w:val="003758C5"/>
    <w:rsid w:val="00375A0A"/>
    <w:rsid w:val="00375BB2"/>
    <w:rsid w:val="00375D15"/>
    <w:rsid w:val="00375F82"/>
    <w:rsid w:val="00375FC0"/>
    <w:rsid w:val="00376073"/>
    <w:rsid w:val="0037613C"/>
    <w:rsid w:val="0037619C"/>
    <w:rsid w:val="003761E7"/>
    <w:rsid w:val="003761F2"/>
    <w:rsid w:val="0037638E"/>
    <w:rsid w:val="00376589"/>
    <w:rsid w:val="003765A8"/>
    <w:rsid w:val="003765E1"/>
    <w:rsid w:val="0037670F"/>
    <w:rsid w:val="003767EC"/>
    <w:rsid w:val="003768EF"/>
    <w:rsid w:val="00376900"/>
    <w:rsid w:val="00376B03"/>
    <w:rsid w:val="00376B21"/>
    <w:rsid w:val="00376B86"/>
    <w:rsid w:val="00376C04"/>
    <w:rsid w:val="00376C19"/>
    <w:rsid w:val="00376CC2"/>
    <w:rsid w:val="00376CF1"/>
    <w:rsid w:val="00376D46"/>
    <w:rsid w:val="00376E42"/>
    <w:rsid w:val="00376EF4"/>
    <w:rsid w:val="00377182"/>
    <w:rsid w:val="0037727C"/>
    <w:rsid w:val="003772B4"/>
    <w:rsid w:val="003772FF"/>
    <w:rsid w:val="0037751D"/>
    <w:rsid w:val="00377522"/>
    <w:rsid w:val="003775A3"/>
    <w:rsid w:val="00377688"/>
    <w:rsid w:val="003776FC"/>
    <w:rsid w:val="00377725"/>
    <w:rsid w:val="00377739"/>
    <w:rsid w:val="0037775F"/>
    <w:rsid w:val="0037778E"/>
    <w:rsid w:val="003778A1"/>
    <w:rsid w:val="003778CB"/>
    <w:rsid w:val="00377B40"/>
    <w:rsid w:val="00377BF5"/>
    <w:rsid w:val="00377CCF"/>
    <w:rsid w:val="00377DA6"/>
    <w:rsid w:val="00377DE0"/>
    <w:rsid w:val="00377DFE"/>
    <w:rsid w:val="00377E43"/>
    <w:rsid w:val="00377EA6"/>
    <w:rsid w:val="0038004B"/>
    <w:rsid w:val="0038004D"/>
    <w:rsid w:val="003800BB"/>
    <w:rsid w:val="003800DB"/>
    <w:rsid w:val="0038017C"/>
    <w:rsid w:val="003801C8"/>
    <w:rsid w:val="00380242"/>
    <w:rsid w:val="00380316"/>
    <w:rsid w:val="00380436"/>
    <w:rsid w:val="00380472"/>
    <w:rsid w:val="003804D8"/>
    <w:rsid w:val="00380517"/>
    <w:rsid w:val="003805B0"/>
    <w:rsid w:val="0038066A"/>
    <w:rsid w:val="003807A5"/>
    <w:rsid w:val="003808D1"/>
    <w:rsid w:val="00380909"/>
    <w:rsid w:val="003809E6"/>
    <w:rsid w:val="00380A6D"/>
    <w:rsid w:val="00380AB4"/>
    <w:rsid w:val="00380D29"/>
    <w:rsid w:val="00380D43"/>
    <w:rsid w:val="00380D93"/>
    <w:rsid w:val="00380F14"/>
    <w:rsid w:val="0038107A"/>
    <w:rsid w:val="0038117A"/>
    <w:rsid w:val="003812AD"/>
    <w:rsid w:val="003812EC"/>
    <w:rsid w:val="003813AA"/>
    <w:rsid w:val="00381501"/>
    <w:rsid w:val="0038156E"/>
    <w:rsid w:val="003815A5"/>
    <w:rsid w:val="00381671"/>
    <w:rsid w:val="0038171E"/>
    <w:rsid w:val="00381769"/>
    <w:rsid w:val="003817EC"/>
    <w:rsid w:val="00381852"/>
    <w:rsid w:val="003818F8"/>
    <w:rsid w:val="003819C3"/>
    <w:rsid w:val="00381A36"/>
    <w:rsid w:val="00381AFA"/>
    <w:rsid w:val="00381BB6"/>
    <w:rsid w:val="00381C4E"/>
    <w:rsid w:val="00381C90"/>
    <w:rsid w:val="00381D73"/>
    <w:rsid w:val="00381D7F"/>
    <w:rsid w:val="00381DA5"/>
    <w:rsid w:val="00381DF5"/>
    <w:rsid w:val="00381FDF"/>
    <w:rsid w:val="00382050"/>
    <w:rsid w:val="0038216C"/>
    <w:rsid w:val="00382290"/>
    <w:rsid w:val="003822D7"/>
    <w:rsid w:val="0038237A"/>
    <w:rsid w:val="00382414"/>
    <w:rsid w:val="0038242F"/>
    <w:rsid w:val="003824EF"/>
    <w:rsid w:val="00382504"/>
    <w:rsid w:val="003825F6"/>
    <w:rsid w:val="00382631"/>
    <w:rsid w:val="00382664"/>
    <w:rsid w:val="0038273F"/>
    <w:rsid w:val="0038277D"/>
    <w:rsid w:val="003827DA"/>
    <w:rsid w:val="003828E9"/>
    <w:rsid w:val="00382947"/>
    <w:rsid w:val="00382994"/>
    <w:rsid w:val="003829D9"/>
    <w:rsid w:val="00382AB2"/>
    <w:rsid w:val="00382BAF"/>
    <w:rsid w:val="00382BED"/>
    <w:rsid w:val="00382C55"/>
    <w:rsid w:val="00382C5C"/>
    <w:rsid w:val="00382CB1"/>
    <w:rsid w:val="00382D70"/>
    <w:rsid w:val="00382E56"/>
    <w:rsid w:val="00382E6A"/>
    <w:rsid w:val="00382ED5"/>
    <w:rsid w:val="00382F1D"/>
    <w:rsid w:val="00382F23"/>
    <w:rsid w:val="00383223"/>
    <w:rsid w:val="00383232"/>
    <w:rsid w:val="0038323D"/>
    <w:rsid w:val="00383291"/>
    <w:rsid w:val="003833CF"/>
    <w:rsid w:val="00383554"/>
    <w:rsid w:val="00383566"/>
    <w:rsid w:val="0038360E"/>
    <w:rsid w:val="00383762"/>
    <w:rsid w:val="0038380C"/>
    <w:rsid w:val="003839A2"/>
    <w:rsid w:val="00383A00"/>
    <w:rsid w:val="00383AC1"/>
    <w:rsid w:val="00383BEF"/>
    <w:rsid w:val="00383C8A"/>
    <w:rsid w:val="00383E50"/>
    <w:rsid w:val="00383E90"/>
    <w:rsid w:val="00383EC9"/>
    <w:rsid w:val="00383F57"/>
    <w:rsid w:val="00383FFB"/>
    <w:rsid w:val="0038407D"/>
    <w:rsid w:val="003841B3"/>
    <w:rsid w:val="003842CD"/>
    <w:rsid w:val="00384440"/>
    <w:rsid w:val="003844A6"/>
    <w:rsid w:val="00384569"/>
    <w:rsid w:val="0038469A"/>
    <w:rsid w:val="0038475A"/>
    <w:rsid w:val="00384867"/>
    <w:rsid w:val="0038488B"/>
    <w:rsid w:val="00384B0F"/>
    <w:rsid w:val="00384BD5"/>
    <w:rsid w:val="00384BE4"/>
    <w:rsid w:val="00384C29"/>
    <w:rsid w:val="00384C7E"/>
    <w:rsid w:val="00384C9E"/>
    <w:rsid w:val="00384CCB"/>
    <w:rsid w:val="00384CD0"/>
    <w:rsid w:val="00384DAD"/>
    <w:rsid w:val="00384DF3"/>
    <w:rsid w:val="00384EC8"/>
    <w:rsid w:val="00384F75"/>
    <w:rsid w:val="00384F8E"/>
    <w:rsid w:val="00384FFF"/>
    <w:rsid w:val="0038504A"/>
    <w:rsid w:val="0038506F"/>
    <w:rsid w:val="00385095"/>
    <w:rsid w:val="003850F2"/>
    <w:rsid w:val="0038513F"/>
    <w:rsid w:val="0038514F"/>
    <w:rsid w:val="00385221"/>
    <w:rsid w:val="0038527C"/>
    <w:rsid w:val="003852BA"/>
    <w:rsid w:val="003853CE"/>
    <w:rsid w:val="0038546D"/>
    <w:rsid w:val="003855A0"/>
    <w:rsid w:val="003856B6"/>
    <w:rsid w:val="003857C2"/>
    <w:rsid w:val="003857F6"/>
    <w:rsid w:val="00385866"/>
    <w:rsid w:val="003859DD"/>
    <w:rsid w:val="00385AD1"/>
    <w:rsid w:val="00385AED"/>
    <w:rsid w:val="00385AF0"/>
    <w:rsid w:val="00385B1D"/>
    <w:rsid w:val="00385C12"/>
    <w:rsid w:val="00385C4B"/>
    <w:rsid w:val="00385D05"/>
    <w:rsid w:val="00385D11"/>
    <w:rsid w:val="00385D48"/>
    <w:rsid w:val="00385D72"/>
    <w:rsid w:val="00385DA2"/>
    <w:rsid w:val="00385DCC"/>
    <w:rsid w:val="00385DE8"/>
    <w:rsid w:val="00385E09"/>
    <w:rsid w:val="00385E31"/>
    <w:rsid w:val="00385FFE"/>
    <w:rsid w:val="003860D1"/>
    <w:rsid w:val="003861BD"/>
    <w:rsid w:val="003862E7"/>
    <w:rsid w:val="003863B9"/>
    <w:rsid w:val="003863DA"/>
    <w:rsid w:val="0038641E"/>
    <w:rsid w:val="0038647D"/>
    <w:rsid w:val="00386584"/>
    <w:rsid w:val="00386619"/>
    <w:rsid w:val="00386667"/>
    <w:rsid w:val="003866FF"/>
    <w:rsid w:val="00386725"/>
    <w:rsid w:val="003867AF"/>
    <w:rsid w:val="0038687E"/>
    <w:rsid w:val="00386949"/>
    <w:rsid w:val="003869D7"/>
    <w:rsid w:val="00386A63"/>
    <w:rsid w:val="00386B18"/>
    <w:rsid w:val="00386B29"/>
    <w:rsid w:val="00386D36"/>
    <w:rsid w:val="00386D5C"/>
    <w:rsid w:val="00386D61"/>
    <w:rsid w:val="00386E28"/>
    <w:rsid w:val="00386ED5"/>
    <w:rsid w:val="00386F46"/>
    <w:rsid w:val="00386F8B"/>
    <w:rsid w:val="00386FAF"/>
    <w:rsid w:val="00387008"/>
    <w:rsid w:val="00387152"/>
    <w:rsid w:val="0038715C"/>
    <w:rsid w:val="00387163"/>
    <w:rsid w:val="003871BA"/>
    <w:rsid w:val="0038729D"/>
    <w:rsid w:val="003872F9"/>
    <w:rsid w:val="003872FE"/>
    <w:rsid w:val="00387343"/>
    <w:rsid w:val="0038734A"/>
    <w:rsid w:val="00387382"/>
    <w:rsid w:val="003873B6"/>
    <w:rsid w:val="00387432"/>
    <w:rsid w:val="003874BA"/>
    <w:rsid w:val="00387575"/>
    <w:rsid w:val="00387616"/>
    <w:rsid w:val="00387619"/>
    <w:rsid w:val="00387646"/>
    <w:rsid w:val="00387683"/>
    <w:rsid w:val="00387684"/>
    <w:rsid w:val="00387705"/>
    <w:rsid w:val="00387798"/>
    <w:rsid w:val="003877F7"/>
    <w:rsid w:val="003878A4"/>
    <w:rsid w:val="003878D8"/>
    <w:rsid w:val="003878E4"/>
    <w:rsid w:val="00387910"/>
    <w:rsid w:val="00387B9F"/>
    <w:rsid w:val="00387C32"/>
    <w:rsid w:val="00387CC6"/>
    <w:rsid w:val="00387D2A"/>
    <w:rsid w:val="00387D3B"/>
    <w:rsid w:val="00387E1B"/>
    <w:rsid w:val="00387EF4"/>
    <w:rsid w:val="00387FF9"/>
    <w:rsid w:val="00390048"/>
    <w:rsid w:val="00390223"/>
    <w:rsid w:val="0039035D"/>
    <w:rsid w:val="003903E6"/>
    <w:rsid w:val="00390408"/>
    <w:rsid w:val="00390541"/>
    <w:rsid w:val="003906EB"/>
    <w:rsid w:val="00390727"/>
    <w:rsid w:val="003907F7"/>
    <w:rsid w:val="0039091C"/>
    <w:rsid w:val="0039096B"/>
    <w:rsid w:val="00390A0A"/>
    <w:rsid w:val="00390A3C"/>
    <w:rsid w:val="00390A7D"/>
    <w:rsid w:val="00390ADF"/>
    <w:rsid w:val="00390CC2"/>
    <w:rsid w:val="00390D46"/>
    <w:rsid w:val="00390D93"/>
    <w:rsid w:val="00390ED1"/>
    <w:rsid w:val="00390EED"/>
    <w:rsid w:val="00390F66"/>
    <w:rsid w:val="00390F96"/>
    <w:rsid w:val="0039103F"/>
    <w:rsid w:val="003910CF"/>
    <w:rsid w:val="00391106"/>
    <w:rsid w:val="00391164"/>
    <w:rsid w:val="003911FC"/>
    <w:rsid w:val="003912A8"/>
    <w:rsid w:val="003912E5"/>
    <w:rsid w:val="003913B3"/>
    <w:rsid w:val="00391555"/>
    <w:rsid w:val="00391653"/>
    <w:rsid w:val="00391686"/>
    <w:rsid w:val="003916E7"/>
    <w:rsid w:val="00391714"/>
    <w:rsid w:val="0039171A"/>
    <w:rsid w:val="00391811"/>
    <w:rsid w:val="00391958"/>
    <w:rsid w:val="003919E6"/>
    <w:rsid w:val="003919EE"/>
    <w:rsid w:val="00391A29"/>
    <w:rsid w:val="00391A49"/>
    <w:rsid w:val="00391A86"/>
    <w:rsid w:val="00391BF5"/>
    <w:rsid w:val="00391C35"/>
    <w:rsid w:val="00391C59"/>
    <w:rsid w:val="00391C88"/>
    <w:rsid w:val="00391D29"/>
    <w:rsid w:val="00391D9F"/>
    <w:rsid w:val="00391E84"/>
    <w:rsid w:val="00391E90"/>
    <w:rsid w:val="00391EB9"/>
    <w:rsid w:val="00391F07"/>
    <w:rsid w:val="00391F15"/>
    <w:rsid w:val="00391F23"/>
    <w:rsid w:val="00391F3E"/>
    <w:rsid w:val="00391FA9"/>
    <w:rsid w:val="00392037"/>
    <w:rsid w:val="00392039"/>
    <w:rsid w:val="003920B4"/>
    <w:rsid w:val="003921B8"/>
    <w:rsid w:val="0039222B"/>
    <w:rsid w:val="0039227B"/>
    <w:rsid w:val="0039233C"/>
    <w:rsid w:val="00392369"/>
    <w:rsid w:val="00392715"/>
    <w:rsid w:val="00392725"/>
    <w:rsid w:val="003927DD"/>
    <w:rsid w:val="003929EE"/>
    <w:rsid w:val="00392A6A"/>
    <w:rsid w:val="00392BC8"/>
    <w:rsid w:val="00392BDB"/>
    <w:rsid w:val="00392BFF"/>
    <w:rsid w:val="00392C5D"/>
    <w:rsid w:val="00392C80"/>
    <w:rsid w:val="00392CB7"/>
    <w:rsid w:val="00392D49"/>
    <w:rsid w:val="00392E49"/>
    <w:rsid w:val="00392FAA"/>
    <w:rsid w:val="00392FD0"/>
    <w:rsid w:val="00392FEC"/>
    <w:rsid w:val="00393030"/>
    <w:rsid w:val="003930AC"/>
    <w:rsid w:val="003930D9"/>
    <w:rsid w:val="00393131"/>
    <w:rsid w:val="0039318E"/>
    <w:rsid w:val="003931D0"/>
    <w:rsid w:val="00393233"/>
    <w:rsid w:val="003932A8"/>
    <w:rsid w:val="00393356"/>
    <w:rsid w:val="0039339F"/>
    <w:rsid w:val="00393437"/>
    <w:rsid w:val="003934EE"/>
    <w:rsid w:val="00393501"/>
    <w:rsid w:val="003935C9"/>
    <w:rsid w:val="00393713"/>
    <w:rsid w:val="00393729"/>
    <w:rsid w:val="003937AE"/>
    <w:rsid w:val="003937FF"/>
    <w:rsid w:val="00393829"/>
    <w:rsid w:val="00393867"/>
    <w:rsid w:val="0039399F"/>
    <w:rsid w:val="003939EC"/>
    <w:rsid w:val="00393A3E"/>
    <w:rsid w:val="00393AA3"/>
    <w:rsid w:val="00393B0C"/>
    <w:rsid w:val="00393B2E"/>
    <w:rsid w:val="00393C6E"/>
    <w:rsid w:val="00393C77"/>
    <w:rsid w:val="00393D91"/>
    <w:rsid w:val="00393DDE"/>
    <w:rsid w:val="00393EE2"/>
    <w:rsid w:val="00393F1C"/>
    <w:rsid w:val="00393F30"/>
    <w:rsid w:val="00393F90"/>
    <w:rsid w:val="00393F9C"/>
    <w:rsid w:val="00393FDB"/>
    <w:rsid w:val="003940C2"/>
    <w:rsid w:val="003940C8"/>
    <w:rsid w:val="003940D8"/>
    <w:rsid w:val="00394109"/>
    <w:rsid w:val="00394325"/>
    <w:rsid w:val="003943A0"/>
    <w:rsid w:val="00394523"/>
    <w:rsid w:val="00394554"/>
    <w:rsid w:val="0039480B"/>
    <w:rsid w:val="0039481C"/>
    <w:rsid w:val="00394966"/>
    <w:rsid w:val="0039496B"/>
    <w:rsid w:val="00394AA3"/>
    <w:rsid w:val="00394B04"/>
    <w:rsid w:val="00394B0B"/>
    <w:rsid w:val="00394BEB"/>
    <w:rsid w:val="00394C1B"/>
    <w:rsid w:val="00394C45"/>
    <w:rsid w:val="00394D88"/>
    <w:rsid w:val="00394EAE"/>
    <w:rsid w:val="00394FBC"/>
    <w:rsid w:val="00395054"/>
    <w:rsid w:val="0039513B"/>
    <w:rsid w:val="00395275"/>
    <w:rsid w:val="0039527B"/>
    <w:rsid w:val="0039528B"/>
    <w:rsid w:val="003952A0"/>
    <w:rsid w:val="00395366"/>
    <w:rsid w:val="00395389"/>
    <w:rsid w:val="003953A0"/>
    <w:rsid w:val="00395469"/>
    <w:rsid w:val="0039548A"/>
    <w:rsid w:val="003957D8"/>
    <w:rsid w:val="003957E7"/>
    <w:rsid w:val="003957F0"/>
    <w:rsid w:val="003957F8"/>
    <w:rsid w:val="0039596E"/>
    <w:rsid w:val="0039599E"/>
    <w:rsid w:val="003959F5"/>
    <w:rsid w:val="00395A7B"/>
    <w:rsid w:val="00395AD3"/>
    <w:rsid w:val="00395B0F"/>
    <w:rsid w:val="00395B20"/>
    <w:rsid w:val="00395C4A"/>
    <w:rsid w:val="00395CC7"/>
    <w:rsid w:val="00395D7E"/>
    <w:rsid w:val="00395D9C"/>
    <w:rsid w:val="00395F10"/>
    <w:rsid w:val="003960AB"/>
    <w:rsid w:val="00396100"/>
    <w:rsid w:val="00396112"/>
    <w:rsid w:val="003961B6"/>
    <w:rsid w:val="00396227"/>
    <w:rsid w:val="00396273"/>
    <w:rsid w:val="00396358"/>
    <w:rsid w:val="003963F4"/>
    <w:rsid w:val="0039645B"/>
    <w:rsid w:val="00396495"/>
    <w:rsid w:val="003965BB"/>
    <w:rsid w:val="0039668F"/>
    <w:rsid w:val="0039672A"/>
    <w:rsid w:val="0039679F"/>
    <w:rsid w:val="00396807"/>
    <w:rsid w:val="00396853"/>
    <w:rsid w:val="0039690D"/>
    <w:rsid w:val="003969E4"/>
    <w:rsid w:val="00396A00"/>
    <w:rsid w:val="00396A97"/>
    <w:rsid w:val="00396AF4"/>
    <w:rsid w:val="00396B0D"/>
    <w:rsid w:val="00396B61"/>
    <w:rsid w:val="00396B9C"/>
    <w:rsid w:val="00396CA1"/>
    <w:rsid w:val="00396D74"/>
    <w:rsid w:val="00396D7A"/>
    <w:rsid w:val="00396EE1"/>
    <w:rsid w:val="00396EF1"/>
    <w:rsid w:val="003970CD"/>
    <w:rsid w:val="0039710C"/>
    <w:rsid w:val="0039723E"/>
    <w:rsid w:val="003972CD"/>
    <w:rsid w:val="003972F0"/>
    <w:rsid w:val="00397324"/>
    <w:rsid w:val="0039733E"/>
    <w:rsid w:val="00397365"/>
    <w:rsid w:val="003973E9"/>
    <w:rsid w:val="003974A7"/>
    <w:rsid w:val="003974DC"/>
    <w:rsid w:val="0039750C"/>
    <w:rsid w:val="00397576"/>
    <w:rsid w:val="00397645"/>
    <w:rsid w:val="0039769F"/>
    <w:rsid w:val="003976A4"/>
    <w:rsid w:val="003976A7"/>
    <w:rsid w:val="00397867"/>
    <w:rsid w:val="00397937"/>
    <w:rsid w:val="0039794A"/>
    <w:rsid w:val="00397AA7"/>
    <w:rsid w:val="00397B0F"/>
    <w:rsid w:val="00397C04"/>
    <w:rsid w:val="00397C0A"/>
    <w:rsid w:val="00397C2E"/>
    <w:rsid w:val="00397CBC"/>
    <w:rsid w:val="00397CDC"/>
    <w:rsid w:val="00397D1B"/>
    <w:rsid w:val="00397D70"/>
    <w:rsid w:val="00397DEB"/>
    <w:rsid w:val="00397E17"/>
    <w:rsid w:val="00397F6B"/>
    <w:rsid w:val="00397F93"/>
    <w:rsid w:val="00397FA2"/>
    <w:rsid w:val="003A002F"/>
    <w:rsid w:val="003A008F"/>
    <w:rsid w:val="003A0167"/>
    <w:rsid w:val="003A018C"/>
    <w:rsid w:val="003A02A8"/>
    <w:rsid w:val="003A0395"/>
    <w:rsid w:val="003A03F1"/>
    <w:rsid w:val="003A040E"/>
    <w:rsid w:val="003A0493"/>
    <w:rsid w:val="003A04BB"/>
    <w:rsid w:val="003A05E7"/>
    <w:rsid w:val="003A0618"/>
    <w:rsid w:val="003A0652"/>
    <w:rsid w:val="003A065C"/>
    <w:rsid w:val="003A0698"/>
    <w:rsid w:val="003A0743"/>
    <w:rsid w:val="003A0802"/>
    <w:rsid w:val="003A0932"/>
    <w:rsid w:val="003A09AD"/>
    <w:rsid w:val="003A0A78"/>
    <w:rsid w:val="003A0A8C"/>
    <w:rsid w:val="003A0B18"/>
    <w:rsid w:val="003A0B9C"/>
    <w:rsid w:val="003A0C76"/>
    <w:rsid w:val="003A0D25"/>
    <w:rsid w:val="003A0D57"/>
    <w:rsid w:val="003A0D5C"/>
    <w:rsid w:val="003A0DF0"/>
    <w:rsid w:val="003A0E91"/>
    <w:rsid w:val="003A0EED"/>
    <w:rsid w:val="003A0F58"/>
    <w:rsid w:val="003A107D"/>
    <w:rsid w:val="003A10DC"/>
    <w:rsid w:val="003A117B"/>
    <w:rsid w:val="003A11EA"/>
    <w:rsid w:val="003A120E"/>
    <w:rsid w:val="003A1212"/>
    <w:rsid w:val="003A1241"/>
    <w:rsid w:val="003A1268"/>
    <w:rsid w:val="003A1312"/>
    <w:rsid w:val="003A1427"/>
    <w:rsid w:val="003A144F"/>
    <w:rsid w:val="003A1488"/>
    <w:rsid w:val="003A1533"/>
    <w:rsid w:val="003A1625"/>
    <w:rsid w:val="003A1719"/>
    <w:rsid w:val="003A17F8"/>
    <w:rsid w:val="003A17FB"/>
    <w:rsid w:val="003A184A"/>
    <w:rsid w:val="003A18D4"/>
    <w:rsid w:val="003A18E0"/>
    <w:rsid w:val="003A19A7"/>
    <w:rsid w:val="003A19BA"/>
    <w:rsid w:val="003A1A17"/>
    <w:rsid w:val="003A1A6B"/>
    <w:rsid w:val="003A1AAF"/>
    <w:rsid w:val="003A1BA3"/>
    <w:rsid w:val="003A1BB4"/>
    <w:rsid w:val="003A1E30"/>
    <w:rsid w:val="003A1E39"/>
    <w:rsid w:val="003A21A0"/>
    <w:rsid w:val="003A21BE"/>
    <w:rsid w:val="003A21C1"/>
    <w:rsid w:val="003A2245"/>
    <w:rsid w:val="003A22CB"/>
    <w:rsid w:val="003A239C"/>
    <w:rsid w:val="003A23DB"/>
    <w:rsid w:val="003A23E7"/>
    <w:rsid w:val="003A2401"/>
    <w:rsid w:val="003A2507"/>
    <w:rsid w:val="003A2550"/>
    <w:rsid w:val="003A2559"/>
    <w:rsid w:val="003A2574"/>
    <w:rsid w:val="003A25D3"/>
    <w:rsid w:val="003A2626"/>
    <w:rsid w:val="003A2637"/>
    <w:rsid w:val="003A273B"/>
    <w:rsid w:val="003A2771"/>
    <w:rsid w:val="003A27BF"/>
    <w:rsid w:val="003A27D7"/>
    <w:rsid w:val="003A2889"/>
    <w:rsid w:val="003A288C"/>
    <w:rsid w:val="003A2920"/>
    <w:rsid w:val="003A2947"/>
    <w:rsid w:val="003A29F8"/>
    <w:rsid w:val="003A2B24"/>
    <w:rsid w:val="003A2B67"/>
    <w:rsid w:val="003A2B8B"/>
    <w:rsid w:val="003A2CEF"/>
    <w:rsid w:val="003A2DC0"/>
    <w:rsid w:val="003A2DC8"/>
    <w:rsid w:val="003A2E08"/>
    <w:rsid w:val="003A2E68"/>
    <w:rsid w:val="003A2EBF"/>
    <w:rsid w:val="003A2F67"/>
    <w:rsid w:val="003A2FA3"/>
    <w:rsid w:val="003A2FAF"/>
    <w:rsid w:val="003A3027"/>
    <w:rsid w:val="003A3167"/>
    <w:rsid w:val="003A317B"/>
    <w:rsid w:val="003A3184"/>
    <w:rsid w:val="003A3234"/>
    <w:rsid w:val="003A326D"/>
    <w:rsid w:val="003A32A1"/>
    <w:rsid w:val="003A32AA"/>
    <w:rsid w:val="003A3306"/>
    <w:rsid w:val="003A33CB"/>
    <w:rsid w:val="003A340D"/>
    <w:rsid w:val="003A34F8"/>
    <w:rsid w:val="003A36D0"/>
    <w:rsid w:val="003A3731"/>
    <w:rsid w:val="003A3768"/>
    <w:rsid w:val="003A37D8"/>
    <w:rsid w:val="003A3828"/>
    <w:rsid w:val="003A38E3"/>
    <w:rsid w:val="003A3948"/>
    <w:rsid w:val="003A3978"/>
    <w:rsid w:val="003A3988"/>
    <w:rsid w:val="003A3A01"/>
    <w:rsid w:val="003A3AAF"/>
    <w:rsid w:val="003A3B43"/>
    <w:rsid w:val="003A3B47"/>
    <w:rsid w:val="003A3C09"/>
    <w:rsid w:val="003A3C2C"/>
    <w:rsid w:val="003A3CB3"/>
    <w:rsid w:val="003A3CD1"/>
    <w:rsid w:val="003A3D33"/>
    <w:rsid w:val="003A3DFC"/>
    <w:rsid w:val="003A3E0D"/>
    <w:rsid w:val="003A3F2E"/>
    <w:rsid w:val="003A3F6E"/>
    <w:rsid w:val="003A4147"/>
    <w:rsid w:val="003A4170"/>
    <w:rsid w:val="003A41AB"/>
    <w:rsid w:val="003A41AE"/>
    <w:rsid w:val="003A41E3"/>
    <w:rsid w:val="003A422F"/>
    <w:rsid w:val="003A4353"/>
    <w:rsid w:val="003A4466"/>
    <w:rsid w:val="003A448C"/>
    <w:rsid w:val="003A452C"/>
    <w:rsid w:val="003A4558"/>
    <w:rsid w:val="003A4585"/>
    <w:rsid w:val="003A458B"/>
    <w:rsid w:val="003A459C"/>
    <w:rsid w:val="003A4684"/>
    <w:rsid w:val="003A4698"/>
    <w:rsid w:val="003A46A9"/>
    <w:rsid w:val="003A46F3"/>
    <w:rsid w:val="003A4700"/>
    <w:rsid w:val="003A4933"/>
    <w:rsid w:val="003A4969"/>
    <w:rsid w:val="003A49CA"/>
    <w:rsid w:val="003A4A46"/>
    <w:rsid w:val="003A4C69"/>
    <w:rsid w:val="003A4CEA"/>
    <w:rsid w:val="003A4E30"/>
    <w:rsid w:val="003A4EBF"/>
    <w:rsid w:val="003A4F2E"/>
    <w:rsid w:val="003A4F41"/>
    <w:rsid w:val="003A500A"/>
    <w:rsid w:val="003A5089"/>
    <w:rsid w:val="003A51ED"/>
    <w:rsid w:val="003A520E"/>
    <w:rsid w:val="003A52BE"/>
    <w:rsid w:val="003A5309"/>
    <w:rsid w:val="003A5339"/>
    <w:rsid w:val="003A5406"/>
    <w:rsid w:val="003A5446"/>
    <w:rsid w:val="003A555D"/>
    <w:rsid w:val="003A56CF"/>
    <w:rsid w:val="003A582C"/>
    <w:rsid w:val="003A5838"/>
    <w:rsid w:val="003A58D0"/>
    <w:rsid w:val="003A5925"/>
    <w:rsid w:val="003A593A"/>
    <w:rsid w:val="003A594F"/>
    <w:rsid w:val="003A5A0B"/>
    <w:rsid w:val="003A5A5E"/>
    <w:rsid w:val="003A5A89"/>
    <w:rsid w:val="003A5C48"/>
    <w:rsid w:val="003A5C4D"/>
    <w:rsid w:val="003A5C80"/>
    <w:rsid w:val="003A5CE8"/>
    <w:rsid w:val="003A5CEA"/>
    <w:rsid w:val="003A5D20"/>
    <w:rsid w:val="003A5DD6"/>
    <w:rsid w:val="003A5E13"/>
    <w:rsid w:val="003A5F70"/>
    <w:rsid w:val="003A5FC4"/>
    <w:rsid w:val="003A5FD4"/>
    <w:rsid w:val="003A602C"/>
    <w:rsid w:val="003A60D9"/>
    <w:rsid w:val="003A610E"/>
    <w:rsid w:val="003A623E"/>
    <w:rsid w:val="003A62B4"/>
    <w:rsid w:val="003A62C4"/>
    <w:rsid w:val="003A635B"/>
    <w:rsid w:val="003A63F2"/>
    <w:rsid w:val="003A6431"/>
    <w:rsid w:val="003A652E"/>
    <w:rsid w:val="003A6573"/>
    <w:rsid w:val="003A663C"/>
    <w:rsid w:val="003A69D0"/>
    <w:rsid w:val="003A69E8"/>
    <w:rsid w:val="003A69F9"/>
    <w:rsid w:val="003A6B4C"/>
    <w:rsid w:val="003A6BE4"/>
    <w:rsid w:val="003A6C01"/>
    <w:rsid w:val="003A6C53"/>
    <w:rsid w:val="003A6CD6"/>
    <w:rsid w:val="003A6D6B"/>
    <w:rsid w:val="003A6DFD"/>
    <w:rsid w:val="003A6E20"/>
    <w:rsid w:val="003A6E3C"/>
    <w:rsid w:val="003A6E5C"/>
    <w:rsid w:val="003A6E70"/>
    <w:rsid w:val="003A6E83"/>
    <w:rsid w:val="003A6ED1"/>
    <w:rsid w:val="003A7066"/>
    <w:rsid w:val="003A7279"/>
    <w:rsid w:val="003A72F8"/>
    <w:rsid w:val="003A740B"/>
    <w:rsid w:val="003A7458"/>
    <w:rsid w:val="003A7463"/>
    <w:rsid w:val="003A7501"/>
    <w:rsid w:val="003A767F"/>
    <w:rsid w:val="003A76ED"/>
    <w:rsid w:val="003A7732"/>
    <w:rsid w:val="003A7766"/>
    <w:rsid w:val="003A77FE"/>
    <w:rsid w:val="003A7847"/>
    <w:rsid w:val="003A7877"/>
    <w:rsid w:val="003A787C"/>
    <w:rsid w:val="003A7960"/>
    <w:rsid w:val="003A7A06"/>
    <w:rsid w:val="003A7A28"/>
    <w:rsid w:val="003A7AF9"/>
    <w:rsid w:val="003A7B21"/>
    <w:rsid w:val="003A7B9B"/>
    <w:rsid w:val="003A7BB8"/>
    <w:rsid w:val="003A7DC1"/>
    <w:rsid w:val="003A7F74"/>
    <w:rsid w:val="003A7F79"/>
    <w:rsid w:val="003A7F82"/>
    <w:rsid w:val="003A7FF3"/>
    <w:rsid w:val="003B0042"/>
    <w:rsid w:val="003B005E"/>
    <w:rsid w:val="003B00DA"/>
    <w:rsid w:val="003B02AF"/>
    <w:rsid w:val="003B0337"/>
    <w:rsid w:val="003B03EB"/>
    <w:rsid w:val="003B041F"/>
    <w:rsid w:val="003B04E8"/>
    <w:rsid w:val="003B05DB"/>
    <w:rsid w:val="003B066C"/>
    <w:rsid w:val="003B06EB"/>
    <w:rsid w:val="003B077B"/>
    <w:rsid w:val="003B0849"/>
    <w:rsid w:val="003B08DD"/>
    <w:rsid w:val="003B08F8"/>
    <w:rsid w:val="003B09DC"/>
    <w:rsid w:val="003B09F9"/>
    <w:rsid w:val="003B0A4D"/>
    <w:rsid w:val="003B0A56"/>
    <w:rsid w:val="003B0A73"/>
    <w:rsid w:val="003B0A9D"/>
    <w:rsid w:val="003B0AB3"/>
    <w:rsid w:val="003B0BD4"/>
    <w:rsid w:val="003B0D2E"/>
    <w:rsid w:val="003B0ECE"/>
    <w:rsid w:val="003B0EED"/>
    <w:rsid w:val="003B0EFA"/>
    <w:rsid w:val="003B0EFD"/>
    <w:rsid w:val="003B0FD8"/>
    <w:rsid w:val="003B12C4"/>
    <w:rsid w:val="003B12C6"/>
    <w:rsid w:val="003B132E"/>
    <w:rsid w:val="003B13FC"/>
    <w:rsid w:val="003B1452"/>
    <w:rsid w:val="003B1477"/>
    <w:rsid w:val="003B15E8"/>
    <w:rsid w:val="003B164E"/>
    <w:rsid w:val="003B16A6"/>
    <w:rsid w:val="003B16FD"/>
    <w:rsid w:val="003B1731"/>
    <w:rsid w:val="003B173C"/>
    <w:rsid w:val="003B183F"/>
    <w:rsid w:val="003B1890"/>
    <w:rsid w:val="003B197D"/>
    <w:rsid w:val="003B1A34"/>
    <w:rsid w:val="003B1A3C"/>
    <w:rsid w:val="003B1A7D"/>
    <w:rsid w:val="003B1B1B"/>
    <w:rsid w:val="003B1BDD"/>
    <w:rsid w:val="003B1C03"/>
    <w:rsid w:val="003B1CEB"/>
    <w:rsid w:val="003B1DE8"/>
    <w:rsid w:val="003B1E46"/>
    <w:rsid w:val="003B1F69"/>
    <w:rsid w:val="003B1F8A"/>
    <w:rsid w:val="003B1FB7"/>
    <w:rsid w:val="003B2042"/>
    <w:rsid w:val="003B20DC"/>
    <w:rsid w:val="003B2156"/>
    <w:rsid w:val="003B21F8"/>
    <w:rsid w:val="003B228E"/>
    <w:rsid w:val="003B24E6"/>
    <w:rsid w:val="003B252E"/>
    <w:rsid w:val="003B2540"/>
    <w:rsid w:val="003B256A"/>
    <w:rsid w:val="003B2611"/>
    <w:rsid w:val="003B27D4"/>
    <w:rsid w:val="003B2889"/>
    <w:rsid w:val="003B28D0"/>
    <w:rsid w:val="003B2966"/>
    <w:rsid w:val="003B2994"/>
    <w:rsid w:val="003B2A5A"/>
    <w:rsid w:val="003B2A5D"/>
    <w:rsid w:val="003B2AF6"/>
    <w:rsid w:val="003B2B8B"/>
    <w:rsid w:val="003B2B9E"/>
    <w:rsid w:val="003B2BBC"/>
    <w:rsid w:val="003B2C5A"/>
    <w:rsid w:val="003B2C66"/>
    <w:rsid w:val="003B2D36"/>
    <w:rsid w:val="003B2D47"/>
    <w:rsid w:val="003B2EA7"/>
    <w:rsid w:val="003B2F6E"/>
    <w:rsid w:val="003B3067"/>
    <w:rsid w:val="003B30A6"/>
    <w:rsid w:val="003B3129"/>
    <w:rsid w:val="003B3199"/>
    <w:rsid w:val="003B31A1"/>
    <w:rsid w:val="003B3212"/>
    <w:rsid w:val="003B32DF"/>
    <w:rsid w:val="003B3496"/>
    <w:rsid w:val="003B3535"/>
    <w:rsid w:val="003B356F"/>
    <w:rsid w:val="003B3574"/>
    <w:rsid w:val="003B3586"/>
    <w:rsid w:val="003B368F"/>
    <w:rsid w:val="003B36B5"/>
    <w:rsid w:val="003B3838"/>
    <w:rsid w:val="003B3917"/>
    <w:rsid w:val="003B3924"/>
    <w:rsid w:val="003B3A14"/>
    <w:rsid w:val="003B3AA0"/>
    <w:rsid w:val="003B3AC2"/>
    <w:rsid w:val="003B3ACB"/>
    <w:rsid w:val="003B3D01"/>
    <w:rsid w:val="003B3E0F"/>
    <w:rsid w:val="003B3E34"/>
    <w:rsid w:val="003B3FF9"/>
    <w:rsid w:val="003B40A6"/>
    <w:rsid w:val="003B40B6"/>
    <w:rsid w:val="003B419F"/>
    <w:rsid w:val="003B4215"/>
    <w:rsid w:val="003B42C1"/>
    <w:rsid w:val="003B434E"/>
    <w:rsid w:val="003B4353"/>
    <w:rsid w:val="003B44CD"/>
    <w:rsid w:val="003B457E"/>
    <w:rsid w:val="003B4663"/>
    <w:rsid w:val="003B46FE"/>
    <w:rsid w:val="003B4735"/>
    <w:rsid w:val="003B4743"/>
    <w:rsid w:val="003B479D"/>
    <w:rsid w:val="003B47DC"/>
    <w:rsid w:val="003B4856"/>
    <w:rsid w:val="003B4873"/>
    <w:rsid w:val="003B48D5"/>
    <w:rsid w:val="003B497A"/>
    <w:rsid w:val="003B4A14"/>
    <w:rsid w:val="003B4AC3"/>
    <w:rsid w:val="003B4B2E"/>
    <w:rsid w:val="003B4B8A"/>
    <w:rsid w:val="003B4BB1"/>
    <w:rsid w:val="003B4D74"/>
    <w:rsid w:val="003B4EA6"/>
    <w:rsid w:val="003B4EDE"/>
    <w:rsid w:val="003B4EEF"/>
    <w:rsid w:val="003B5008"/>
    <w:rsid w:val="003B50B8"/>
    <w:rsid w:val="003B5136"/>
    <w:rsid w:val="003B51D9"/>
    <w:rsid w:val="003B5213"/>
    <w:rsid w:val="003B53B1"/>
    <w:rsid w:val="003B53E6"/>
    <w:rsid w:val="003B546B"/>
    <w:rsid w:val="003B54C2"/>
    <w:rsid w:val="003B54E5"/>
    <w:rsid w:val="003B556B"/>
    <w:rsid w:val="003B55BB"/>
    <w:rsid w:val="003B5630"/>
    <w:rsid w:val="003B5682"/>
    <w:rsid w:val="003B578C"/>
    <w:rsid w:val="003B5986"/>
    <w:rsid w:val="003B5A0E"/>
    <w:rsid w:val="003B5A77"/>
    <w:rsid w:val="003B5AF4"/>
    <w:rsid w:val="003B5CF8"/>
    <w:rsid w:val="003B5D0E"/>
    <w:rsid w:val="003B5D1D"/>
    <w:rsid w:val="003B5DAC"/>
    <w:rsid w:val="003B5E1A"/>
    <w:rsid w:val="003B5EB6"/>
    <w:rsid w:val="003B5F18"/>
    <w:rsid w:val="003B5F2D"/>
    <w:rsid w:val="003B5F6E"/>
    <w:rsid w:val="003B5F7A"/>
    <w:rsid w:val="003B5FD9"/>
    <w:rsid w:val="003B6056"/>
    <w:rsid w:val="003B60AB"/>
    <w:rsid w:val="003B60E4"/>
    <w:rsid w:val="003B61B4"/>
    <w:rsid w:val="003B620D"/>
    <w:rsid w:val="003B6285"/>
    <w:rsid w:val="003B6350"/>
    <w:rsid w:val="003B647C"/>
    <w:rsid w:val="003B656C"/>
    <w:rsid w:val="003B6572"/>
    <w:rsid w:val="003B65E3"/>
    <w:rsid w:val="003B65FE"/>
    <w:rsid w:val="003B6810"/>
    <w:rsid w:val="003B682A"/>
    <w:rsid w:val="003B683B"/>
    <w:rsid w:val="003B6908"/>
    <w:rsid w:val="003B691E"/>
    <w:rsid w:val="003B6922"/>
    <w:rsid w:val="003B6BAD"/>
    <w:rsid w:val="003B6C1C"/>
    <w:rsid w:val="003B6C57"/>
    <w:rsid w:val="003B6DB3"/>
    <w:rsid w:val="003B6EAA"/>
    <w:rsid w:val="003B7185"/>
    <w:rsid w:val="003B7262"/>
    <w:rsid w:val="003B72AD"/>
    <w:rsid w:val="003B736A"/>
    <w:rsid w:val="003B73B1"/>
    <w:rsid w:val="003B7406"/>
    <w:rsid w:val="003B750B"/>
    <w:rsid w:val="003B7658"/>
    <w:rsid w:val="003B770D"/>
    <w:rsid w:val="003B778B"/>
    <w:rsid w:val="003B77D5"/>
    <w:rsid w:val="003B7861"/>
    <w:rsid w:val="003B79FD"/>
    <w:rsid w:val="003B7A6C"/>
    <w:rsid w:val="003B7BF6"/>
    <w:rsid w:val="003B7D83"/>
    <w:rsid w:val="003B7DCF"/>
    <w:rsid w:val="003B7E81"/>
    <w:rsid w:val="003B7EB9"/>
    <w:rsid w:val="003B7F1B"/>
    <w:rsid w:val="003B7F7A"/>
    <w:rsid w:val="003B7FBE"/>
    <w:rsid w:val="003C0144"/>
    <w:rsid w:val="003C0178"/>
    <w:rsid w:val="003C01AE"/>
    <w:rsid w:val="003C01BA"/>
    <w:rsid w:val="003C0266"/>
    <w:rsid w:val="003C04A2"/>
    <w:rsid w:val="003C04C9"/>
    <w:rsid w:val="003C04D6"/>
    <w:rsid w:val="003C0523"/>
    <w:rsid w:val="003C0528"/>
    <w:rsid w:val="003C07E9"/>
    <w:rsid w:val="003C0920"/>
    <w:rsid w:val="003C0935"/>
    <w:rsid w:val="003C0A38"/>
    <w:rsid w:val="003C0A75"/>
    <w:rsid w:val="003C0AC1"/>
    <w:rsid w:val="003C0B97"/>
    <w:rsid w:val="003C0DBF"/>
    <w:rsid w:val="003C0DE7"/>
    <w:rsid w:val="003C0DEB"/>
    <w:rsid w:val="003C0FA6"/>
    <w:rsid w:val="003C0FC8"/>
    <w:rsid w:val="003C1174"/>
    <w:rsid w:val="003C126F"/>
    <w:rsid w:val="003C1426"/>
    <w:rsid w:val="003C14CE"/>
    <w:rsid w:val="003C1548"/>
    <w:rsid w:val="003C15B0"/>
    <w:rsid w:val="003C162B"/>
    <w:rsid w:val="003C1649"/>
    <w:rsid w:val="003C16FA"/>
    <w:rsid w:val="003C1727"/>
    <w:rsid w:val="003C17B6"/>
    <w:rsid w:val="003C184A"/>
    <w:rsid w:val="003C184D"/>
    <w:rsid w:val="003C1881"/>
    <w:rsid w:val="003C1966"/>
    <w:rsid w:val="003C1982"/>
    <w:rsid w:val="003C1A4E"/>
    <w:rsid w:val="003C1A93"/>
    <w:rsid w:val="003C1B30"/>
    <w:rsid w:val="003C1BE5"/>
    <w:rsid w:val="003C1C35"/>
    <w:rsid w:val="003C1CDD"/>
    <w:rsid w:val="003C1D28"/>
    <w:rsid w:val="003C1ED4"/>
    <w:rsid w:val="003C1EFA"/>
    <w:rsid w:val="003C204E"/>
    <w:rsid w:val="003C224E"/>
    <w:rsid w:val="003C232B"/>
    <w:rsid w:val="003C2533"/>
    <w:rsid w:val="003C255B"/>
    <w:rsid w:val="003C2603"/>
    <w:rsid w:val="003C2745"/>
    <w:rsid w:val="003C27EC"/>
    <w:rsid w:val="003C27FF"/>
    <w:rsid w:val="003C2860"/>
    <w:rsid w:val="003C29CB"/>
    <w:rsid w:val="003C2A24"/>
    <w:rsid w:val="003C2AF0"/>
    <w:rsid w:val="003C2CCA"/>
    <w:rsid w:val="003C2FEA"/>
    <w:rsid w:val="003C31C3"/>
    <w:rsid w:val="003C32B8"/>
    <w:rsid w:val="003C3350"/>
    <w:rsid w:val="003C33AA"/>
    <w:rsid w:val="003C33D0"/>
    <w:rsid w:val="003C33FD"/>
    <w:rsid w:val="003C340F"/>
    <w:rsid w:val="003C3454"/>
    <w:rsid w:val="003C34CC"/>
    <w:rsid w:val="003C3506"/>
    <w:rsid w:val="003C3647"/>
    <w:rsid w:val="003C370E"/>
    <w:rsid w:val="003C37E5"/>
    <w:rsid w:val="003C37FA"/>
    <w:rsid w:val="003C37FE"/>
    <w:rsid w:val="003C39E3"/>
    <w:rsid w:val="003C3A32"/>
    <w:rsid w:val="003C3A72"/>
    <w:rsid w:val="003C3A79"/>
    <w:rsid w:val="003C3A84"/>
    <w:rsid w:val="003C3AB5"/>
    <w:rsid w:val="003C3AD0"/>
    <w:rsid w:val="003C3BB7"/>
    <w:rsid w:val="003C3BD0"/>
    <w:rsid w:val="003C3C2A"/>
    <w:rsid w:val="003C3D8F"/>
    <w:rsid w:val="003C3ED7"/>
    <w:rsid w:val="003C3F56"/>
    <w:rsid w:val="003C3F6C"/>
    <w:rsid w:val="003C409B"/>
    <w:rsid w:val="003C409F"/>
    <w:rsid w:val="003C4157"/>
    <w:rsid w:val="003C418D"/>
    <w:rsid w:val="003C41B6"/>
    <w:rsid w:val="003C43F3"/>
    <w:rsid w:val="003C452E"/>
    <w:rsid w:val="003C45D6"/>
    <w:rsid w:val="003C46CD"/>
    <w:rsid w:val="003C46E5"/>
    <w:rsid w:val="003C4726"/>
    <w:rsid w:val="003C47C6"/>
    <w:rsid w:val="003C47E4"/>
    <w:rsid w:val="003C4812"/>
    <w:rsid w:val="003C4882"/>
    <w:rsid w:val="003C48B9"/>
    <w:rsid w:val="003C491B"/>
    <w:rsid w:val="003C4B6D"/>
    <w:rsid w:val="003C4B72"/>
    <w:rsid w:val="003C4C02"/>
    <w:rsid w:val="003C4C04"/>
    <w:rsid w:val="003C4C6C"/>
    <w:rsid w:val="003C4DB9"/>
    <w:rsid w:val="003C4E83"/>
    <w:rsid w:val="003C4E86"/>
    <w:rsid w:val="003C4EF8"/>
    <w:rsid w:val="003C4F34"/>
    <w:rsid w:val="003C4F90"/>
    <w:rsid w:val="003C509E"/>
    <w:rsid w:val="003C50D3"/>
    <w:rsid w:val="003C524D"/>
    <w:rsid w:val="003C529D"/>
    <w:rsid w:val="003C53CE"/>
    <w:rsid w:val="003C53ED"/>
    <w:rsid w:val="003C5547"/>
    <w:rsid w:val="003C55BF"/>
    <w:rsid w:val="003C5684"/>
    <w:rsid w:val="003C56E9"/>
    <w:rsid w:val="003C5762"/>
    <w:rsid w:val="003C5768"/>
    <w:rsid w:val="003C577F"/>
    <w:rsid w:val="003C57AF"/>
    <w:rsid w:val="003C58EE"/>
    <w:rsid w:val="003C5908"/>
    <w:rsid w:val="003C590A"/>
    <w:rsid w:val="003C595E"/>
    <w:rsid w:val="003C5B46"/>
    <w:rsid w:val="003C5DE0"/>
    <w:rsid w:val="003C5F72"/>
    <w:rsid w:val="003C6061"/>
    <w:rsid w:val="003C616D"/>
    <w:rsid w:val="003C61C0"/>
    <w:rsid w:val="003C62C1"/>
    <w:rsid w:val="003C62C3"/>
    <w:rsid w:val="003C62E9"/>
    <w:rsid w:val="003C6312"/>
    <w:rsid w:val="003C637E"/>
    <w:rsid w:val="003C63CF"/>
    <w:rsid w:val="003C6455"/>
    <w:rsid w:val="003C645D"/>
    <w:rsid w:val="003C64B2"/>
    <w:rsid w:val="003C64E7"/>
    <w:rsid w:val="003C66AB"/>
    <w:rsid w:val="003C6718"/>
    <w:rsid w:val="003C67D7"/>
    <w:rsid w:val="003C6944"/>
    <w:rsid w:val="003C69DF"/>
    <w:rsid w:val="003C6C0A"/>
    <w:rsid w:val="003C6C3D"/>
    <w:rsid w:val="003C6D38"/>
    <w:rsid w:val="003C6D65"/>
    <w:rsid w:val="003C6EE3"/>
    <w:rsid w:val="003C6FA8"/>
    <w:rsid w:val="003C6FE2"/>
    <w:rsid w:val="003C7034"/>
    <w:rsid w:val="003C729C"/>
    <w:rsid w:val="003C72C2"/>
    <w:rsid w:val="003C7339"/>
    <w:rsid w:val="003C739D"/>
    <w:rsid w:val="003C74A4"/>
    <w:rsid w:val="003C750F"/>
    <w:rsid w:val="003C75F6"/>
    <w:rsid w:val="003C763A"/>
    <w:rsid w:val="003C770C"/>
    <w:rsid w:val="003C77DB"/>
    <w:rsid w:val="003C77E0"/>
    <w:rsid w:val="003C77F5"/>
    <w:rsid w:val="003C7899"/>
    <w:rsid w:val="003C78F2"/>
    <w:rsid w:val="003C7904"/>
    <w:rsid w:val="003C7934"/>
    <w:rsid w:val="003C7A08"/>
    <w:rsid w:val="003C7AD5"/>
    <w:rsid w:val="003C7BEA"/>
    <w:rsid w:val="003C7C1C"/>
    <w:rsid w:val="003C7EB1"/>
    <w:rsid w:val="003C7EEA"/>
    <w:rsid w:val="003C7F67"/>
    <w:rsid w:val="003C7F7E"/>
    <w:rsid w:val="003C7FB7"/>
    <w:rsid w:val="003CAABD"/>
    <w:rsid w:val="003D0076"/>
    <w:rsid w:val="003D0109"/>
    <w:rsid w:val="003D0153"/>
    <w:rsid w:val="003D017C"/>
    <w:rsid w:val="003D01A3"/>
    <w:rsid w:val="003D0253"/>
    <w:rsid w:val="003D025C"/>
    <w:rsid w:val="003D0299"/>
    <w:rsid w:val="003D0350"/>
    <w:rsid w:val="003D03BB"/>
    <w:rsid w:val="003D0408"/>
    <w:rsid w:val="003D041D"/>
    <w:rsid w:val="003D06F4"/>
    <w:rsid w:val="003D083A"/>
    <w:rsid w:val="003D0964"/>
    <w:rsid w:val="003D09D1"/>
    <w:rsid w:val="003D0A28"/>
    <w:rsid w:val="003D0C9B"/>
    <w:rsid w:val="003D0DE1"/>
    <w:rsid w:val="003D0DF9"/>
    <w:rsid w:val="003D0E0D"/>
    <w:rsid w:val="003D0E88"/>
    <w:rsid w:val="003D0F39"/>
    <w:rsid w:val="003D0F4F"/>
    <w:rsid w:val="003D1128"/>
    <w:rsid w:val="003D1145"/>
    <w:rsid w:val="003D1178"/>
    <w:rsid w:val="003D1186"/>
    <w:rsid w:val="003D11BB"/>
    <w:rsid w:val="003D1249"/>
    <w:rsid w:val="003D127C"/>
    <w:rsid w:val="003D1298"/>
    <w:rsid w:val="003D12CB"/>
    <w:rsid w:val="003D13BD"/>
    <w:rsid w:val="003D141F"/>
    <w:rsid w:val="003D17A2"/>
    <w:rsid w:val="003D18EC"/>
    <w:rsid w:val="003D198D"/>
    <w:rsid w:val="003D1A22"/>
    <w:rsid w:val="003D1A68"/>
    <w:rsid w:val="003D1A7A"/>
    <w:rsid w:val="003D1ADD"/>
    <w:rsid w:val="003D1C11"/>
    <w:rsid w:val="003D1D12"/>
    <w:rsid w:val="003D1D1E"/>
    <w:rsid w:val="003D1D2D"/>
    <w:rsid w:val="003D1DE1"/>
    <w:rsid w:val="003D1F55"/>
    <w:rsid w:val="003D1F6D"/>
    <w:rsid w:val="003D1FB7"/>
    <w:rsid w:val="003D2003"/>
    <w:rsid w:val="003D2095"/>
    <w:rsid w:val="003D20F7"/>
    <w:rsid w:val="003D211F"/>
    <w:rsid w:val="003D214C"/>
    <w:rsid w:val="003D2182"/>
    <w:rsid w:val="003D21D6"/>
    <w:rsid w:val="003D2234"/>
    <w:rsid w:val="003D2322"/>
    <w:rsid w:val="003D242B"/>
    <w:rsid w:val="003D2441"/>
    <w:rsid w:val="003D2523"/>
    <w:rsid w:val="003D2664"/>
    <w:rsid w:val="003D2677"/>
    <w:rsid w:val="003D270E"/>
    <w:rsid w:val="003D27FB"/>
    <w:rsid w:val="003D2858"/>
    <w:rsid w:val="003D2A33"/>
    <w:rsid w:val="003D2A38"/>
    <w:rsid w:val="003D2A86"/>
    <w:rsid w:val="003D2AC3"/>
    <w:rsid w:val="003D2C91"/>
    <w:rsid w:val="003D2C99"/>
    <w:rsid w:val="003D2CE3"/>
    <w:rsid w:val="003D2D9E"/>
    <w:rsid w:val="003D2DDB"/>
    <w:rsid w:val="003D2DE2"/>
    <w:rsid w:val="003D2E8F"/>
    <w:rsid w:val="003D2FA3"/>
    <w:rsid w:val="003D308B"/>
    <w:rsid w:val="003D30A9"/>
    <w:rsid w:val="003D31A7"/>
    <w:rsid w:val="003D3322"/>
    <w:rsid w:val="003D3358"/>
    <w:rsid w:val="003D3363"/>
    <w:rsid w:val="003D3378"/>
    <w:rsid w:val="003D3382"/>
    <w:rsid w:val="003D33A8"/>
    <w:rsid w:val="003D342E"/>
    <w:rsid w:val="003D3522"/>
    <w:rsid w:val="003D3541"/>
    <w:rsid w:val="003D355B"/>
    <w:rsid w:val="003D35E1"/>
    <w:rsid w:val="003D3669"/>
    <w:rsid w:val="003D3A6C"/>
    <w:rsid w:val="003D3B1B"/>
    <w:rsid w:val="003D3DC2"/>
    <w:rsid w:val="003D3DE7"/>
    <w:rsid w:val="003D3E02"/>
    <w:rsid w:val="003D3EA6"/>
    <w:rsid w:val="003D3ED7"/>
    <w:rsid w:val="003D3FA4"/>
    <w:rsid w:val="003D4045"/>
    <w:rsid w:val="003D409D"/>
    <w:rsid w:val="003D40E9"/>
    <w:rsid w:val="003D413C"/>
    <w:rsid w:val="003D4171"/>
    <w:rsid w:val="003D4330"/>
    <w:rsid w:val="003D4389"/>
    <w:rsid w:val="003D43DF"/>
    <w:rsid w:val="003D446A"/>
    <w:rsid w:val="003D4504"/>
    <w:rsid w:val="003D4588"/>
    <w:rsid w:val="003D4676"/>
    <w:rsid w:val="003D46E1"/>
    <w:rsid w:val="003D4797"/>
    <w:rsid w:val="003D4905"/>
    <w:rsid w:val="003D4944"/>
    <w:rsid w:val="003D49FE"/>
    <w:rsid w:val="003D4A44"/>
    <w:rsid w:val="003D4B81"/>
    <w:rsid w:val="003D4BE2"/>
    <w:rsid w:val="003D4C7E"/>
    <w:rsid w:val="003D4CA5"/>
    <w:rsid w:val="003D4D92"/>
    <w:rsid w:val="003D4DB8"/>
    <w:rsid w:val="003D4DE8"/>
    <w:rsid w:val="003D4E7C"/>
    <w:rsid w:val="003D4E82"/>
    <w:rsid w:val="003D4FF6"/>
    <w:rsid w:val="003D50B0"/>
    <w:rsid w:val="003D5190"/>
    <w:rsid w:val="003D5199"/>
    <w:rsid w:val="003D5213"/>
    <w:rsid w:val="003D521B"/>
    <w:rsid w:val="003D5423"/>
    <w:rsid w:val="003D5461"/>
    <w:rsid w:val="003D55EB"/>
    <w:rsid w:val="003D5697"/>
    <w:rsid w:val="003D56BD"/>
    <w:rsid w:val="003D56C7"/>
    <w:rsid w:val="003D5733"/>
    <w:rsid w:val="003D58C2"/>
    <w:rsid w:val="003D5916"/>
    <w:rsid w:val="003D591B"/>
    <w:rsid w:val="003D5949"/>
    <w:rsid w:val="003D5A01"/>
    <w:rsid w:val="003D5A3D"/>
    <w:rsid w:val="003D5A45"/>
    <w:rsid w:val="003D5B9C"/>
    <w:rsid w:val="003D5C48"/>
    <w:rsid w:val="003D5CDA"/>
    <w:rsid w:val="003D5D3F"/>
    <w:rsid w:val="003D5D81"/>
    <w:rsid w:val="003D5E3E"/>
    <w:rsid w:val="003D5ECF"/>
    <w:rsid w:val="003D5F11"/>
    <w:rsid w:val="003D5FE7"/>
    <w:rsid w:val="003D6071"/>
    <w:rsid w:val="003D6094"/>
    <w:rsid w:val="003D619B"/>
    <w:rsid w:val="003D61A4"/>
    <w:rsid w:val="003D61BE"/>
    <w:rsid w:val="003D633C"/>
    <w:rsid w:val="003D635A"/>
    <w:rsid w:val="003D636B"/>
    <w:rsid w:val="003D6808"/>
    <w:rsid w:val="003D6952"/>
    <w:rsid w:val="003D697C"/>
    <w:rsid w:val="003D69C2"/>
    <w:rsid w:val="003D6A97"/>
    <w:rsid w:val="003D6B69"/>
    <w:rsid w:val="003D6BF4"/>
    <w:rsid w:val="003D6D1C"/>
    <w:rsid w:val="003D6DAC"/>
    <w:rsid w:val="003D6FB1"/>
    <w:rsid w:val="003D6FEC"/>
    <w:rsid w:val="003D7063"/>
    <w:rsid w:val="003D7069"/>
    <w:rsid w:val="003D70F9"/>
    <w:rsid w:val="003D71AE"/>
    <w:rsid w:val="003D71C5"/>
    <w:rsid w:val="003D7235"/>
    <w:rsid w:val="003D725F"/>
    <w:rsid w:val="003D72F1"/>
    <w:rsid w:val="003D747E"/>
    <w:rsid w:val="003D7534"/>
    <w:rsid w:val="003D7544"/>
    <w:rsid w:val="003D7559"/>
    <w:rsid w:val="003D7646"/>
    <w:rsid w:val="003D7741"/>
    <w:rsid w:val="003D774B"/>
    <w:rsid w:val="003D77E3"/>
    <w:rsid w:val="003D788E"/>
    <w:rsid w:val="003D790F"/>
    <w:rsid w:val="003D7966"/>
    <w:rsid w:val="003D7A9D"/>
    <w:rsid w:val="003D7B95"/>
    <w:rsid w:val="003D7BA1"/>
    <w:rsid w:val="003D7C07"/>
    <w:rsid w:val="003D7D1B"/>
    <w:rsid w:val="003D7D22"/>
    <w:rsid w:val="003D7DE6"/>
    <w:rsid w:val="003D7F12"/>
    <w:rsid w:val="003D7F1D"/>
    <w:rsid w:val="003D7FA5"/>
    <w:rsid w:val="003E0089"/>
    <w:rsid w:val="003E0149"/>
    <w:rsid w:val="003E024E"/>
    <w:rsid w:val="003E02E2"/>
    <w:rsid w:val="003E0398"/>
    <w:rsid w:val="003E03E7"/>
    <w:rsid w:val="003E0401"/>
    <w:rsid w:val="003E042B"/>
    <w:rsid w:val="003E05C8"/>
    <w:rsid w:val="003E0681"/>
    <w:rsid w:val="003E06DC"/>
    <w:rsid w:val="003E0760"/>
    <w:rsid w:val="003E07A4"/>
    <w:rsid w:val="003E08E0"/>
    <w:rsid w:val="003E0915"/>
    <w:rsid w:val="003E092D"/>
    <w:rsid w:val="003E0B80"/>
    <w:rsid w:val="003E0BC3"/>
    <w:rsid w:val="003E0BE6"/>
    <w:rsid w:val="003E0C0E"/>
    <w:rsid w:val="003E0C12"/>
    <w:rsid w:val="003E0D65"/>
    <w:rsid w:val="003E0D7B"/>
    <w:rsid w:val="003E0ED3"/>
    <w:rsid w:val="003E0FEA"/>
    <w:rsid w:val="003E1001"/>
    <w:rsid w:val="003E10B2"/>
    <w:rsid w:val="003E10BC"/>
    <w:rsid w:val="003E1198"/>
    <w:rsid w:val="003E11C1"/>
    <w:rsid w:val="003E120B"/>
    <w:rsid w:val="003E12C2"/>
    <w:rsid w:val="003E12FB"/>
    <w:rsid w:val="003E13EA"/>
    <w:rsid w:val="003E1445"/>
    <w:rsid w:val="003E1560"/>
    <w:rsid w:val="003E1587"/>
    <w:rsid w:val="003E1593"/>
    <w:rsid w:val="003E15DD"/>
    <w:rsid w:val="003E1751"/>
    <w:rsid w:val="003E17AF"/>
    <w:rsid w:val="003E17EB"/>
    <w:rsid w:val="003E17FF"/>
    <w:rsid w:val="003E18E0"/>
    <w:rsid w:val="003E1991"/>
    <w:rsid w:val="003E1B42"/>
    <w:rsid w:val="003E1CBC"/>
    <w:rsid w:val="003E1CEB"/>
    <w:rsid w:val="003E1D2C"/>
    <w:rsid w:val="003E1D75"/>
    <w:rsid w:val="003E1D7B"/>
    <w:rsid w:val="003E1E31"/>
    <w:rsid w:val="003E1F2F"/>
    <w:rsid w:val="003E1F90"/>
    <w:rsid w:val="003E202C"/>
    <w:rsid w:val="003E21ED"/>
    <w:rsid w:val="003E222F"/>
    <w:rsid w:val="003E227A"/>
    <w:rsid w:val="003E22F4"/>
    <w:rsid w:val="003E23DF"/>
    <w:rsid w:val="003E244F"/>
    <w:rsid w:val="003E24DE"/>
    <w:rsid w:val="003E251D"/>
    <w:rsid w:val="003E2522"/>
    <w:rsid w:val="003E262F"/>
    <w:rsid w:val="003E26FB"/>
    <w:rsid w:val="003E27A1"/>
    <w:rsid w:val="003E2867"/>
    <w:rsid w:val="003E2875"/>
    <w:rsid w:val="003E2987"/>
    <w:rsid w:val="003E2AAB"/>
    <w:rsid w:val="003E2B5F"/>
    <w:rsid w:val="003E2B87"/>
    <w:rsid w:val="003E2BF0"/>
    <w:rsid w:val="003E2C23"/>
    <w:rsid w:val="003E2C28"/>
    <w:rsid w:val="003E2C3C"/>
    <w:rsid w:val="003E2CB9"/>
    <w:rsid w:val="003E2CE6"/>
    <w:rsid w:val="003E2CFB"/>
    <w:rsid w:val="003E2D09"/>
    <w:rsid w:val="003E2D4B"/>
    <w:rsid w:val="003E2FFD"/>
    <w:rsid w:val="003E30A5"/>
    <w:rsid w:val="003E30D0"/>
    <w:rsid w:val="003E30ED"/>
    <w:rsid w:val="003E31D7"/>
    <w:rsid w:val="003E327D"/>
    <w:rsid w:val="003E3506"/>
    <w:rsid w:val="003E350D"/>
    <w:rsid w:val="003E3510"/>
    <w:rsid w:val="003E3636"/>
    <w:rsid w:val="003E377E"/>
    <w:rsid w:val="003E37EB"/>
    <w:rsid w:val="003E383D"/>
    <w:rsid w:val="003E397B"/>
    <w:rsid w:val="003E39CC"/>
    <w:rsid w:val="003E39D8"/>
    <w:rsid w:val="003E3AED"/>
    <w:rsid w:val="003E3B3E"/>
    <w:rsid w:val="003E3B4E"/>
    <w:rsid w:val="003E3E16"/>
    <w:rsid w:val="003E3EB1"/>
    <w:rsid w:val="003E3FEC"/>
    <w:rsid w:val="003E3FFD"/>
    <w:rsid w:val="003E4068"/>
    <w:rsid w:val="003E4086"/>
    <w:rsid w:val="003E4092"/>
    <w:rsid w:val="003E4131"/>
    <w:rsid w:val="003E4188"/>
    <w:rsid w:val="003E41E9"/>
    <w:rsid w:val="003E4261"/>
    <w:rsid w:val="003E426E"/>
    <w:rsid w:val="003E4316"/>
    <w:rsid w:val="003E4369"/>
    <w:rsid w:val="003E439D"/>
    <w:rsid w:val="003E43AF"/>
    <w:rsid w:val="003E43BC"/>
    <w:rsid w:val="003E43FE"/>
    <w:rsid w:val="003E4416"/>
    <w:rsid w:val="003E442B"/>
    <w:rsid w:val="003E4459"/>
    <w:rsid w:val="003E44A3"/>
    <w:rsid w:val="003E451A"/>
    <w:rsid w:val="003E453C"/>
    <w:rsid w:val="003E4543"/>
    <w:rsid w:val="003E45F5"/>
    <w:rsid w:val="003E46A7"/>
    <w:rsid w:val="003E46EE"/>
    <w:rsid w:val="003E476D"/>
    <w:rsid w:val="003E47A0"/>
    <w:rsid w:val="003E47E0"/>
    <w:rsid w:val="003E4858"/>
    <w:rsid w:val="003E48F2"/>
    <w:rsid w:val="003E493E"/>
    <w:rsid w:val="003E4A12"/>
    <w:rsid w:val="003E4A15"/>
    <w:rsid w:val="003E4C28"/>
    <w:rsid w:val="003E4CA2"/>
    <w:rsid w:val="003E4D10"/>
    <w:rsid w:val="003E4D35"/>
    <w:rsid w:val="003E4DCB"/>
    <w:rsid w:val="003E4DE2"/>
    <w:rsid w:val="003E4EB2"/>
    <w:rsid w:val="003E4F21"/>
    <w:rsid w:val="003E4FC7"/>
    <w:rsid w:val="003E5019"/>
    <w:rsid w:val="003E50AE"/>
    <w:rsid w:val="003E5106"/>
    <w:rsid w:val="003E5278"/>
    <w:rsid w:val="003E52DB"/>
    <w:rsid w:val="003E536A"/>
    <w:rsid w:val="003E5439"/>
    <w:rsid w:val="003E576D"/>
    <w:rsid w:val="003E57F0"/>
    <w:rsid w:val="003E581B"/>
    <w:rsid w:val="003E5874"/>
    <w:rsid w:val="003E5875"/>
    <w:rsid w:val="003E588A"/>
    <w:rsid w:val="003E588B"/>
    <w:rsid w:val="003E59FB"/>
    <w:rsid w:val="003E5AA2"/>
    <w:rsid w:val="003E5AC6"/>
    <w:rsid w:val="003E5B7D"/>
    <w:rsid w:val="003E5BDC"/>
    <w:rsid w:val="003E5BEF"/>
    <w:rsid w:val="003E5D86"/>
    <w:rsid w:val="003E5DDF"/>
    <w:rsid w:val="003E5DE2"/>
    <w:rsid w:val="003E5E0E"/>
    <w:rsid w:val="003E5E6F"/>
    <w:rsid w:val="003E5F02"/>
    <w:rsid w:val="003E5F06"/>
    <w:rsid w:val="003E6088"/>
    <w:rsid w:val="003E6398"/>
    <w:rsid w:val="003E6502"/>
    <w:rsid w:val="003E6520"/>
    <w:rsid w:val="003E6645"/>
    <w:rsid w:val="003E667B"/>
    <w:rsid w:val="003E67F4"/>
    <w:rsid w:val="003E6828"/>
    <w:rsid w:val="003E6888"/>
    <w:rsid w:val="003E68CC"/>
    <w:rsid w:val="003E6900"/>
    <w:rsid w:val="003E691F"/>
    <w:rsid w:val="003E6921"/>
    <w:rsid w:val="003E6970"/>
    <w:rsid w:val="003E6995"/>
    <w:rsid w:val="003E69A1"/>
    <w:rsid w:val="003E6ABC"/>
    <w:rsid w:val="003E6B7B"/>
    <w:rsid w:val="003E6BCE"/>
    <w:rsid w:val="003E6C19"/>
    <w:rsid w:val="003E6CC1"/>
    <w:rsid w:val="003E6D82"/>
    <w:rsid w:val="003E6ED4"/>
    <w:rsid w:val="003E6F13"/>
    <w:rsid w:val="003E6F22"/>
    <w:rsid w:val="003E703B"/>
    <w:rsid w:val="003E7099"/>
    <w:rsid w:val="003E739A"/>
    <w:rsid w:val="003E7432"/>
    <w:rsid w:val="003E743B"/>
    <w:rsid w:val="003E7459"/>
    <w:rsid w:val="003E74AB"/>
    <w:rsid w:val="003E7555"/>
    <w:rsid w:val="003E759A"/>
    <w:rsid w:val="003E75B7"/>
    <w:rsid w:val="003E7686"/>
    <w:rsid w:val="003E76AC"/>
    <w:rsid w:val="003E78C1"/>
    <w:rsid w:val="003E7A3E"/>
    <w:rsid w:val="003E7B2C"/>
    <w:rsid w:val="003E7C9C"/>
    <w:rsid w:val="003E7D16"/>
    <w:rsid w:val="003E7DD0"/>
    <w:rsid w:val="003E7E0A"/>
    <w:rsid w:val="003E7E7D"/>
    <w:rsid w:val="003E7F28"/>
    <w:rsid w:val="003E7FD2"/>
    <w:rsid w:val="003F0069"/>
    <w:rsid w:val="003F0088"/>
    <w:rsid w:val="003F00DB"/>
    <w:rsid w:val="003F00E3"/>
    <w:rsid w:val="003F0166"/>
    <w:rsid w:val="003F016E"/>
    <w:rsid w:val="003F02BE"/>
    <w:rsid w:val="003F02C9"/>
    <w:rsid w:val="003F0465"/>
    <w:rsid w:val="003F04C1"/>
    <w:rsid w:val="003F051C"/>
    <w:rsid w:val="003F0558"/>
    <w:rsid w:val="003F0664"/>
    <w:rsid w:val="003F0776"/>
    <w:rsid w:val="003F077E"/>
    <w:rsid w:val="003F08A5"/>
    <w:rsid w:val="003F094F"/>
    <w:rsid w:val="003F096D"/>
    <w:rsid w:val="003F0A25"/>
    <w:rsid w:val="003F0A99"/>
    <w:rsid w:val="003F0C75"/>
    <w:rsid w:val="003F0C94"/>
    <w:rsid w:val="003F0CB3"/>
    <w:rsid w:val="003F0E58"/>
    <w:rsid w:val="003F0FD2"/>
    <w:rsid w:val="003F1253"/>
    <w:rsid w:val="003F125A"/>
    <w:rsid w:val="003F1266"/>
    <w:rsid w:val="003F129B"/>
    <w:rsid w:val="003F12A1"/>
    <w:rsid w:val="003F12E7"/>
    <w:rsid w:val="003F1352"/>
    <w:rsid w:val="003F1444"/>
    <w:rsid w:val="003F152B"/>
    <w:rsid w:val="003F1541"/>
    <w:rsid w:val="003F15A8"/>
    <w:rsid w:val="003F17C2"/>
    <w:rsid w:val="003F17E8"/>
    <w:rsid w:val="003F1941"/>
    <w:rsid w:val="003F194D"/>
    <w:rsid w:val="003F1B9E"/>
    <w:rsid w:val="003F1BB8"/>
    <w:rsid w:val="003F1CD0"/>
    <w:rsid w:val="003F1CF5"/>
    <w:rsid w:val="003F1D3A"/>
    <w:rsid w:val="003F1DA7"/>
    <w:rsid w:val="003F1E6C"/>
    <w:rsid w:val="003F1E91"/>
    <w:rsid w:val="003F1EC5"/>
    <w:rsid w:val="003F1ED5"/>
    <w:rsid w:val="003F1F14"/>
    <w:rsid w:val="003F20BC"/>
    <w:rsid w:val="003F2124"/>
    <w:rsid w:val="003F2187"/>
    <w:rsid w:val="003F2302"/>
    <w:rsid w:val="003F2396"/>
    <w:rsid w:val="003F241A"/>
    <w:rsid w:val="003F252A"/>
    <w:rsid w:val="003F257C"/>
    <w:rsid w:val="003F2624"/>
    <w:rsid w:val="003F270F"/>
    <w:rsid w:val="003F275D"/>
    <w:rsid w:val="003F277D"/>
    <w:rsid w:val="003F2987"/>
    <w:rsid w:val="003F2B09"/>
    <w:rsid w:val="003F2CE3"/>
    <w:rsid w:val="003F2D06"/>
    <w:rsid w:val="003F2D7C"/>
    <w:rsid w:val="003F2E12"/>
    <w:rsid w:val="003F2FF6"/>
    <w:rsid w:val="003F3041"/>
    <w:rsid w:val="003F314C"/>
    <w:rsid w:val="003F314F"/>
    <w:rsid w:val="003F31AC"/>
    <w:rsid w:val="003F31F8"/>
    <w:rsid w:val="003F328E"/>
    <w:rsid w:val="003F3316"/>
    <w:rsid w:val="003F3475"/>
    <w:rsid w:val="003F3490"/>
    <w:rsid w:val="003F37A9"/>
    <w:rsid w:val="003F3B03"/>
    <w:rsid w:val="003F3B4A"/>
    <w:rsid w:val="003F3ECA"/>
    <w:rsid w:val="003F3ED7"/>
    <w:rsid w:val="003F3FDF"/>
    <w:rsid w:val="003F408B"/>
    <w:rsid w:val="003F40C8"/>
    <w:rsid w:val="003F40F3"/>
    <w:rsid w:val="003F417F"/>
    <w:rsid w:val="003F41DF"/>
    <w:rsid w:val="003F425F"/>
    <w:rsid w:val="003F43DC"/>
    <w:rsid w:val="003F4567"/>
    <w:rsid w:val="003F4576"/>
    <w:rsid w:val="003F467D"/>
    <w:rsid w:val="003F4804"/>
    <w:rsid w:val="003F4872"/>
    <w:rsid w:val="003F4889"/>
    <w:rsid w:val="003F48A2"/>
    <w:rsid w:val="003F493E"/>
    <w:rsid w:val="003F4A8A"/>
    <w:rsid w:val="003F4ADF"/>
    <w:rsid w:val="003F4BC7"/>
    <w:rsid w:val="003F4BD3"/>
    <w:rsid w:val="003F4C18"/>
    <w:rsid w:val="003F4C78"/>
    <w:rsid w:val="003F4DD2"/>
    <w:rsid w:val="003F4DFC"/>
    <w:rsid w:val="003F4E52"/>
    <w:rsid w:val="003F4EAD"/>
    <w:rsid w:val="003F4F0A"/>
    <w:rsid w:val="003F4F0B"/>
    <w:rsid w:val="003F4F12"/>
    <w:rsid w:val="003F4F3A"/>
    <w:rsid w:val="003F4F55"/>
    <w:rsid w:val="003F4F6C"/>
    <w:rsid w:val="003F4F71"/>
    <w:rsid w:val="003F525F"/>
    <w:rsid w:val="003F52A9"/>
    <w:rsid w:val="003F5301"/>
    <w:rsid w:val="003F532E"/>
    <w:rsid w:val="003F5383"/>
    <w:rsid w:val="003F53E8"/>
    <w:rsid w:val="003F5474"/>
    <w:rsid w:val="003F54DB"/>
    <w:rsid w:val="003F562E"/>
    <w:rsid w:val="003F5670"/>
    <w:rsid w:val="003F57B1"/>
    <w:rsid w:val="003F57C4"/>
    <w:rsid w:val="003F57D2"/>
    <w:rsid w:val="003F5807"/>
    <w:rsid w:val="003F5926"/>
    <w:rsid w:val="003F593D"/>
    <w:rsid w:val="003F5940"/>
    <w:rsid w:val="003F5998"/>
    <w:rsid w:val="003F5A2A"/>
    <w:rsid w:val="003F5A63"/>
    <w:rsid w:val="003F5AD6"/>
    <w:rsid w:val="003F5B29"/>
    <w:rsid w:val="003F5B53"/>
    <w:rsid w:val="003F5C22"/>
    <w:rsid w:val="003F5C82"/>
    <w:rsid w:val="003F5D0C"/>
    <w:rsid w:val="003F5DB9"/>
    <w:rsid w:val="003F5E5C"/>
    <w:rsid w:val="003F5EDB"/>
    <w:rsid w:val="003F5EE6"/>
    <w:rsid w:val="003F608C"/>
    <w:rsid w:val="003F60CC"/>
    <w:rsid w:val="003F6186"/>
    <w:rsid w:val="003F624D"/>
    <w:rsid w:val="003F6282"/>
    <w:rsid w:val="003F6380"/>
    <w:rsid w:val="003F64CF"/>
    <w:rsid w:val="003F65D0"/>
    <w:rsid w:val="003F65DA"/>
    <w:rsid w:val="003F661C"/>
    <w:rsid w:val="003F6635"/>
    <w:rsid w:val="003F66B2"/>
    <w:rsid w:val="003F672A"/>
    <w:rsid w:val="003F675A"/>
    <w:rsid w:val="003F6875"/>
    <w:rsid w:val="003F68CA"/>
    <w:rsid w:val="003F6A5D"/>
    <w:rsid w:val="003F6B54"/>
    <w:rsid w:val="003F6B63"/>
    <w:rsid w:val="003F6BB7"/>
    <w:rsid w:val="003F6CD7"/>
    <w:rsid w:val="003F6CDB"/>
    <w:rsid w:val="003F6CFD"/>
    <w:rsid w:val="003F6D2D"/>
    <w:rsid w:val="003F6EF0"/>
    <w:rsid w:val="003F6F2C"/>
    <w:rsid w:val="003F6FAF"/>
    <w:rsid w:val="003F7025"/>
    <w:rsid w:val="003F707A"/>
    <w:rsid w:val="003F70D7"/>
    <w:rsid w:val="003F7220"/>
    <w:rsid w:val="003F72F5"/>
    <w:rsid w:val="003F7397"/>
    <w:rsid w:val="003F73CD"/>
    <w:rsid w:val="003F7406"/>
    <w:rsid w:val="003F7602"/>
    <w:rsid w:val="003F7617"/>
    <w:rsid w:val="003F764A"/>
    <w:rsid w:val="003F7687"/>
    <w:rsid w:val="003F7718"/>
    <w:rsid w:val="003F7741"/>
    <w:rsid w:val="003F77A5"/>
    <w:rsid w:val="003F77AE"/>
    <w:rsid w:val="003F79DD"/>
    <w:rsid w:val="003F7A56"/>
    <w:rsid w:val="003F7B2E"/>
    <w:rsid w:val="003F7C46"/>
    <w:rsid w:val="003F7CBD"/>
    <w:rsid w:val="003F7CCF"/>
    <w:rsid w:val="003F7CFC"/>
    <w:rsid w:val="003F7D48"/>
    <w:rsid w:val="003F7D74"/>
    <w:rsid w:val="003F7D78"/>
    <w:rsid w:val="003F7EB8"/>
    <w:rsid w:val="003F7ED8"/>
    <w:rsid w:val="003F7EF1"/>
    <w:rsid w:val="003F7F18"/>
    <w:rsid w:val="003F7F3C"/>
    <w:rsid w:val="003F7FB8"/>
    <w:rsid w:val="003F7FCA"/>
    <w:rsid w:val="00400107"/>
    <w:rsid w:val="00400157"/>
    <w:rsid w:val="00400214"/>
    <w:rsid w:val="0040042A"/>
    <w:rsid w:val="00400471"/>
    <w:rsid w:val="00400559"/>
    <w:rsid w:val="00400570"/>
    <w:rsid w:val="004005AB"/>
    <w:rsid w:val="004006C9"/>
    <w:rsid w:val="004007BF"/>
    <w:rsid w:val="00400832"/>
    <w:rsid w:val="0040095F"/>
    <w:rsid w:val="00400A48"/>
    <w:rsid w:val="00400AB5"/>
    <w:rsid w:val="00400BB7"/>
    <w:rsid w:val="00400BC9"/>
    <w:rsid w:val="00400D59"/>
    <w:rsid w:val="00400DA8"/>
    <w:rsid w:val="00400DE7"/>
    <w:rsid w:val="00400E17"/>
    <w:rsid w:val="00400E3A"/>
    <w:rsid w:val="00400E4B"/>
    <w:rsid w:val="00400F1A"/>
    <w:rsid w:val="00400FAA"/>
    <w:rsid w:val="00400FD0"/>
    <w:rsid w:val="0040111C"/>
    <w:rsid w:val="00401191"/>
    <w:rsid w:val="004012C2"/>
    <w:rsid w:val="004012E0"/>
    <w:rsid w:val="0040139B"/>
    <w:rsid w:val="00401459"/>
    <w:rsid w:val="00401566"/>
    <w:rsid w:val="00401727"/>
    <w:rsid w:val="004017E9"/>
    <w:rsid w:val="0040182A"/>
    <w:rsid w:val="004018D7"/>
    <w:rsid w:val="0040193F"/>
    <w:rsid w:val="00401968"/>
    <w:rsid w:val="00401A75"/>
    <w:rsid w:val="00401ACF"/>
    <w:rsid w:val="00401BC3"/>
    <w:rsid w:val="00401C26"/>
    <w:rsid w:val="00401EF9"/>
    <w:rsid w:val="00401FA8"/>
    <w:rsid w:val="0040204B"/>
    <w:rsid w:val="00402053"/>
    <w:rsid w:val="004020CC"/>
    <w:rsid w:val="0040226D"/>
    <w:rsid w:val="004022A8"/>
    <w:rsid w:val="004022DD"/>
    <w:rsid w:val="00402357"/>
    <w:rsid w:val="004024E9"/>
    <w:rsid w:val="00402560"/>
    <w:rsid w:val="00402561"/>
    <w:rsid w:val="00402587"/>
    <w:rsid w:val="004025DF"/>
    <w:rsid w:val="004025EA"/>
    <w:rsid w:val="00402676"/>
    <w:rsid w:val="00402681"/>
    <w:rsid w:val="004026C0"/>
    <w:rsid w:val="0040276A"/>
    <w:rsid w:val="00402784"/>
    <w:rsid w:val="004029F8"/>
    <w:rsid w:val="00402A00"/>
    <w:rsid w:val="00402C62"/>
    <w:rsid w:val="00402E0B"/>
    <w:rsid w:val="00402E2D"/>
    <w:rsid w:val="00402EEC"/>
    <w:rsid w:val="00402EF3"/>
    <w:rsid w:val="00403160"/>
    <w:rsid w:val="00403189"/>
    <w:rsid w:val="004031BB"/>
    <w:rsid w:val="004032F7"/>
    <w:rsid w:val="0040335F"/>
    <w:rsid w:val="0040349D"/>
    <w:rsid w:val="00403521"/>
    <w:rsid w:val="00403631"/>
    <w:rsid w:val="004036D7"/>
    <w:rsid w:val="00403838"/>
    <w:rsid w:val="00403887"/>
    <w:rsid w:val="00403900"/>
    <w:rsid w:val="00403972"/>
    <w:rsid w:val="00403979"/>
    <w:rsid w:val="00403A5E"/>
    <w:rsid w:val="00403A7C"/>
    <w:rsid w:val="00403A7D"/>
    <w:rsid w:val="00403A7E"/>
    <w:rsid w:val="00403BB5"/>
    <w:rsid w:val="00403BF1"/>
    <w:rsid w:val="00403C69"/>
    <w:rsid w:val="00403D3E"/>
    <w:rsid w:val="00403F57"/>
    <w:rsid w:val="00403F6A"/>
    <w:rsid w:val="00404123"/>
    <w:rsid w:val="00404245"/>
    <w:rsid w:val="0040440C"/>
    <w:rsid w:val="00404437"/>
    <w:rsid w:val="00404501"/>
    <w:rsid w:val="00404597"/>
    <w:rsid w:val="0040461E"/>
    <w:rsid w:val="0040466D"/>
    <w:rsid w:val="004046A0"/>
    <w:rsid w:val="00404829"/>
    <w:rsid w:val="004049B9"/>
    <w:rsid w:val="004049DA"/>
    <w:rsid w:val="00404AEF"/>
    <w:rsid w:val="00404B24"/>
    <w:rsid w:val="00404B3F"/>
    <w:rsid w:val="00404B88"/>
    <w:rsid w:val="00404C42"/>
    <w:rsid w:val="00404C6C"/>
    <w:rsid w:val="00404CAA"/>
    <w:rsid w:val="00404D41"/>
    <w:rsid w:val="00404D57"/>
    <w:rsid w:val="00404D66"/>
    <w:rsid w:val="00404D8E"/>
    <w:rsid w:val="00404DFD"/>
    <w:rsid w:val="00404E92"/>
    <w:rsid w:val="00404F67"/>
    <w:rsid w:val="00405021"/>
    <w:rsid w:val="004050A2"/>
    <w:rsid w:val="004051E2"/>
    <w:rsid w:val="004052B6"/>
    <w:rsid w:val="0040530B"/>
    <w:rsid w:val="004053B0"/>
    <w:rsid w:val="0040549C"/>
    <w:rsid w:val="004054BF"/>
    <w:rsid w:val="00405537"/>
    <w:rsid w:val="00405576"/>
    <w:rsid w:val="004055D7"/>
    <w:rsid w:val="0040571C"/>
    <w:rsid w:val="00405749"/>
    <w:rsid w:val="0040575F"/>
    <w:rsid w:val="0040577F"/>
    <w:rsid w:val="004057D1"/>
    <w:rsid w:val="0040587C"/>
    <w:rsid w:val="004058BA"/>
    <w:rsid w:val="004058C4"/>
    <w:rsid w:val="0040594C"/>
    <w:rsid w:val="00405985"/>
    <w:rsid w:val="00405A5F"/>
    <w:rsid w:val="00405AC8"/>
    <w:rsid w:val="00405BDF"/>
    <w:rsid w:val="00405C64"/>
    <w:rsid w:val="00405CF4"/>
    <w:rsid w:val="00405D0E"/>
    <w:rsid w:val="00405DB1"/>
    <w:rsid w:val="00405DD8"/>
    <w:rsid w:val="00405EC3"/>
    <w:rsid w:val="00405EDE"/>
    <w:rsid w:val="00405F8C"/>
    <w:rsid w:val="00405FA7"/>
    <w:rsid w:val="004060A0"/>
    <w:rsid w:val="004060DE"/>
    <w:rsid w:val="0040614B"/>
    <w:rsid w:val="004061E7"/>
    <w:rsid w:val="00406223"/>
    <w:rsid w:val="00406287"/>
    <w:rsid w:val="004062B9"/>
    <w:rsid w:val="00406300"/>
    <w:rsid w:val="00406408"/>
    <w:rsid w:val="00406472"/>
    <w:rsid w:val="00406745"/>
    <w:rsid w:val="00406978"/>
    <w:rsid w:val="00406A19"/>
    <w:rsid w:val="00406AE5"/>
    <w:rsid w:val="00406B78"/>
    <w:rsid w:val="00406BF1"/>
    <w:rsid w:val="00406E88"/>
    <w:rsid w:val="00406EF6"/>
    <w:rsid w:val="00406F01"/>
    <w:rsid w:val="00406FB5"/>
    <w:rsid w:val="0040703F"/>
    <w:rsid w:val="00407085"/>
    <w:rsid w:val="004070A4"/>
    <w:rsid w:val="0040720E"/>
    <w:rsid w:val="00407254"/>
    <w:rsid w:val="004072BE"/>
    <w:rsid w:val="00407382"/>
    <w:rsid w:val="004073F6"/>
    <w:rsid w:val="0040744A"/>
    <w:rsid w:val="004074F9"/>
    <w:rsid w:val="004075D6"/>
    <w:rsid w:val="00407689"/>
    <w:rsid w:val="004077D1"/>
    <w:rsid w:val="004078A7"/>
    <w:rsid w:val="00407909"/>
    <w:rsid w:val="004079B4"/>
    <w:rsid w:val="00407A36"/>
    <w:rsid w:val="00407A5F"/>
    <w:rsid w:val="00407ADA"/>
    <w:rsid w:val="00407C53"/>
    <w:rsid w:val="00407C78"/>
    <w:rsid w:val="00407C8A"/>
    <w:rsid w:val="00407CE2"/>
    <w:rsid w:val="00407D6E"/>
    <w:rsid w:val="00407D9D"/>
    <w:rsid w:val="00407E47"/>
    <w:rsid w:val="00407E7A"/>
    <w:rsid w:val="00407EA8"/>
    <w:rsid w:val="00407F0C"/>
    <w:rsid w:val="00407F4B"/>
    <w:rsid w:val="00407F68"/>
    <w:rsid w:val="00407FFC"/>
    <w:rsid w:val="0041007F"/>
    <w:rsid w:val="0041013C"/>
    <w:rsid w:val="00410146"/>
    <w:rsid w:val="00410149"/>
    <w:rsid w:val="004101D8"/>
    <w:rsid w:val="004102A5"/>
    <w:rsid w:val="0041038B"/>
    <w:rsid w:val="0041040F"/>
    <w:rsid w:val="00410432"/>
    <w:rsid w:val="00410453"/>
    <w:rsid w:val="004104D7"/>
    <w:rsid w:val="00410641"/>
    <w:rsid w:val="00410647"/>
    <w:rsid w:val="00410938"/>
    <w:rsid w:val="004109A8"/>
    <w:rsid w:val="004109AD"/>
    <w:rsid w:val="00410A22"/>
    <w:rsid w:val="00410A9F"/>
    <w:rsid w:val="00410B02"/>
    <w:rsid w:val="00410BE2"/>
    <w:rsid w:val="00410CC9"/>
    <w:rsid w:val="00410D48"/>
    <w:rsid w:val="00410E9B"/>
    <w:rsid w:val="00410F0B"/>
    <w:rsid w:val="00410F23"/>
    <w:rsid w:val="00410F45"/>
    <w:rsid w:val="00410FD2"/>
    <w:rsid w:val="00411228"/>
    <w:rsid w:val="00411303"/>
    <w:rsid w:val="00411319"/>
    <w:rsid w:val="00411450"/>
    <w:rsid w:val="0041150C"/>
    <w:rsid w:val="004115A0"/>
    <w:rsid w:val="00411671"/>
    <w:rsid w:val="00411709"/>
    <w:rsid w:val="00411710"/>
    <w:rsid w:val="00411797"/>
    <w:rsid w:val="0041187F"/>
    <w:rsid w:val="004119BB"/>
    <w:rsid w:val="00411A46"/>
    <w:rsid w:val="00411BAF"/>
    <w:rsid w:val="00411D34"/>
    <w:rsid w:val="00411D38"/>
    <w:rsid w:val="00411D7D"/>
    <w:rsid w:val="00411DAA"/>
    <w:rsid w:val="00411DB2"/>
    <w:rsid w:val="00411DD7"/>
    <w:rsid w:val="00411ECA"/>
    <w:rsid w:val="00411F06"/>
    <w:rsid w:val="00411F6D"/>
    <w:rsid w:val="00411FDB"/>
    <w:rsid w:val="00412059"/>
    <w:rsid w:val="004122F3"/>
    <w:rsid w:val="004123B7"/>
    <w:rsid w:val="00412420"/>
    <w:rsid w:val="00412422"/>
    <w:rsid w:val="0041243A"/>
    <w:rsid w:val="00412548"/>
    <w:rsid w:val="004125BC"/>
    <w:rsid w:val="004125DF"/>
    <w:rsid w:val="00412602"/>
    <w:rsid w:val="004126C2"/>
    <w:rsid w:val="0041272A"/>
    <w:rsid w:val="004127F8"/>
    <w:rsid w:val="0041298F"/>
    <w:rsid w:val="004129A0"/>
    <w:rsid w:val="00412A2E"/>
    <w:rsid w:val="00412AA2"/>
    <w:rsid w:val="00412BC9"/>
    <w:rsid w:val="00412BE6"/>
    <w:rsid w:val="00412D22"/>
    <w:rsid w:val="00412D65"/>
    <w:rsid w:val="00412DF2"/>
    <w:rsid w:val="00412EAB"/>
    <w:rsid w:val="00412F1B"/>
    <w:rsid w:val="00412F1D"/>
    <w:rsid w:val="00412F4D"/>
    <w:rsid w:val="00412F87"/>
    <w:rsid w:val="00413010"/>
    <w:rsid w:val="00413069"/>
    <w:rsid w:val="00413073"/>
    <w:rsid w:val="004131F3"/>
    <w:rsid w:val="00413220"/>
    <w:rsid w:val="004132A2"/>
    <w:rsid w:val="004132CD"/>
    <w:rsid w:val="00413414"/>
    <w:rsid w:val="0041350A"/>
    <w:rsid w:val="00413519"/>
    <w:rsid w:val="00413574"/>
    <w:rsid w:val="004135D9"/>
    <w:rsid w:val="00413642"/>
    <w:rsid w:val="0041367E"/>
    <w:rsid w:val="00413815"/>
    <w:rsid w:val="00413857"/>
    <w:rsid w:val="00413920"/>
    <w:rsid w:val="00413A30"/>
    <w:rsid w:val="00413A4D"/>
    <w:rsid w:val="00413BB0"/>
    <w:rsid w:val="00413D9D"/>
    <w:rsid w:val="00413DB6"/>
    <w:rsid w:val="00413E02"/>
    <w:rsid w:val="00413E15"/>
    <w:rsid w:val="00413EF6"/>
    <w:rsid w:val="0041414B"/>
    <w:rsid w:val="00414178"/>
    <w:rsid w:val="00414194"/>
    <w:rsid w:val="00414261"/>
    <w:rsid w:val="00414372"/>
    <w:rsid w:val="0041449E"/>
    <w:rsid w:val="004144CD"/>
    <w:rsid w:val="004144DD"/>
    <w:rsid w:val="004144F0"/>
    <w:rsid w:val="00414552"/>
    <w:rsid w:val="0041457C"/>
    <w:rsid w:val="0041458A"/>
    <w:rsid w:val="00414742"/>
    <w:rsid w:val="00414751"/>
    <w:rsid w:val="0041476F"/>
    <w:rsid w:val="004147ED"/>
    <w:rsid w:val="004148AA"/>
    <w:rsid w:val="004148E3"/>
    <w:rsid w:val="004148FC"/>
    <w:rsid w:val="004149F4"/>
    <w:rsid w:val="00414A09"/>
    <w:rsid w:val="00414A95"/>
    <w:rsid w:val="00414BEC"/>
    <w:rsid w:val="00414C05"/>
    <w:rsid w:val="00414C8A"/>
    <w:rsid w:val="00414CAB"/>
    <w:rsid w:val="00414DAD"/>
    <w:rsid w:val="00414DD6"/>
    <w:rsid w:val="00414E01"/>
    <w:rsid w:val="00414E74"/>
    <w:rsid w:val="00414EA5"/>
    <w:rsid w:val="00414EB5"/>
    <w:rsid w:val="00414F55"/>
    <w:rsid w:val="00414FA9"/>
    <w:rsid w:val="0041506D"/>
    <w:rsid w:val="004150AC"/>
    <w:rsid w:val="004150D5"/>
    <w:rsid w:val="00415139"/>
    <w:rsid w:val="004151D3"/>
    <w:rsid w:val="00415249"/>
    <w:rsid w:val="00415264"/>
    <w:rsid w:val="00415274"/>
    <w:rsid w:val="0041528C"/>
    <w:rsid w:val="004152B9"/>
    <w:rsid w:val="004152D4"/>
    <w:rsid w:val="00415365"/>
    <w:rsid w:val="004153B4"/>
    <w:rsid w:val="00415438"/>
    <w:rsid w:val="004154D9"/>
    <w:rsid w:val="004154DB"/>
    <w:rsid w:val="004155A5"/>
    <w:rsid w:val="00415701"/>
    <w:rsid w:val="0041575A"/>
    <w:rsid w:val="004159BD"/>
    <w:rsid w:val="00415A0C"/>
    <w:rsid w:val="00415B27"/>
    <w:rsid w:val="00415B44"/>
    <w:rsid w:val="00415B4E"/>
    <w:rsid w:val="00415B5C"/>
    <w:rsid w:val="00415B6A"/>
    <w:rsid w:val="00415C15"/>
    <w:rsid w:val="00415C2E"/>
    <w:rsid w:val="00415C4E"/>
    <w:rsid w:val="00415C55"/>
    <w:rsid w:val="00415D4E"/>
    <w:rsid w:val="00415D8E"/>
    <w:rsid w:val="00415DB2"/>
    <w:rsid w:val="00415DCC"/>
    <w:rsid w:val="00415E17"/>
    <w:rsid w:val="00415EFC"/>
    <w:rsid w:val="00415F32"/>
    <w:rsid w:val="00415F36"/>
    <w:rsid w:val="00415F5A"/>
    <w:rsid w:val="00415FB3"/>
    <w:rsid w:val="00415FCC"/>
    <w:rsid w:val="00415FD0"/>
    <w:rsid w:val="00415FF6"/>
    <w:rsid w:val="00416024"/>
    <w:rsid w:val="00416052"/>
    <w:rsid w:val="0041607E"/>
    <w:rsid w:val="004162B4"/>
    <w:rsid w:val="0041630A"/>
    <w:rsid w:val="00416382"/>
    <w:rsid w:val="0041645D"/>
    <w:rsid w:val="0041648B"/>
    <w:rsid w:val="00416494"/>
    <w:rsid w:val="004164EE"/>
    <w:rsid w:val="004165C5"/>
    <w:rsid w:val="004165F8"/>
    <w:rsid w:val="0041662C"/>
    <w:rsid w:val="00416774"/>
    <w:rsid w:val="004167C5"/>
    <w:rsid w:val="004167CF"/>
    <w:rsid w:val="00416806"/>
    <w:rsid w:val="004168C6"/>
    <w:rsid w:val="004169E9"/>
    <w:rsid w:val="00416AA9"/>
    <w:rsid w:val="00416ACF"/>
    <w:rsid w:val="00416AF4"/>
    <w:rsid w:val="00416B4F"/>
    <w:rsid w:val="00416B97"/>
    <w:rsid w:val="00416BB7"/>
    <w:rsid w:val="00416C79"/>
    <w:rsid w:val="00416CCB"/>
    <w:rsid w:val="00416D57"/>
    <w:rsid w:val="00416D84"/>
    <w:rsid w:val="00416DB2"/>
    <w:rsid w:val="00416DEE"/>
    <w:rsid w:val="00416E11"/>
    <w:rsid w:val="00416EC7"/>
    <w:rsid w:val="00416FBF"/>
    <w:rsid w:val="00417097"/>
    <w:rsid w:val="00417197"/>
    <w:rsid w:val="004171FE"/>
    <w:rsid w:val="004172FD"/>
    <w:rsid w:val="0041735C"/>
    <w:rsid w:val="00417396"/>
    <w:rsid w:val="004173A6"/>
    <w:rsid w:val="004173EB"/>
    <w:rsid w:val="00417447"/>
    <w:rsid w:val="004175DE"/>
    <w:rsid w:val="004175F1"/>
    <w:rsid w:val="00417620"/>
    <w:rsid w:val="0041770C"/>
    <w:rsid w:val="00417796"/>
    <w:rsid w:val="00417831"/>
    <w:rsid w:val="004178D3"/>
    <w:rsid w:val="004178DE"/>
    <w:rsid w:val="004179D0"/>
    <w:rsid w:val="00417B94"/>
    <w:rsid w:val="00417BD1"/>
    <w:rsid w:val="00417C88"/>
    <w:rsid w:val="00417E58"/>
    <w:rsid w:val="00417FBF"/>
    <w:rsid w:val="00417FD6"/>
    <w:rsid w:val="004200B6"/>
    <w:rsid w:val="004201B7"/>
    <w:rsid w:val="00420256"/>
    <w:rsid w:val="00420292"/>
    <w:rsid w:val="004202A0"/>
    <w:rsid w:val="004202BC"/>
    <w:rsid w:val="00420309"/>
    <w:rsid w:val="004203DA"/>
    <w:rsid w:val="0042043A"/>
    <w:rsid w:val="004204DE"/>
    <w:rsid w:val="004205C5"/>
    <w:rsid w:val="004205C7"/>
    <w:rsid w:val="00420631"/>
    <w:rsid w:val="00420641"/>
    <w:rsid w:val="00420742"/>
    <w:rsid w:val="0042079D"/>
    <w:rsid w:val="004207F7"/>
    <w:rsid w:val="00420927"/>
    <w:rsid w:val="0042095C"/>
    <w:rsid w:val="00420973"/>
    <w:rsid w:val="00420A01"/>
    <w:rsid w:val="00420B5E"/>
    <w:rsid w:val="00420C0D"/>
    <w:rsid w:val="00420D18"/>
    <w:rsid w:val="00420D45"/>
    <w:rsid w:val="00420D82"/>
    <w:rsid w:val="00420ED1"/>
    <w:rsid w:val="00420EDB"/>
    <w:rsid w:val="004210DE"/>
    <w:rsid w:val="0042116F"/>
    <w:rsid w:val="004211F6"/>
    <w:rsid w:val="0042128A"/>
    <w:rsid w:val="004212A1"/>
    <w:rsid w:val="00421333"/>
    <w:rsid w:val="00421384"/>
    <w:rsid w:val="00421392"/>
    <w:rsid w:val="0042139F"/>
    <w:rsid w:val="00421465"/>
    <w:rsid w:val="00421621"/>
    <w:rsid w:val="0042167E"/>
    <w:rsid w:val="004217A5"/>
    <w:rsid w:val="004217DA"/>
    <w:rsid w:val="00421816"/>
    <w:rsid w:val="004218E3"/>
    <w:rsid w:val="004218ED"/>
    <w:rsid w:val="00421959"/>
    <w:rsid w:val="004219FB"/>
    <w:rsid w:val="00421A56"/>
    <w:rsid w:val="00421B41"/>
    <w:rsid w:val="00421B4D"/>
    <w:rsid w:val="00421C03"/>
    <w:rsid w:val="00421CF2"/>
    <w:rsid w:val="00421D83"/>
    <w:rsid w:val="00421D9D"/>
    <w:rsid w:val="00421DFB"/>
    <w:rsid w:val="00421E47"/>
    <w:rsid w:val="004220CC"/>
    <w:rsid w:val="004221DB"/>
    <w:rsid w:val="004221DC"/>
    <w:rsid w:val="004222FC"/>
    <w:rsid w:val="00422317"/>
    <w:rsid w:val="00422410"/>
    <w:rsid w:val="004224BE"/>
    <w:rsid w:val="00422632"/>
    <w:rsid w:val="004228B3"/>
    <w:rsid w:val="0042291B"/>
    <w:rsid w:val="004229AB"/>
    <w:rsid w:val="00422BD7"/>
    <w:rsid w:val="00422C62"/>
    <w:rsid w:val="00422D04"/>
    <w:rsid w:val="00422D75"/>
    <w:rsid w:val="00422E50"/>
    <w:rsid w:val="00423123"/>
    <w:rsid w:val="0042313E"/>
    <w:rsid w:val="004231E0"/>
    <w:rsid w:val="00423299"/>
    <w:rsid w:val="00423380"/>
    <w:rsid w:val="004233BE"/>
    <w:rsid w:val="00423428"/>
    <w:rsid w:val="004234EA"/>
    <w:rsid w:val="00423618"/>
    <w:rsid w:val="004239A3"/>
    <w:rsid w:val="00423A9C"/>
    <w:rsid w:val="00423B1A"/>
    <w:rsid w:val="00423BD0"/>
    <w:rsid w:val="00423CFC"/>
    <w:rsid w:val="00423D04"/>
    <w:rsid w:val="00423D84"/>
    <w:rsid w:val="00423E14"/>
    <w:rsid w:val="00423E7D"/>
    <w:rsid w:val="00423EA7"/>
    <w:rsid w:val="00423ED0"/>
    <w:rsid w:val="00423ED5"/>
    <w:rsid w:val="00423F37"/>
    <w:rsid w:val="004240B4"/>
    <w:rsid w:val="0042413D"/>
    <w:rsid w:val="004241FA"/>
    <w:rsid w:val="004244ED"/>
    <w:rsid w:val="00424515"/>
    <w:rsid w:val="0042451F"/>
    <w:rsid w:val="00424586"/>
    <w:rsid w:val="004245C8"/>
    <w:rsid w:val="0042481E"/>
    <w:rsid w:val="00424BD2"/>
    <w:rsid w:val="00424BD8"/>
    <w:rsid w:val="00424DA2"/>
    <w:rsid w:val="00424E7A"/>
    <w:rsid w:val="00425102"/>
    <w:rsid w:val="0042512C"/>
    <w:rsid w:val="00425161"/>
    <w:rsid w:val="004252FB"/>
    <w:rsid w:val="00425403"/>
    <w:rsid w:val="0042541E"/>
    <w:rsid w:val="00425437"/>
    <w:rsid w:val="004254C6"/>
    <w:rsid w:val="004254D5"/>
    <w:rsid w:val="004254FC"/>
    <w:rsid w:val="0042552C"/>
    <w:rsid w:val="0042553B"/>
    <w:rsid w:val="00425637"/>
    <w:rsid w:val="00425679"/>
    <w:rsid w:val="00425705"/>
    <w:rsid w:val="00425732"/>
    <w:rsid w:val="004257D1"/>
    <w:rsid w:val="00425803"/>
    <w:rsid w:val="00425854"/>
    <w:rsid w:val="004258A4"/>
    <w:rsid w:val="004259D1"/>
    <w:rsid w:val="00425A9E"/>
    <w:rsid w:val="00425B0C"/>
    <w:rsid w:val="00425C10"/>
    <w:rsid w:val="00425D35"/>
    <w:rsid w:val="00425D73"/>
    <w:rsid w:val="00425E7C"/>
    <w:rsid w:val="00425F72"/>
    <w:rsid w:val="00425FC8"/>
    <w:rsid w:val="0042600A"/>
    <w:rsid w:val="0042602E"/>
    <w:rsid w:val="004260E4"/>
    <w:rsid w:val="004261C1"/>
    <w:rsid w:val="004261DB"/>
    <w:rsid w:val="00426202"/>
    <w:rsid w:val="004262BD"/>
    <w:rsid w:val="004262C7"/>
    <w:rsid w:val="00426348"/>
    <w:rsid w:val="004263DF"/>
    <w:rsid w:val="0042656E"/>
    <w:rsid w:val="00426593"/>
    <w:rsid w:val="0042665B"/>
    <w:rsid w:val="00426737"/>
    <w:rsid w:val="00426856"/>
    <w:rsid w:val="004268EF"/>
    <w:rsid w:val="00426A6A"/>
    <w:rsid w:val="00426AA5"/>
    <w:rsid w:val="00426B3B"/>
    <w:rsid w:val="00426C4B"/>
    <w:rsid w:val="00426F3A"/>
    <w:rsid w:val="0042701A"/>
    <w:rsid w:val="004270B2"/>
    <w:rsid w:val="004270D8"/>
    <w:rsid w:val="004270FE"/>
    <w:rsid w:val="004271C5"/>
    <w:rsid w:val="0042721B"/>
    <w:rsid w:val="0042722E"/>
    <w:rsid w:val="004272A0"/>
    <w:rsid w:val="00427363"/>
    <w:rsid w:val="004273AC"/>
    <w:rsid w:val="004273D5"/>
    <w:rsid w:val="00427472"/>
    <w:rsid w:val="00427478"/>
    <w:rsid w:val="0042747D"/>
    <w:rsid w:val="004274CC"/>
    <w:rsid w:val="00427533"/>
    <w:rsid w:val="0042767F"/>
    <w:rsid w:val="00427706"/>
    <w:rsid w:val="004277A3"/>
    <w:rsid w:val="004277F6"/>
    <w:rsid w:val="004277FD"/>
    <w:rsid w:val="00427852"/>
    <w:rsid w:val="0042794F"/>
    <w:rsid w:val="004279FC"/>
    <w:rsid w:val="00427A1E"/>
    <w:rsid w:val="00427ADD"/>
    <w:rsid w:val="00427B47"/>
    <w:rsid w:val="00427BB6"/>
    <w:rsid w:val="00427BE4"/>
    <w:rsid w:val="00427C93"/>
    <w:rsid w:val="00427D0E"/>
    <w:rsid w:val="00427D38"/>
    <w:rsid w:val="00427DB8"/>
    <w:rsid w:val="00427ECC"/>
    <w:rsid w:val="00427EF5"/>
    <w:rsid w:val="0043028A"/>
    <w:rsid w:val="004302D1"/>
    <w:rsid w:val="004303C0"/>
    <w:rsid w:val="00430507"/>
    <w:rsid w:val="0043050B"/>
    <w:rsid w:val="00430518"/>
    <w:rsid w:val="004305C1"/>
    <w:rsid w:val="00430605"/>
    <w:rsid w:val="004306DA"/>
    <w:rsid w:val="0043070C"/>
    <w:rsid w:val="0043072E"/>
    <w:rsid w:val="004307B3"/>
    <w:rsid w:val="0043081D"/>
    <w:rsid w:val="00430845"/>
    <w:rsid w:val="00430858"/>
    <w:rsid w:val="004309C3"/>
    <w:rsid w:val="004309D2"/>
    <w:rsid w:val="00430A79"/>
    <w:rsid w:val="00430AC8"/>
    <w:rsid w:val="00430AF1"/>
    <w:rsid w:val="00430B6C"/>
    <w:rsid w:val="00430BD3"/>
    <w:rsid w:val="00430C32"/>
    <w:rsid w:val="00430CCD"/>
    <w:rsid w:val="00430DCC"/>
    <w:rsid w:val="00430E7A"/>
    <w:rsid w:val="00430F6E"/>
    <w:rsid w:val="00430FB7"/>
    <w:rsid w:val="00430FDC"/>
    <w:rsid w:val="0043106B"/>
    <w:rsid w:val="00431114"/>
    <w:rsid w:val="00431253"/>
    <w:rsid w:val="004312A5"/>
    <w:rsid w:val="004312E1"/>
    <w:rsid w:val="0043137E"/>
    <w:rsid w:val="00431408"/>
    <w:rsid w:val="0043141B"/>
    <w:rsid w:val="00431521"/>
    <w:rsid w:val="004316B8"/>
    <w:rsid w:val="00431723"/>
    <w:rsid w:val="004317C5"/>
    <w:rsid w:val="00431866"/>
    <w:rsid w:val="004318B3"/>
    <w:rsid w:val="004318E7"/>
    <w:rsid w:val="0043199E"/>
    <w:rsid w:val="00431A71"/>
    <w:rsid w:val="00431B68"/>
    <w:rsid w:val="00431CB1"/>
    <w:rsid w:val="00431DCC"/>
    <w:rsid w:val="00431DD8"/>
    <w:rsid w:val="00431DE1"/>
    <w:rsid w:val="00431E09"/>
    <w:rsid w:val="00431E71"/>
    <w:rsid w:val="00431E98"/>
    <w:rsid w:val="00431F33"/>
    <w:rsid w:val="0043203D"/>
    <w:rsid w:val="00432073"/>
    <w:rsid w:val="00432078"/>
    <w:rsid w:val="004320BE"/>
    <w:rsid w:val="0043212A"/>
    <w:rsid w:val="004321B7"/>
    <w:rsid w:val="004321CF"/>
    <w:rsid w:val="00432270"/>
    <w:rsid w:val="004323BC"/>
    <w:rsid w:val="00432657"/>
    <w:rsid w:val="004327F2"/>
    <w:rsid w:val="004327F7"/>
    <w:rsid w:val="00432858"/>
    <w:rsid w:val="004328DE"/>
    <w:rsid w:val="004329A7"/>
    <w:rsid w:val="004329C3"/>
    <w:rsid w:val="00432AED"/>
    <w:rsid w:val="00432B03"/>
    <w:rsid w:val="00432C73"/>
    <w:rsid w:val="00432D79"/>
    <w:rsid w:val="00432D83"/>
    <w:rsid w:val="00432E0F"/>
    <w:rsid w:val="00432E58"/>
    <w:rsid w:val="00432EA4"/>
    <w:rsid w:val="00432F13"/>
    <w:rsid w:val="00432F25"/>
    <w:rsid w:val="00433039"/>
    <w:rsid w:val="00433208"/>
    <w:rsid w:val="00433229"/>
    <w:rsid w:val="00433479"/>
    <w:rsid w:val="004335D7"/>
    <w:rsid w:val="00433659"/>
    <w:rsid w:val="0043366F"/>
    <w:rsid w:val="0043371E"/>
    <w:rsid w:val="0043375C"/>
    <w:rsid w:val="004337F9"/>
    <w:rsid w:val="00433865"/>
    <w:rsid w:val="004338B6"/>
    <w:rsid w:val="00433936"/>
    <w:rsid w:val="00433958"/>
    <w:rsid w:val="004339CD"/>
    <w:rsid w:val="00433A58"/>
    <w:rsid w:val="00433B7F"/>
    <w:rsid w:val="00433B98"/>
    <w:rsid w:val="00433CAF"/>
    <w:rsid w:val="00433CC0"/>
    <w:rsid w:val="00433CFE"/>
    <w:rsid w:val="00433D74"/>
    <w:rsid w:val="00433D77"/>
    <w:rsid w:val="00433D81"/>
    <w:rsid w:val="00433E3C"/>
    <w:rsid w:val="00433FD7"/>
    <w:rsid w:val="004340C8"/>
    <w:rsid w:val="0043414C"/>
    <w:rsid w:val="00434199"/>
    <w:rsid w:val="004341C7"/>
    <w:rsid w:val="0043427D"/>
    <w:rsid w:val="0043431E"/>
    <w:rsid w:val="004343C0"/>
    <w:rsid w:val="0043441A"/>
    <w:rsid w:val="0043448E"/>
    <w:rsid w:val="004344D7"/>
    <w:rsid w:val="00434567"/>
    <w:rsid w:val="004345D8"/>
    <w:rsid w:val="0043462A"/>
    <w:rsid w:val="00434668"/>
    <w:rsid w:val="004346AF"/>
    <w:rsid w:val="00434720"/>
    <w:rsid w:val="00434768"/>
    <w:rsid w:val="004347A8"/>
    <w:rsid w:val="004347AA"/>
    <w:rsid w:val="00434805"/>
    <w:rsid w:val="0043484F"/>
    <w:rsid w:val="00434860"/>
    <w:rsid w:val="0043495C"/>
    <w:rsid w:val="0043496C"/>
    <w:rsid w:val="004349DD"/>
    <w:rsid w:val="00434A45"/>
    <w:rsid w:val="00434B17"/>
    <w:rsid w:val="00434BB1"/>
    <w:rsid w:val="00434BBF"/>
    <w:rsid w:val="00434BC1"/>
    <w:rsid w:val="00434BE3"/>
    <w:rsid w:val="00434C53"/>
    <w:rsid w:val="00434D2C"/>
    <w:rsid w:val="00434DDF"/>
    <w:rsid w:val="00434E2D"/>
    <w:rsid w:val="00434F40"/>
    <w:rsid w:val="00435004"/>
    <w:rsid w:val="00435071"/>
    <w:rsid w:val="0043507C"/>
    <w:rsid w:val="00435188"/>
    <w:rsid w:val="0043524F"/>
    <w:rsid w:val="004352B1"/>
    <w:rsid w:val="0043555B"/>
    <w:rsid w:val="004355D7"/>
    <w:rsid w:val="004357CF"/>
    <w:rsid w:val="004357D1"/>
    <w:rsid w:val="0043582C"/>
    <w:rsid w:val="004359C7"/>
    <w:rsid w:val="00435C2A"/>
    <w:rsid w:val="00435C54"/>
    <w:rsid w:val="00435CF3"/>
    <w:rsid w:val="00435D9B"/>
    <w:rsid w:val="00435E6C"/>
    <w:rsid w:val="00435F4C"/>
    <w:rsid w:val="00436051"/>
    <w:rsid w:val="0043606B"/>
    <w:rsid w:val="004360C4"/>
    <w:rsid w:val="004360D9"/>
    <w:rsid w:val="00436155"/>
    <w:rsid w:val="004361F6"/>
    <w:rsid w:val="00436320"/>
    <w:rsid w:val="004364FE"/>
    <w:rsid w:val="00436526"/>
    <w:rsid w:val="00436573"/>
    <w:rsid w:val="004365CE"/>
    <w:rsid w:val="004366F4"/>
    <w:rsid w:val="004367BC"/>
    <w:rsid w:val="004368FC"/>
    <w:rsid w:val="00436945"/>
    <w:rsid w:val="004369A7"/>
    <w:rsid w:val="00436B37"/>
    <w:rsid w:val="00436B8E"/>
    <w:rsid w:val="00436E2F"/>
    <w:rsid w:val="00436E89"/>
    <w:rsid w:val="00436EF5"/>
    <w:rsid w:val="00436EFA"/>
    <w:rsid w:val="00436F01"/>
    <w:rsid w:val="00436F8E"/>
    <w:rsid w:val="00436FB8"/>
    <w:rsid w:val="0043701F"/>
    <w:rsid w:val="0043716D"/>
    <w:rsid w:val="004371FE"/>
    <w:rsid w:val="004374A9"/>
    <w:rsid w:val="004374EB"/>
    <w:rsid w:val="004375B7"/>
    <w:rsid w:val="004375F0"/>
    <w:rsid w:val="00437719"/>
    <w:rsid w:val="0043772B"/>
    <w:rsid w:val="00437776"/>
    <w:rsid w:val="0043786B"/>
    <w:rsid w:val="0043791D"/>
    <w:rsid w:val="00437A2A"/>
    <w:rsid w:val="00437A70"/>
    <w:rsid w:val="00437D69"/>
    <w:rsid w:val="00437DCC"/>
    <w:rsid w:val="00437E71"/>
    <w:rsid w:val="00437F46"/>
    <w:rsid w:val="00437F91"/>
    <w:rsid w:val="00437FE9"/>
    <w:rsid w:val="00439F17"/>
    <w:rsid w:val="0044001F"/>
    <w:rsid w:val="0044027F"/>
    <w:rsid w:val="0044045B"/>
    <w:rsid w:val="004404CD"/>
    <w:rsid w:val="004404F5"/>
    <w:rsid w:val="004405E9"/>
    <w:rsid w:val="0044061B"/>
    <w:rsid w:val="00440651"/>
    <w:rsid w:val="00440690"/>
    <w:rsid w:val="00440749"/>
    <w:rsid w:val="004408CB"/>
    <w:rsid w:val="004408EA"/>
    <w:rsid w:val="004408EB"/>
    <w:rsid w:val="00440A09"/>
    <w:rsid w:val="00440C64"/>
    <w:rsid w:val="00440CAD"/>
    <w:rsid w:val="00440CBF"/>
    <w:rsid w:val="00440CC4"/>
    <w:rsid w:val="00440CDE"/>
    <w:rsid w:val="00440D8B"/>
    <w:rsid w:val="00440DBF"/>
    <w:rsid w:val="00440DC9"/>
    <w:rsid w:val="00440F7F"/>
    <w:rsid w:val="00440FAB"/>
    <w:rsid w:val="00440FCF"/>
    <w:rsid w:val="0044101E"/>
    <w:rsid w:val="00441042"/>
    <w:rsid w:val="00441130"/>
    <w:rsid w:val="004411AE"/>
    <w:rsid w:val="0044123A"/>
    <w:rsid w:val="00441282"/>
    <w:rsid w:val="00441362"/>
    <w:rsid w:val="004414D8"/>
    <w:rsid w:val="00441525"/>
    <w:rsid w:val="00441599"/>
    <w:rsid w:val="004415F5"/>
    <w:rsid w:val="0044160B"/>
    <w:rsid w:val="004416A9"/>
    <w:rsid w:val="004416E5"/>
    <w:rsid w:val="00441960"/>
    <w:rsid w:val="004419CF"/>
    <w:rsid w:val="00441A7E"/>
    <w:rsid w:val="00441B26"/>
    <w:rsid w:val="00441C69"/>
    <w:rsid w:val="00441CE4"/>
    <w:rsid w:val="00441DC5"/>
    <w:rsid w:val="00441E26"/>
    <w:rsid w:val="00441EDA"/>
    <w:rsid w:val="004420A6"/>
    <w:rsid w:val="0044217C"/>
    <w:rsid w:val="004421FA"/>
    <w:rsid w:val="004422DD"/>
    <w:rsid w:val="00442397"/>
    <w:rsid w:val="0044240A"/>
    <w:rsid w:val="00442423"/>
    <w:rsid w:val="004424E9"/>
    <w:rsid w:val="00442599"/>
    <w:rsid w:val="004426AB"/>
    <w:rsid w:val="0044271E"/>
    <w:rsid w:val="0044275B"/>
    <w:rsid w:val="00442763"/>
    <w:rsid w:val="004427A4"/>
    <w:rsid w:val="004427CC"/>
    <w:rsid w:val="0044291F"/>
    <w:rsid w:val="00442935"/>
    <w:rsid w:val="00442986"/>
    <w:rsid w:val="00442A3B"/>
    <w:rsid w:val="00442AAD"/>
    <w:rsid w:val="00442C2E"/>
    <w:rsid w:val="00442C69"/>
    <w:rsid w:val="00442CB0"/>
    <w:rsid w:val="00442E8A"/>
    <w:rsid w:val="00442F0E"/>
    <w:rsid w:val="00442F14"/>
    <w:rsid w:val="00442F6F"/>
    <w:rsid w:val="0044303B"/>
    <w:rsid w:val="004430FC"/>
    <w:rsid w:val="00443135"/>
    <w:rsid w:val="00443149"/>
    <w:rsid w:val="004431DE"/>
    <w:rsid w:val="0044321E"/>
    <w:rsid w:val="004432A2"/>
    <w:rsid w:val="004432CF"/>
    <w:rsid w:val="004432DE"/>
    <w:rsid w:val="004433A2"/>
    <w:rsid w:val="0044358B"/>
    <w:rsid w:val="004435C6"/>
    <w:rsid w:val="004435D7"/>
    <w:rsid w:val="0044362B"/>
    <w:rsid w:val="004436D2"/>
    <w:rsid w:val="0044370E"/>
    <w:rsid w:val="00443736"/>
    <w:rsid w:val="00443775"/>
    <w:rsid w:val="004437B6"/>
    <w:rsid w:val="00443825"/>
    <w:rsid w:val="00443AE3"/>
    <w:rsid w:val="00443B0B"/>
    <w:rsid w:val="00443B7B"/>
    <w:rsid w:val="00443C91"/>
    <w:rsid w:val="00443D1E"/>
    <w:rsid w:val="00443D4A"/>
    <w:rsid w:val="00443DA3"/>
    <w:rsid w:val="00443DD8"/>
    <w:rsid w:val="00443E3C"/>
    <w:rsid w:val="00443E89"/>
    <w:rsid w:val="00443F2D"/>
    <w:rsid w:val="00443F60"/>
    <w:rsid w:val="00443FA6"/>
    <w:rsid w:val="00443FBA"/>
    <w:rsid w:val="00444279"/>
    <w:rsid w:val="004444C1"/>
    <w:rsid w:val="00444503"/>
    <w:rsid w:val="00444521"/>
    <w:rsid w:val="00444526"/>
    <w:rsid w:val="00444530"/>
    <w:rsid w:val="0044464B"/>
    <w:rsid w:val="00444674"/>
    <w:rsid w:val="00444779"/>
    <w:rsid w:val="00444782"/>
    <w:rsid w:val="00444832"/>
    <w:rsid w:val="0044484A"/>
    <w:rsid w:val="0044485E"/>
    <w:rsid w:val="004448EA"/>
    <w:rsid w:val="00444911"/>
    <w:rsid w:val="00444950"/>
    <w:rsid w:val="00444A88"/>
    <w:rsid w:val="00444B28"/>
    <w:rsid w:val="00444B31"/>
    <w:rsid w:val="00444DE3"/>
    <w:rsid w:val="00444EEF"/>
    <w:rsid w:val="00444FDB"/>
    <w:rsid w:val="00445041"/>
    <w:rsid w:val="0044509C"/>
    <w:rsid w:val="004450D2"/>
    <w:rsid w:val="0044514E"/>
    <w:rsid w:val="00445301"/>
    <w:rsid w:val="00445320"/>
    <w:rsid w:val="00445536"/>
    <w:rsid w:val="00445543"/>
    <w:rsid w:val="0044562E"/>
    <w:rsid w:val="00445768"/>
    <w:rsid w:val="004458BE"/>
    <w:rsid w:val="00445927"/>
    <w:rsid w:val="004459CF"/>
    <w:rsid w:val="00445A09"/>
    <w:rsid w:val="00445A3E"/>
    <w:rsid w:val="00445A5D"/>
    <w:rsid w:val="00445B3C"/>
    <w:rsid w:val="00445BDA"/>
    <w:rsid w:val="00445D14"/>
    <w:rsid w:val="00445D7F"/>
    <w:rsid w:val="00445E05"/>
    <w:rsid w:val="00445E2A"/>
    <w:rsid w:val="00445E52"/>
    <w:rsid w:val="00445EC6"/>
    <w:rsid w:val="00445FEF"/>
    <w:rsid w:val="004461D5"/>
    <w:rsid w:val="00446289"/>
    <w:rsid w:val="00446294"/>
    <w:rsid w:val="00446298"/>
    <w:rsid w:val="004463AC"/>
    <w:rsid w:val="00446414"/>
    <w:rsid w:val="00446448"/>
    <w:rsid w:val="0044648F"/>
    <w:rsid w:val="004464B6"/>
    <w:rsid w:val="00446548"/>
    <w:rsid w:val="004467B6"/>
    <w:rsid w:val="004467F8"/>
    <w:rsid w:val="0044680A"/>
    <w:rsid w:val="004468BB"/>
    <w:rsid w:val="0044698A"/>
    <w:rsid w:val="0044698C"/>
    <w:rsid w:val="00446A14"/>
    <w:rsid w:val="00446A44"/>
    <w:rsid w:val="00446C96"/>
    <w:rsid w:val="00446D13"/>
    <w:rsid w:val="00447008"/>
    <w:rsid w:val="00447054"/>
    <w:rsid w:val="0044706D"/>
    <w:rsid w:val="00447087"/>
    <w:rsid w:val="004470C9"/>
    <w:rsid w:val="004470FA"/>
    <w:rsid w:val="00447174"/>
    <w:rsid w:val="004471FD"/>
    <w:rsid w:val="00447291"/>
    <w:rsid w:val="00447579"/>
    <w:rsid w:val="004475ED"/>
    <w:rsid w:val="004476D1"/>
    <w:rsid w:val="004477A8"/>
    <w:rsid w:val="004477E9"/>
    <w:rsid w:val="00447822"/>
    <w:rsid w:val="00447841"/>
    <w:rsid w:val="004478CF"/>
    <w:rsid w:val="004479BD"/>
    <w:rsid w:val="00447A54"/>
    <w:rsid w:val="00447AE9"/>
    <w:rsid w:val="00447B39"/>
    <w:rsid w:val="00447B6C"/>
    <w:rsid w:val="00447BF6"/>
    <w:rsid w:val="00447C61"/>
    <w:rsid w:val="00447CE6"/>
    <w:rsid w:val="00447D3C"/>
    <w:rsid w:val="00447D7B"/>
    <w:rsid w:val="00447D9B"/>
    <w:rsid w:val="00447DA8"/>
    <w:rsid w:val="00447E2B"/>
    <w:rsid w:val="00447E2F"/>
    <w:rsid w:val="00447E88"/>
    <w:rsid w:val="00447E99"/>
    <w:rsid w:val="00447F91"/>
    <w:rsid w:val="00447FE4"/>
    <w:rsid w:val="00447FFC"/>
    <w:rsid w:val="00450041"/>
    <w:rsid w:val="0045006D"/>
    <w:rsid w:val="0045007E"/>
    <w:rsid w:val="004500C8"/>
    <w:rsid w:val="0045010D"/>
    <w:rsid w:val="00450133"/>
    <w:rsid w:val="0045015F"/>
    <w:rsid w:val="0045028F"/>
    <w:rsid w:val="00450293"/>
    <w:rsid w:val="004502F3"/>
    <w:rsid w:val="004503B7"/>
    <w:rsid w:val="004503B9"/>
    <w:rsid w:val="00450441"/>
    <w:rsid w:val="00450535"/>
    <w:rsid w:val="0045055D"/>
    <w:rsid w:val="004506B0"/>
    <w:rsid w:val="00450750"/>
    <w:rsid w:val="0045089F"/>
    <w:rsid w:val="00450900"/>
    <w:rsid w:val="00450917"/>
    <w:rsid w:val="004509B2"/>
    <w:rsid w:val="00450A31"/>
    <w:rsid w:val="00450AE6"/>
    <w:rsid w:val="00450B94"/>
    <w:rsid w:val="00450D3B"/>
    <w:rsid w:val="00450DCF"/>
    <w:rsid w:val="00450EBD"/>
    <w:rsid w:val="00450F21"/>
    <w:rsid w:val="00450FBA"/>
    <w:rsid w:val="00450FC6"/>
    <w:rsid w:val="004510D1"/>
    <w:rsid w:val="00451201"/>
    <w:rsid w:val="004512E3"/>
    <w:rsid w:val="004512F9"/>
    <w:rsid w:val="004514C3"/>
    <w:rsid w:val="00451569"/>
    <w:rsid w:val="0045156C"/>
    <w:rsid w:val="004515F6"/>
    <w:rsid w:val="004516AC"/>
    <w:rsid w:val="004516DB"/>
    <w:rsid w:val="00451724"/>
    <w:rsid w:val="00451815"/>
    <w:rsid w:val="004519DB"/>
    <w:rsid w:val="00451A00"/>
    <w:rsid w:val="00451A42"/>
    <w:rsid w:val="00451A55"/>
    <w:rsid w:val="00451A81"/>
    <w:rsid w:val="00451B7C"/>
    <w:rsid w:val="00451CA9"/>
    <w:rsid w:val="00451D71"/>
    <w:rsid w:val="00451DD6"/>
    <w:rsid w:val="00451F31"/>
    <w:rsid w:val="00451FB0"/>
    <w:rsid w:val="00451FB4"/>
    <w:rsid w:val="00452032"/>
    <w:rsid w:val="004520BB"/>
    <w:rsid w:val="004520DD"/>
    <w:rsid w:val="00452143"/>
    <w:rsid w:val="0045220E"/>
    <w:rsid w:val="0045222C"/>
    <w:rsid w:val="00452545"/>
    <w:rsid w:val="00452583"/>
    <w:rsid w:val="004525A9"/>
    <w:rsid w:val="0045268E"/>
    <w:rsid w:val="00452708"/>
    <w:rsid w:val="0045276C"/>
    <w:rsid w:val="004527E5"/>
    <w:rsid w:val="00452A1E"/>
    <w:rsid w:val="00452A27"/>
    <w:rsid w:val="00452A47"/>
    <w:rsid w:val="00452A6A"/>
    <w:rsid w:val="00452A92"/>
    <w:rsid w:val="00452ACA"/>
    <w:rsid w:val="00452B42"/>
    <w:rsid w:val="00452C9B"/>
    <w:rsid w:val="00452CC7"/>
    <w:rsid w:val="00452DA1"/>
    <w:rsid w:val="00452E29"/>
    <w:rsid w:val="00452EB2"/>
    <w:rsid w:val="00453014"/>
    <w:rsid w:val="00453038"/>
    <w:rsid w:val="00453062"/>
    <w:rsid w:val="004530F1"/>
    <w:rsid w:val="004531F5"/>
    <w:rsid w:val="0045321D"/>
    <w:rsid w:val="0045327A"/>
    <w:rsid w:val="00453382"/>
    <w:rsid w:val="0045342F"/>
    <w:rsid w:val="004534AF"/>
    <w:rsid w:val="004535BB"/>
    <w:rsid w:val="004538B7"/>
    <w:rsid w:val="00453960"/>
    <w:rsid w:val="00453A21"/>
    <w:rsid w:val="00453A40"/>
    <w:rsid w:val="00453BB6"/>
    <w:rsid w:val="00453BDD"/>
    <w:rsid w:val="00453C69"/>
    <w:rsid w:val="00453CC4"/>
    <w:rsid w:val="00453CE3"/>
    <w:rsid w:val="00453DBF"/>
    <w:rsid w:val="00453DE7"/>
    <w:rsid w:val="00453FB4"/>
    <w:rsid w:val="00453FD9"/>
    <w:rsid w:val="00454109"/>
    <w:rsid w:val="00454158"/>
    <w:rsid w:val="00454206"/>
    <w:rsid w:val="00454299"/>
    <w:rsid w:val="004543AB"/>
    <w:rsid w:val="004543F9"/>
    <w:rsid w:val="00454420"/>
    <w:rsid w:val="00454467"/>
    <w:rsid w:val="004544F7"/>
    <w:rsid w:val="0045456C"/>
    <w:rsid w:val="00454694"/>
    <w:rsid w:val="004546B9"/>
    <w:rsid w:val="00454702"/>
    <w:rsid w:val="004547D4"/>
    <w:rsid w:val="004548A6"/>
    <w:rsid w:val="004548B6"/>
    <w:rsid w:val="00454A58"/>
    <w:rsid w:val="00454A5B"/>
    <w:rsid w:val="00454B00"/>
    <w:rsid w:val="00454B7A"/>
    <w:rsid w:val="00454BCE"/>
    <w:rsid w:val="00454C3E"/>
    <w:rsid w:val="00454CAE"/>
    <w:rsid w:val="00454CEB"/>
    <w:rsid w:val="00454D39"/>
    <w:rsid w:val="00454D6D"/>
    <w:rsid w:val="00454E87"/>
    <w:rsid w:val="00454E95"/>
    <w:rsid w:val="00454ED7"/>
    <w:rsid w:val="00454F33"/>
    <w:rsid w:val="00454F5B"/>
    <w:rsid w:val="004550C0"/>
    <w:rsid w:val="004551C0"/>
    <w:rsid w:val="004552C7"/>
    <w:rsid w:val="00455305"/>
    <w:rsid w:val="0045531E"/>
    <w:rsid w:val="0045539E"/>
    <w:rsid w:val="004553F9"/>
    <w:rsid w:val="0045554B"/>
    <w:rsid w:val="00455866"/>
    <w:rsid w:val="0045587D"/>
    <w:rsid w:val="00455934"/>
    <w:rsid w:val="0045594E"/>
    <w:rsid w:val="00455953"/>
    <w:rsid w:val="004559F4"/>
    <w:rsid w:val="00455A53"/>
    <w:rsid w:val="00455AB1"/>
    <w:rsid w:val="00455ACA"/>
    <w:rsid w:val="00455BCE"/>
    <w:rsid w:val="00455BD3"/>
    <w:rsid w:val="00455D9C"/>
    <w:rsid w:val="00455E20"/>
    <w:rsid w:val="00455E71"/>
    <w:rsid w:val="00455E8C"/>
    <w:rsid w:val="00455E9E"/>
    <w:rsid w:val="00455EF7"/>
    <w:rsid w:val="00455F8B"/>
    <w:rsid w:val="004560AF"/>
    <w:rsid w:val="00456151"/>
    <w:rsid w:val="00456152"/>
    <w:rsid w:val="00456167"/>
    <w:rsid w:val="004561BA"/>
    <w:rsid w:val="004561FE"/>
    <w:rsid w:val="00456242"/>
    <w:rsid w:val="0045645B"/>
    <w:rsid w:val="004564FA"/>
    <w:rsid w:val="0045656D"/>
    <w:rsid w:val="00456699"/>
    <w:rsid w:val="004566B5"/>
    <w:rsid w:val="0045680E"/>
    <w:rsid w:val="0045688A"/>
    <w:rsid w:val="00456895"/>
    <w:rsid w:val="0045690A"/>
    <w:rsid w:val="0045695F"/>
    <w:rsid w:val="004569B6"/>
    <w:rsid w:val="00456A2C"/>
    <w:rsid w:val="00456AAB"/>
    <w:rsid w:val="00456B8E"/>
    <w:rsid w:val="00456BEB"/>
    <w:rsid w:val="00456BFE"/>
    <w:rsid w:val="00456C59"/>
    <w:rsid w:val="00456CB3"/>
    <w:rsid w:val="00456E19"/>
    <w:rsid w:val="00456E4F"/>
    <w:rsid w:val="00456EF3"/>
    <w:rsid w:val="00456FB6"/>
    <w:rsid w:val="00457017"/>
    <w:rsid w:val="0045705D"/>
    <w:rsid w:val="00457144"/>
    <w:rsid w:val="004571C0"/>
    <w:rsid w:val="004571C9"/>
    <w:rsid w:val="0045727C"/>
    <w:rsid w:val="00457283"/>
    <w:rsid w:val="0045730E"/>
    <w:rsid w:val="004573D2"/>
    <w:rsid w:val="004574E7"/>
    <w:rsid w:val="0045751E"/>
    <w:rsid w:val="004576DD"/>
    <w:rsid w:val="0045771C"/>
    <w:rsid w:val="0045778F"/>
    <w:rsid w:val="0045783D"/>
    <w:rsid w:val="00457910"/>
    <w:rsid w:val="0045793A"/>
    <w:rsid w:val="00457948"/>
    <w:rsid w:val="00457951"/>
    <w:rsid w:val="0045795A"/>
    <w:rsid w:val="00457AA2"/>
    <w:rsid w:val="00457B1E"/>
    <w:rsid w:val="00457C87"/>
    <w:rsid w:val="00457CBD"/>
    <w:rsid w:val="00457D4C"/>
    <w:rsid w:val="00457D57"/>
    <w:rsid w:val="00457F99"/>
    <w:rsid w:val="00460089"/>
    <w:rsid w:val="004600B6"/>
    <w:rsid w:val="0046021A"/>
    <w:rsid w:val="00460243"/>
    <w:rsid w:val="004602C2"/>
    <w:rsid w:val="004602FC"/>
    <w:rsid w:val="0046031C"/>
    <w:rsid w:val="00460538"/>
    <w:rsid w:val="004605C8"/>
    <w:rsid w:val="004605CC"/>
    <w:rsid w:val="0046063F"/>
    <w:rsid w:val="0046069F"/>
    <w:rsid w:val="004606A7"/>
    <w:rsid w:val="0046080C"/>
    <w:rsid w:val="00460857"/>
    <w:rsid w:val="0046085C"/>
    <w:rsid w:val="004608E7"/>
    <w:rsid w:val="004608F7"/>
    <w:rsid w:val="0046094C"/>
    <w:rsid w:val="00460969"/>
    <w:rsid w:val="004609E6"/>
    <w:rsid w:val="00460A58"/>
    <w:rsid w:val="00460A65"/>
    <w:rsid w:val="00460A82"/>
    <w:rsid w:val="00460B2D"/>
    <w:rsid w:val="00460B30"/>
    <w:rsid w:val="00460BBC"/>
    <w:rsid w:val="00460DD5"/>
    <w:rsid w:val="00460F11"/>
    <w:rsid w:val="00460FC9"/>
    <w:rsid w:val="004610C5"/>
    <w:rsid w:val="00461121"/>
    <w:rsid w:val="0046112F"/>
    <w:rsid w:val="004612FC"/>
    <w:rsid w:val="0046135D"/>
    <w:rsid w:val="00461455"/>
    <w:rsid w:val="0046146E"/>
    <w:rsid w:val="00461662"/>
    <w:rsid w:val="004616C0"/>
    <w:rsid w:val="00461717"/>
    <w:rsid w:val="00461748"/>
    <w:rsid w:val="0046175F"/>
    <w:rsid w:val="00461791"/>
    <w:rsid w:val="0046185A"/>
    <w:rsid w:val="0046188F"/>
    <w:rsid w:val="004618E2"/>
    <w:rsid w:val="00461A44"/>
    <w:rsid w:val="00461BEE"/>
    <w:rsid w:val="00461CA4"/>
    <w:rsid w:val="00461D18"/>
    <w:rsid w:val="00461DB8"/>
    <w:rsid w:val="00461E16"/>
    <w:rsid w:val="00461E17"/>
    <w:rsid w:val="00461ED3"/>
    <w:rsid w:val="00461F32"/>
    <w:rsid w:val="00461F4D"/>
    <w:rsid w:val="004620EE"/>
    <w:rsid w:val="0046230D"/>
    <w:rsid w:val="00462347"/>
    <w:rsid w:val="0046236D"/>
    <w:rsid w:val="004623F7"/>
    <w:rsid w:val="00462467"/>
    <w:rsid w:val="004624D8"/>
    <w:rsid w:val="00462586"/>
    <w:rsid w:val="00462671"/>
    <w:rsid w:val="0046274E"/>
    <w:rsid w:val="00462766"/>
    <w:rsid w:val="00462791"/>
    <w:rsid w:val="00462869"/>
    <w:rsid w:val="004628B3"/>
    <w:rsid w:val="00462953"/>
    <w:rsid w:val="004629CB"/>
    <w:rsid w:val="00462B60"/>
    <w:rsid w:val="00462B85"/>
    <w:rsid w:val="00462C55"/>
    <w:rsid w:val="00462CD7"/>
    <w:rsid w:val="00462DB9"/>
    <w:rsid w:val="00462F63"/>
    <w:rsid w:val="00463050"/>
    <w:rsid w:val="00463056"/>
    <w:rsid w:val="00463076"/>
    <w:rsid w:val="00463137"/>
    <w:rsid w:val="0046320B"/>
    <w:rsid w:val="004632A6"/>
    <w:rsid w:val="00463362"/>
    <w:rsid w:val="004634D7"/>
    <w:rsid w:val="00463532"/>
    <w:rsid w:val="0046355B"/>
    <w:rsid w:val="004636CB"/>
    <w:rsid w:val="00463731"/>
    <w:rsid w:val="0046373A"/>
    <w:rsid w:val="00463767"/>
    <w:rsid w:val="00463872"/>
    <w:rsid w:val="00463884"/>
    <w:rsid w:val="00463958"/>
    <w:rsid w:val="00463979"/>
    <w:rsid w:val="00463B7C"/>
    <w:rsid w:val="00463BD4"/>
    <w:rsid w:val="00463BE8"/>
    <w:rsid w:val="00463BED"/>
    <w:rsid w:val="00463C28"/>
    <w:rsid w:val="00463C76"/>
    <w:rsid w:val="00463CDA"/>
    <w:rsid w:val="00463CE7"/>
    <w:rsid w:val="00463D13"/>
    <w:rsid w:val="00463E34"/>
    <w:rsid w:val="00463E61"/>
    <w:rsid w:val="0046403E"/>
    <w:rsid w:val="00464045"/>
    <w:rsid w:val="00464104"/>
    <w:rsid w:val="0046411C"/>
    <w:rsid w:val="004643F4"/>
    <w:rsid w:val="0046440C"/>
    <w:rsid w:val="00464455"/>
    <w:rsid w:val="0046449F"/>
    <w:rsid w:val="004644CD"/>
    <w:rsid w:val="004644DA"/>
    <w:rsid w:val="0046463C"/>
    <w:rsid w:val="004649CB"/>
    <w:rsid w:val="00464A1C"/>
    <w:rsid w:val="00464A38"/>
    <w:rsid w:val="00464AC7"/>
    <w:rsid w:val="00464BA8"/>
    <w:rsid w:val="00464D1F"/>
    <w:rsid w:val="00464D2C"/>
    <w:rsid w:val="00464E6F"/>
    <w:rsid w:val="00464ECE"/>
    <w:rsid w:val="00464F2B"/>
    <w:rsid w:val="00464FD0"/>
    <w:rsid w:val="00464FEE"/>
    <w:rsid w:val="004650AE"/>
    <w:rsid w:val="004651FA"/>
    <w:rsid w:val="0046524D"/>
    <w:rsid w:val="004652BC"/>
    <w:rsid w:val="004652D6"/>
    <w:rsid w:val="00465342"/>
    <w:rsid w:val="00465362"/>
    <w:rsid w:val="0046538C"/>
    <w:rsid w:val="004655F3"/>
    <w:rsid w:val="00465630"/>
    <w:rsid w:val="004656E9"/>
    <w:rsid w:val="0046577D"/>
    <w:rsid w:val="004657B8"/>
    <w:rsid w:val="004658A5"/>
    <w:rsid w:val="004658B1"/>
    <w:rsid w:val="00465918"/>
    <w:rsid w:val="00465924"/>
    <w:rsid w:val="0046592E"/>
    <w:rsid w:val="00465959"/>
    <w:rsid w:val="00465991"/>
    <w:rsid w:val="00465A8E"/>
    <w:rsid w:val="00465B17"/>
    <w:rsid w:val="00465B38"/>
    <w:rsid w:val="00465BDF"/>
    <w:rsid w:val="00465C11"/>
    <w:rsid w:val="00465D0F"/>
    <w:rsid w:val="00465D5D"/>
    <w:rsid w:val="00465D64"/>
    <w:rsid w:val="00465DDF"/>
    <w:rsid w:val="00465E71"/>
    <w:rsid w:val="00465FC0"/>
    <w:rsid w:val="0046605F"/>
    <w:rsid w:val="00466161"/>
    <w:rsid w:val="004661B0"/>
    <w:rsid w:val="00466221"/>
    <w:rsid w:val="00466276"/>
    <w:rsid w:val="0046628E"/>
    <w:rsid w:val="004662D7"/>
    <w:rsid w:val="00466536"/>
    <w:rsid w:val="00466704"/>
    <w:rsid w:val="00466728"/>
    <w:rsid w:val="00466772"/>
    <w:rsid w:val="0046699C"/>
    <w:rsid w:val="00466B3A"/>
    <w:rsid w:val="00466B96"/>
    <w:rsid w:val="00466BAD"/>
    <w:rsid w:val="00466CD8"/>
    <w:rsid w:val="00466CF3"/>
    <w:rsid w:val="00466DAB"/>
    <w:rsid w:val="00466EF5"/>
    <w:rsid w:val="00466EFA"/>
    <w:rsid w:val="00466EFE"/>
    <w:rsid w:val="00466F08"/>
    <w:rsid w:val="00466F37"/>
    <w:rsid w:val="0046710C"/>
    <w:rsid w:val="00467150"/>
    <w:rsid w:val="00467175"/>
    <w:rsid w:val="00467186"/>
    <w:rsid w:val="004671ED"/>
    <w:rsid w:val="00467247"/>
    <w:rsid w:val="00467290"/>
    <w:rsid w:val="004672A8"/>
    <w:rsid w:val="00467402"/>
    <w:rsid w:val="0046744C"/>
    <w:rsid w:val="004674EE"/>
    <w:rsid w:val="0046756F"/>
    <w:rsid w:val="004675B9"/>
    <w:rsid w:val="0046760D"/>
    <w:rsid w:val="00467625"/>
    <w:rsid w:val="00467651"/>
    <w:rsid w:val="00467686"/>
    <w:rsid w:val="00467702"/>
    <w:rsid w:val="00467703"/>
    <w:rsid w:val="0046776F"/>
    <w:rsid w:val="00467806"/>
    <w:rsid w:val="0046795B"/>
    <w:rsid w:val="0046796E"/>
    <w:rsid w:val="00467AA1"/>
    <w:rsid w:val="00467ADD"/>
    <w:rsid w:val="00467B1D"/>
    <w:rsid w:val="00467B70"/>
    <w:rsid w:val="00467BAE"/>
    <w:rsid w:val="00467C30"/>
    <w:rsid w:val="00467C60"/>
    <w:rsid w:val="00467CA4"/>
    <w:rsid w:val="00467D47"/>
    <w:rsid w:val="00467DEF"/>
    <w:rsid w:val="00467F81"/>
    <w:rsid w:val="00470025"/>
    <w:rsid w:val="00470270"/>
    <w:rsid w:val="004702B2"/>
    <w:rsid w:val="00470351"/>
    <w:rsid w:val="00470386"/>
    <w:rsid w:val="00470464"/>
    <w:rsid w:val="004704B4"/>
    <w:rsid w:val="004705D7"/>
    <w:rsid w:val="0047069A"/>
    <w:rsid w:val="004708F0"/>
    <w:rsid w:val="004709A8"/>
    <w:rsid w:val="00470B6D"/>
    <w:rsid w:val="00470C4A"/>
    <w:rsid w:val="00470C54"/>
    <w:rsid w:val="00470C83"/>
    <w:rsid w:val="00470C89"/>
    <w:rsid w:val="00470C98"/>
    <w:rsid w:val="00470D11"/>
    <w:rsid w:val="00470D4B"/>
    <w:rsid w:val="00470E2F"/>
    <w:rsid w:val="00470F04"/>
    <w:rsid w:val="00471102"/>
    <w:rsid w:val="0047110C"/>
    <w:rsid w:val="004711A9"/>
    <w:rsid w:val="004711FB"/>
    <w:rsid w:val="00471201"/>
    <w:rsid w:val="00471231"/>
    <w:rsid w:val="00471252"/>
    <w:rsid w:val="0047133A"/>
    <w:rsid w:val="0047147E"/>
    <w:rsid w:val="00471484"/>
    <w:rsid w:val="0047155B"/>
    <w:rsid w:val="0047157A"/>
    <w:rsid w:val="004715C4"/>
    <w:rsid w:val="00471653"/>
    <w:rsid w:val="00471683"/>
    <w:rsid w:val="004717E7"/>
    <w:rsid w:val="004718AA"/>
    <w:rsid w:val="00471A4F"/>
    <w:rsid w:val="00471AD7"/>
    <w:rsid w:val="00471B14"/>
    <w:rsid w:val="00471B64"/>
    <w:rsid w:val="00471B81"/>
    <w:rsid w:val="00471C03"/>
    <w:rsid w:val="00471C84"/>
    <w:rsid w:val="00471DA0"/>
    <w:rsid w:val="00471E1A"/>
    <w:rsid w:val="00471E50"/>
    <w:rsid w:val="00471E8A"/>
    <w:rsid w:val="00471E8E"/>
    <w:rsid w:val="00471EFF"/>
    <w:rsid w:val="00471F4A"/>
    <w:rsid w:val="00471F76"/>
    <w:rsid w:val="00472046"/>
    <w:rsid w:val="0047205B"/>
    <w:rsid w:val="00472061"/>
    <w:rsid w:val="0047211C"/>
    <w:rsid w:val="004721A8"/>
    <w:rsid w:val="0047222D"/>
    <w:rsid w:val="004722CB"/>
    <w:rsid w:val="004723CD"/>
    <w:rsid w:val="004723D0"/>
    <w:rsid w:val="004723D1"/>
    <w:rsid w:val="00472462"/>
    <w:rsid w:val="00472471"/>
    <w:rsid w:val="004724CB"/>
    <w:rsid w:val="00472590"/>
    <w:rsid w:val="00472604"/>
    <w:rsid w:val="00472616"/>
    <w:rsid w:val="00472652"/>
    <w:rsid w:val="00472666"/>
    <w:rsid w:val="0047267D"/>
    <w:rsid w:val="0047269F"/>
    <w:rsid w:val="004726C6"/>
    <w:rsid w:val="004726DE"/>
    <w:rsid w:val="004727AC"/>
    <w:rsid w:val="004727C5"/>
    <w:rsid w:val="0047282C"/>
    <w:rsid w:val="0047288B"/>
    <w:rsid w:val="00472937"/>
    <w:rsid w:val="00472AE4"/>
    <w:rsid w:val="00472B9A"/>
    <w:rsid w:val="00472C3A"/>
    <w:rsid w:val="00472ED0"/>
    <w:rsid w:val="00472F06"/>
    <w:rsid w:val="00472F33"/>
    <w:rsid w:val="00472F36"/>
    <w:rsid w:val="00472F6C"/>
    <w:rsid w:val="00472F75"/>
    <w:rsid w:val="00473038"/>
    <w:rsid w:val="00473107"/>
    <w:rsid w:val="0047310F"/>
    <w:rsid w:val="004731BB"/>
    <w:rsid w:val="0047324A"/>
    <w:rsid w:val="0047342E"/>
    <w:rsid w:val="00473438"/>
    <w:rsid w:val="00473439"/>
    <w:rsid w:val="0047369C"/>
    <w:rsid w:val="004736F2"/>
    <w:rsid w:val="00473733"/>
    <w:rsid w:val="00473756"/>
    <w:rsid w:val="0047377C"/>
    <w:rsid w:val="0047380B"/>
    <w:rsid w:val="004738A0"/>
    <w:rsid w:val="004738BC"/>
    <w:rsid w:val="00473A74"/>
    <w:rsid w:val="00473CB2"/>
    <w:rsid w:val="00473CFA"/>
    <w:rsid w:val="00473D45"/>
    <w:rsid w:val="00473DC0"/>
    <w:rsid w:val="00473F1C"/>
    <w:rsid w:val="00473F99"/>
    <w:rsid w:val="004740DA"/>
    <w:rsid w:val="0047415F"/>
    <w:rsid w:val="004741C6"/>
    <w:rsid w:val="004741FF"/>
    <w:rsid w:val="004742A4"/>
    <w:rsid w:val="004743F0"/>
    <w:rsid w:val="004744E0"/>
    <w:rsid w:val="004746B7"/>
    <w:rsid w:val="00474746"/>
    <w:rsid w:val="004747C2"/>
    <w:rsid w:val="0047482D"/>
    <w:rsid w:val="00474852"/>
    <w:rsid w:val="004748C8"/>
    <w:rsid w:val="0047491C"/>
    <w:rsid w:val="00474A4F"/>
    <w:rsid w:val="00474B68"/>
    <w:rsid w:val="00474C9C"/>
    <w:rsid w:val="00474CD0"/>
    <w:rsid w:val="00474CF7"/>
    <w:rsid w:val="00474D6C"/>
    <w:rsid w:val="00474DB2"/>
    <w:rsid w:val="00474DB5"/>
    <w:rsid w:val="00474E3F"/>
    <w:rsid w:val="00474EAF"/>
    <w:rsid w:val="00474F2F"/>
    <w:rsid w:val="00474F85"/>
    <w:rsid w:val="00474FA0"/>
    <w:rsid w:val="00475044"/>
    <w:rsid w:val="0047506E"/>
    <w:rsid w:val="00475089"/>
    <w:rsid w:val="004750A8"/>
    <w:rsid w:val="00475164"/>
    <w:rsid w:val="00475310"/>
    <w:rsid w:val="0047532C"/>
    <w:rsid w:val="004753EC"/>
    <w:rsid w:val="0047541A"/>
    <w:rsid w:val="00475543"/>
    <w:rsid w:val="00475582"/>
    <w:rsid w:val="00475614"/>
    <w:rsid w:val="00475694"/>
    <w:rsid w:val="004756DD"/>
    <w:rsid w:val="0047570F"/>
    <w:rsid w:val="00475804"/>
    <w:rsid w:val="0047583D"/>
    <w:rsid w:val="0047597C"/>
    <w:rsid w:val="00475A51"/>
    <w:rsid w:val="00475AF0"/>
    <w:rsid w:val="00475B42"/>
    <w:rsid w:val="00475B7D"/>
    <w:rsid w:val="00475C04"/>
    <w:rsid w:val="00475C60"/>
    <w:rsid w:val="00475C70"/>
    <w:rsid w:val="00475CEF"/>
    <w:rsid w:val="00475D99"/>
    <w:rsid w:val="00475DB2"/>
    <w:rsid w:val="00475DF0"/>
    <w:rsid w:val="00475E2E"/>
    <w:rsid w:val="00475E69"/>
    <w:rsid w:val="00475E7C"/>
    <w:rsid w:val="00475E7F"/>
    <w:rsid w:val="00475EBE"/>
    <w:rsid w:val="00475F93"/>
    <w:rsid w:val="004762E9"/>
    <w:rsid w:val="0047637E"/>
    <w:rsid w:val="00476576"/>
    <w:rsid w:val="00476614"/>
    <w:rsid w:val="00476674"/>
    <w:rsid w:val="00476815"/>
    <w:rsid w:val="004768F3"/>
    <w:rsid w:val="0047696E"/>
    <w:rsid w:val="004769C9"/>
    <w:rsid w:val="00476A29"/>
    <w:rsid w:val="00476A30"/>
    <w:rsid w:val="00476ADE"/>
    <w:rsid w:val="00476CC6"/>
    <w:rsid w:val="00476D18"/>
    <w:rsid w:val="00476DA2"/>
    <w:rsid w:val="00476E08"/>
    <w:rsid w:val="00476E4A"/>
    <w:rsid w:val="00476E59"/>
    <w:rsid w:val="00476F13"/>
    <w:rsid w:val="00476F18"/>
    <w:rsid w:val="00476F97"/>
    <w:rsid w:val="00476FB2"/>
    <w:rsid w:val="00476FDD"/>
    <w:rsid w:val="0047700A"/>
    <w:rsid w:val="0047707B"/>
    <w:rsid w:val="0047710C"/>
    <w:rsid w:val="004771A3"/>
    <w:rsid w:val="0047721D"/>
    <w:rsid w:val="004772FD"/>
    <w:rsid w:val="0047733A"/>
    <w:rsid w:val="0047745F"/>
    <w:rsid w:val="004774D8"/>
    <w:rsid w:val="00477699"/>
    <w:rsid w:val="0047776F"/>
    <w:rsid w:val="0047785D"/>
    <w:rsid w:val="004778A5"/>
    <w:rsid w:val="00477C4D"/>
    <w:rsid w:val="00477C52"/>
    <w:rsid w:val="00477C85"/>
    <w:rsid w:val="00477D3B"/>
    <w:rsid w:val="00477D7B"/>
    <w:rsid w:val="00477E3F"/>
    <w:rsid w:val="00477F3C"/>
    <w:rsid w:val="00477FD3"/>
    <w:rsid w:val="0047E939"/>
    <w:rsid w:val="0048001B"/>
    <w:rsid w:val="004800A2"/>
    <w:rsid w:val="0048012E"/>
    <w:rsid w:val="00480146"/>
    <w:rsid w:val="0048035B"/>
    <w:rsid w:val="00480608"/>
    <w:rsid w:val="004807AC"/>
    <w:rsid w:val="00480B0C"/>
    <w:rsid w:val="00480C55"/>
    <w:rsid w:val="00480C81"/>
    <w:rsid w:val="00480E26"/>
    <w:rsid w:val="00480E29"/>
    <w:rsid w:val="00480F6F"/>
    <w:rsid w:val="00481000"/>
    <w:rsid w:val="00481043"/>
    <w:rsid w:val="00481066"/>
    <w:rsid w:val="00481104"/>
    <w:rsid w:val="0048117A"/>
    <w:rsid w:val="004811A3"/>
    <w:rsid w:val="004811BE"/>
    <w:rsid w:val="00481221"/>
    <w:rsid w:val="0048124B"/>
    <w:rsid w:val="00481264"/>
    <w:rsid w:val="0048130D"/>
    <w:rsid w:val="0048133B"/>
    <w:rsid w:val="004813D8"/>
    <w:rsid w:val="00481413"/>
    <w:rsid w:val="00481468"/>
    <w:rsid w:val="00481548"/>
    <w:rsid w:val="004815D0"/>
    <w:rsid w:val="0048164B"/>
    <w:rsid w:val="00481692"/>
    <w:rsid w:val="00481729"/>
    <w:rsid w:val="00481758"/>
    <w:rsid w:val="00481943"/>
    <w:rsid w:val="004819E7"/>
    <w:rsid w:val="00481A21"/>
    <w:rsid w:val="00481CE0"/>
    <w:rsid w:val="00481D9B"/>
    <w:rsid w:val="0048210F"/>
    <w:rsid w:val="004822B0"/>
    <w:rsid w:val="00482349"/>
    <w:rsid w:val="00482421"/>
    <w:rsid w:val="00482469"/>
    <w:rsid w:val="00482548"/>
    <w:rsid w:val="004825F5"/>
    <w:rsid w:val="0048263C"/>
    <w:rsid w:val="0048265E"/>
    <w:rsid w:val="00482741"/>
    <w:rsid w:val="00482759"/>
    <w:rsid w:val="00482776"/>
    <w:rsid w:val="0048289B"/>
    <w:rsid w:val="004829A2"/>
    <w:rsid w:val="004829F5"/>
    <w:rsid w:val="00482A19"/>
    <w:rsid w:val="00482A31"/>
    <w:rsid w:val="00482A5D"/>
    <w:rsid w:val="00482A7C"/>
    <w:rsid w:val="00482A7E"/>
    <w:rsid w:val="00482A91"/>
    <w:rsid w:val="00482B05"/>
    <w:rsid w:val="00482B2E"/>
    <w:rsid w:val="00482B53"/>
    <w:rsid w:val="00482CA3"/>
    <w:rsid w:val="00482CFF"/>
    <w:rsid w:val="00482E4F"/>
    <w:rsid w:val="00482E7C"/>
    <w:rsid w:val="00482E94"/>
    <w:rsid w:val="00482F04"/>
    <w:rsid w:val="00483068"/>
    <w:rsid w:val="00483156"/>
    <w:rsid w:val="00483199"/>
    <w:rsid w:val="0048320F"/>
    <w:rsid w:val="0048323B"/>
    <w:rsid w:val="004832B2"/>
    <w:rsid w:val="00483392"/>
    <w:rsid w:val="00483459"/>
    <w:rsid w:val="00483511"/>
    <w:rsid w:val="004835F1"/>
    <w:rsid w:val="00483687"/>
    <w:rsid w:val="00483715"/>
    <w:rsid w:val="004837E4"/>
    <w:rsid w:val="00483840"/>
    <w:rsid w:val="004838EB"/>
    <w:rsid w:val="0048396F"/>
    <w:rsid w:val="004839C3"/>
    <w:rsid w:val="00483A6D"/>
    <w:rsid w:val="00483A91"/>
    <w:rsid w:val="00483AFC"/>
    <w:rsid w:val="00483B8D"/>
    <w:rsid w:val="00483C8D"/>
    <w:rsid w:val="00483F11"/>
    <w:rsid w:val="00483F44"/>
    <w:rsid w:val="00483FD8"/>
    <w:rsid w:val="00484045"/>
    <w:rsid w:val="00484056"/>
    <w:rsid w:val="004840BE"/>
    <w:rsid w:val="0048424D"/>
    <w:rsid w:val="00484252"/>
    <w:rsid w:val="00484276"/>
    <w:rsid w:val="00484329"/>
    <w:rsid w:val="0048441D"/>
    <w:rsid w:val="004844CC"/>
    <w:rsid w:val="00484539"/>
    <w:rsid w:val="004845D6"/>
    <w:rsid w:val="0048461E"/>
    <w:rsid w:val="00484630"/>
    <w:rsid w:val="0048468B"/>
    <w:rsid w:val="00484794"/>
    <w:rsid w:val="00484798"/>
    <w:rsid w:val="00484802"/>
    <w:rsid w:val="00484810"/>
    <w:rsid w:val="00484843"/>
    <w:rsid w:val="0048486E"/>
    <w:rsid w:val="004848F1"/>
    <w:rsid w:val="00484966"/>
    <w:rsid w:val="00484B18"/>
    <w:rsid w:val="00484BD4"/>
    <w:rsid w:val="00484C2C"/>
    <w:rsid w:val="00484E14"/>
    <w:rsid w:val="004850FE"/>
    <w:rsid w:val="00485136"/>
    <w:rsid w:val="00485166"/>
    <w:rsid w:val="00485243"/>
    <w:rsid w:val="00485256"/>
    <w:rsid w:val="004852A4"/>
    <w:rsid w:val="004852CE"/>
    <w:rsid w:val="004853DA"/>
    <w:rsid w:val="00485526"/>
    <w:rsid w:val="00485568"/>
    <w:rsid w:val="0048567D"/>
    <w:rsid w:val="00485744"/>
    <w:rsid w:val="0048585E"/>
    <w:rsid w:val="00485896"/>
    <w:rsid w:val="00485A0B"/>
    <w:rsid w:val="00485A75"/>
    <w:rsid w:val="00485B6C"/>
    <w:rsid w:val="00485BAD"/>
    <w:rsid w:val="00485BC5"/>
    <w:rsid w:val="00485C00"/>
    <w:rsid w:val="00485C2C"/>
    <w:rsid w:val="00485D17"/>
    <w:rsid w:val="00485F90"/>
    <w:rsid w:val="00486072"/>
    <w:rsid w:val="00486104"/>
    <w:rsid w:val="00486166"/>
    <w:rsid w:val="004861B9"/>
    <w:rsid w:val="004861D2"/>
    <w:rsid w:val="004862F2"/>
    <w:rsid w:val="0048646A"/>
    <w:rsid w:val="004864A6"/>
    <w:rsid w:val="004864FF"/>
    <w:rsid w:val="00486506"/>
    <w:rsid w:val="00486507"/>
    <w:rsid w:val="004865A4"/>
    <w:rsid w:val="00486621"/>
    <w:rsid w:val="00486652"/>
    <w:rsid w:val="004866DE"/>
    <w:rsid w:val="0048674F"/>
    <w:rsid w:val="004868C4"/>
    <w:rsid w:val="004868E9"/>
    <w:rsid w:val="0048692C"/>
    <w:rsid w:val="00486968"/>
    <w:rsid w:val="0048696B"/>
    <w:rsid w:val="00486981"/>
    <w:rsid w:val="004869DA"/>
    <w:rsid w:val="00486A38"/>
    <w:rsid w:val="00486B6A"/>
    <w:rsid w:val="00486BAC"/>
    <w:rsid w:val="00486CCC"/>
    <w:rsid w:val="00486D6D"/>
    <w:rsid w:val="00486F0D"/>
    <w:rsid w:val="00486F7F"/>
    <w:rsid w:val="00486FA5"/>
    <w:rsid w:val="0048705F"/>
    <w:rsid w:val="00487060"/>
    <w:rsid w:val="004870AF"/>
    <w:rsid w:val="004871CC"/>
    <w:rsid w:val="004872B4"/>
    <w:rsid w:val="004873F5"/>
    <w:rsid w:val="00487441"/>
    <w:rsid w:val="00487472"/>
    <w:rsid w:val="004874D1"/>
    <w:rsid w:val="0048764C"/>
    <w:rsid w:val="004876AB"/>
    <w:rsid w:val="004877A4"/>
    <w:rsid w:val="0048780A"/>
    <w:rsid w:val="00487848"/>
    <w:rsid w:val="004878E5"/>
    <w:rsid w:val="0048795F"/>
    <w:rsid w:val="00487966"/>
    <w:rsid w:val="004879CC"/>
    <w:rsid w:val="00487B9A"/>
    <w:rsid w:val="00487C1A"/>
    <w:rsid w:val="00487C38"/>
    <w:rsid w:val="00487F01"/>
    <w:rsid w:val="004900ED"/>
    <w:rsid w:val="0049011A"/>
    <w:rsid w:val="0049011B"/>
    <w:rsid w:val="004901AF"/>
    <w:rsid w:val="004902C4"/>
    <w:rsid w:val="00490300"/>
    <w:rsid w:val="00490450"/>
    <w:rsid w:val="0049045D"/>
    <w:rsid w:val="00490556"/>
    <w:rsid w:val="00490608"/>
    <w:rsid w:val="0049066E"/>
    <w:rsid w:val="0049071B"/>
    <w:rsid w:val="00490810"/>
    <w:rsid w:val="00490857"/>
    <w:rsid w:val="0049092F"/>
    <w:rsid w:val="00490978"/>
    <w:rsid w:val="00490988"/>
    <w:rsid w:val="00490AB6"/>
    <w:rsid w:val="00490B9C"/>
    <w:rsid w:val="00490C08"/>
    <w:rsid w:val="00490CA9"/>
    <w:rsid w:val="00490CCF"/>
    <w:rsid w:val="00490CD7"/>
    <w:rsid w:val="00490DA1"/>
    <w:rsid w:val="00490E5F"/>
    <w:rsid w:val="00490FD2"/>
    <w:rsid w:val="004910AC"/>
    <w:rsid w:val="004910B2"/>
    <w:rsid w:val="00491199"/>
    <w:rsid w:val="004911AC"/>
    <w:rsid w:val="00491299"/>
    <w:rsid w:val="004912F1"/>
    <w:rsid w:val="00491541"/>
    <w:rsid w:val="004915CC"/>
    <w:rsid w:val="00491730"/>
    <w:rsid w:val="00491776"/>
    <w:rsid w:val="0049181A"/>
    <w:rsid w:val="0049183D"/>
    <w:rsid w:val="00491846"/>
    <w:rsid w:val="004919DD"/>
    <w:rsid w:val="00491AFE"/>
    <w:rsid w:val="00491B13"/>
    <w:rsid w:val="00491B24"/>
    <w:rsid w:val="00491C82"/>
    <w:rsid w:val="00491D84"/>
    <w:rsid w:val="00491DDA"/>
    <w:rsid w:val="00491F62"/>
    <w:rsid w:val="00491FFB"/>
    <w:rsid w:val="004921E6"/>
    <w:rsid w:val="004922BA"/>
    <w:rsid w:val="004923A1"/>
    <w:rsid w:val="004923AA"/>
    <w:rsid w:val="00492494"/>
    <w:rsid w:val="00492660"/>
    <w:rsid w:val="0049269B"/>
    <w:rsid w:val="004927D7"/>
    <w:rsid w:val="00492809"/>
    <w:rsid w:val="00492870"/>
    <w:rsid w:val="00492886"/>
    <w:rsid w:val="004928EE"/>
    <w:rsid w:val="0049298B"/>
    <w:rsid w:val="00492A1D"/>
    <w:rsid w:val="00492A6A"/>
    <w:rsid w:val="00492B17"/>
    <w:rsid w:val="00492BF3"/>
    <w:rsid w:val="00492D32"/>
    <w:rsid w:val="00492E0F"/>
    <w:rsid w:val="00492FE7"/>
    <w:rsid w:val="00493075"/>
    <w:rsid w:val="00493172"/>
    <w:rsid w:val="0049318C"/>
    <w:rsid w:val="004932CB"/>
    <w:rsid w:val="004932E1"/>
    <w:rsid w:val="00493336"/>
    <w:rsid w:val="00493390"/>
    <w:rsid w:val="00493392"/>
    <w:rsid w:val="00493422"/>
    <w:rsid w:val="004934DE"/>
    <w:rsid w:val="00493537"/>
    <w:rsid w:val="00493620"/>
    <w:rsid w:val="004936DB"/>
    <w:rsid w:val="00493703"/>
    <w:rsid w:val="004937AB"/>
    <w:rsid w:val="004937FC"/>
    <w:rsid w:val="004938B5"/>
    <w:rsid w:val="0049395C"/>
    <w:rsid w:val="00493A88"/>
    <w:rsid w:val="00493B8F"/>
    <w:rsid w:val="00493C6C"/>
    <w:rsid w:val="00493D07"/>
    <w:rsid w:val="00493E34"/>
    <w:rsid w:val="00493F74"/>
    <w:rsid w:val="0049415F"/>
    <w:rsid w:val="004941DF"/>
    <w:rsid w:val="00494254"/>
    <w:rsid w:val="00494365"/>
    <w:rsid w:val="004943A8"/>
    <w:rsid w:val="004944F6"/>
    <w:rsid w:val="00494563"/>
    <w:rsid w:val="00494572"/>
    <w:rsid w:val="00494581"/>
    <w:rsid w:val="00494639"/>
    <w:rsid w:val="00494882"/>
    <w:rsid w:val="00494895"/>
    <w:rsid w:val="0049493D"/>
    <w:rsid w:val="00494A90"/>
    <w:rsid w:val="00494CDC"/>
    <w:rsid w:val="00494D36"/>
    <w:rsid w:val="00494DC4"/>
    <w:rsid w:val="0049502B"/>
    <w:rsid w:val="00495082"/>
    <w:rsid w:val="004950A1"/>
    <w:rsid w:val="004952E5"/>
    <w:rsid w:val="00495309"/>
    <w:rsid w:val="0049531C"/>
    <w:rsid w:val="00495321"/>
    <w:rsid w:val="00495391"/>
    <w:rsid w:val="0049539E"/>
    <w:rsid w:val="004953E7"/>
    <w:rsid w:val="0049555B"/>
    <w:rsid w:val="004955CF"/>
    <w:rsid w:val="004955DB"/>
    <w:rsid w:val="00495656"/>
    <w:rsid w:val="00495684"/>
    <w:rsid w:val="004956BD"/>
    <w:rsid w:val="00495813"/>
    <w:rsid w:val="0049596B"/>
    <w:rsid w:val="004959D3"/>
    <w:rsid w:val="004959F4"/>
    <w:rsid w:val="00495A02"/>
    <w:rsid w:val="00495A32"/>
    <w:rsid w:val="00495BEE"/>
    <w:rsid w:val="00495D35"/>
    <w:rsid w:val="00495D82"/>
    <w:rsid w:val="00495DF7"/>
    <w:rsid w:val="00495EE2"/>
    <w:rsid w:val="00495FC1"/>
    <w:rsid w:val="004960C8"/>
    <w:rsid w:val="0049610F"/>
    <w:rsid w:val="0049626B"/>
    <w:rsid w:val="00496383"/>
    <w:rsid w:val="0049654E"/>
    <w:rsid w:val="00496559"/>
    <w:rsid w:val="00496594"/>
    <w:rsid w:val="004965D3"/>
    <w:rsid w:val="00496633"/>
    <w:rsid w:val="00496679"/>
    <w:rsid w:val="004966A5"/>
    <w:rsid w:val="004966F8"/>
    <w:rsid w:val="00496714"/>
    <w:rsid w:val="00496738"/>
    <w:rsid w:val="00496753"/>
    <w:rsid w:val="0049689D"/>
    <w:rsid w:val="0049691A"/>
    <w:rsid w:val="00496923"/>
    <w:rsid w:val="00496938"/>
    <w:rsid w:val="00496B16"/>
    <w:rsid w:val="00496B50"/>
    <w:rsid w:val="00496B91"/>
    <w:rsid w:val="00496B9E"/>
    <w:rsid w:val="00496C06"/>
    <w:rsid w:val="00496C3B"/>
    <w:rsid w:val="00496C65"/>
    <w:rsid w:val="00496CEF"/>
    <w:rsid w:val="00496DCC"/>
    <w:rsid w:val="00496EB5"/>
    <w:rsid w:val="00496FC9"/>
    <w:rsid w:val="004970EF"/>
    <w:rsid w:val="0049711A"/>
    <w:rsid w:val="004971FD"/>
    <w:rsid w:val="00497402"/>
    <w:rsid w:val="0049745F"/>
    <w:rsid w:val="00497484"/>
    <w:rsid w:val="004974A7"/>
    <w:rsid w:val="004975AB"/>
    <w:rsid w:val="004975BF"/>
    <w:rsid w:val="004977ED"/>
    <w:rsid w:val="004978D6"/>
    <w:rsid w:val="0049793F"/>
    <w:rsid w:val="00497965"/>
    <w:rsid w:val="0049796C"/>
    <w:rsid w:val="004979A2"/>
    <w:rsid w:val="00497B57"/>
    <w:rsid w:val="00497C18"/>
    <w:rsid w:val="00497C8E"/>
    <w:rsid w:val="00497C97"/>
    <w:rsid w:val="00497E4C"/>
    <w:rsid w:val="00497F0C"/>
    <w:rsid w:val="0049DB58"/>
    <w:rsid w:val="004A0041"/>
    <w:rsid w:val="004A00A0"/>
    <w:rsid w:val="004A01CE"/>
    <w:rsid w:val="004A0274"/>
    <w:rsid w:val="004A0353"/>
    <w:rsid w:val="004A03B7"/>
    <w:rsid w:val="004A03F4"/>
    <w:rsid w:val="004A0506"/>
    <w:rsid w:val="004A05D6"/>
    <w:rsid w:val="004A05F4"/>
    <w:rsid w:val="004A077E"/>
    <w:rsid w:val="004A07B4"/>
    <w:rsid w:val="004A0855"/>
    <w:rsid w:val="004A0902"/>
    <w:rsid w:val="004A099E"/>
    <w:rsid w:val="004A09E5"/>
    <w:rsid w:val="004A0A0A"/>
    <w:rsid w:val="004A0A30"/>
    <w:rsid w:val="004A0A47"/>
    <w:rsid w:val="004A0BDE"/>
    <w:rsid w:val="004A0BF4"/>
    <w:rsid w:val="004A0ED0"/>
    <w:rsid w:val="004A102E"/>
    <w:rsid w:val="004A1069"/>
    <w:rsid w:val="004A10CD"/>
    <w:rsid w:val="004A1178"/>
    <w:rsid w:val="004A12E1"/>
    <w:rsid w:val="004A12F8"/>
    <w:rsid w:val="004A1309"/>
    <w:rsid w:val="004A1462"/>
    <w:rsid w:val="004A148E"/>
    <w:rsid w:val="004A14A9"/>
    <w:rsid w:val="004A15FF"/>
    <w:rsid w:val="004A1623"/>
    <w:rsid w:val="004A1636"/>
    <w:rsid w:val="004A1739"/>
    <w:rsid w:val="004A1826"/>
    <w:rsid w:val="004A18D4"/>
    <w:rsid w:val="004A19BF"/>
    <w:rsid w:val="004A1B44"/>
    <w:rsid w:val="004A1B98"/>
    <w:rsid w:val="004A1BDD"/>
    <w:rsid w:val="004A1C0B"/>
    <w:rsid w:val="004A1C91"/>
    <w:rsid w:val="004A1CE9"/>
    <w:rsid w:val="004A1D8C"/>
    <w:rsid w:val="004A1DF6"/>
    <w:rsid w:val="004A1E39"/>
    <w:rsid w:val="004A1E92"/>
    <w:rsid w:val="004A1EE8"/>
    <w:rsid w:val="004A1F10"/>
    <w:rsid w:val="004A1F32"/>
    <w:rsid w:val="004A1F85"/>
    <w:rsid w:val="004A1F86"/>
    <w:rsid w:val="004A1FB9"/>
    <w:rsid w:val="004A1FBE"/>
    <w:rsid w:val="004A2027"/>
    <w:rsid w:val="004A2192"/>
    <w:rsid w:val="004A2194"/>
    <w:rsid w:val="004A226C"/>
    <w:rsid w:val="004A2285"/>
    <w:rsid w:val="004A22BE"/>
    <w:rsid w:val="004A22C0"/>
    <w:rsid w:val="004A2361"/>
    <w:rsid w:val="004A2531"/>
    <w:rsid w:val="004A25A3"/>
    <w:rsid w:val="004A25F1"/>
    <w:rsid w:val="004A2659"/>
    <w:rsid w:val="004A265C"/>
    <w:rsid w:val="004A269A"/>
    <w:rsid w:val="004A28F6"/>
    <w:rsid w:val="004A293B"/>
    <w:rsid w:val="004A2964"/>
    <w:rsid w:val="004A2966"/>
    <w:rsid w:val="004A2984"/>
    <w:rsid w:val="004A29A3"/>
    <w:rsid w:val="004A29CB"/>
    <w:rsid w:val="004A29CE"/>
    <w:rsid w:val="004A2A20"/>
    <w:rsid w:val="004A2A57"/>
    <w:rsid w:val="004A2CB4"/>
    <w:rsid w:val="004A2D29"/>
    <w:rsid w:val="004A2DE3"/>
    <w:rsid w:val="004A2E96"/>
    <w:rsid w:val="004A2EB2"/>
    <w:rsid w:val="004A2F06"/>
    <w:rsid w:val="004A3069"/>
    <w:rsid w:val="004A318B"/>
    <w:rsid w:val="004A3272"/>
    <w:rsid w:val="004A3293"/>
    <w:rsid w:val="004A330F"/>
    <w:rsid w:val="004A343C"/>
    <w:rsid w:val="004A345B"/>
    <w:rsid w:val="004A3589"/>
    <w:rsid w:val="004A3642"/>
    <w:rsid w:val="004A364C"/>
    <w:rsid w:val="004A36BA"/>
    <w:rsid w:val="004A3759"/>
    <w:rsid w:val="004A37DF"/>
    <w:rsid w:val="004A38D0"/>
    <w:rsid w:val="004A38E6"/>
    <w:rsid w:val="004A38F9"/>
    <w:rsid w:val="004A3901"/>
    <w:rsid w:val="004A39A3"/>
    <w:rsid w:val="004A3A0D"/>
    <w:rsid w:val="004A3A77"/>
    <w:rsid w:val="004A3B4F"/>
    <w:rsid w:val="004A3BDE"/>
    <w:rsid w:val="004A3BF0"/>
    <w:rsid w:val="004A3C5E"/>
    <w:rsid w:val="004A3C7C"/>
    <w:rsid w:val="004A3CEB"/>
    <w:rsid w:val="004A3D39"/>
    <w:rsid w:val="004A3D47"/>
    <w:rsid w:val="004A3D51"/>
    <w:rsid w:val="004A3F26"/>
    <w:rsid w:val="004A3F3F"/>
    <w:rsid w:val="004A3F58"/>
    <w:rsid w:val="004A4155"/>
    <w:rsid w:val="004A41B7"/>
    <w:rsid w:val="004A41DF"/>
    <w:rsid w:val="004A41FE"/>
    <w:rsid w:val="004A421C"/>
    <w:rsid w:val="004A4230"/>
    <w:rsid w:val="004A42D2"/>
    <w:rsid w:val="004A42F8"/>
    <w:rsid w:val="004A4362"/>
    <w:rsid w:val="004A450B"/>
    <w:rsid w:val="004A464E"/>
    <w:rsid w:val="004A4680"/>
    <w:rsid w:val="004A4686"/>
    <w:rsid w:val="004A47AC"/>
    <w:rsid w:val="004A4867"/>
    <w:rsid w:val="004A49DB"/>
    <w:rsid w:val="004A4A45"/>
    <w:rsid w:val="004A4BB1"/>
    <w:rsid w:val="004A4C74"/>
    <w:rsid w:val="004A4C96"/>
    <w:rsid w:val="004A4E10"/>
    <w:rsid w:val="004A4E48"/>
    <w:rsid w:val="004A5088"/>
    <w:rsid w:val="004A5107"/>
    <w:rsid w:val="004A519C"/>
    <w:rsid w:val="004A520B"/>
    <w:rsid w:val="004A52CE"/>
    <w:rsid w:val="004A5514"/>
    <w:rsid w:val="004A553F"/>
    <w:rsid w:val="004A55C6"/>
    <w:rsid w:val="004A5609"/>
    <w:rsid w:val="004A568D"/>
    <w:rsid w:val="004A574E"/>
    <w:rsid w:val="004A5A53"/>
    <w:rsid w:val="004A5A97"/>
    <w:rsid w:val="004A5AE7"/>
    <w:rsid w:val="004A5DA5"/>
    <w:rsid w:val="004A5EC3"/>
    <w:rsid w:val="004A61B1"/>
    <w:rsid w:val="004A626E"/>
    <w:rsid w:val="004A632C"/>
    <w:rsid w:val="004A64E0"/>
    <w:rsid w:val="004A6509"/>
    <w:rsid w:val="004A6689"/>
    <w:rsid w:val="004A66A4"/>
    <w:rsid w:val="004A6776"/>
    <w:rsid w:val="004A6807"/>
    <w:rsid w:val="004A6814"/>
    <w:rsid w:val="004A6944"/>
    <w:rsid w:val="004A69C5"/>
    <w:rsid w:val="004A6A7A"/>
    <w:rsid w:val="004A6B7C"/>
    <w:rsid w:val="004A6B97"/>
    <w:rsid w:val="004A6E59"/>
    <w:rsid w:val="004A6E78"/>
    <w:rsid w:val="004A6E79"/>
    <w:rsid w:val="004A6ED4"/>
    <w:rsid w:val="004A6EE7"/>
    <w:rsid w:val="004A6FAA"/>
    <w:rsid w:val="004A7022"/>
    <w:rsid w:val="004A713D"/>
    <w:rsid w:val="004A7180"/>
    <w:rsid w:val="004A71D3"/>
    <w:rsid w:val="004A720D"/>
    <w:rsid w:val="004A7226"/>
    <w:rsid w:val="004A7256"/>
    <w:rsid w:val="004A7317"/>
    <w:rsid w:val="004A738F"/>
    <w:rsid w:val="004A73BA"/>
    <w:rsid w:val="004A746F"/>
    <w:rsid w:val="004A7475"/>
    <w:rsid w:val="004A7518"/>
    <w:rsid w:val="004A758B"/>
    <w:rsid w:val="004A76F1"/>
    <w:rsid w:val="004A7815"/>
    <w:rsid w:val="004A7929"/>
    <w:rsid w:val="004A79CF"/>
    <w:rsid w:val="004A7A8F"/>
    <w:rsid w:val="004A7B47"/>
    <w:rsid w:val="004A7B4D"/>
    <w:rsid w:val="004A7B74"/>
    <w:rsid w:val="004A7B77"/>
    <w:rsid w:val="004A7BB5"/>
    <w:rsid w:val="004A7BEE"/>
    <w:rsid w:val="004A7BFE"/>
    <w:rsid w:val="004A7CF2"/>
    <w:rsid w:val="004A7D62"/>
    <w:rsid w:val="004A7DD6"/>
    <w:rsid w:val="004A7E5E"/>
    <w:rsid w:val="004A7EF4"/>
    <w:rsid w:val="004A7F9B"/>
    <w:rsid w:val="004B0072"/>
    <w:rsid w:val="004B008F"/>
    <w:rsid w:val="004B0122"/>
    <w:rsid w:val="004B01DA"/>
    <w:rsid w:val="004B01E6"/>
    <w:rsid w:val="004B0319"/>
    <w:rsid w:val="004B0387"/>
    <w:rsid w:val="004B03E2"/>
    <w:rsid w:val="004B049B"/>
    <w:rsid w:val="004B0580"/>
    <w:rsid w:val="004B0720"/>
    <w:rsid w:val="004B07A8"/>
    <w:rsid w:val="004B07C8"/>
    <w:rsid w:val="004B08AE"/>
    <w:rsid w:val="004B08FC"/>
    <w:rsid w:val="004B0907"/>
    <w:rsid w:val="004B0910"/>
    <w:rsid w:val="004B0A44"/>
    <w:rsid w:val="004B0A99"/>
    <w:rsid w:val="004B0AEA"/>
    <w:rsid w:val="004B0B6B"/>
    <w:rsid w:val="004B0CD7"/>
    <w:rsid w:val="004B0DC9"/>
    <w:rsid w:val="004B0DFC"/>
    <w:rsid w:val="004B0EDE"/>
    <w:rsid w:val="004B0F1E"/>
    <w:rsid w:val="004B0F3E"/>
    <w:rsid w:val="004B1033"/>
    <w:rsid w:val="004B1038"/>
    <w:rsid w:val="004B10E4"/>
    <w:rsid w:val="004B1137"/>
    <w:rsid w:val="004B1218"/>
    <w:rsid w:val="004B1227"/>
    <w:rsid w:val="004B128B"/>
    <w:rsid w:val="004B12C0"/>
    <w:rsid w:val="004B12D7"/>
    <w:rsid w:val="004B136D"/>
    <w:rsid w:val="004B13D2"/>
    <w:rsid w:val="004B1431"/>
    <w:rsid w:val="004B14C6"/>
    <w:rsid w:val="004B14DC"/>
    <w:rsid w:val="004B155C"/>
    <w:rsid w:val="004B161B"/>
    <w:rsid w:val="004B1641"/>
    <w:rsid w:val="004B16AE"/>
    <w:rsid w:val="004B16F0"/>
    <w:rsid w:val="004B1722"/>
    <w:rsid w:val="004B17C4"/>
    <w:rsid w:val="004B17D8"/>
    <w:rsid w:val="004B18B7"/>
    <w:rsid w:val="004B18FE"/>
    <w:rsid w:val="004B1923"/>
    <w:rsid w:val="004B1973"/>
    <w:rsid w:val="004B1A0C"/>
    <w:rsid w:val="004B1A42"/>
    <w:rsid w:val="004B1A84"/>
    <w:rsid w:val="004B1CF1"/>
    <w:rsid w:val="004B1D3C"/>
    <w:rsid w:val="004B1D91"/>
    <w:rsid w:val="004B1E5A"/>
    <w:rsid w:val="004B1EE0"/>
    <w:rsid w:val="004B1F21"/>
    <w:rsid w:val="004B222F"/>
    <w:rsid w:val="004B2261"/>
    <w:rsid w:val="004B241C"/>
    <w:rsid w:val="004B2432"/>
    <w:rsid w:val="004B244F"/>
    <w:rsid w:val="004B2469"/>
    <w:rsid w:val="004B2493"/>
    <w:rsid w:val="004B2502"/>
    <w:rsid w:val="004B251F"/>
    <w:rsid w:val="004B259D"/>
    <w:rsid w:val="004B26B4"/>
    <w:rsid w:val="004B2963"/>
    <w:rsid w:val="004B297F"/>
    <w:rsid w:val="004B29AE"/>
    <w:rsid w:val="004B2A90"/>
    <w:rsid w:val="004B2AD4"/>
    <w:rsid w:val="004B2B0D"/>
    <w:rsid w:val="004B2B5D"/>
    <w:rsid w:val="004B2BA0"/>
    <w:rsid w:val="004B2BF4"/>
    <w:rsid w:val="004B2CC9"/>
    <w:rsid w:val="004B2DD1"/>
    <w:rsid w:val="004B2EF7"/>
    <w:rsid w:val="004B2EFF"/>
    <w:rsid w:val="004B2F65"/>
    <w:rsid w:val="004B3034"/>
    <w:rsid w:val="004B30D4"/>
    <w:rsid w:val="004B314D"/>
    <w:rsid w:val="004B315D"/>
    <w:rsid w:val="004B31DE"/>
    <w:rsid w:val="004B3286"/>
    <w:rsid w:val="004B32A5"/>
    <w:rsid w:val="004B337E"/>
    <w:rsid w:val="004B3458"/>
    <w:rsid w:val="004B357A"/>
    <w:rsid w:val="004B37FB"/>
    <w:rsid w:val="004B387A"/>
    <w:rsid w:val="004B38E0"/>
    <w:rsid w:val="004B3963"/>
    <w:rsid w:val="004B39A0"/>
    <w:rsid w:val="004B3A43"/>
    <w:rsid w:val="004B3A81"/>
    <w:rsid w:val="004B3B1D"/>
    <w:rsid w:val="004B3B69"/>
    <w:rsid w:val="004B3BAE"/>
    <w:rsid w:val="004B3BC2"/>
    <w:rsid w:val="004B3C50"/>
    <w:rsid w:val="004B3EDF"/>
    <w:rsid w:val="004B3F61"/>
    <w:rsid w:val="004B3F86"/>
    <w:rsid w:val="004B3FAF"/>
    <w:rsid w:val="004B402C"/>
    <w:rsid w:val="004B4110"/>
    <w:rsid w:val="004B4127"/>
    <w:rsid w:val="004B418B"/>
    <w:rsid w:val="004B42B9"/>
    <w:rsid w:val="004B42DA"/>
    <w:rsid w:val="004B443E"/>
    <w:rsid w:val="004B44BB"/>
    <w:rsid w:val="004B45DD"/>
    <w:rsid w:val="004B4616"/>
    <w:rsid w:val="004B4658"/>
    <w:rsid w:val="004B46A0"/>
    <w:rsid w:val="004B46D5"/>
    <w:rsid w:val="004B486D"/>
    <w:rsid w:val="004B4902"/>
    <w:rsid w:val="004B4A8C"/>
    <w:rsid w:val="004B4AAA"/>
    <w:rsid w:val="004B4ACF"/>
    <w:rsid w:val="004B4B8C"/>
    <w:rsid w:val="004B4BF9"/>
    <w:rsid w:val="004B4C38"/>
    <w:rsid w:val="004B4C85"/>
    <w:rsid w:val="004B4D06"/>
    <w:rsid w:val="004B4D53"/>
    <w:rsid w:val="004B4E6F"/>
    <w:rsid w:val="004B4F4F"/>
    <w:rsid w:val="004B5107"/>
    <w:rsid w:val="004B51D0"/>
    <w:rsid w:val="004B527B"/>
    <w:rsid w:val="004B529A"/>
    <w:rsid w:val="004B52D2"/>
    <w:rsid w:val="004B53E0"/>
    <w:rsid w:val="004B53F4"/>
    <w:rsid w:val="004B53FD"/>
    <w:rsid w:val="004B5400"/>
    <w:rsid w:val="004B5528"/>
    <w:rsid w:val="004B57B0"/>
    <w:rsid w:val="004B57DA"/>
    <w:rsid w:val="004B590C"/>
    <w:rsid w:val="004B5B09"/>
    <w:rsid w:val="004B5B36"/>
    <w:rsid w:val="004B5DB4"/>
    <w:rsid w:val="004B5DC0"/>
    <w:rsid w:val="004B5DFD"/>
    <w:rsid w:val="004B5ED5"/>
    <w:rsid w:val="004B6332"/>
    <w:rsid w:val="004B641B"/>
    <w:rsid w:val="004B6535"/>
    <w:rsid w:val="004B6619"/>
    <w:rsid w:val="004B66BA"/>
    <w:rsid w:val="004B6703"/>
    <w:rsid w:val="004B6773"/>
    <w:rsid w:val="004B67C5"/>
    <w:rsid w:val="004B6926"/>
    <w:rsid w:val="004B6ACC"/>
    <w:rsid w:val="004B6B15"/>
    <w:rsid w:val="004B6D6B"/>
    <w:rsid w:val="004B6DC6"/>
    <w:rsid w:val="004B6DD4"/>
    <w:rsid w:val="004B6ECD"/>
    <w:rsid w:val="004B6F04"/>
    <w:rsid w:val="004B6FC1"/>
    <w:rsid w:val="004B6FEF"/>
    <w:rsid w:val="004B6FF4"/>
    <w:rsid w:val="004B71E5"/>
    <w:rsid w:val="004B721A"/>
    <w:rsid w:val="004B72C5"/>
    <w:rsid w:val="004B7379"/>
    <w:rsid w:val="004B7481"/>
    <w:rsid w:val="004B748B"/>
    <w:rsid w:val="004B74A1"/>
    <w:rsid w:val="004B74BF"/>
    <w:rsid w:val="004B76C2"/>
    <w:rsid w:val="004B76F5"/>
    <w:rsid w:val="004B770C"/>
    <w:rsid w:val="004B77D8"/>
    <w:rsid w:val="004B77E2"/>
    <w:rsid w:val="004B7969"/>
    <w:rsid w:val="004B796E"/>
    <w:rsid w:val="004B7A6A"/>
    <w:rsid w:val="004B7A85"/>
    <w:rsid w:val="004B7AB5"/>
    <w:rsid w:val="004B7C15"/>
    <w:rsid w:val="004B7DE8"/>
    <w:rsid w:val="004B7E0F"/>
    <w:rsid w:val="004B7E63"/>
    <w:rsid w:val="004B7E8A"/>
    <w:rsid w:val="004B7EC9"/>
    <w:rsid w:val="004B7F39"/>
    <w:rsid w:val="004B7FA6"/>
    <w:rsid w:val="004B7FFE"/>
    <w:rsid w:val="004C0138"/>
    <w:rsid w:val="004C0146"/>
    <w:rsid w:val="004C0189"/>
    <w:rsid w:val="004C0207"/>
    <w:rsid w:val="004C03BF"/>
    <w:rsid w:val="004C03C3"/>
    <w:rsid w:val="004C0423"/>
    <w:rsid w:val="004C042E"/>
    <w:rsid w:val="004C0465"/>
    <w:rsid w:val="004C04F6"/>
    <w:rsid w:val="004C053B"/>
    <w:rsid w:val="004C05A7"/>
    <w:rsid w:val="004C05F5"/>
    <w:rsid w:val="004C069F"/>
    <w:rsid w:val="004C070A"/>
    <w:rsid w:val="004C0876"/>
    <w:rsid w:val="004C0898"/>
    <w:rsid w:val="004C08B8"/>
    <w:rsid w:val="004C09D1"/>
    <w:rsid w:val="004C09EE"/>
    <w:rsid w:val="004C09F9"/>
    <w:rsid w:val="004C0A4E"/>
    <w:rsid w:val="004C0AAD"/>
    <w:rsid w:val="004C0B85"/>
    <w:rsid w:val="004C0C08"/>
    <w:rsid w:val="004C0C9C"/>
    <w:rsid w:val="004C0D61"/>
    <w:rsid w:val="004C0D7D"/>
    <w:rsid w:val="004C0DAA"/>
    <w:rsid w:val="004C0DFE"/>
    <w:rsid w:val="004C0E8E"/>
    <w:rsid w:val="004C0F39"/>
    <w:rsid w:val="004C0FE8"/>
    <w:rsid w:val="004C10C7"/>
    <w:rsid w:val="004C1113"/>
    <w:rsid w:val="004C1125"/>
    <w:rsid w:val="004C1163"/>
    <w:rsid w:val="004C1176"/>
    <w:rsid w:val="004C127F"/>
    <w:rsid w:val="004C12BB"/>
    <w:rsid w:val="004C1443"/>
    <w:rsid w:val="004C1502"/>
    <w:rsid w:val="004C179C"/>
    <w:rsid w:val="004C17E7"/>
    <w:rsid w:val="004C1818"/>
    <w:rsid w:val="004C1879"/>
    <w:rsid w:val="004C18CF"/>
    <w:rsid w:val="004C190F"/>
    <w:rsid w:val="004C1925"/>
    <w:rsid w:val="004C196C"/>
    <w:rsid w:val="004C1984"/>
    <w:rsid w:val="004C1999"/>
    <w:rsid w:val="004C1AA1"/>
    <w:rsid w:val="004C1BCF"/>
    <w:rsid w:val="004C1CE3"/>
    <w:rsid w:val="004C1D1B"/>
    <w:rsid w:val="004C1D9B"/>
    <w:rsid w:val="004C1DFE"/>
    <w:rsid w:val="004C1EA1"/>
    <w:rsid w:val="004C1ECD"/>
    <w:rsid w:val="004C1F3D"/>
    <w:rsid w:val="004C1FB5"/>
    <w:rsid w:val="004C1FF3"/>
    <w:rsid w:val="004C211E"/>
    <w:rsid w:val="004C220E"/>
    <w:rsid w:val="004C226E"/>
    <w:rsid w:val="004C22EF"/>
    <w:rsid w:val="004C23D7"/>
    <w:rsid w:val="004C23EB"/>
    <w:rsid w:val="004C241E"/>
    <w:rsid w:val="004C241F"/>
    <w:rsid w:val="004C2432"/>
    <w:rsid w:val="004C2487"/>
    <w:rsid w:val="004C248D"/>
    <w:rsid w:val="004C24C1"/>
    <w:rsid w:val="004C24C3"/>
    <w:rsid w:val="004C24EB"/>
    <w:rsid w:val="004C25A9"/>
    <w:rsid w:val="004C25EB"/>
    <w:rsid w:val="004C27A1"/>
    <w:rsid w:val="004C27B0"/>
    <w:rsid w:val="004C2833"/>
    <w:rsid w:val="004C2879"/>
    <w:rsid w:val="004C2892"/>
    <w:rsid w:val="004C28DE"/>
    <w:rsid w:val="004C292D"/>
    <w:rsid w:val="004C295E"/>
    <w:rsid w:val="004C2A5E"/>
    <w:rsid w:val="004C2A82"/>
    <w:rsid w:val="004C2ACB"/>
    <w:rsid w:val="004C2C8E"/>
    <w:rsid w:val="004C2DA0"/>
    <w:rsid w:val="004C2E4D"/>
    <w:rsid w:val="004C2FBE"/>
    <w:rsid w:val="004C302D"/>
    <w:rsid w:val="004C30A4"/>
    <w:rsid w:val="004C30B6"/>
    <w:rsid w:val="004C319E"/>
    <w:rsid w:val="004C323D"/>
    <w:rsid w:val="004C3282"/>
    <w:rsid w:val="004C3310"/>
    <w:rsid w:val="004C36C5"/>
    <w:rsid w:val="004C37AF"/>
    <w:rsid w:val="004C37B7"/>
    <w:rsid w:val="004C38B8"/>
    <w:rsid w:val="004C38F0"/>
    <w:rsid w:val="004C3900"/>
    <w:rsid w:val="004C3904"/>
    <w:rsid w:val="004C390C"/>
    <w:rsid w:val="004C3988"/>
    <w:rsid w:val="004C39C0"/>
    <w:rsid w:val="004C3A00"/>
    <w:rsid w:val="004C3A5D"/>
    <w:rsid w:val="004C3ADB"/>
    <w:rsid w:val="004C3AEA"/>
    <w:rsid w:val="004C3B6A"/>
    <w:rsid w:val="004C3B79"/>
    <w:rsid w:val="004C3BFD"/>
    <w:rsid w:val="004C40B4"/>
    <w:rsid w:val="004C40BD"/>
    <w:rsid w:val="004C4175"/>
    <w:rsid w:val="004C421E"/>
    <w:rsid w:val="004C42DE"/>
    <w:rsid w:val="004C42F9"/>
    <w:rsid w:val="004C4313"/>
    <w:rsid w:val="004C43C3"/>
    <w:rsid w:val="004C43D4"/>
    <w:rsid w:val="004C4508"/>
    <w:rsid w:val="004C457F"/>
    <w:rsid w:val="004C45AC"/>
    <w:rsid w:val="004C4657"/>
    <w:rsid w:val="004C471F"/>
    <w:rsid w:val="004C4720"/>
    <w:rsid w:val="004C47A3"/>
    <w:rsid w:val="004C480F"/>
    <w:rsid w:val="004C4851"/>
    <w:rsid w:val="004C4863"/>
    <w:rsid w:val="004C48F4"/>
    <w:rsid w:val="004C4B91"/>
    <w:rsid w:val="004C4BE4"/>
    <w:rsid w:val="004C4C3A"/>
    <w:rsid w:val="004C4C48"/>
    <w:rsid w:val="004C4CAA"/>
    <w:rsid w:val="004C4CDD"/>
    <w:rsid w:val="004C4CE6"/>
    <w:rsid w:val="004C4CF3"/>
    <w:rsid w:val="004C4D83"/>
    <w:rsid w:val="004C4F54"/>
    <w:rsid w:val="004C51D6"/>
    <w:rsid w:val="004C5229"/>
    <w:rsid w:val="004C52BC"/>
    <w:rsid w:val="004C5322"/>
    <w:rsid w:val="004C535D"/>
    <w:rsid w:val="004C53B2"/>
    <w:rsid w:val="004C5403"/>
    <w:rsid w:val="004C54D2"/>
    <w:rsid w:val="004C553F"/>
    <w:rsid w:val="004C5550"/>
    <w:rsid w:val="004C5551"/>
    <w:rsid w:val="004C5598"/>
    <w:rsid w:val="004C562D"/>
    <w:rsid w:val="004C56C9"/>
    <w:rsid w:val="004C570B"/>
    <w:rsid w:val="004C571B"/>
    <w:rsid w:val="004C5789"/>
    <w:rsid w:val="004C57AB"/>
    <w:rsid w:val="004C580C"/>
    <w:rsid w:val="004C58D1"/>
    <w:rsid w:val="004C59BC"/>
    <w:rsid w:val="004C5A6A"/>
    <w:rsid w:val="004C5B55"/>
    <w:rsid w:val="004C5B5E"/>
    <w:rsid w:val="004C5B68"/>
    <w:rsid w:val="004C5C55"/>
    <w:rsid w:val="004C5C84"/>
    <w:rsid w:val="004C5CBD"/>
    <w:rsid w:val="004C5DEC"/>
    <w:rsid w:val="004C5F5D"/>
    <w:rsid w:val="004C5FCC"/>
    <w:rsid w:val="004C600E"/>
    <w:rsid w:val="004C604E"/>
    <w:rsid w:val="004C60EA"/>
    <w:rsid w:val="004C6164"/>
    <w:rsid w:val="004C620C"/>
    <w:rsid w:val="004C62C1"/>
    <w:rsid w:val="004C6307"/>
    <w:rsid w:val="004C63C6"/>
    <w:rsid w:val="004C658C"/>
    <w:rsid w:val="004C6805"/>
    <w:rsid w:val="004C6866"/>
    <w:rsid w:val="004C6885"/>
    <w:rsid w:val="004C69A4"/>
    <w:rsid w:val="004C69D7"/>
    <w:rsid w:val="004C6A3B"/>
    <w:rsid w:val="004C6B24"/>
    <w:rsid w:val="004C6B50"/>
    <w:rsid w:val="004C6B7F"/>
    <w:rsid w:val="004C6BC7"/>
    <w:rsid w:val="004C6D00"/>
    <w:rsid w:val="004C6D57"/>
    <w:rsid w:val="004C6D8C"/>
    <w:rsid w:val="004C6DAE"/>
    <w:rsid w:val="004C6EFB"/>
    <w:rsid w:val="004C6F84"/>
    <w:rsid w:val="004C6FB9"/>
    <w:rsid w:val="004C705C"/>
    <w:rsid w:val="004C70AA"/>
    <w:rsid w:val="004C7219"/>
    <w:rsid w:val="004C723D"/>
    <w:rsid w:val="004C729C"/>
    <w:rsid w:val="004C7312"/>
    <w:rsid w:val="004C7405"/>
    <w:rsid w:val="004C7501"/>
    <w:rsid w:val="004C75DB"/>
    <w:rsid w:val="004C75E2"/>
    <w:rsid w:val="004C766A"/>
    <w:rsid w:val="004C7713"/>
    <w:rsid w:val="004C7716"/>
    <w:rsid w:val="004C772E"/>
    <w:rsid w:val="004C78AF"/>
    <w:rsid w:val="004C7941"/>
    <w:rsid w:val="004C79B8"/>
    <w:rsid w:val="004C7A90"/>
    <w:rsid w:val="004C7BF3"/>
    <w:rsid w:val="004C7D1D"/>
    <w:rsid w:val="004C7F77"/>
    <w:rsid w:val="004C7FA5"/>
    <w:rsid w:val="004D0033"/>
    <w:rsid w:val="004D0120"/>
    <w:rsid w:val="004D0128"/>
    <w:rsid w:val="004D0153"/>
    <w:rsid w:val="004D015F"/>
    <w:rsid w:val="004D0194"/>
    <w:rsid w:val="004D0244"/>
    <w:rsid w:val="004D0264"/>
    <w:rsid w:val="004D02AA"/>
    <w:rsid w:val="004D031B"/>
    <w:rsid w:val="004D031C"/>
    <w:rsid w:val="004D04D7"/>
    <w:rsid w:val="004D0551"/>
    <w:rsid w:val="004D05D6"/>
    <w:rsid w:val="004D060E"/>
    <w:rsid w:val="004D0627"/>
    <w:rsid w:val="004D07E4"/>
    <w:rsid w:val="004D0861"/>
    <w:rsid w:val="004D08E9"/>
    <w:rsid w:val="004D0927"/>
    <w:rsid w:val="004D09BF"/>
    <w:rsid w:val="004D09E4"/>
    <w:rsid w:val="004D0A22"/>
    <w:rsid w:val="004D0B31"/>
    <w:rsid w:val="004D0C26"/>
    <w:rsid w:val="004D0C34"/>
    <w:rsid w:val="004D0DAE"/>
    <w:rsid w:val="004D0F21"/>
    <w:rsid w:val="004D1216"/>
    <w:rsid w:val="004D1332"/>
    <w:rsid w:val="004D1459"/>
    <w:rsid w:val="004D14E6"/>
    <w:rsid w:val="004D1574"/>
    <w:rsid w:val="004D172E"/>
    <w:rsid w:val="004D175A"/>
    <w:rsid w:val="004D182C"/>
    <w:rsid w:val="004D1837"/>
    <w:rsid w:val="004D18F2"/>
    <w:rsid w:val="004D1A81"/>
    <w:rsid w:val="004D1AD0"/>
    <w:rsid w:val="004D1AD4"/>
    <w:rsid w:val="004D1B41"/>
    <w:rsid w:val="004D1B50"/>
    <w:rsid w:val="004D1B6B"/>
    <w:rsid w:val="004D1C3F"/>
    <w:rsid w:val="004D1C9F"/>
    <w:rsid w:val="004D1CAA"/>
    <w:rsid w:val="004D1CF6"/>
    <w:rsid w:val="004D1D9B"/>
    <w:rsid w:val="004D1DA9"/>
    <w:rsid w:val="004D1E8C"/>
    <w:rsid w:val="004D1FB8"/>
    <w:rsid w:val="004D2013"/>
    <w:rsid w:val="004D21F8"/>
    <w:rsid w:val="004D22CD"/>
    <w:rsid w:val="004D23AA"/>
    <w:rsid w:val="004D2598"/>
    <w:rsid w:val="004D25C1"/>
    <w:rsid w:val="004D270A"/>
    <w:rsid w:val="004D2717"/>
    <w:rsid w:val="004D2730"/>
    <w:rsid w:val="004D2777"/>
    <w:rsid w:val="004D2846"/>
    <w:rsid w:val="004D2903"/>
    <w:rsid w:val="004D2908"/>
    <w:rsid w:val="004D2962"/>
    <w:rsid w:val="004D29DE"/>
    <w:rsid w:val="004D2A50"/>
    <w:rsid w:val="004D2AB2"/>
    <w:rsid w:val="004D2AC1"/>
    <w:rsid w:val="004D2AD2"/>
    <w:rsid w:val="004D2B36"/>
    <w:rsid w:val="004D2B51"/>
    <w:rsid w:val="004D2C13"/>
    <w:rsid w:val="004D2C6D"/>
    <w:rsid w:val="004D2C75"/>
    <w:rsid w:val="004D2CCA"/>
    <w:rsid w:val="004D2DF2"/>
    <w:rsid w:val="004D2E34"/>
    <w:rsid w:val="004D2E80"/>
    <w:rsid w:val="004D2E89"/>
    <w:rsid w:val="004D2FBA"/>
    <w:rsid w:val="004D3009"/>
    <w:rsid w:val="004D3010"/>
    <w:rsid w:val="004D3020"/>
    <w:rsid w:val="004D3073"/>
    <w:rsid w:val="004D315E"/>
    <w:rsid w:val="004D325F"/>
    <w:rsid w:val="004D329A"/>
    <w:rsid w:val="004D32D9"/>
    <w:rsid w:val="004D337B"/>
    <w:rsid w:val="004D347D"/>
    <w:rsid w:val="004D3544"/>
    <w:rsid w:val="004D35C1"/>
    <w:rsid w:val="004D35D2"/>
    <w:rsid w:val="004D365F"/>
    <w:rsid w:val="004D368D"/>
    <w:rsid w:val="004D3727"/>
    <w:rsid w:val="004D3728"/>
    <w:rsid w:val="004D37E7"/>
    <w:rsid w:val="004D380B"/>
    <w:rsid w:val="004D3A1B"/>
    <w:rsid w:val="004D3A92"/>
    <w:rsid w:val="004D3B41"/>
    <w:rsid w:val="004D3C0A"/>
    <w:rsid w:val="004D3C1E"/>
    <w:rsid w:val="004D3CCC"/>
    <w:rsid w:val="004D3EDB"/>
    <w:rsid w:val="004D3F52"/>
    <w:rsid w:val="004D3F8D"/>
    <w:rsid w:val="004D3F91"/>
    <w:rsid w:val="004D3FC1"/>
    <w:rsid w:val="004D3FF6"/>
    <w:rsid w:val="004D4152"/>
    <w:rsid w:val="004D433C"/>
    <w:rsid w:val="004D4445"/>
    <w:rsid w:val="004D444A"/>
    <w:rsid w:val="004D444B"/>
    <w:rsid w:val="004D44A6"/>
    <w:rsid w:val="004D452F"/>
    <w:rsid w:val="004D45EC"/>
    <w:rsid w:val="004D46AD"/>
    <w:rsid w:val="004D4752"/>
    <w:rsid w:val="004D4770"/>
    <w:rsid w:val="004D47F4"/>
    <w:rsid w:val="004D48EF"/>
    <w:rsid w:val="004D494B"/>
    <w:rsid w:val="004D49A7"/>
    <w:rsid w:val="004D4A5C"/>
    <w:rsid w:val="004D4AF2"/>
    <w:rsid w:val="004D4C0C"/>
    <w:rsid w:val="004D4E0B"/>
    <w:rsid w:val="004D4E1F"/>
    <w:rsid w:val="004D4E6C"/>
    <w:rsid w:val="004D4E99"/>
    <w:rsid w:val="004D4F06"/>
    <w:rsid w:val="004D4F24"/>
    <w:rsid w:val="004D501C"/>
    <w:rsid w:val="004D50A3"/>
    <w:rsid w:val="004D50B4"/>
    <w:rsid w:val="004D50C8"/>
    <w:rsid w:val="004D5127"/>
    <w:rsid w:val="004D5158"/>
    <w:rsid w:val="004D51A6"/>
    <w:rsid w:val="004D5210"/>
    <w:rsid w:val="004D53F7"/>
    <w:rsid w:val="004D5441"/>
    <w:rsid w:val="004D545A"/>
    <w:rsid w:val="004D5469"/>
    <w:rsid w:val="004D5479"/>
    <w:rsid w:val="004D54BE"/>
    <w:rsid w:val="004D5580"/>
    <w:rsid w:val="004D55C3"/>
    <w:rsid w:val="004D5603"/>
    <w:rsid w:val="004D5800"/>
    <w:rsid w:val="004D5823"/>
    <w:rsid w:val="004D5877"/>
    <w:rsid w:val="004D58AB"/>
    <w:rsid w:val="004D5958"/>
    <w:rsid w:val="004D59A4"/>
    <w:rsid w:val="004D59CD"/>
    <w:rsid w:val="004D59EA"/>
    <w:rsid w:val="004D5A33"/>
    <w:rsid w:val="004D5B14"/>
    <w:rsid w:val="004D5B36"/>
    <w:rsid w:val="004D5C72"/>
    <w:rsid w:val="004D5D37"/>
    <w:rsid w:val="004D5D56"/>
    <w:rsid w:val="004D5D84"/>
    <w:rsid w:val="004D5E0A"/>
    <w:rsid w:val="004D5E65"/>
    <w:rsid w:val="004D5F56"/>
    <w:rsid w:val="004D5FD8"/>
    <w:rsid w:val="004D60AB"/>
    <w:rsid w:val="004D6135"/>
    <w:rsid w:val="004D6140"/>
    <w:rsid w:val="004D6207"/>
    <w:rsid w:val="004D624D"/>
    <w:rsid w:val="004D62B9"/>
    <w:rsid w:val="004D6377"/>
    <w:rsid w:val="004D644C"/>
    <w:rsid w:val="004D6461"/>
    <w:rsid w:val="004D6465"/>
    <w:rsid w:val="004D647F"/>
    <w:rsid w:val="004D6486"/>
    <w:rsid w:val="004D649E"/>
    <w:rsid w:val="004D65F1"/>
    <w:rsid w:val="004D66AD"/>
    <w:rsid w:val="004D67E9"/>
    <w:rsid w:val="004D6904"/>
    <w:rsid w:val="004D6947"/>
    <w:rsid w:val="004D6A0C"/>
    <w:rsid w:val="004D6A4F"/>
    <w:rsid w:val="004D6B5A"/>
    <w:rsid w:val="004D6B77"/>
    <w:rsid w:val="004D6BAE"/>
    <w:rsid w:val="004D6BB4"/>
    <w:rsid w:val="004D6BCA"/>
    <w:rsid w:val="004D6C06"/>
    <w:rsid w:val="004D6D68"/>
    <w:rsid w:val="004D6D8F"/>
    <w:rsid w:val="004D6E1D"/>
    <w:rsid w:val="004D6ED2"/>
    <w:rsid w:val="004D6F9E"/>
    <w:rsid w:val="004D7046"/>
    <w:rsid w:val="004D7051"/>
    <w:rsid w:val="004D70A1"/>
    <w:rsid w:val="004D70AE"/>
    <w:rsid w:val="004D70F9"/>
    <w:rsid w:val="004D7229"/>
    <w:rsid w:val="004D729D"/>
    <w:rsid w:val="004D7494"/>
    <w:rsid w:val="004D7500"/>
    <w:rsid w:val="004D750A"/>
    <w:rsid w:val="004D75C9"/>
    <w:rsid w:val="004D762C"/>
    <w:rsid w:val="004D76C9"/>
    <w:rsid w:val="004D77B3"/>
    <w:rsid w:val="004D78A5"/>
    <w:rsid w:val="004D7917"/>
    <w:rsid w:val="004D7A87"/>
    <w:rsid w:val="004D7B9F"/>
    <w:rsid w:val="004D7BE8"/>
    <w:rsid w:val="004D7C21"/>
    <w:rsid w:val="004D7CB0"/>
    <w:rsid w:val="004D7D37"/>
    <w:rsid w:val="004D7EC3"/>
    <w:rsid w:val="004D7F0C"/>
    <w:rsid w:val="004D7FAD"/>
    <w:rsid w:val="004E0063"/>
    <w:rsid w:val="004E0070"/>
    <w:rsid w:val="004E00B7"/>
    <w:rsid w:val="004E0128"/>
    <w:rsid w:val="004E0170"/>
    <w:rsid w:val="004E017D"/>
    <w:rsid w:val="004E0187"/>
    <w:rsid w:val="004E02BD"/>
    <w:rsid w:val="004E05F5"/>
    <w:rsid w:val="004E0634"/>
    <w:rsid w:val="004E074A"/>
    <w:rsid w:val="004E080C"/>
    <w:rsid w:val="004E089C"/>
    <w:rsid w:val="004E0AFA"/>
    <w:rsid w:val="004E0BDC"/>
    <w:rsid w:val="004E0D1C"/>
    <w:rsid w:val="004E0D37"/>
    <w:rsid w:val="004E0E5D"/>
    <w:rsid w:val="004E0F34"/>
    <w:rsid w:val="004E1008"/>
    <w:rsid w:val="004E1091"/>
    <w:rsid w:val="004E109D"/>
    <w:rsid w:val="004E10D0"/>
    <w:rsid w:val="004E1130"/>
    <w:rsid w:val="004E119F"/>
    <w:rsid w:val="004E11AA"/>
    <w:rsid w:val="004E1213"/>
    <w:rsid w:val="004E1249"/>
    <w:rsid w:val="004E1263"/>
    <w:rsid w:val="004E1274"/>
    <w:rsid w:val="004E140E"/>
    <w:rsid w:val="004E1487"/>
    <w:rsid w:val="004E1688"/>
    <w:rsid w:val="004E16CD"/>
    <w:rsid w:val="004E179B"/>
    <w:rsid w:val="004E17CD"/>
    <w:rsid w:val="004E1860"/>
    <w:rsid w:val="004E196B"/>
    <w:rsid w:val="004E1C0E"/>
    <w:rsid w:val="004E1C3E"/>
    <w:rsid w:val="004E1C40"/>
    <w:rsid w:val="004E1DEF"/>
    <w:rsid w:val="004E1ECA"/>
    <w:rsid w:val="004E1ECD"/>
    <w:rsid w:val="004E1EF6"/>
    <w:rsid w:val="004E1F0A"/>
    <w:rsid w:val="004E1F28"/>
    <w:rsid w:val="004E1F9D"/>
    <w:rsid w:val="004E2188"/>
    <w:rsid w:val="004E2272"/>
    <w:rsid w:val="004E22BE"/>
    <w:rsid w:val="004E231F"/>
    <w:rsid w:val="004E2329"/>
    <w:rsid w:val="004E24C3"/>
    <w:rsid w:val="004E24CB"/>
    <w:rsid w:val="004E258F"/>
    <w:rsid w:val="004E264E"/>
    <w:rsid w:val="004E268C"/>
    <w:rsid w:val="004E2771"/>
    <w:rsid w:val="004E27D0"/>
    <w:rsid w:val="004E289F"/>
    <w:rsid w:val="004E2945"/>
    <w:rsid w:val="004E2961"/>
    <w:rsid w:val="004E298E"/>
    <w:rsid w:val="004E29B8"/>
    <w:rsid w:val="004E2A33"/>
    <w:rsid w:val="004E2BA5"/>
    <w:rsid w:val="004E2CAA"/>
    <w:rsid w:val="004E2CE1"/>
    <w:rsid w:val="004E2DEC"/>
    <w:rsid w:val="004E2E07"/>
    <w:rsid w:val="004E2FEA"/>
    <w:rsid w:val="004E2FED"/>
    <w:rsid w:val="004E2FEE"/>
    <w:rsid w:val="004E30B2"/>
    <w:rsid w:val="004E3107"/>
    <w:rsid w:val="004E3291"/>
    <w:rsid w:val="004E32F6"/>
    <w:rsid w:val="004E33DC"/>
    <w:rsid w:val="004E3465"/>
    <w:rsid w:val="004E35E5"/>
    <w:rsid w:val="004E36D9"/>
    <w:rsid w:val="004E3723"/>
    <w:rsid w:val="004E37DC"/>
    <w:rsid w:val="004E38B0"/>
    <w:rsid w:val="004E38E5"/>
    <w:rsid w:val="004E394F"/>
    <w:rsid w:val="004E3993"/>
    <w:rsid w:val="004E39D4"/>
    <w:rsid w:val="004E3A19"/>
    <w:rsid w:val="004E3A1B"/>
    <w:rsid w:val="004E3A74"/>
    <w:rsid w:val="004E3B41"/>
    <w:rsid w:val="004E3C97"/>
    <w:rsid w:val="004E3CB5"/>
    <w:rsid w:val="004E3FEB"/>
    <w:rsid w:val="004E4176"/>
    <w:rsid w:val="004E4196"/>
    <w:rsid w:val="004E420A"/>
    <w:rsid w:val="004E42FC"/>
    <w:rsid w:val="004E443D"/>
    <w:rsid w:val="004E4500"/>
    <w:rsid w:val="004E45BC"/>
    <w:rsid w:val="004E46C5"/>
    <w:rsid w:val="004E46F3"/>
    <w:rsid w:val="004E4823"/>
    <w:rsid w:val="004E498D"/>
    <w:rsid w:val="004E4A0B"/>
    <w:rsid w:val="004E4A43"/>
    <w:rsid w:val="004E4C59"/>
    <w:rsid w:val="004E4CCA"/>
    <w:rsid w:val="004E4D3A"/>
    <w:rsid w:val="004E4D40"/>
    <w:rsid w:val="004E4E07"/>
    <w:rsid w:val="004E508D"/>
    <w:rsid w:val="004E50CC"/>
    <w:rsid w:val="004E5101"/>
    <w:rsid w:val="004E5109"/>
    <w:rsid w:val="004E51E4"/>
    <w:rsid w:val="004E51FE"/>
    <w:rsid w:val="004E525C"/>
    <w:rsid w:val="004E53A6"/>
    <w:rsid w:val="004E5446"/>
    <w:rsid w:val="004E5637"/>
    <w:rsid w:val="004E5746"/>
    <w:rsid w:val="004E584C"/>
    <w:rsid w:val="004E591F"/>
    <w:rsid w:val="004E59BE"/>
    <w:rsid w:val="004E5A8C"/>
    <w:rsid w:val="004E5B1B"/>
    <w:rsid w:val="004E5CCF"/>
    <w:rsid w:val="004E5CEC"/>
    <w:rsid w:val="004E5CF3"/>
    <w:rsid w:val="004E5D1E"/>
    <w:rsid w:val="004E5D3A"/>
    <w:rsid w:val="004E5D8A"/>
    <w:rsid w:val="004E5D96"/>
    <w:rsid w:val="004E5DFB"/>
    <w:rsid w:val="004E5ECC"/>
    <w:rsid w:val="004E5F31"/>
    <w:rsid w:val="004E5F6A"/>
    <w:rsid w:val="004E5F86"/>
    <w:rsid w:val="004E5FDE"/>
    <w:rsid w:val="004E601B"/>
    <w:rsid w:val="004E6065"/>
    <w:rsid w:val="004E612C"/>
    <w:rsid w:val="004E61D1"/>
    <w:rsid w:val="004E61EF"/>
    <w:rsid w:val="004E62F7"/>
    <w:rsid w:val="004E6392"/>
    <w:rsid w:val="004E6398"/>
    <w:rsid w:val="004E63B5"/>
    <w:rsid w:val="004E64E5"/>
    <w:rsid w:val="004E64F4"/>
    <w:rsid w:val="004E656C"/>
    <w:rsid w:val="004E6693"/>
    <w:rsid w:val="004E66B9"/>
    <w:rsid w:val="004E6713"/>
    <w:rsid w:val="004E67B9"/>
    <w:rsid w:val="004E6848"/>
    <w:rsid w:val="004E6891"/>
    <w:rsid w:val="004E68B5"/>
    <w:rsid w:val="004E68BA"/>
    <w:rsid w:val="004E6904"/>
    <w:rsid w:val="004E697E"/>
    <w:rsid w:val="004E69E3"/>
    <w:rsid w:val="004E6B09"/>
    <w:rsid w:val="004E6BFB"/>
    <w:rsid w:val="004E6C63"/>
    <w:rsid w:val="004E6CC2"/>
    <w:rsid w:val="004E6CDD"/>
    <w:rsid w:val="004E6D36"/>
    <w:rsid w:val="004E6DDC"/>
    <w:rsid w:val="004E6E13"/>
    <w:rsid w:val="004E6F57"/>
    <w:rsid w:val="004E6F66"/>
    <w:rsid w:val="004E70C0"/>
    <w:rsid w:val="004E725E"/>
    <w:rsid w:val="004E7260"/>
    <w:rsid w:val="004E72C2"/>
    <w:rsid w:val="004E72E9"/>
    <w:rsid w:val="004E7337"/>
    <w:rsid w:val="004E7392"/>
    <w:rsid w:val="004E7665"/>
    <w:rsid w:val="004E7772"/>
    <w:rsid w:val="004E77A1"/>
    <w:rsid w:val="004E781C"/>
    <w:rsid w:val="004E78BA"/>
    <w:rsid w:val="004E7904"/>
    <w:rsid w:val="004E791F"/>
    <w:rsid w:val="004E7AA2"/>
    <w:rsid w:val="004E7B64"/>
    <w:rsid w:val="004E7BC9"/>
    <w:rsid w:val="004E7D60"/>
    <w:rsid w:val="004E7E0F"/>
    <w:rsid w:val="004E7EB2"/>
    <w:rsid w:val="004E7FAC"/>
    <w:rsid w:val="004F018B"/>
    <w:rsid w:val="004F022D"/>
    <w:rsid w:val="004F02A7"/>
    <w:rsid w:val="004F0392"/>
    <w:rsid w:val="004F0439"/>
    <w:rsid w:val="004F0565"/>
    <w:rsid w:val="004F06A5"/>
    <w:rsid w:val="004F06BB"/>
    <w:rsid w:val="004F0785"/>
    <w:rsid w:val="004F07C3"/>
    <w:rsid w:val="004F085D"/>
    <w:rsid w:val="004F0949"/>
    <w:rsid w:val="004F098C"/>
    <w:rsid w:val="004F09C0"/>
    <w:rsid w:val="004F0A3D"/>
    <w:rsid w:val="004F0A77"/>
    <w:rsid w:val="004F0C19"/>
    <w:rsid w:val="004F0C87"/>
    <w:rsid w:val="004F0DB3"/>
    <w:rsid w:val="004F0F5C"/>
    <w:rsid w:val="004F0F72"/>
    <w:rsid w:val="004F1011"/>
    <w:rsid w:val="004F11E2"/>
    <w:rsid w:val="004F1253"/>
    <w:rsid w:val="004F136B"/>
    <w:rsid w:val="004F137B"/>
    <w:rsid w:val="004F13F7"/>
    <w:rsid w:val="004F14A1"/>
    <w:rsid w:val="004F14E4"/>
    <w:rsid w:val="004F16AA"/>
    <w:rsid w:val="004F16ED"/>
    <w:rsid w:val="004F1759"/>
    <w:rsid w:val="004F1883"/>
    <w:rsid w:val="004F1886"/>
    <w:rsid w:val="004F1887"/>
    <w:rsid w:val="004F1898"/>
    <w:rsid w:val="004F1953"/>
    <w:rsid w:val="004F19BF"/>
    <w:rsid w:val="004F1B04"/>
    <w:rsid w:val="004F1BCD"/>
    <w:rsid w:val="004F1D18"/>
    <w:rsid w:val="004F1DD8"/>
    <w:rsid w:val="004F1E58"/>
    <w:rsid w:val="004F1E94"/>
    <w:rsid w:val="004F1F8C"/>
    <w:rsid w:val="004F1FA5"/>
    <w:rsid w:val="004F1FC2"/>
    <w:rsid w:val="004F20A3"/>
    <w:rsid w:val="004F20DA"/>
    <w:rsid w:val="004F20EE"/>
    <w:rsid w:val="004F213C"/>
    <w:rsid w:val="004F2231"/>
    <w:rsid w:val="004F23FE"/>
    <w:rsid w:val="004F251D"/>
    <w:rsid w:val="004F254E"/>
    <w:rsid w:val="004F258C"/>
    <w:rsid w:val="004F259B"/>
    <w:rsid w:val="004F27C9"/>
    <w:rsid w:val="004F27F0"/>
    <w:rsid w:val="004F2840"/>
    <w:rsid w:val="004F28B8"/>
    <w:rsid w:val="004F2A0E"/>
    <w:rsid w:val="004F2A20"/>
    <w:rsid w:val="004F2A3F"/>
    <w:rsid w:val="004F2A40"/>
    <w:rsid w:val="004F2BD5"/>
    <w:rsid w:val="004F2C68"/>
    <w:rsid w:val="004F2D41"/>
    <w:rsid w:val="004F2E3C"/>
    <w:rsid w:val="004F2F7B"/>
    <w:rsid w:val="004F3056"/>
    <w:rsid w:val="004F3073"/>
    <w:rsid w:val="004F30AA"/>
    <w:rsid w:val="004F30AD"/>
    <w:rsid w:val="004F3199"/>
    <w:rsid w:val="004F31F3"/>
    <w:rsid w:val="004F32B6"/>
    <w:rsid w:val="004F3308"/>
    <w:rsid w:val="004F3533"/>
    <w:rsid w:val="004F3535"/>
    <w:rsid w:val="004F375E"/>
    <w:rsid w:val="004F3898"/>
    <w:rsid w:val="004F39F3"/>
    <w:rsid w:val="004F3A8D"/>
    <w:rsid w:val="004F3AA0"/>
    <w:rsid w:val="004F3BC4"/>
    <w:rsid w:val="004F3BD8"/>
    <w:rsid w:val="004F3D46"/>
    <w:rsid w:val="004F3DEE"/>
    <w:rsid w:val="004F3F92"/>
    <w:rsid w:val="004F3FA8"/>
    <w:rsid w:val="004F3FF7"/>
    <w:rsid w:val="004F400F"/>
    <w:rsid w:val="004F4016"/>
    <w:rsid w:val="004F4070"/>
    <w:rsid w:val="004F40A9"/>
    <w:rsid w:val="004F40DB"/>
    <w:rsid w:val="004F414B"/>
    <w:rsid w:val="004F4169"/>
    <w:rsid w:val="004F417D"/>
    <w:rsid w:val="004F42C0"/>
    <w:rsid w:val="004F44E0"/>
    <w:rsid w:val="004F4510"/>
    <w:rsid w:val="004F46E0"/>
    <w:rsid w:val="004F4790"/>
    <w:rsid w:val="004F4855"/>
    <w:rsid w:val="004F490F"/>
    <w:rsid w:val="004F49B4"/>
    <w:rsid w:val="004F4D1E"/>
    <w:rsid w:val="004F4D98"/>
    <w:rsid w:val="004F4F35"/>
    <w:rsid w:val="004F504B"/>
    <w:rsid w:val="004F5090"/>
    <w:rsid w:val="004F5207"/>
    <w:rsid w:val="004F52A0"/>
    <w:rsid w:val="004F533A"/>
    <w:rsid w:val="004F550F"/>
    <w:rsid w:val="004F554A"/>
    <w:rsid w:val="004F55FC"/>
    <w:rsid w:val="004F56A6"/>
    <w:rsid w:val="004F591E"/>
    <w:rsid w:val="004F5931"/>
    <w:rsid w:val="004F59B7"/>
    <w:rsid w:val="004F59C5"/>
    <w:rsid w:val="004F5A03"/>
    <w:rsid w:val="004F5A0C"/>
    <w:rsid w:val="004F5A17"/>
    <w:rsid w:val="004F5AFD"/>
    <w:rsid w:val="004F5B0A"/>
    <w:rsid w:val="004F5BDA"/>
    <w:rsid w:val="004F5C85"/>
    <w:rsid w:val="004F5C92"/>
    <w:rsid w:val="004F5CE8"/>
    <w:rsid w:val="004F5CFC"/>
    <w:rsid w:val="004F5E01"/>
    <w:rsid w:val="004F5EC0"/>
    <w:rsid w:val="004F5ED5"/>
    <w:rsid w:val="004F5F2C"/>
    <w:rsid w:val="004F5FF6"/>
    <w:rsid w:val="004F6012"/>
    <w:rsid w:val="004F612E"/>
    <w:rsid w:val="004F614F"/>
    <w:rsid w:val="004F6331"/>
    <w:rsid w:val="004F6353"/>
    <w:rsid w:val="004F640B"/>
    <w:rsid w:val="004F6524"/>
    <w:rsid w:val="004F6541"/>
    <w:rsid w:val="004F67A5"/>
    <w:rsid w:val="004F686F"/>
    <w:rsid w:val="004F69B4"/>
    <w:rsid w:val="004F6A3C"/>
    <w:rsid w:val="004F6A48"/>
    <w:rsid w:val="004F6AA9"/>
    <w:rsid w:val="004F6AB8"/>
    <w:rsid w:val="004F6AC2"/>
    <w:rsid w:val="004F6B52"/>
    <w:rsid w:val="004F6B97"/>
    <w:rsid w:val="004F6BB5"/>
    <w:rsid w:val="004F6C23"/>
    <w:rsid w:val="004F6C94"/>
    <w:rsid w:val="004F6D07"/>
    <w:rsid w:val="004F6D56"/>
    <w:rsid w:val="004F6E18"/>
    <w:rsid w:val="004F6E1B"/>
    <w:rsid w:val="004F6EC2"/>
    <w:rsid w:val="004F6EE2"/>
    <w:rsid w:val="004F6F6C"/>
    <w:rsid w:val="004F701E"/>
    <w:rsid w:val="004F7120"/>
    <w:rsid w:val="004F754F"/>
    <w:rsid w:val="004F755D"/>
    <w:rsid w:val="004F760C"/>
    <w:rsid w:val="004F766C"/>
    <w:rsid w:val="004F786F"/>
    <w:rsid w:val="004F7876"/>
    <w:rsid w:val="004F78D8"/>
    <w:rsid w:val="004F7971"/>
    <w:rsid w:val="004F7B98"/>
    <w:rsid w:val="004F7D4D"/>
    <w:rsid w:val="004F7E80"/>
    <w:rsid w:val="004F7E8D"/>
    <w:rsid w:val="004F7F4A"/>
    <w:rsid w:val="004F7F79"/>
    <w:rsid w:val="004F7FF3"/>
    <w:rsid w:val="005000A1"/>
    <w:rsid w:val="00500120"/>
    <w:rsid w:val="005001E6"/>
    <w:rsid w:val="005001EB"/>
    <w:rsid w:val="00500234"/>
    <w:rsid w:val="005002DA"/>
    <w:rsid w:val="005002EE"/>
    <w:rsid w:val="00500348"/>
    <w:rsid w:val="005003EF"/>
    <w:rsid w:val="00500497"/>
    <w:rsid w:val="005005B4"/>
    <w:rsid w:val="00500606"/>
    <w:rsid w:val="005006A3"/>
    <w:rsid w:val="005006A7"/>
    <w:rsid w:val="005006B0"/>
    <w:rsid w:val="005007AB"/>
    <w:rsid w:val="00500882"/>
    <w:rsid w:val="00500889"/>
    <w:rsid w:val="005008BB"/>
    <w:rsid w:val="005009AA"/>
    <w:rsid w:val="00500A05"/>
    <w:rsid w:val="00500AFE"/>
    <w:rsid w:val="00500B07"/>
    <w:rsid w:val="00500C25"/>
    <w:rsid w:val="00500D9E"/>
    <w:rsid w:val="00500E09"/>
    <w:rsid w:val="00500F10"/>
    <w:rsid w:val="00500F24"/>
    <w:rsid w:val="00500FC5"/>
    <w:rsid w:val="00501073"/>
    <w:rsid w:val="0050108E"/>
    <w:rsid w:val="00501097"/>
    <w:rsid w:val="0050113A"/>
    <w:rsid w:val="0050119F"/>
    <w:rsid w:val="00501258"/>
    <w:rsid w:val="005012CB"/>
    <w:rsid w:val="00501396"/>
    <w:rsid w:val="00501501"/>
    <w:rsid w:val="00501655"/>
    <w:rsid w:val="00501692"/>
    <w:rsid w:val="005016B0"/>
    <w:rsid w:val="005016FC"/>
    <w:rsid w:val="005017CE"/>
    <w:rsid w:val="005017FE"/>
    <w:rsid w:val="00501828"/>
    <w:rsid w:val="00501931"/>
    <w:rsid w:val="00501981"/>
    <w:rsid w:val="00501995"/>
    <w:rsid w:val="005019CD"/>
    <w:rsid w:val="005019FA"/>
    <w:rsid w:val="00501AF4"/>
    <w:rsid w:val="00501E8E"/>
    <w:rsid w:val="00501EFF"/>
    <w:rsid w:val="00501F83"/>
    <w:rsid w:val="00502053"/>
    <w:rsid w:val="0050205D"/>
    <w:rsid w:val="00502282"/>
    <w:rsid w:val="005023EF"/>
    <w:rsid w:val="005024F8"/>
    <w:rsid w:val="00502560"/>
    <w:rsid w:val="0050263A"/>
    <w:rsid w:val="00502683"/>
    <w:rsid w:val="0050273D"/>
    <w:rsid w:val="00502855"/>
    <w:rsid w:val="00502860"/>
    <w:rsid w:val="005028AA"/>
    <w:rsid w:val="0050291F"/>
    <w:rsid w:val="005029DE"/>
    <w:rsid w:val="00502A79"/>
    <w:rsid w:val="00502B21"/>
    <w:rsid w:val="00502BA2"/>
    <w:rsid w:val="00502BE9"/>
    <w:rsid w:val="00502C71"/>
    <w:rsid w:val="00502ED8"/>
    <w:rsid w:val="00502FDD"/>
    <w:rsid w:val="00503057"/>
    <w:rsid w:val="005031CB"/>
    <w:rsid w:val="005032F6"/>
    <w:rsid w:val="00503327"/>
    <w:rsid w:val="00503328"/>
    <w:rsid w:val="005033E3"/>
    <w:rsid w:val="00503410"/>
    <w:rsid w:val="0050342C"/>
    <w:rsid w:val="00503463"/>
    <w:rsid w:val="005034B3"/>
    <w:rsid w:val="00503625"/>
    <w:rsid w:val="0050362F"/>
    <w:rsid w:val="00503683"/>
    <w:rsid w:val="00503692"/>
    <w:rsid w:val="00503774"/>
    <w:rsid w:val="00503841"/>
    <w:rsid w:val="005038B6"/>
    <w:rsid w:val="005038CF"/>
    <w:rsid w:val="00503950"/>
    <w:rsid w:val="00503B92"/>
    <w:rsid w:val="00503C0D"/>
    <w:rsid w:val="00503C4C"/>
    <w:rsid w:val="00503CD6"/>
    <w:rsid w:val="00503D49"/>
    <w:rsid w:val="00503D53"/>
    <w:rsid w:val="00503FDD"/>
    <w:rsid w:val="00504035"/>
    <w:rsid w:val="005040EC"/>
    <w:rsid w:val="00504222"/>
    <w:rsid w:val="00504236"/>
    <w:rsid w:val="00504268"/>
    <w:rsid w:val="0050444F"/>
    <w:rsid w:val="005044A4"/>
    <w:rsid w:val="00504561"/>
    <w:rsid w:val="005046D0"/>
    <w:rsid w:val="0050479D"/>
    <w:rsid w:val="0050487A"/>
    <w:rsid w:val="00504896"/>
    <w:rsid w:val="005048E9"/>
    <w:rsid w:val="00504A11"/>
    <w:rsid w:val="00504B59"/>
    <w:rsid w:val="00504B5C"/>
    <w:rsid w:val="00504C51"/>
    <w:rsid w:val="00504D44"/>
    <w:rsid w:val="00504EAE"/>
    <w:rsid w:val="00504ED9"/>
    <w:rsid w:val="00504F2D"/>
    <w:rsid w:val="00504F45"/>
    <w:rsid w:val="00504F8F"/>
    <w:rsid w:val="0050510F"/>
    <w:rsid w:val="00505206"/>
    <w:rsid w:val="0050531D"/>
    <w:rsid w:val="00505339"/>
    <w:rsid w:val="0050536A"/>
    <w:rsid w:val="005053B7"/>
    <w:rsid w:val="00505414"/>
    <w:rsid w:val="00505433"/>
    <w:rsid w:val="0050546D"/>
    <w:rsid w:val="00505522"/>
    <w:rsid w:val="005055C8"/>
    <w:rsid w:val="005055E0"/>
    <w:rsid w:val="0050567A"/>
    <w:rsid w:val="00505754"/>
    <w:rsid w:val="00505776"/>
    <w:rsid w:val="005058C1"/>
    <w:rsid w:val="00505976"/>
    <w:rsid w:val="00505990"/>
    <w:rsid w:val="0050599F"/>
    <w:rsid w:val="00505AAB"/>
    <w:rsid w:val="00505B5E"/>
    <w:rsid w:val="00505C15"/>
    <w:rsid w:val="00505C94"/>
    <w:rsid w:val="00505DB2"/>
    <w:rsid w:val="00505E6F"/>
    <w:rsid w:val="00505EA2"/>
    <w:rsid w:val="00505ED8"/>
    <w:rsid w:val="00505EF0"/>
    <w:rsid w:val="005060E9"/>
    <w:rsid w:val="005061CB"/>
    <w:rsid w:val="00506270"/>
    <w:rsid w:val="00506277"/>
    <w:rsid w:val="005063AC"/>
    <w:rsid w:val="005063FE"/>
    <w:rsid w:val="0050645D"/>
    <w:rsid w:val="00506531"/>
    <w:rsid w:val="005065EB"/>
    <w:rsid w:val="005065EC"/>
    <w:rsid w:val="00506656"/>
    <w:rsid w:val="0050671A"/>
    <w:rsid w:val="0050677F"/>
    <w:rsid w:val="005067A9"/>
    <w:rsid w:val="0050682B"/>
    <w:rsid w:val="00506980"/>
    <w:rsid w:val="00506A71"/>
    <w:rsid w:val="00506AF7"/>
    <w:rsid w:val="00506B62"/>
    <w:rsid w:val="00506BC8"/>
    <w:rsid w:val="00506BCD"/>
    <w:rsid w:val="00506BCF"/>
    <w:rsid w:val="00506C6D"/>
    <w:rsid w:val="00506CE3"/>
    <w:rsid w:val="00506D69"/>
    <w:rsid w:val="00506E7F"/>
    <w:rsid w:val="00506EF7"/>
    <w:rsid w:val="00506F93"/>
    <w:rsid w:val="00506F96"/>
    <w:rsid w:val="0050702F"/>
    <w:rsid w:val="005070C6"/>
    <w:rsid w:val="005070DD"/>
    <w:rsid w:val="005070F3"/>
    <w:rsid w:val="00507156"/>
    <w:rsid w:val="005071DB"/>
    <w:rsid w:val="005071EF"/>
    <w:rsid w:val="00507235"/>
    <w:rsid w:val="0050732D"/>
    <w:rsid w:val="00507489"/>
    <w:rsid w:val="005074AB"/>
    <w:rsid w:val="0050758F"/>
    <w:rsid w:val="005075BD"/>
    <w:rsid w:val="00507619"/>
    <w:rsid w:val="005076F0"/>
    <w:rsid w:val="00507728"/>
    <w:rsid w:val="00507771"/>
    <w:rsid w:val="005077D9"/>
    <w:rsid w:val="00507888"/>
    <w:rsid w:val="005079DE"/>
    <w:rsid w:val="005079E5"/>
    <w:rsid w:val="00507A45"/>
    <w:rsid w:val="00507B43"/>
    <w:rsid w:val="00507BC0"/>
    <w:rsid w:val="00507BF9"/>
    <w:rsid w:val="00507C4B"/>
    <w:rsid w:val="00507C5A"/>
    <w:rsid w:val="00507D77"/>
    <w:rsid w:val="00507D82"/>
    <w:rsid w:val="00507F58"/>
    <w:rsid w:val="00507FB9"/>
    <w:rsid w:val="00510043"/>
    <w:rsid w:val="005100AA"/>
    <w:rsid w:val="005100C6"/>
    <w:rsid w:val="005100DB"/>
    <w:rsid w:val="005100F7"/>
    <w:rsid w:val="00510337"/>
    <w:rsid w:val="005103F3"/>
    <w:rsid w:val="005107BE"/>
    <w:rsid w:val="0051088E"/>
    <w:rsid w:val="005108EC"/>
    <w:rsid w:val="005109D5"/>
    <w:rsid w:val="00510B80"/>
    <w:rsid w:val="00510C15"/>
    <w:rsid w:val="00510D87"/>
    <w:rsid w:val="00510DD4"/>
    <w:rsid w:val="00510EC4"/>
    <w:rsid w:val="00510F0D"/>
    <w:rsid w:val="00510F6A"/>
    <w:rsid w:val="00510FBB"/>
    <w:rsid w:val="00510FFF"/>
    <w:rsid w:val="0051102F"/>
    <w:rsid w:val="0051109A"/>
    <w:rsid w:val="005110DE"/>
    <w:rsid w:val="00511264"/>
    <w:rsid w:val="0051127A"/>
    <w:rsid w:val="005112D2"/>
    <w:rsid w:val="0051139F"/>
    <w:rsid w:val="005113A8"/>
    <w:rsid w:val="005113EB"/>
    <w:rsid w:val="0051142F"/>
    <w:rsid w:val="00511453"/>
    <w:rsid w:val="005114C3"/>
    <w:rsid w:val="00511539"/>
    <w:rsid w:val="00511552"/>
    <w:rsid w:val="005115AF"/>
    <w:rsid w:val="005115FE"/>
    <w:rsid w:val="0051177D"/>
    <w:rsid w:val="00511788"/>
    <w:rsid w:val="005117C8"/>
    <w:rsid w:val="0051183B"/>
    <w:rsid w:val="005118DC"/>
    <w:rsid w:val="005118F5"/>
    <w:rsid w:val="00511AD3"/>
    <w:rsid w:val="00511B38"/>
    <w:rsid w:val="00511C51"/>
    <w:rsid w:val="00511CCB"/>
    <w:rsid w:val="00511D60"/>
    <w:rsid w:val="00511D97"/>
    <w:rsid w:val="00511EB3"/>
    <w:rsid w:val="00511ECA"/>
    <w:rsid w:val="00511F27"/>
    <w:rsid w:val="00511FED"/>
    <w:rsid w:val="005120CE"/>
    <w:rsid w:val="0051229D"/>
    <w:rsid w:val="0051241A"/>
    <w:rsid w:val="005124B4"/>
    <w:rsid w:val="0051258A"/>
    <w:rsid w:val="00512683"/>
    <w:rsid w:val="005127AB"/>
    <w:rsid w:val="00512857"/>
    <w:rsid w:val="005129A4"/>
    <w:rsid w:val="00512A9F"/>
    <w:rsid w:val="00512B4C"/>
    <w:rsid w:val="00512B6D"/>
    <w:rsid w:val="00512BC8"/>
    <w:rsid w:val="00512CAE"/>
    <w:rsid w:val="00512DC3"/>
    <w:rsid w:val="00512EAA"/>
    <w:rsid w:val="00512F5E"/>
    <w:rsid w:val="00512FF8"/>
    <w:rsid w:val="00513077"/>
    <w:rsid w:val="00513093"/>
    <w:rsid w:val="005130C7"/>
    <w:rsid w:val="00513198"/>
    <w:rsid w:val="0051322A"/>
    <w:rsid w:val="00513252"/>
    <w:rsid w:val="005132A0"/>
    <w:rsid w:val="005132B8"/>
    <w:rsid w:val="0051360F"/>
    <w:rsid w:val="00513641"/>
    <w:rsid w:val="00513685"/>
    <w:rsid w:val="005136C4"/>
    <w:rsid w:val="0051370F"/>
    <w:rsid w:val="0051375B"/>
    <w:rsid w:val="005137E6"/>
    <w:rsid w:val="00513872"/>
    <w:rsid w:val="00513878"/>
    <w:rsid w:val="0051394B"/>
    <w:rsid w:val="005139D2"/>
    <w:rsid w:val="005139D3"/>
    <w:rsid w:val="00513ACC"/>
    <w:rsid w:val="00513BAA"/>
    <w:rsid w:val="00513BB7"/>
    <w:rsid w:val="00513C22"/>
    <w:rsid w:val="00513C86"/>
    <w:rsid w:val="00513CF6"/>
    <w:rsid w:val="00513D8C"/>
    <w:rsid w:val="00513EE9"/>
    <w:rsid w:val="00513EFA"/>
    <w:rsid w:val="00513F1F"/>
    <w:rsid w:val="0051400C"/>
    <w:rsid w:val="00514058"/>
    <w:rsid w:val="0051411E"/>
    <w:rsid w:val="00514189"/>
    <w:rsid w:val="0051434F"/>
    <w:rsid w:val="005143EA"/>
    <w:rsid w:val="0051443D"/>
    <w:rsid w:val="00514455"/>
    <w:rsid w:val="0051449C"/>
    <w:rsid w:val="005145E6"/>
    <w:rsid w:val="00514843"/>
    <w:rsid w:val="00514878"/>
    <w:rsid w:val="005148D9"/>
    <w:rsid w:val="00514A90"/>
    <w:rsid w:val="00514AD0"/>
    <w:rsid w:val="00514B85"/>
    <w:rsid w:val="00514BD2"/>
    <w:rsid w:val="00514BF0"/>
    <w:rsid w:val="00514BFC"/>
    <w:rsid w:val="00514D04"/>
    <w:rsid w:val="00514D56"/>
    <w:rsid w:val="00514DB7"/>
    <w:rsid w:val="00514DD0"/>
    <w:rsid w:val="00514EEC"/>
    <w:rsid w:val="00514F18"/>
    <w:rsid w:val="00514FB1"/>
    <w:rsid w:val="00514FCB"/>
    <w:rsid w:val="0051508A"/>
    <w:rsid w:val="005154B3"/>
    <w:rsid w:val="00515576"/>
    <w:rsid w:val="005155AC"/>
    <w:rsid w:val="005155EB"/>
    <w:rsid w:val="005155F8"/>
    <w:rsid w:val="005155FE"/>
    <w:rsid w:val="0051567D"/>
    <w:rsid w:val="00515680"/>
    <w:rsid w:val="00515681"/>
    <w:rsid w:val="005156F0"/>
    <w:rsid w:val="005156F2"/>
    <w:rsid w:val="00515836"/>
    <w:rsid w:val="0051594C"/>
    <w:rsid w:val="00515A2C"/>
    <w:rsid w:val="00515A76"/>
    <w:rsid w:val="00515A7D"/>
    <w:rsid w:val="00515BB1"/>
    <w:rsid w:val="00515C2E"/>
    <w:rsid w:val="00515CF4"/>
    <w:rsid w:val="00515D69"/>
    <w:rsid w:val="00515DC4"/>
    <w:rsid w:val="00515FDF"/>
    <w:rsid w:val="00515FE8"/>
    <w:rsid w:val="0051604E"/>
    <w:rsid w:val="005160D0"/>
    <w:rsid w:val="005160EB"/>
    <w:rsid w:val="00516174"/>
    <w:rsid w:val="005162B3"/>
    <w:rsid w:val="005162CA"/>
    <w:rsid w:val="005163B2"/>
    <w:rsid w:val="005163BE"/>
    <w:rsid w:val="005163D2"/>
    <w:rsid w:val="0051643D"/>
    <w:rsid w:val="005164F6"/>
    <w:rsid w:val="0051658B"/>
    <w:rsid w:val="00516781"/>
    <w:rsid w:val="0051679D"/>
    <w:rsid w:val="005167D7"/>
    <w:rsid w:val="005167FF"/>
    <w:rsid w:val="00516944"/>
    <w:rsid w:val="00516956"/>
    <w:rsid w:val="0051697B"/>
    <w:rsid w:val="005169CC"/>
    <w:rsid w:val="00516A77"/>
    <w:rsid w:val="00516A8A"/>
    <w:rsid w:val="00516B55"/>
    <w:rsid w:val="00516B79"/>
    <w:rsid w:val="00516C58"/>
    <w:rsid w:val="00516DBB"/>
    <w:rsid w:val="00516E0A"/>
    <w:rsid w:val="00516E9A"/>
    <w:rsid w:val="00516EB5"/>
    <w:rsid w:val="00516F2F"/>
    <w:rsid w:val="00516F68"/>
    <w:rsid w:val="00516F92"/>
    <w:rsid w:val="005170F9"/>
    <w:rsid w:val="005171E7"/>
    <w:rsid w:val="00517203"/>
    <w:rsid w:val="00517212"/>
    <w:rsid w:val="00517253"/>
    <w:rsid w:val="005172AC"/>
    <w:rsid w:val="005172B7"/>
    <w:rsid w:val="005172DA"/>
    <w:rsid w:val="00517308"/>
    <w:rsid w:val="00517365"/>
    <w:rsid w:val="00517371"/>
    <w:rsid w:val="0051748C"/>
    <w:rsid w:val="00517500"/>
    <w:rsid w:val="0051751B"/>
    <w:rsid w:val="00517529"/>
    <w:rsid w:val="005175A1"/>
    <w:rsid w:val="0051763B"/>
    <w:rsid w:val="005178E9"/>
    <w:rsid w:val="00517909"/>
    <w:rsid w:val="0051795D"/>
    <w:rsid w:val="00517991"/>
    <w:rsid w:val="00517ACF"/>
    <w:rsid w:val="00517B7C"/>
    <w:rsid w:val="00517BA4"/>
    <w:rsid w:val="00517BCC"/>
    <w:rsid w:val="00517C2F"/>
    <w:rsid w:val="00517C3D"/>
    <w:rsid w:val="00517C7A"/>
    <w:rsid w:val="00517DBA"/>
    <w:rsid w:val="00517E13"/>
    <w:rsid w:val="00517E8B"/>
    <w:rsid w:val="00517EF6"/>
    <w:rsid w:val="00517F9B"/>
    <w:rsid w:val="00517FAC"/>
    <w:rsid w:val="005201DF"/>
    <w:rsid w:val="00520232"/>
    <w:rsid w:val="005202D0"/>
    <w:rsid w:val="005202DE"/>
    <w:rsid w:val="00520311"/>
    <w:rsid w:val="005203AE"/>
    <w:rsid w:val="005204FB"/>
    <w:rsid w:val="00520587"/>
    <w:rsid w:val="00520636"/>
    <w:rsid w:val="00520894"/>
    <w:rsid w:val="0052089A"/>
    <w:rsid w:val="0052091B"/>
    <w:rsid w:val="00520A11"/>
    <w:rsid w:val="00520A18"/>
    <w:rsid w:val="00520B31"/>
    <w:rsid w:val="00520BCB"/>
    <w:rsid w:val="00520C7A"/>
    <w:rsid w:val="00520D68"/>
    <w:rsid w:val="00520D86"/>
    <w:rsid w:val="00520E6F"/>
    <w:rsid w:val="00520F64"/>
    <w:rsid w:val="0052103F"/>
    <w:rsid w:val="0052104B"/>
    <w:rsid w:val="0052105A"/>
    <w:rsid w:val="00521128"/>
    <w:rsid w:val="0052124B"/>
    <w:rsid w:val="00521321"/>
    <w:rsid w:val="005213C3"/>
    <w:rsid w:val="005213CE"/>
    <w:rsid w:val="00521527"/>
    <w:rsid w:val="00521600"/>
    <w:rsid w:val="00521781"/>
    <w:rsid w:val="005217F7"/>
    <w:rsid w:val="00521827"/>
    <w:rsid w:val="005219BA"/>
    <w:rsid w:val="00521A05"/>
    <w:rsid w:val="00521B0F"/>
    <w:rsid w:val="00521B39"/>
    <w:rsid w:val="00521C0C"/>
    <w:rsid w:val="00521FEB"/>
    <w:rsid w:val="00522007"/>
    <w:rsid w:val="0052201D"/>
    <w:rsid w:val="00522039"/>
    <w:rsid w:val="005220C5"/>
    <w:rsid w:val="005221DB"/>
    <w:rsid w:val="00522277"/>
    <w:rsid w:val="005222F6"/>
    <w:rsid w:val="00522349"/>
    <w:rsid w:val="00522377"/>
    <w:rsid w:val="005224D1"/>
    <w:rsid w:val="00522530"/>
    <w:rsid w:val="005225BC"/>
    <w:rsid w:val="005225BD"/>
    <w:rsid w:val="00522632"/>
    <w:rsid w:val="00522674"/>
    <w:rsid w:val="00522681"/>
    <w:rsid w:val="00522728"/>
    <w:rsid w:val="00522765"/>
    <w:rsid w:val="00522A18"/>
    <w:rsid w:val="00522AB0"/>
    <w:rsid w:val="00522AE0"/>
    <w:rsid w:val="00522AFA"/>
    <w:rsid w:val="00522B81"/>
    <w:rsid w:val="00522B86"/>
    <w:rsid w:val="00522C6A"/>
    <w:rsid w:val="00522C73"/>
    <w:rsid w:val="00522DE7"/>
    <w:rsid w:val="00522E0F"/>
    <w:rsid w:val="00522EBD"/>
    <w:rsid w:val="00522F03"/>
    <w:rsid w:val="00522F57"/>
    <w:rsid w:val="00523024"/>
    <w:rsid w:val="00523085"/>
    <w:rsid w:val="005230F3"/>
    <w:rsid w:val="0052322A"/>
    <w:rsid w:val="005232B1"/>
    <w:rsid w:val="00523305"/>
    <w:rsid w:val="00523416"/>
    <w:rsid w:val="005234A9"/>
    <w:rsid w:val="00523633"/>
    <w:rsid w:val="0052363E"/>
    <w:rsid w:val="0052371D"/>
    <w:rsid w:val="00523720"/>
    <w:rsid w:val="00523757"/>
    <w:rsid w:val="005237B7"/>
    <w:rsid w:val="00523807"/>
    <w:rsid w:val="005238FA"/>
    <w:rsid w:val="0052394C"/>
    <w:rsid w:val="005239BE"/>
    <w:rsid w:val="005239E5"/>
    <w:rsid w:val="00523A0F"/>
    <w:rsid w:val="00523A9F"/>
    <w:rsid w:val="00523B86"/>
    <w:rsid w:val="00523BDC"/>
    <w:rsid w:val="00523C33"/>
    <w:rsid w:val="00523D8F"/>
    <w:rsid w:val="00523EA4"/>
    <w:rsid w:val="00523EAB"/>
    <w:rsid w:val="00523EEA"/>
    <w:rsid w:val="00523F15"/>
    <w:rsid w:val="00523F4E"/>
    <w:rsid w:val="00523FCE"/>
    <w:rsid w:val="00524004"/>
    <w:rsid w:val="005240B8"/>
    <w:rsid w:val="005240B9"/>
    <w:rsid w:val="005240F2"/>
    <w:rsid w:val="00524115"/>
    <w:rsid w:val="0052419D"/>
    <w:rsid w:val="005241A5"/>
    <w:rsid w:val="0052427E"/>
    <w:rsid w:val="00524343"/>
    <w:rsid w:val="00524382"/>
    <w:rsid w:val="005243A5"/>
    <w:rsid w:val="005244AE"/>
    <w:rsid w:val="005244B8"/>
    <w:rsid w:val="005244D7"/>
    <w:rsid w:val="0052458D"/>
    <w:rsid w:val="005245CE"/>
    <w:rsid w:val="0052460D"/>
    <w:rsid w:val="0052475F"/>
    <w:rsid w:val="00524773"/>
    <w:rsid w:val="00524789"/>
    <w:rsid w:val="0052479F"/>
    <w:rsid w:val="005248A9"/>
    <w:rsid w:val="005248FD"/>
    <w:rsid w:val="0052495C"/>
    <w:rsid w:val="005249CE"/>
    <w:rsid w:val="00524A06"/>
    <w:rsid w:val="00524AA2"/>
    <w:rsid w:val="00524B08"/>
    <w:rsid w:val="00524C01"/>
    <w:rsid w:val="00525030"/>
    <w:rsid w:val="00525099"/>
    <w:rsid w:val="005250FF"/>
    <w:rsid w:val="00525103"/>
    <w:rsid w:val="00525131"/>
    <w:rsid w:val="00525151"/>
    <w:rsid w:val="0052546C"/>
    <w:rsid w:val="005254C4"/>
    <w:rsid w:val="005254EA"/>
    <w:rsid w:val="005254F0"/>
    <w:rsid w:val="005254F3"/>
    <w:rsid w:val="0052557A"/>
    <w:rsid w:val="0052558F"/>
    <w:rsid w:val="00525619"/>
    <w:rsid w:val="005256E7"/>
    <w:rsid w:val="005257E6"/>
    <w:rsid w:val="005257F4"/>
    <w:rsid w:val="00525818"/>
    <w:rsid w:val="00525958"/>
    <w:rsid w:val="00525A16"/>
    <w:rsid w:val="00525A57"/>
    <w:rsid w:val="00525C05"/>
    <w:rsid w:val="00525C76"/>
    <w:rsid w:val="00525D0F"/>
    <w:rsid w:val="00525D18"/>
    <w:rsid w:val="00525DDE"/>
    <w:rsid w:val="00525E9D"/>
    <w:rsid w:val="00526000"/>
    <w:rsid w:val="0052601B"/>
    <w:rsid w:val="0052603F"/>
    <w:rsid w:val="005260F2"/>
    <w:rsid w:val="00526227"/>
    <w:rsid w:val="005262A7"/>
    <w:rsid w:val="005262E5"/>
    <w:rsid w:val="00526351"/>
    <w:rsid w:val="0052648B"/>
    <w:rsid w:val="005264EA"/>
    <w:rsid w:val="005264F6"/>
    <w:rsid w:val="00526550"/>
    <w:rsid w:val="005267F1"/>
    <w:rsid w:val="00526894"/>
    <w:rsid w:val="00526956"/>
    <w:rsid w:val="00526962"/>
    <w:rsid w:val="00526971"/>
    <w:rsid w:val="00526AE0"/>
    <w:rsid w:val="00526B85"/>
    <w:rsid w:val="00526BE0"/>
    <w:rsid w:val="00526CB1"/>
    <w:rsid w:val="00526D65"/>
    <w:rsid w:val="00526DF4"/>
    <w:rsid w:val="00526E1C"/>
    <w:rsid w:val="00526ED4"/>
    <w:rsid w:val="00526F12"/>
    <w:rsid w:val="00526FB9"/>
    <w:rsid w:val="0052703A"/>
    <w:rsid w:val="0052708B"/>
    <w:rsid w:val="005270B3"/>
    <w:rsid w:val="005272CF"/>
    <w:rsid w:val="00527317"/>
    <w:rsid w:val="0052737A"/>
    <w:rsid w:val="005273B7"/>
    <w:rsid w:val="005273B9"/>
    <w:rsid w:val="0052753F"/>
    <w:rsid w:val="00527540"/>
    <w:rsid w:val="0052756D"/>
    <w:rsid w:val="005275DE"/>
    <w:rsid w:val="0052767F"/>
    <w:rsid w:val="00527695"/>
    <w:rsid w:val="005276FB"/>
    <w:rsid w:val="00527953"/>
    <w:rsid w:val="00527A3C"/>
    <w:rsid w:val="00527C0F"/>
    <w:rsid w:val="00527C53"/>
    <w:rsid w:val="00527D34"/>
    <w:rsid w:val="00527DD1"/>
    <w:rsid w:val="00527DF5"/>
    <w:rsid w:val="00527E10"/>
    <w:rsid w:val="00527E83"/>
    <w:rsid w:val="0053008F"/>
    <w:rsid w:val="00530183"/>
    <w:rsid w:val="00530270"/>
    <w:rsid w:val="005302B2"/>
    <w:rsid w:val="0053043B"/>
    <w:rsid w:val="00530556"/>
    <w:rsid w:val="005305AC"/>
    <w:rsid w:val="00530635"/>
    <w:rsid w:val="00530644"/>
    <w:rsid w:val="005306C5"/>
    <w:rsid w:val="0053079F"/>
    <w:rsid w:val="005307B6"/>
    <w:rsid w:val="005307D2"/>
    <w:rsid w:val="005307F5"/>
    <w:rsid w:val="00530832"/>
    <w:rsid w:val="00530945"/>
    <w:rsid w:val="00530A06"/>
    <w:rsid w:val="00530B2B"/>
    <w:rsid w:val="00530BCB"/>
    <w:rsid w:val="00530BFF"/>
    <w:rsid w:val="00530ED3"/>
    <w:rsid w:val="00530F15"/>
    <w:rsid w:val="00530F47"/>
    <w:rsid w:val="00531005"/>
    <w:rsid w:val="0053111A"/>
    <w:rsid w:val="0053114C"/>
    <w:rsid w:val="00531217"/>
    <w:rsid w:val="005312A2"/>
    <w:rsid w:val="005312B2"/>
    <w:rsid w:val="005312F4"/>
    <w:rsid w:val="005313EF"/>
    <w:rsid w:val="005313F4"/>
    <w:rsid w:val="005313F6"/>
    <w:rsid w:val="00531498"/>
    <w:rsid w:val="005315E6"/>
    <w:rsid w:val="005316A6"/>
    <w:rsid w:val="00531825"/>
    <w:rsid w:val="00531925"/>
    <w:rsid w:val="00531979"/>
    <w:rsid w:val="00531A49"/>
    <w:rsid w:val="00531AA4"/>
    <w:rsid w:val="00531ADE"/>
    <w:rsid w:val="00531BFB"/>
    <w:rsid w:val="00531C66"/>
    <w:rsid w:val="00531CEC"/>
    <w:rsid w:val="00531D36"/>
    <w:rsid w:val="00531D3E"/>
    <w:rsid w:val="00531D9B"/>
    <w:rsid w:val="00531DE6"/>
    <w:rsid w:val="00531E08"/>
    <w:rsid w:val="00531E0C"/>
    <w:rsid w:val="00531E29"/>
    <w:rsid w:val="00531E35"/>
    <w:rsid w:val="00531F8D"/>
    <w:rsid w:val="0053216C"/>
    <w:rsid w:val="005321E8"/>
    <w:rsid w:val="0053221A"/>
    <w:rsid w:val="00532268"/>
    <w:rsid w:val="005322F8"/>
    <w:rsid w:val="00532412"/>
    <w:rsid w:val="0053251F"/>
    <w:rsid w:val="0053257C"/>
    <w:rsid w:val="005325F6"/>
    <w:rsid w:val="005326F3"/>
    <w:rsid w:val="00532716"/>
    <w:rsid w:val="00532873"/>
    <w:rsid w:val="00532962"/>
    <w:rsid w:val="005329E6"/>
    <w:rsid w:val="005329FB"/>
    <w:rsid w:val="00532A44"/>
    <w:rsid w:val="00532B51"/>
    <w:rsid w:val="00532BE1"/>
    <w:rsid w:val="00532D81"/>
    <w:rsid w:val="00532E3D"/>
    <w:rsid w:val="00532E55"/>
    <w:rsid w:val="00532F74"/>
    <w:rsid w:val="0053316B"/>
    <w:rsid w:val="005332C1"/>
    <w:rsid w:val="0053334E"/>
    <w:rsid w:val="00533482"/>
    <w:rsid w:val="005335B6"/>
    <w:rsid w:val="0053366C"/>
    <w:rsid w:val="0053369E"/>
    <w:rsid w:val="0053374E"/>
    <w:rsid w:val="0053387D"/>
    <w:rsid w:val="00533927"/>
    <w:rsid w:val="00533995"/>
    <w:rsid w:val="00533B14"/>
    <w:rsid w:val="00533BD1"/>
    <w:rsid w:val="00533DBF"/>
    <w:rsid w:val="00533DE0"/>
    <w:rsid w:val="00533E27"/>
    <w:rsid w:val="00533FBB"/>
    <w:rsid w:val="00533FD2"/>
    <w:rsid w:val="00534028"/>
    <w:rsid w:val="0053404A"/>
    <w:rsid w:val="005340CE"/>
    <w:rsid w:val="0053410D"/>
    <w:rsid w:val="00534268"/>
    <w:rsid w:val="00534285"/>
    <w:rsid w:val="0053428C"/>
    <w:rsid w:val="005345F1"/>
    <w:rsid w:val="005346E8"/>
    <w:rsid w:val="00534738"/>
    <w:rsid w:val="00534760"/>
    <w:rsid w:val="00534768"/>
    <w:rsid w:val="0053477D"/>
    <w:rsid w:val="00534810"/>
    <w:rsid w:val="0053482D"/>
    <w:rsid w:val="00534947"/>
    <w:rsid w:val="00534967"/>
    <w:rsid w:val="005349A8"/>
    <w:rsid w:val="005349D8"/>
    <w:rsid w:val="00534A1E"/>
    <w:rsid w:val="00534A31"/>
    <w:rsid w:val="00534AF4"/>
    <w:rsid w:val="00534B74"/>
    <w:rsid w:val="00534CAA"/>
    <w:rsid w:val="00534D56"/>
    <w:rsid w:val="00534E89"/>
    <w:rsid w:val="00534F34"/>
    <w:rsid w:val="00534F49"/>
    <w:rsid w:val="00534F9A"/>
    <w:rsid w:val="00534FAC"/>
    <w:rsid w:val="00534FB5"/>
    <w:rsid w:val="00535006"/>
    <w:rsid w:val="0053508A"/>
    <w:rsid w:val="00535131"/>
    <w:rsid w:val="005351C3"/>
    <w:rsid w:val="005351DD"/>
    <w:rsid w:val="005351FA"/>
    <w:rsid w:val="005352BC"/>
    <w:rsid w:val="00535496"/>
    <w:rsid w:val="005354CE"/>
    <w:rsid w:val="00535532"/>
    <w:rsid w:val="00535598"/>
    <w:rsid w:val="00535688"/>
    <w:rsid w:val="005356C1"/>
    <w:rsid w:val="00535821"/>
    <w:rsid w:val="0053584B"/>
    <w:rsid w:val="005359AC"/>
    <w:rsid w:val="005359E2"/>
    <w:rsid w:val="00535A30"/>
    <w:rsid w:val="00535A83"/>
    <w:rsid w:val="00535AAF"/>
    <w:rsid w:val="00535B4C"/>
    <w:rsid w:val="00535B5D"/>
    <w:rsid w:val="00535C18"/>
    <w:rsid w:val="00535C1F"/>
    <w:rsid w:val="00535C82"/>
    <w:rsid w:val="00535C96"/>
    <w:rsid w:val="00535CD1"/>
    <w:rsid w:val="00535CDC"/>
    <w:rsid w:val="00535E9E"/>
    <w:rsid w:val="00535FB7"/>
    <w:rsid w:val="00535FE2"/>
    <w:rsid w:val="0053603D"/>
    <w:rsid w:val="00536052"/>
    <w:rsid w:val="005360B1"/>
    <w:rsid w:val="005360F7"/>
    <w:rsid w:val="0053614B"/>
    <w:rsid w:val="005361A0"/>
    <w:rsid w:val="005361EE"/>
    <w:rsid w:val="00536210"/>
    <w:rsid w:val="0053627C"/>
    <w:rsid w:val="005362F7"/>
    <w:rsid w:val="00536341"/>
    <w:rsid w:val="005363CB"/>
    <w:rsid w:val="005363EA"/>
    <w:rsid w:val="0053647C"/>
    <w:rsid w:val="00536514"/>
    <w:rsid w:val="00536556"/>
    <w:rsid w:val="0053656A"/>
    <w:rsid w:val="005366EF"/>
    <w:rsid w:val="00536741"/>
    <w:rsid w:val="00536756"/>
    <w:rsid w:val="005367C1"/>
    <w:rsid w:val="0053683A"/>
    <w:rsid w:val="0053691D"/>
    <w:rsid w:val="005369A0"/>
    <w:rsid w:val="005369E5"/>
    <w:rsid w:val="00536B16"/>
    <w:rsid w:val="00536B5A"/>
    <w:rsid w:val="00536D4F"/>
    <w:rsid w:val="00536DF9"/>
    <w:rsid w:val="00536E6E"/>
    <w:rsid w:val="00536E97"/>
    <w:rsid w:val="00536EBB"/>
    <w:rsid w:val="0053702D"/>
    <w:rsid w:val="00537060"/>
    <w:rsid w:val="0053706F"/>
    <w:rsid w:val="005370CB"/>
    <w:rsid w:val="005370D1"/>
    <w:rsid w:val="00537117"/>
    <w:rsid w:val="00537185"/>
    <w:rsid w:val="005372EA"/>
    <w:rsid w:val="00537399"/>
    <w:rsid w:val="0053750C"/>
    <w:rsid w:val="005376A8"/>
    <w:rsid w:val="005377D9"/>
    <w:rsid w:val="005378CF"/>
    <w:rsid w:val="00537A6B"/>
    <w:rsid w:val="00537ADF"/>
    <w:rsid w:val="00537AEA"/>
    <w:rsid w:val="00537B29"/>
    <w:rsid w:val="00537CF1"/>
    <w:rsid w:val="00537D20"/>
    <w:rsid w:val="00537D31"/>
    <w:rsid w:val="00537D35"/>
    <w:rsid w:val="00537D80"/>
    <w:rsid w:val="00537E94"/>
    <w:rsid w:val="00537EEE"/>
    <w:rsid w:val="00537FF2"/>
    <w:rsid w:val="00540160"/>
    <w:rsid w:val="0054019F"/>
    <w:rsid w:val="005401A5"/>
    <w:rsid w:val="00540275"/>
    <w:rsid w:val="0054033B"/>
    <w:rsid w:val="00540372"/>
    <w:rsid w:val="005404FE"/>
    <w:rsid w:val="00540569"/>
    <w:rsid w:val="00540781"/>
    <w:rsid w:val="005407DC"/>
    <w:rsid w:val="005408DC"/>
    <w:rsid w:val="00540915"/>
    <w:rsid w:val="00540977"/>
    <w:rsid w:val="005409BC"/>
    <w:rsid w:val="005409C8"/>
    <w:rsid w:val="00540ABA"/>
    <w:rsid w:val="00540B56"/>
    <w:rsid w:val="00540BBB"/>
    <w:rsid w:val="00540CAC"/>
    <w:rsid w:val="00540CCF"/>
    <w:rsid w:val="00540CF7"/>
    <w:rsid w:val="00540D09"/>
    <w:rsid w:val="00540D45"/>
    <w:rsid w:val="00540DC4"/>
    <w:rsid w:val="00540E65"/>
    <w:rsid w:val="00540EA2"/>
    <w:rsid w:val="00540F5C"/>
    <w:rsid w:val="00540F61"/>
    <w:rsid w:val="00540FAB"/>
    <w:rsid w:val="00541056"/>
    <w:rsid w:val="00541105"/>
    <w:rsid w:val="0054117F"/>
    <w:rsid w:val="00541206"/>
    <w:rsid w:val="00541256"/>
    <w:rsid w:val="0054139D"/>
    <w:rsid w:val="005413C6"/>
    <w:rsid w:val="005413FF"/>
    <w:rsid w:val="0054140E"/>
    <w:rsid w:val="00541448"/>
    <w:rsid w:val="00541507"/>
    <w:rsid w:val="005415FA"/>
    <w:rsid w:val="0054163A"/>
    <w:rsid w:val="0054166A"/>
    <w:rsid w:val="00541727"/>
    <w:rsid w:val="0054172E"/>
    <w:rsid w:val="005417D3"/>
    <w:rsid w:val="0054189D"/>
    <w:rsid w:val="00541926"/>
    <w:rsid w:val="00541B44"/>
    <w:rsid w:val="00541C08"/>
    <w:rsid w:val="00541C3A"/>
    <w:rsid w:val="00541D0E"/>
    <w:rsid w:val="00541FAA"/>
    <w:rsid w:val="0054202E"/>
    <w:rsid w:val="00542063"/>
    <w:rsid w:val="0054206E"/>
    <w:rsid w:val="00542070"/>
    <w:rsid w:val="005420B7"/>
    <w:rsid w:val="005420E9"/>
    <w:rsid w:val="0054245C"/>
    <w:rsid w:val="0054247D"/>
    <w:rsid w:val="0054255F"/>
    <w:rsid w:val="005425C1"/>
    <w:rsid w:val="005426E9"/>
    <w:rsid w:val="0054270C"/>
    <w:rsid w:val="00542732"/>
    <w:rsid w:val="0054273B"/>
    <w:rsid w:val="0054276B"/>
    <w:rsid w:val="00542785"/>
    <w:rsid w:val="0054284E"/>
    <w:rsid w:val="00542853"/>
    <w:rsid w:val="0054286F"/>
    <w:rsid w:val="00542898"/>
    <w:rsid w:val="005428F4"/>
    <w:rsid w:val="0054291B"/>
    <w:rsid w:val="00542927"/>
    <w:rsid w:val="005429EF"/>
    <w:rsid w:val="00542CE9"/>
    <w:rsid w:val="00542CF2"/>
    <w:rsid w:val="00542D46"/>
    <w:rsid w:val="00542D6F"/>
    <w:rsid w:val="00542E88"/>
    <w:rsid w:val="00542FB9"/>
    <w:rsid w:val="00543087"/>
    <w:rsid w:val="005430A7"/>
    <w:rsid w:val="005430F9"/>
    <w:rsid w:val="00543120"/>
    <w:rsid w:val="00543123"/>
    <w:rsid w:val="00543162"/>
    <w:rsid w:val="00543233"/>
    <w:rsid w:val="005432A5"/>
    <w:rsid w:val="00543372"/>
    <w:rsid w:val="005434B1"/>
    <w:rsid w:val="005434F1"/>
    <w:rsid w:val="00543514"/>
    <w:rsid w:val="0054352B"/>
    <w:rsid w:val="0054365D"/>
    <w:rsid w:val="00543682"/>
    <w:rsid w:val="005436DC"/>
    <w:rsid w:val="005436FF"/>
    <w:rsid w:val="005437CB"/>
    <w:rsid w:val="005439E8"/>
    <w:rsid w:val="00543A32"/>
    <w:rsid w:val="00543A9E"/>
    <w:rsid w:val="00543BBA"/>
    <w:rsid w:val="00543C64"/>
    <w:rsid w:val="00543C9E"/>
    <w:rsid w:val="00543CD6"/>
    <w:rsid w:val="00543D0B"/>
    <w:rsid w:val="00543D26"/>
    <w:rsid w:val="00543DBF"/>
    <w:rsid w:val="00543E33"/>
    <w:rsid w:val="00544059"/>
    <w:rsid w:val="00544284"/>
    <w:rsid w:val="005442D7"/>
    <w:rsid w:val="005442DC"/>
    <w:rsid w:val="0054435A"/>
    <w:rsid w:val="0054444B"/>
    <w:rsid w:val="00544515"/>
    <w:rsid w:val="005446B2"/>
    <w:rsid w:val="00544743"/>
    <w:rsid w:val="0054474D"/>
    <w:rsid w:val="005447BD"/>
    <w:rsid w:val="005447CB"/>
    <w:rsid w:val="005447F3"/>
    <w:rsid w:val="00544851"/>
    <w:rsid w:val="005448B1"/>
    <w:rsid w:val="00544933"/>
    <w:rsid w:val="005449A7"/>
    <w:rsid w:val="005449E3"/>
    <w:rsid w:val="00544A4D"/>
    <w:rsid w:val="00544A53"/>
    <w:rsid w:val="00544ACE"/>
    <w:rsid w:val="00544AE0"/>
    <w:rsid w:val="00544AE2"/>
    <w:rsid w:val="00544BD9"/>
    <w:rsid w:val="00544C66"/>
    <w:rsid w:val="00544D00"/>
    <w:rsid w:val="00544D5B"/>
    <w:rsid w:val="00544D7C"/>
    <w:rsid w:val="00544D87"/>
    <w:rsid w:val="00544EE0"/>
    <w:rsid w:val="00544F66"/>
    <w:rsid w:val="00545051"/>
    <w:rsid w:val="00545062"/>
    <w:rsid w:val="00545070"/>
    <w:rsid w:val="00545077"/>
    <w:rsid w:val="005450B9"/>
    <w:rsid w:val="00545207"/>
    <w:rsid w:val="005452C7"/>
    <w:rsid w:val="0054533A"/>
    <w:rsid w:val="0054533E"/>
    <w:rsid w:val="00545398"/>
    <w:rsid w:val="0054543D"/>
    <w:rsid w:val="005454EA"/>
    <w:rsid w:val="0054569D"/>
    <w:rsid w:val="005456FB"/>
    <w:rsid w:val="0054577B"/>
    <w:rsid w:val="00545B43"/>
    <w:rsid w:val="00545B95"/>
    <w:rsid w:val="00545C8D"/>
    <w:rsid w:val="00545D87"/>
    <w:rsid w:val="00545DFA"/>
    <w:rsid w:val="0054607E"/>
    <w:rsid w:val="005460DF"/>
    <w:rsid w:val="0054621E"/>
    <w:rsid w:val="00546275"/>
    <w:rsid w:val="005462BB"/>
    <w:rsid w:val="005462FB"/>
    <w:rsid w:val="00546381"/>
    <w:rsid w:val="0054638B"/>
    <w:rsid w:val="005464C9"/>
    <w:rsid w:val="00546524"/>
    <w:rsid w:val="0054675E"/>
    <w:rsid w:val="00546836"/>
    <w:rsid w:val="00546954"/>
    <w:rsid w:val="005469BE"/>
    <w:rsid w:val="00546ABE"/>
    <w:rsid w:val="00546D18"/>
    <w:rsid w:val="00546D24"/>
    <w:rsid w:val="00546DE6"/>
    <w:rsid w:val="00546E60"/>
    <w:rsid w:val="00546EBA"/>
    <w:rsid w:val="00546EC8"/>
    <w:rsid w:val="00546F72"/>
    <w:rsid w:val="00546F8A"/>
    <w:rsid w:val="00546FF1"/>
    <w:rsid w:val="00547078"/>
    <w:rsid w:val="0054709E"/>
    <w:rsid w:val="005470A5"/>
    <w:rsid w:val="005470BD"/>
    <w:rsid w:val="00547165"/>
    <w:rsid w:val="005471BA"/>
    <w:rsid w:val="0054728F"/>
    <w:rsid w:val="005472C0"/>
    <w:rsid w:val="005473E1"/>
    <w:rsid w:val="005473ED"/>
    <w:rsid w:val="005473F0"/>
    <w:rsid w:val="005474A3"/>
    <w:rsid w:val="005474CA"/>
    <w:rsid w:val="0054751C"/>
    <w:rsid w:val="00547572"/>
    <w:rsid w:val="00547726"/>
    <w:rsid w:val="00547762"/>
    <w:rsid w:val="00547770"/>
    <w:rsid w:val="0054787B"/>
    <w:rsid w:val="00547A86"/>
    <w:rsid w:val="00547E5D"/>
    <w:rsid w:val="00547E97"/>
    <w:rsid w:val="00547F39"/>
    <w:rsid w:val="00547FB4"/>
    <w:rsid w:val="00547FD7"/>
    <w:rsid w:val="0055004A"/>
    <w:rsid w:val="005502DB"/>
    <w:rsid w:val="005503C1"/>
    <w:rsid w:val="00550528"/>
    <w:rsid w:val="0055058A"/>
    <w:rsid w:val="005505D4"/>
    <w:rsid w:val="0055069E"/>
    <w:rsid w:val="0055071D"/>
    <w:rsid w:val="00550867"/>
    <w:rsid w:val="005508DC"/>
    <w:rsid w:val="00550932"/>
    <w:rsid w:val="00550955"/>
    <w:rsid w:val="00550A83"/>
    <w:rsid w:val="00550B67"/>
    <w:rsid w:val="00550D23"/>
    <w:rsid w:val="00550DC9"/>
    <w:rsid w:val="00550E2A"/>
    <w:rsid w:val="005511D8"/>
    <w:rsid w:val="0055122A"/>
    <w:rsid w:val="00551248"/>
    <w:rsid w:val="00551268"/>
    <w:rsid w:val="005512BB"/>
    <w:rsid w:val="00551310"/>
    <w:rsid w:val="005513BC"/>
    <w:rsid w:val="005513C7"/>
    <w:rsid w:val="00551491"/>
    <w:rsid w:val="005514CD"/>
    <w:rsid w:val="0055168D"/>
    <w:rsid w:val="0055174A"/>
    <w:rsid w:val="00551805"/>
    <w:rsid w:val="00551948"/>
    <w:rsid w:val="00551B0F"/>
    <w:rsid w:val="00551D64"/>
    <w:rsid w:val="00551FB4"/>
    <w:rsid w:val="00552094"/>
    <w:rsid w:val="005520F9"/>
    <w:rsid w:val="00552136"/>
    <w:rsid w:val="00552142"/>
    <w:rsid w:val="0055219B"/>
    <w:rsid w:val="00552226"/>
    <w:rsid w:val="0055224E"/>
    <w:rsid w:val="00552265"/>
    <w:rsid w:val="0055232C"/>
    <w:rsid w:val="00552370"/>
    <w:rsid w:val="00552384"/>
    <w:rsid w:val="005523DE"/>
    <w:rsid w:val="00552415"/>
    <w:rsid w:val="0055242F"/>
    <w:rsid w:val="0055245E"/>
    <w:rsid w:val="00552519"/>
    <w:rsid w:val="00552531"/>
    <w:rsid w:val="0055275D"/>
    <w:rsid w:val="005528D2"/>
    <w:rsid w:val="005528F7"/>
    <w:rsid w:val="00552A30"/>
    <w:rsid w:val="00552B8A"/>
    <w:rsid w:val="00552C1C"/>
    <w:rsid w:val="00552C4E"/>
    <w:rsid w:val="00552C5E"/>
    <w:rsid w:val="00552D18"/>
    <w:rsid w:val="00552D33"/>
    <w:rsid w:val="00552D6F"/>
    <w:rsid w:val="00552E03"/>
    <w:rsid w:val="00552ED3"/>
    <w:rsid w:val="00552F5D"/>
    <w:rsid w:val="00553287"/>
    <w:rsid w:val="00553310"/>
    <w:rsid w:val="005533DE"/>
    <w:rsid w:val="005533F6"/>
    <w:rsid w:val="00553491"/>
    <w:rsid w:val="00553496"/>
    <w:rsid w:val="0055351A"/>
    <w:rsid w:val="00553524"/>
    <w:rsid w:val="00553573"/>
    <w:rsid w:val="0055364F"/>
    <w:rsid w:val="0055371C"/>
    <w:rsid w:val="00553779"/>
    <w:rsid w:val="00553797"/>
    <w:rsid w:val="00553896"/>
    <w:rsid w:val="005538BF"/>
    <w:rsid w:val="005538C1"/>
    <w:rsid w:val="005538C7"/>
    <w:rsid w:val="00553998"/>
    <w:rsid w:val="005539E1"/>
    <w:rsid w:val="00553BFF"/>
    <w:rsid w:val="00553C0E"/>
    <w:rsid w:val="00553C4B"/>
    <w:rsid w:val="00553CF3"/>
    <w:rsid w:val="00553D62"/>
    <w:rsid w:val="00553DBD"/>
    <w:rsid w:val="00553E27"/>
    <w:rsid w:val="00553E7F"/>
    <w:rsid w:val="00553F09"/>
    <w:rsid w:val="00553F13"/>
    <w:rsid w:val="00553FFE"/>
    <w:rsid w:val="005540E6"/>
    <w:rsid w:val="005541D3"/>
    <w:rsid w:val="005541EC"/>
    <w:rsid w:val="005541F7"/>
    <w:rsid w:val="00554358"/>
    <w:rsid w:val="00554375"/>
    <w:rsid w:val="00554376"/>
    <w:rsid w:val="00554454"/>
    <w:rsid w:val="00554491"/>
    <w:rsid w:val="005544B5"/>
    <w:rsid w:val="00554542"/>
    <w:rsid w:val="00554603"/>
    <w:rsid w:val="00554665"/>
    <w:rsid w:val="005546F9"/>
    <w:rsid w:val="005546FB"/>
    <w:rsid w:val="00554755"/>
    <w:rsid w:val="0055475B"/>
    <w:rsid w:val="0055480F"/>
    <w:rsid w:val="0055481B"/>
    <w:rsid w:val="005548E3"/>
    <w:rsid w:val="00554A58"/>
    <w:rsid w:val="00554C12"/>
    <w:rsid w:val="00554C33"/>
    <w:rsid w:val="00554CA6"/>
    <w:rsid w:val="00554CAB"/>
    <w:rsid w:val="00554D78"/>
    <w:rsid w:val="00554E0E"/>
    <w:rsid w:val="00554F51"/>
    <w:rsid w:val="00555055"/>
    <w:rsid w:val="00555058"/>
    <w:rsid w:val="005550C6"/>
    <w:rsid w:val="00555134"/>
    <w:rsid w:val="005551E7"/>
    <w:rsid w:val="0055526B"/>
    <w:rsid w:val="00555285"/>
    <w:rsid w:val="0055531D"/>
    <w:rsid w:val="00555374"/>
    <w:rsid w:val="005553E0"/>
    <w:rsid w:val="00555425"/>
    <w:rsid w:val="005554CF"/>
    <w:rsid w:val="005554FF"/>
    <w:rsid w:val="00555561"/>
    <w:rsid w:val="005555BE"/>
    <w:rsid w:val="005555CE"/>
    <w:rsid w:val="005555F5"/>
    <w:rsid w:val="00555635"/>
    <w:rsid w:val="0055572D"/>
    <w:rsid w:val="00555781"/>
    <w:rsid w:val="005557B3"/>
    <w:rsid w:val="00555830"/>
    <w:rsid w:val="00555873"/>
    <w:rsid w:val="0055588F"/>
    <w:rsid w:val="005558C7"/>
    <w:rsid w:val="005559FD"/>
    <w:rsid w:val="00555B99"/>
    <w:rsid w:val="00555BE4"/>
    <w:rsid w:val="00555CCA"/>
    <w:rsid w:val="00555EEB"/>
    <w:rsid w:val="00556029"/>
    <w:rsid w:val="00556051"/>
    <w:rsid w:val="00556120"/>
    <w:rsid w:val="00556214"/>
    <w:rsid w:val="0055623A"/>
    <w:rsid w:val="005562F7"/>
    <w:rsid w:val="0055630D"/>
    <w:rsid w:val="00556312"/>
    <w:rsid w:val="005563B0"/>
    <w:rsid w:val="005563B7"/>
    <w:rsid w:val="005564E6"/>
    <w:rsid w:val="00556572"/>
    <w:rsid w:val="005566B9"/>
    <w:rsid w:val="005566C4"/>
    <w:rsid w:val="005566C5"/>
    <w:rsid w:val="005567DB"/>
    <w:rsid w:val="00556858"/>
    <w:rsid w:val="00556866"/>
    <w:rsid w:val="005568B9"/>
    <w:rsid w:val="00556A00"/>
    <w:rsid w:val="00556A20"/>
    <w:rsid w:val="00556ABD"/>
    <w:rsid w:val="00556B8C"/>
    <w:rsid w:val="00556BBA"/>
    <w:rsid w:val="00556C89"/>
    <w:rsid w:val="00556E84"/>
    <w:rsid w:val="00556EB6"/>
    <w:rsid w:val="00556EC8"/>
    <w:rsid w:val="00556FD1"/>
    <w:rsid w:val="00556FFC"/>
    <w:rsid w:val="0055704D"/>
    <w:rsid w:val="00557110"/>
    <w:rsid w:val="00557336"/>
    <w:rsid w:val="0055735D"/>
    <w:rsid w:val="005573DA"/>
    <w:rsid w:val="00557520"/>
    <w:rsid w:val="00557547"/>
    <w:rsid w:val="005575DE"/>
    <w:rsid w:val="005575E5"/>
    <w:rsid w:val="00557628"/>
    <w:rsid w:val="005576AE"/>
    <w:rsid w:val="005576BF"/>
    <w:rsid w:val="005576E5"/>
    <w:rsid w:val="00557739"/>
    <w:rsid w:val="0055783C"/>
    <w:rsid w:val="005578CE"/>
    <w:rsid w:val="00557A23"/>
    <w:rsid w:val="00557AD7"/>
    <w:rsid w:val="00557B31"/>
    <w:rsid w:val="00557B4D"/>
    <w:rsid w:val="00557BA7"/>
    <w:rsid w:val="00557C97"/>
    <w:rsid w:val="00557E0A"/>
    <w:rsid w:val="00557F94"/>
    <w:rsid w:val="005600CF"/>
    <w:rsid w:val="00560113"/>
    <w:rsid w:val="00560148"/>
    <w:rsid w:val="00560168"/>
    <w:rsid w:val="0056025B"/>
    <w:rsid w:val="00560267"/>
    <w:rsid w:val="00560298"/>
    <w:rsid w:val="005602AF"/>
    <w:rsid w:val="0056044F"/>
    <w:rsid w:val="00560584"/>
    <w:rsid w:val="00560594"/>
    <w:rsid w:val="005606B2"/>
    <w:rsid w:val="005606D6"/>
    <w:rsid w:val="0056081D"/>
    <w:rsid w:val="005608FF"/>
    <w:rsid w:val="00560922"/>
    <w:rsid w:val="00560A34"/>
    <w:rsid w:val="00560CBE"/>
    <w:rsid w:val="00560E8A"/>
    <w:rsid w:val="00560E9E"/>
    <w:rsid w:val="00560EE7"/>
    <w:rsid w:val="00560F5D"/>
    <w:rsid w:val="00560FA3"/>
    <w:rsid w:val="00560FD6"/>
    <w:rsid w:val="00561064"/>
    <w:rsid w:val="005610C8"/>
    <w:rsid w:val="005611F4"/>
    <w:rsid w:val="00561385"/>
    <w:rsid w:val="0056149D"/>
    <w:rsid w:val="00561597"/>
    <w:rsid w:val="00561649"/>
    <w:rsid w:val="00561682"/>
    <w:rsid w:val="0056172D"/>
    <w:rsid w:val="00561776"/>
    <w:rsid w:val="005618E3"/>
    <w:rsid w:val="00561BB8"/>
    <w:rsid w:val="00561DDC"/>
    <w:rsid w:val="00561EAB"/>
    <w:rsid w:val="00561ED9"/>
    <w:rsid w:val="005621B2"/>
    <w:rsid w:val="005623EE"/>
    <w:rsid w:val="005623F4"/>
    <w:rsid w:val="005624C5"/>
    <w:rsid w:val="005625E1"/>
    <w:rsid w:val="005625EA"/>
    <w:rsid w:val="00562787"/>
    <w:rsid w:val="005627A9"/>
    <w:rsid w:val="005627AF"/>
    <w:rsid w:val="005628B6"/>
    <w:rsid w:val="00562985"/>
    <w:rsid w:val="00562A74"/>
    <w:rsid w:val="00562B9E"/>
    <w:rsid w:val="00562C5A"/>
    <w:rsid w:val="00562C95"/>
    <w:rsid w:val="00562CC7"/>
    <w:rsid w:val="00562CE9"/>
    <w:rsid w:val="00562CF1"/>
    <w:rsid w:val="00562CF3"/>
    <w:rsid w:val="00562D6D"/>
    <w:rsid w:val="00562DDC"/>
    <w:rsid w:val="00562FAB"/>
    <w:rsid w:val="00562FCD"/>
    <w:rsid w:val="00563011"/>
    <w:rsid w:val="00563035"/>
    <w:rsid w:val="0056309A"/>
    <w:rsid w:val="005630FE"/>
    <w:rsid w:val="00563260"/>
    <w:rsid w:val="005633CE"/>
    <w:rsid w:val="005633DF"/>
    <w:rsid w:val="005634D8"/>
    <w:rsid w:val="0056356F"/>
    <w:rsid w:val="005635C3"/>
    <w:rsid w:val="005635DD"/>
    <w:rsid w:val="00563639"/>
    <w:rsid w:val="00563695"/>
    <w:rsid w:val="0056372E"/>
    <w:rsid w:val="005637FE"/>
    <w:rsid w:val="0056383E"/>
    <w:rsid w:val="0056384A"/>
    <w:rsid w:val="0056389E"/>
    <w:rsid w:val="005639B8"/>
    <w:rsid w:val="00563AF8"/>
    <w:rsid w:val="00563B36"/>
    <w:rsid w:val="00563CD4"/>
    <w:rsid w:val="00563E3D"/>
    <w:rsid w:val="00563EE3"/>
    <w:rsid w:val="00563EF1"/>
    <w:rsid w:val="00563F67"/>
    <w:rsid w:val="00564015"/>
    <w:rsid w:val="00564030"/>
    <w:rsid w:val="0056404D"/>
    <w:rsid w:val="005640D0"/>
    <w:rsid w:val="005640EB"/>
    <w:rsid w:val="00564108"/>
    <w:rsid w:val="00564145"/>
    <w:rsid w:val="005642C6"/>
    <w:rsid w:val="005642F1"/>
    <w:rsid w:val="00564494"/>
    <w:rsid w:val="00564514"/>
    <w:rsid w:val="005645A9"/>
    <w:rsid w:val="0056464C"/>
    <w:rsid w:val="0056467A"/>
    <w:rsid w:val="005646AC"/>
    <w:rsid w:val="005646B8"/>
    <w:rsid w:val="005646DA"/>
    <w:rsid w:val="0056477D"/>
    <w:rsid w:val="005647F5"/>
    <w:rsid w:val="00564866"/>
    <w:rsid w:val="00564974"/>
    <w:rsid w:val="0056497B"/>
    <w:rsid w:val="0056497D"/>
    <w:rsid w:val="005649BD"/>
    <w:rsid w:val="00564A7F"/>
    <w:rsid w:val="00564AC4"/>
    <w:rsid w:val="00564B47"/>
    <w:rsid w:val="00564BFC"/>
    <w:rsid w:val="00564D52"/>
    <w:rsid w:val="00564D5F"/>
    <w:rsid w:val="00564E42"/>
    <w:rsid w:val="00564E5E"/>
    <w:rsid w:val="00564EA3"/>
    <w:rsid w:val="00564EE0"/>
    <w:rsid w:val="00564F9B"/>
    <w:rsid w:val="00564FAE"/>
    <w:rsid w:val="0056501A"/>
    <w:rsid w:val="005650D1"/>
    <w:rsid w:val="005650EC"/>
    <w:rsid w:val="0056513A"/>
    <w:rsid w:val="005651FB"/>
    <w:rsid w:val="005652E4"/>
    <w:rsid w:val="00565502"/>
    <w:rsid w:val="0056551C"/>
    <w:rsid w:val="005657DD"/>
    <w:rsid w:val="00565913"/>
    <w:rsid w:val="00565A3F"/>
    <w:rsid w:val="00565A7C"/>
    <w:rsid w:val="00565A95"/>
    <w:rsid w:val="00565CAE"/>
    <w:rsid w:val="00565DDB"/>
    <w:rsid w:val="00565F6B"/>
    <w:rsid w:val="00565F77"/>
    <w:rsid w:val="00566104"/>
    <w:rsid w:val="00566147"/>
    <w:rsid w:val="0056614F"/>
    <w:rsid w:val="00566159"/>
    <w:rsid w:val="00566201"/>
    <w:rsid w:val="0056626D"/>
    <w:rsid w:val="0056628F"/>
    <w:rsid w:val="0056629A"/>
    <w:rsid w:val="005662AD"/>
    <w:rsid w:val="00566326"/>
    <w:rsid w:val="00566361"/>
    <w:rsid w:val="005664A7"/>
    <w:rsid w:val="00566593"/>
    <w:rsid w:val="00566603"/>
    <w:rsid w:val="0056680F"/>
    <w:rsid w:val="00566ABC"/>
    <w:rsid w:val="00566B48"/>
    <w:rsid w:val="00566B53"/>
    <w:rsid w:val="00566B89"/>
    <w:rsid w:val="00566BDC"/>
    <w:rsid w:val="00566C1A"/>
    <w:rsid w:val="00566C69"/>
    <w:rsid w:val="00566D0F"/>
    <w:rsid w:val="00566D63"/>
    <w:rsid w:val="00566DF0"/>
    <w:rsid w:val="00566DF7"/>
    <w:rsid w:val="00566E4C"/>
    <w:rsid w:val="00566F63"/>
    <w:rsid w:val="00567057"/>
    <w:rsid w:val="0056718E"/>
    <w:rsid w:val="0056732E"/>
    <w:rsid w:val="00567340"/>
    <w:rsid w:val="00567404"/>
    <w:rsid w:val="0056748D"/>
    <w:rsid w:val="0056757C"/>
    <w:rsid w:val="00567704"/>
    <w:rsid w:val="005677FC"/>
    <w:rsid w:val="005678D6"/>
    <w:rsid w:val="005678EB"/>
    <w:rsid w:val="0056795F"/>
    <w:rsid w:val="00567A19"/>
    <w:rsid w:val="00567A1C"/>
    <w:rsid w:val="00567A4A"/>
    <w:rsid w:val="00567C3A"/>
    <w:rsid w:val="00567C3B"/>
    <w:rsid w:val="00567D1A"/>
    <w:rsid w:val="00567D5B"/>
    <w:rsid w:val="00567DE7"/>
    <w:rsid w:val="00567E51"/>
    <w:rsid w:val="00567E5C"/>
    <w:rsid w:val="00567E5D"/>
    <w:rsid w:val="00567E76"/>
    <w:rsid w:val="00567F31"/>
    <w:rsid w:val="00567F98"/>
    <w:rsid w:val="00567FDB"/>
    <w:rsid w:val="005700A6"/>
    <w:rsid w:val="005700B2"/>
    <w:rsid w:val="0057017F"/>
    <w:rsid w:val="005701CA"/>
    <w:rsid w:val="0057022D"/>
    <w:rsid w:val="00570245"/>
    <w:rsid w:val="005702CB"/>
    <w:rsid w:val="005702DC"/>
    <w:rsid w:val="0057038C"/>
    <w:rsid w:val="0057042C"/>
    <w:rsid w:val="0057055D"/>
    <w:rsid w:val="005705B1"/>
    <w:rsid w:val="005705EF"/>
    <w:rsid w:val="0057062D"/>
    <w:rsid w:val="0057064B"/>
    <w:rsid w:val="005706B1"/>
    <w:rsid w:val="005706DE"/>
    <w:rsid w:val="00570752"/>
    <w:rsid w:val="0057084F"/>
    <w:rsid w:val="00570898"/>
    <w:rsid w:val="005708D7"/>
    <w:rsid w:val="00570911"/>
    <w:rsid w:val="00570A29"/>
    <w:rsid w:val="00570A8D"/>
    <w:rsid w:val="00570A8F"/>
    <w:rsid w:val="00570B52"/>
    <w:rsid w:val="00570BA7"/>
    <w:rsid w:val="00570D73"/>
    <w:rsid w:val="00570DAD"/>
    <w:rsid w:val="00570F32"/>
    <w:rsid w:val="00570FB0"/>
    <w:rsid w:val="00570FF7"/>
    <w:rsid w:val="00571029"/>
    <w:rsid w:val="0057114C"/>
    <w:rsid w:val="00571202"/>
    <w:rsid w:val="0057122F"/>
    <w:rsid w:val="00571278"/>
    <w:rsid w:val="00571364"/>
    <w:rsid w:val="0057142E"/>
    <w:rsid w:val="00571469"/>
    <w:rsid w:val="00571644"/>
    <w:rsid w:val="0057178A"/>
    <w:rsid w:val="0057190E"/>
    <w:rsid w:val="0057193B"/>
    <w:rsid w:val="00571A2B"/>
    <w:rsid w:val="00571A54"/>
    <w:rsid w:val="00571B31"/>
    <w:rsid w:val="00571C44"/>
    <w:rsid w:val="00571C6D"/>
    <w:rsid w:val="00571CD3"/>
    <w:rsid w:val="00571CF3"/>
    <w:rsid w:val="00571D77"/>
    <w:rsid w:val="00571FE1"/>
    <w:rsid w:val="00572095"/>
    <w:rsid w:val="00572220"/>
    <w:rsid w:val="005722D4"/>
    <w:rsid w:val="00572308"/>
    <w:rsid w:val="0057236E"/>
    <w:rsid w:val="00572415"/>
    <w:rsid w:val="0057263F"/>
    <w:rsid w:val="00572706"/>
    <w:rsid w:val="00572708"/>
    <w:rsid w:val="00572740"/>
    <w:rsid w:val="00572843"/>
    <w:rsid w:val="0057288C"/>
    <w:rsid w:val="00572897"/>
    <w:rsid w:val="00572922"/>
    <w:rsid w:val="00572ABF"/>
    <w:rsid w:val="00572AF0"/>
    <w:rsid w:val="00572BAC"/>
    <w:rsid w:val="00572CFA"/>
    <w:rsid w:val="00572D85"/>
    <w:rsid w:val="00572E12"/>
    <w:rsid w:val="00572E40"/>
    <w:rsid w:val="00573028"/>
    <w:rsid w:val="00573289"/>
    <w:rsid w:val="005732F7"/>
    <w:rsid w:val="005732FF"/>
    <w:rsid w:val="0057330E"/>
    <w:rsid w:val="00573339"/>
    <w:rsid w:val="005733BC"/>
    <w:rsid w:val="0057348D"/>
    <w:rsid w:val="00573648"/>
    <w:rsid w:val="00573767"/>
    <w:rsid w:val="0057397A"/>
    <w:rsid w:val="00573A52"/>
    <w:rsid w:val="00573A9D"/>
    <w:rsid w:val="00573B22"/>
    <w:rsid w:val="00573B39"/>
    <w:rsid w:val="00573B5C"/>
    <w:rsid w:val="00573BF7"/>
    <w:rsid w:val="00573CA1"/>
    <w:rsid w:val="00573CB4"/>
    <w:rsid w:val="00573CDA"/>
    <w:rsid w:val="00573DC4"/>
    <w:rsid w:val="00573E5C"/>
    <w:rsid w:val="00573F43"/>
    <w:rsid w:val="00573F52"/>
    <w:rsid w:val="00573F88"/>
    <w:rsid w:val="00574038"/>
    <w:rsid w:val="00574041"/>
    <w:rsid w:val="00574147"/>
    <w:rsid w:val="00574166"/>
    <w:rsid w:val="00574181"/>
    <w:rsid w:val="005741C1"/>
    <w:rsid w:val="005743E1"/>
    <w:rsid w:val="00574401"/>
    <w:rsid w:val="0057442B"/>
    <w:rsid w:val="00574526"/>
    <w:rsid w:val="00574575"/>
    <w:rsid w:val="0057459A"/>
    <w:rsid w:val="00574641"/>
    <w:rsid w:val="00574740"/>
    <w:rsid w:val="005747C4"/>
    <w:rsid w:val="00574865"/>
    <w:rsid w:val="005748B5"/>
    <w:rsid w:val="005748DB"/>
    <w:rsid w:val="005749DF"/>
    <w:rsid w:val="005749F6"/>
    <w:rsid w:val="00574AF1"/>
    <w:rsid w:val="00574B03"/>
    <w:rsid w:val="00574B24"/>
    <w:rsid w:val="00574B46"/>
    <w:rsid w:val="00574B62"/>
    <w:rsid w:val="00574C1F"/>
    <w:rsid w:val="00574C51"/>
    <w:rsid w:val="00574C54"/>
    <w:rsid w:val="00574CB5"/>
    <w:rsid w:val="00574CEE"/>
    <w:rsid w:val="00574CF0"/>
    <w:rsid w:val="00574DAC"/>
    <w:rsid w:val="00574DB0"/>
    <w:rsid w:val="00574DE9"/>
    <w:rsid w:val="00574E37"/>
    <w:rsid w:val="00574E9B"/>
    <w:rsid w:val="00574EA7"/>
    <w:rsid w:val="00574FF8"/>
    <w:rsid w:val="0057503F"/>
    <w:rsid w:val="005750EB"/>
    <w:rsid w:val="0057511C"/>
    <w:rsid w:val="0057524F"/>
    <w:rsid w:val="00575285"/>
    <w:rsid w:val="005753A3"/>
    <w:rsid w:val="0057545D"/>
    <w:rsid w:val="00575624"/>
    <w:rsid w:val="00575716"/>
    <w:rsid w:val="005757C4"/>
    <w:rsid w:val="005758B2"/>
    <w:rsid w:val="00575963"/>
    <w:rsid w:val="005759D5"/>
    <w:rsid w:val="00575A36"/>
    <w:rsid w:val="00575B08"/>
    <w:rsid w:val="00575CDD"/>
    <w:rsid w:val="00575D5B"/>
    <w:rsid w:val="00575DB8"/>
    <w:rsid w:val="00575E77"/>
    <w:rsid w:val="00575ED4"/>
    <w:rsid w:val="00576078"/>
    <w:rsid w:val="0057620E"/>
    <w:rsid w:val="00576395"/>
    <w:rsid w:val="00576426"/>
    <w:rsid w:val="005764CC"/>
    <w:rsid w:val="0057659C"/>
    <w:rsid w:val="005765C4"/>
    <w:rsid w:val="00576696"/>
    <w:rsid w:val="00576759"/>
    <w:rsid w:val="0057675B"/>
    <w:rsid w:val="00576832"/>
    <w:rsid w:val="005768C1"/>
    <w:rsid w:val="00576A75"/>
    <w:rsid w:val="00576AA4"/>
    <w:rsid w:val="00576AEA"/>
    <w:rsid w:val="00576B47"/>
    <w:rsid w:val="00576B5A"/>
    <w:rsid w:val="00576D1E"/>
    <w:rsid w:val="00576D28"/>
    <w:rsid w:val="00576EB8"/>
    <w:rsid w:val="00577039"/>
    <w:rsid w:val="005770D8"/>
    <w:rsid w:val="00577153"/>
    <w:rsid w:val="00577264"/>
    <w:rsid w:val="005772BD"/>
    <w:rsid w:val="0057744E"/>
    <w:rsid w:val="00577478"/>
    <w:rsid w:val="00577537"/>
    <w:rsid w:val="00577620"/>
    <w:rsid w:val="00577657"/>
    <w:rsid w:val="00577663"/>
    <w:rsid w:val="00577668"/>
    <w:rsid w:val="005776F9"/>
    <w:rsid w:val="00577732"/>
    <w:rsid w:val="00577748"/>
    <w:rsid w:val="005779B2"/>
    <w:rsid w:val="00577A82"/>
    <w:rsid w:val="00577ACE"/>
    <w:rsid w:val="00577B02"/>
    <w:rsid w:val="00577B89"/>
    <w:rsid w:val="00577B9B"/>
    <w:rsid w:val="00577BB4"/>
    <w:rsid w:val="00577C3D"/>
    <w:rsid w:val="00577C9B"/>
    <w:rsid w:val="00577D48"/>
    <w:rsid w:val="00577D91"/>
    <w:rsid w:val="00577DD3"/>
    <w:rsid w:val="00577E45"/>
    <w:rsid w:val="00577EEA"/>
    <w:rsid w:val="00577F42"/>
    <w:rsid w:val="00577F67"/>
    <w:rsid w:val="00577FA3"/>
    <w:rsid w:val="005801AF"/>
    <w:rsid w:val="0058032D"/>
    <w:rsid w:val="00580473"/>
    <w:rsid w:val="005804E2"/>
    <w:rsid w:val="005805E2"/>
    <w:rsid w:val="0058077C"/>
    <w:rsid w:val="0058093A"/>
    <w:rsid w:val="00580B75"/>
    <w:rsid w:val="00580BC8"/>
    <w:rsid w:val="00580BD2"/>
    <w:rsid w:val="00580C5C"/>
    <w:rsid w:val="00580E0C"/>
    <w:rsid w:val="00580E1F"/>
    <w:rsid w:val="00580EBB"/>
    <w:rsid w:val="00580EC6"/>
    <w:rsid w:val="00580EE3"/>
    <w:rsid w:val="00580F19"/>
    <w:rsid w:val="00580F5D"/>
    <w:rsid w:val="00580F78"/>
    <w:rsid w:val="00581050"/>
    <w:rsid w:val="00581066"/>
    <w:rsid w:val="00581135"/>
    <w:rsid w:val="00581222"/>
    <w:rsid w:val="005812B7"/>
    <w:rsid w:val="005812BF"/>
    <w:rsid w:val="0058133B"/>
    <w:rsid w:val="0058143F"/>
    <w:rsid w:val="005814AF"/>
    <w:rsid w:val="005814DD"/>
    <w:rsid w:val="00581535"/>
    <w:rsid w:val="00581552"/>
    <w:rsid w:val="0058159E"/>
    <w:rsid w:val="00581656"/>
    <w:rsid w:val="00581678"/>
    <w:rsid w:val="0058168B"/>
    <w:rsid w:val="0058173C"/>
    <w:rsid w:val="005818AF"/>
    <w:rsid w:val="0058194E"/>
    <w:rsid w:val="00581AFF"/>
    <w:rsid w:val="00581B13"/>
    <w:rsid w:val="00581B35"/>
    <w:rsid w:val="00581B36"/>
    <w:rsid w:val="00581C3C"/>
    <w:rsid w:val="00581C70"/>
    <w:rsid w:val="00581D83"/>
    <w:rsid w:val="00581E87"/>
    <w:rsid w:val="00581EDA"/>
    <w:rsid w:val="00581EF4"/>
    <w:rsid w:val="00581F16"/>
    <w:rsid w:val="00581F3A"/>
    <w:rsid w:val="00581F6B"/>
    <w:rsid w:val="00581FDF"/>
    <w:rsid w:val="00582057"/>
    <w:rsid w:val="0058206B"/>
    <w:rsid w:val="005820A0"/>
    <w:rsid w:val="0058210B"/>
    <w:rsid w:val="00582188"/>
    <w:rsid w:val="00582196"/>
    <w:rsid w:val="00582219"/>
    <w:rsid w:val="00582266"/>
    <w:rsid w:val="005822E9"/>
    <w:rsid w:val="0058236E"/>
    <w:rsid w:val="005823B8"/>
    <w:rsid w:val="00582445"/>
    <w:rsid w:val="00582448"/>
    <w:rsid w:val="00582465"/>
    <w:rsid w:val="005824EB"/>
    <w:rsid w:val="0058250C"/>
    <w:rsid w:val="00582584"/>
    <w:rsid w:val="00582595"/>
    <w:rsid w:val="00582734"/>
    <w:rsid w:val="00582802"/>
    <w:rsid w:val="00582811"/>
    <w:rsid w:val="0058295F"/>
    <w:rsid w:val="00582A77"/>
    <w:rsid w:val="00582AAF"/>
    <w:rsid w:val="00582AC3"/>
    <w:rsid w:val="00582B6F"/>
    <w:rsid w:val="00582C4F"/>
    <w:rsid w:val="00582CF7"/>
    <w:rsid w:val="00582DCD"/>
    <w:rsid w:val="00582ED7"/>
    <w:rsid w:val="00582F24"/>
    <w:rsid w:val="00582F29"/>
    <w:rsid w:val="00582F32"/>
    <w:rsid w:val="0058306F"/>
    <w:rsid w:val="0058310D"/>
    <w:rsid w:val="0058317F"/>
    <w:rsid w:val="005831E2"/>
    <w:rsid w:val="00583291"/>
    <w:rsid w:val="00583293"/>
    <w:rsid w:val="005832AE"/>
    <w:rsid w:val="005832F7"/>
    <w:rsid w:val="00583464"/>
    <w:rsid w:val="00583536"/>
    <w:rsid w:val="0058387B"/>
    <w:rsid w:val="005838C4"/>
    <w:rsid w:val="00583929"/>
    <w:rsid w:val="00583958"/>
    <w:rsid w:val="00583AA5"/>
    <w:rsid w:val="00583B4B"/>
    <w:rsid w:val="00583C8E"/>
    <w:rsid w:val="00583D01"/>
    <w:rsid w:val="00583D21"/>
    <w:rsid w:val="00583D52"/>
    <w:rsid w:val="00583DC0"/>
    <w:rsid w:val="00583F02"/>
    <w:rsid w:val="00583F7A"/>
    <w:rsid w:val="00584185"/>
    <w:rsid w:val="00584251"/>
    <w:rsid w:val="005842B7"/>
    <w:rsid w:val="0058437A"/>
    <w:rsid w:val="00584507"/>
    <w:rsid w:val="00584535"/>
    <w:rsid w:val="0058473F"/>
    <w:rsid w:val="0058477A"/>
    <w:rsid w:val="005847D6"/>
    <w:rsid w:val="005847EC"/>
    <w:rsid w:val="005847FD"/>
    <w:rsid w:val="005848F7"/>
    <w:rsid w:val="005849FC"/>
    <w:rsid w:val="00584A0E"/>
    <w:rsid w:val="00584BB5"/>
    <w:rsid w:val="00584BDF"/>
    <w:rsid w:val="00584BFC"/>
    <w:rsid w:val="00584C9C"/>
    <w:rsid w:val="00584DC0"/>
    <w:rsid w:val="00584E0F"/>
    <w:rsid w:val="00584E64"/>
    <w:rsid w:val="00584F79"/>
    <w:rsid w:val="00584F85"/>
    <w:rsid w:val="00585062"/>
    <w:rsid w:val="005850DE"/>
    <w:rsid w:val="00585193"/>
    <w:rsid w:val="005851CE"/>
    <w:rsid w:val="00585232"/>
    <w:rsid w:val="005852F0"/>
    <w:rsid w:val="005853C1"/>
    <w:rsid w:val="005853C7"/>
    <w:rsid w:val="00585457"/>
    <w:rsid w:val="005854F7"/>
    <w:rsid w:val="00585596"/>
    <w:rsid w:val="00585694"/>
    <w:rsid w:val="005856AA"/>
    <w:rsid w:val="005856FA"/>
    <w:rsid w:val="00585708"/>
    <w:rsid w:val="00585723"/>
    <w:rsid w:val="00585798"/>
    <w:rsid w:val="00585829"/>
    <w:rsid w:val="0058585A"/>
    <w:rsid w:val="005858A4"/>
    <w:rsid w:val="005859BA"/>
    <w:rsid w:val="005859CA"/>
    <w:rsid w:val="00585A6B"/>
    <w:rsid w:val="00585A71"/>
    <w:rsid w:val="00585A98"/>
    <w:rsid w:val="00585AE8"/>
    <w:rsid w:val="00585C21"/>
    <w:rsid w:val="00585C46"/>
    <w:rsid w:val="00585CFB"/>
    <w:rsid w:val="00585D3A"/>
    <w:rsid w:val="00585D78"/>
    <w:rsid w:val="00585D8E"/>
    <w:rsid w:val="00585D98"/>
    <w:rsid w:val="00585F3E"/>
    <w:rsid w:val="00585F8D"/>
    <w:rsid w:val="00585FB4"/>
    <w:rsid w:val="00585FD4"/>
    <w:rsid w:val="0058603D"/>
    <w:rsid w:val="00586081"/>
    <w:rsid w:val="00586086"/>
    <w:rsid w:val="0058611C"/>
    <w:rsid w:val="005861BA"/>
    <w:rsid w:val="0058621F"/>
    <w:rsid w:val="0058625F"/>
    <w:rsid w:val="0058627C"/>
    <w:rsid w:val="005862AD"/>
    <w:rsid w:val="00586303"/>
    <w:rsid w:val="00586308"/>
    <w:rsid w:val="00586425"/>
    <w:rsid w:val="0058645A"/>
    <w:rsid w:val="00586522"/>
    <w:rsid w:val="005865A1"/>
    <w:rsid w:val="00586602"/>
    <w:rsid w:val="005866D4"/>
    <w:rsid w:val="005867D8"/>
    <w:rsid w:val="00586846"/>
    <w:rsid w:val="00586850"/>
    <w:rsid w:val="005868C1"/>
    <w:rsid w:val="005868D1"/>
    <w:rsid w:val="005868E6"/>
    <w:rsid w:val="00586942"/>
    <w:rsid w:val="00586A96"/>
    <w:rsid w:val="00586B31"/>
    <w:rsid w:val="00586B42"/>
    <w:rsid w:val="00586B75"/>
    <w:rsid w:val="00586BA1"/>
    <w:rsid w:val="00586C1D"/>
    <w:rsid w:val="00586C53"/>
    <w:rsid w:val="00586CBC"/>
    <w:rsid w:val="00586CFF"/>
    <w:rsid w:val="00586D1E"/>
    <w:rsid w:val="00586D2A"/>
    <w:rsid w:val="00586D2C"/>
    <w:rsid w:val="00586D8A"/>
    <w:rsid w:val="00586E03"/>
    <w:rsid w:val="00586F0A"/>
    <w:rsid w:val="00586F54"/>
    <w:rsid w:val="00586F86"/>
    <w:rsid w:val="005870E5"/>
    <w:rsid w:val="0058711C"/>
    <w:rsid w:val="00587144"/>
    <w:rsid w:val="005871BD"/>
    <w:rsid w:val="00587278"/>
    <w:rsid w:val="0058740A"/>
    <w:rsid w:val="0058746C"/>
    <w:rsid w:val="005874AA"/>
    <w:rsid w:val="0058758B"/>
    <w:rsid w:val="00587618"/>
    <w:rsid w:val="0058777E"/>
    <w:rsid w:val="00587801"/>
    <w:rsid w:val="0058782D"/>
    <w:rsid w:val="00587831"/>
    <w:rsid w:val="0058783C"/>
    <w:rsid w:val="0058784A"/>
    <w:rsid w:val="00587859"/>
    <w:rsid w:val="005879D4"/>
    <w:rsid w:val="00587A2C"/>
    <w:rsid w:val="00587B27"/>
    <w:rsid w:val="00587B53"/>
    <w:rsid w:val="00587BB7"/>
    <w:rsid w:val="00587C0B"/>
    <w:rsid w:val="00587CA3"/>
    <w:rsid w:val="00587CD2"/>
    <w:rsid w:val="00587E39"/>
    <w:rsid w:val="00587F2B"/>
    <w:rsid w:val="0058B132"/>
    <w:rsid w:val="0059011B"/>
    <w:rsid w:val="005901B6"/>
    <w:rsid w:val="00590208"/>
    <w:rsid w:val="00590338"/>
    <w:rsid w:val="005904B3"/>
    <w:rsid w:val="005904B7"/>
    <w:rsid w:val="00590585"/>
    <w:rsid w:val="0059064A"/>
    <w:rsid w:val="00590654"/>
    <w:rsid w:val="005907B4"/>
    <w:rsid w:val="005908C1"/>
    <w:rsid w:val="005908D2"/>
    <w:rsid w:val="0059093C"/>
    <w:rsid w:val="00590A3D"/>
    <w:rsid w:val="00590B58"/>
    <w:rsid w:val="00590B96"/>
    <w:rsid w:val="00590C70"/>
    <w:rsid w:val="00590DF1"/>
    <w:rsid w:val="00590EA6"/>
    <w:rsid w:val="00590EB9"/>
    <w:rsid w:val="00590EC0"/>
    <w:rsid w:val="0059104B"/>
    <w:rsid w:val="0059106D"/>
    <w:rsid w:val="005911EE"/>
    <w:rsid w:val="005911F2"/>
    <w:rsid w:val="005911F8"/>
    <w:rsid w:val="00591245"/>
    <w:rsid w:val="00591302"/>
    <w:rsid w:val="0059139D"/>
    <w:rsid w:val="005913E8"/>
    <w:rsid w:val="00591460"/>
    <w:rsid w:val="005914BB"/>
    <w:rsid w:val="00591556"/>
    <w:rsid w:val="005915B0"/>
    <w:rsid w:val="005915FC"/>
    <w:rsid w:val="005916FA"/>
    <w:rsid w:val="00591778"/>
    <w:rsid w:val="005917D0"/>
    <w:rsid w:val="005917D8"/>
    <w:rsid w:val="005917E7"/>
    <w:rsid w:val="00591835"/>
    <w:rsid w:val="005918A4"/>
    <w:rsid w:val="00591940"/>
    <w:rsid w:val="005919AA"/>
    <w:rsid w:val="005919CD"/>
    <w:rsid w:val="005919E1"/>
    <w:rsid w:val="00591AB1"/>
    <w:rsid w:val="00591AB2"/>
    <w:rsid w:val="00591CC8"/>
    <w:rsid w:val="00591D13"/>
    <w:rsid w:val="00591DB5"/>
    <w:rsid w:val="00591E23"/>
    <w:rsid w:val="00591E3E"/>
    <w:rsid w:val="00591F91"/>
    <w:rsid w:val="00591FA3"/>
    <w:rsid w:val="00591FD8"/>
    <w:rsid w:val="00592140"/>
    <w:rsid w:val="005922B7"/>
    <w:rsid w:val="005922F8"/>
    <w:rsid w:val="00592508"/>
    <w:rsid w:val="0059273C"/>
    <w:rsid w:val="005927A1"/>
    <w:rsid w:val="005929AB"/>
    <w:rsid w:val="005929DC"/>
    <w:rsid w:val="00592A18"/>
    <w:rsid w:val="00592ACA"/>
    <w:rsid w:val="00592B17"/>
    <w:rsid w:val="00592B64"/>
    <w:rsid w:val="00592B75"/>
    <w:rsid w:val="00592DEE"/>
    <w:rsid w:val="00592E0B"/>
    <w:rsid w:val="00592EB0"/>
    <w:rsid w:val="00592EF9"/>
    <w:rsid w:val="00592F10"/>
    <w:rsid w:val="00592F58"/>
    <w:rsid w:val="005930A5"/>
    <w:rsid w:val="00593116"/>
    <w:rsid w:val="005932A8"/>
    <w:rsid w:val="005932B0"/>
    <w:rsid w:val="005932BB"/>
    <w:rsid w:val="005932C7"/>
    <w:rsid w:val="005932EC"/>
    <w:rsid w:val="005932FF"/>
    <w:rsid w:val="005933AE"/>
    <w:rsid w:val="0059351D"/>
    <w:rsid w:val="0059354B"/>
    <w:rsid w:val="005935D4"/>
    <w:rsid w:val="00593632"/>
    <w:rsid w:val="005936C3"/>
    <w:rsid w:val="00593708"/>
    <w:rsid w:val="00593916"/>
    <w:rsid w:val="00593919"/>
    <w:rsid w:val="0059391C"/>
    <w:rsid w:val="0059395C"/>
    <w:rsid w:val="005939B7"/>
    <w:rsid w:val="005939DC"/>
    <w:rsid w:val="00593AFF"/>
    <w:rsid w:val="00593B0E"/>
    <w:rsid w:val="00593B2F"/>
    <w:rsid w:val="00593B9D"/>
    <w:rsid w:val="00593BCF"/>
    <w:rsid w:val="00593BDC"/>
    <w:rsid w:val="00593C72"/>
    <w:rsid w:val="00593CF0"/>
    <w:rsid w:val="00593D0B"/>
    <w:rsid w:val="00593E43"/>
    <w:rsid w:val="00593EFF"/>
    <w:rsid w:val="00593F98"/>
    <w:rsid w:val="00593FBF"/>
    <w:rsid w:val="00593FD8"/>
    <w:rsid w:val="00593FED"/>
    <w:rsid w:val="005940EC"/>
    <w:rsid w:val="005941D4"/>
    <w:rsid w:val="005941D8"/>
    <w:rsid w:val="00594261"/>
    <w:rsid w:val="005943EB"/>
    <w:rsid w:val="005944A7"/>
    <w:rsid w:val="005944E3"/>
    <w:rsid w:val="00594500"/>
    <w:rsid w:val="00594565"/>
    <w:rsid w:val="0059458B"/>
    <w:rsid w:val="005945BE"/>
    <w:rsid w:val="0059463A"/>
    <w:rsid w:val="005947E6"/>
    <w:rsid w:val="00594A10"/>
    <w:rsid w:val="00594A70"/>
    <w:rsid w:val="00594BE3"/>
    <w:rsid w:val="00594D8E"/>
    <w:rsid w:val="00594E60"/>
    <w:rsid w:val="00594F29"/>
    <w:rsid w:val="0059508A"/>
    <w:rsid w:val="0059509B"/>
    <w:rsid w:val="0059514E"/>
    <w:rsid w:val="0059517C"/>
    <w:rsid w:val="00595188"/>
    <w:rsid w:val="005952B5"/>
    <w:rsid w:val="005952C8"/>
    <w:rsid w:val="005952CA"/>
    <w:rsid w:val="005952E7"/>
    <w:rsid w:val="005953CD"/>
    <w:rsid w:val="005953EB"/>
    <w:rsid w:val="005955BF"/>
    <w:rsid w:val="005955DB"/>
    <w:rsid w:val="005955EF"/>
    <w:rsid w:val="00595655"/>
    <w:rsid w:val="00595672"/>
    <w:rsid w:val="00595A45"/>
    <w:rsid w:val="00595A6D"/>
    <w:rsid w:val="00595AE7"/>
    <w:rsid w:val="00595B31"/>
    <w:rsid w:val="00595CE7"/>
    <w:rsid w:val="00595D14"/>
    <w:rsid w:val="00595D1D"/>
    <w:rsid w:val="00595DDB"/>
    <w:rsid w:val="00595EA8"/>
    <w:rsid w:val="00595EFF"/>
    <w:rsid w:val="00595F51"/>
    <w:rsid w:val="00596010"/>
    <w:rsid w:val="00596077"/>
    <w:rsid w:val="0059612C"/>
    <w:rsid w:val="0059613F"/>
    <w:rsid w:val="0059617D"/>
    <w:rsid w:val="005961B4"/>
    <w:rsid w:val="005961DA"/>
    <w:rsid w:val="00596235"/>
    <w:rsid w:val="00596242"/>
    <w:rsid w:val="005964A5"/>
    <w:rsid w:val="00596625"/>
    <w:rsid w:val="00596642"/>
    <w:rsid w:val="00596660"/>
    <w:rsid w:val="0059671E"/>
    <w:rsid w:val="0059690F"/>
    <w:rsid w:val="00596960"/>
    <w:rsid w:val="005969C6"/>
    <w:rsid w:val="00596A48"/>
    <w:rsid w:val="00596A6A"/>
    <w:rsid w:val="00596ABE"/>
    <w:rsid w:val="00596B1F"/>
    <w:rsid w:val="00596B2B"/>
    <w:rsid w:val="00596B99"/>
    <w:rsid w:val="00596BBF"/>
    <w:rsid w:val="00596BE7"/>
    <w:rsid w:val="00596F37"/>
    <w:rsid w:val="0059704A"/>
    <w:rsid w:val="005970AD"/>
    <w:rsid w:val="005970B0"/>
    <w:rsid w:val="005970B9"/>
    <w:rsid w:val="005971FC"/>
    <w:rsid w:val="0059725C"/>
    <w:rsid w:val="005973D8"/>
    <w:rsid w:val="00597437"/>
    <w:rsid w:val="00597469"/>
    <w:rsid w:val="00597528"/>
    <w:rsid w:val="0059753A"/>
    <w:rsid w:val="0059754B"/>
    <w:rsid w:val="005975A5"/>
    <w:rsid w:val="00597705"/>
    <w:rsid w:val="00597715"/>
    <w:rsid w:val="00597766"/>
    <w:rsid w:val="0059788B"/>
    <w:rsid w:val="00597A48"/>
    <w:rsid w:val="00597B58"/>
    <w:rsid w:val="00597C40"/>
    <w:rsid w:val="00597C60"/>
    <w:rsid w:val="00597F55"/>
    <w:rsid w:val="005A0020"/>
    <w:rsid w:val="005A005A"/>
    <w:rsid w:val="005A020A"/>
    <w:rsid w:val="005A02AA"/>
    <w:rsid w:val="005A058B"/>
    <w:rsid w:val="005A05AC"/>
    <w:rsid w:val="005A0621"/>
    <w:rsid w:val="005A0697"/>
    <w:rsid w:val="005A0805"/>
    <w:rsid w:val="005A0961"/>
    <w:rsid w:val="005A0976"/>
    <w:rsid w:val="005A0ACA"/>
    <w:rsid w:val="005A0AD2"/>
    <w:rsid w:val="005A0B5C"/>
    <w:rsid w:val="005A0BE1"/>
    <w:rsid w:val="005A0C91"/>
    <w:rsid w:val="005A0CB1"/>
    <w:rsid w:val="005A0DEA"/>
    <w:rsid w:val="005A0E2F"/>
    <w:rsid w:val="005A0EE3"/>
    <w:rsid w:val="005A101C"/>
    <w:rsid w:val="005A1106"/>
    <w:rsid w:val="005A1348"/>
    <w:rsid w:val="005A14A0"/>
    <w:rsid w:val="005A14DD"/>
    <w:rsid w:val="005A1547"/>
    <w:rsid w:val="005A15DA"/>
    <w:rsid w:val="005A15E4"/>
    <w:rsid w:val="005A16BA"/>
    <w:rsid w:val="005A1712"/>
    <w:rsid w:val="005A174B"/>
    <w:rsid w:val="005A183A"/>
    <w:rsid w:val="005A1912"/>
    <w:rsid w:val="005A19F2"/>
    <w:rsid w:val="005A1AA2"/>
    <w:rsid w:val="005A1B53"/>
    <w:rsid w:val="005A1CB6"/>
    <w:rsid w:val="005A1CC0"/>
    <w:rsid w:val="005A1CD2"/>
    <w:rsid w:val="005A1D8D"/>
    <w:rsid w:val="005A1DF2"/>
    <w:rsid w:val="005A1EE8"/>
    <w:rsid w:val="005A1F46"/>
    <w:rsid w:val="005A1F49"/>
    <w:rsid w:val="005A1F4A"/>
    <w:rsid w:val="005A1F5E"/>
    <w:rsid w:val="005A1F61"/>
    <w:rsid w:val="005A1FB6"/>
    <w:rsid w:val="005A2023"/>
    <w:rsid w:val="005A2275"/>
    <w:rsid w:val="005A2301"/>
    <w:rsid w:val="005A25C3"/>
    <w:rsid w:val="005A25FC"/>
    <w:rsid w:val="005A263B"/>
    <w:rsid w:val="005A26CD"/>
    <w:rsid w:val="005A27AC"/>
    <w:rsid w:val="005A27AD"/>
    <w:rsid w:val="005A27DF"/>
    <w:rsid w:val="005A284A"/>
    <w:rsid w:val="005A2852"/>
    <w:rsid w:val="005A2895"/>
    <w:rsid w:val="005A28EA"/>
    <w:rsid w:val="005A29FF"/>
    <w:rsid w:val="005A2A0E"/>
    <w:rsid w:val="005A2A1F"/>
    <w:rsid w:val="005A2BBB"/>
    <w:rsid w:val="005A2D93"/>
    <w:rsid w:val="005A2DBD"/>
    <w:rsid w:val="005A2E25"/>
    <w:rsid w:val="005A2E8B"/>
    <w:rsid w:val="005A2E98"/>
    <w:rsid w:val="005A2EE0"/>
    <w:rsid w:val="005A2F7D"/>
    <w:rsid w:val="005A2F99"/>
    <w:rsid w:val="005A2FDE"/>
    <w:rsid w:val="005A3024"/>
    <w:rsid w:val="005A3134"/>
    <w:rsid w:val="005A31D0"/>
    <w:rsid w:val="005A325E"/>
    <w:rsid w:val="005A3280"/>
    <w:rsid w:val="005A32D1"/>
    <w:rsid w:val="005A33F0"/>
    <w:rsid w:val="005A34C7"/>
    <w:rsid w:val="005A34DA"/>
    <w:rsid w:val="005A34EC"/>
    <w:rsid w:val="005A3514"/>
    <w:rsid w:val="005A3653"/>
    <w:rsid w:val="005A36E1"/>
    <w:rsid w:val="005A37B0"/>
    <w:rsid w:val="005A37D6"/>
    <w:rsid w:val="005A39BA"/>
    <w:rsid w:val="005A39D8"/>
    <w:rsid w:val="005A3ACD"/>
    <w:rsid w:val="005A3AF1"/>
    <w:rsid w:val="005A3B3B"/>
    <w:rsid w:val="005A3BA4"/>
    <w:rsid w:val="005A3C09"/>
    <w:rsid w:val="005A3C60"/>
    <w:rsid w:val="005A3D4B"/>
    <w:rsid w:val="005A3DA8"/>
    <w:rsid w:val="005A3E39"/>
    <w:rsid w:val="005A3FB3"/>
    <w:rsid w:val="005A401D"/>
    <w:rsid w:val="005A40AC"/>
    <w:rsid w:val="005A411A"/>
    <w:rsid w:val="005A41EC"/>
    <w:rsid w:val="005A41EF"/>
    <w:rsid w:val="005A421D"/>
    <w:rsid w:val="005A4227"/>
    <w:rsid w:val="005A435F"/>
    <w:rsid w:val="005A44A8"/>
    <w:rsid w:val="005A44C8"/>
    <w:rsid w:val="005A44F9"/>
    <w:rsid w:val="005A452E"/>
    <w:rsid w:val="005A4602"/>
    <w:rsid w:val="005A471B"/>
    <w:rsid w:val="005A4764"/>
    <w:rsid w:val="005A47CB"/>
    <w:rsid w:val="005A48C8"/>
    <w:rsid w:val="005A48D7"/>
    <w:rsid w:val="005A498B"/>
    <w:rsid w:val="005A49CD"/>
    <w:rsid w:val="005A4B00"/>
    <w:rsid w:val="005A4B27"/>
    <w:rsid w:val="005A4B63"/>
    <w:rsid w:val="005A4BCF"/>
    <w:rsid w:val="005A4C84"/>
    <w:rsid w:val="005A4C8A"/>
    <w:rsid w:val="005A4D26"/>
    <w:rsid w:val="005A4DEB"/>
    <w:rsid w:val="005A4F50"/>
    <w:rsid w:val="005A4F8C"/>
    <w:rsid w:val="005A50E2"/>
    <w:rsid w:val="005A50EA"/>
    <w:rsid w:val="005A518C"/>
    <w:rsid w:val="005A51B3"/>
    <w:rsid w:val="005A52EC"/>
    <w:rsid w:val="005A52FF"/>
    <w:rsid w:val="005A534E"/>
    <w:rsid w:val="005A5462"/>
    <w:rsid w:val="005A555D"/>
    <w:rsid w:val="005A55D1"/>
    <w:rsid w:val="005A5668"/>
    <w:rsid w:val="005A569C"/>
    <w:rsid w:val="005A5854"/>
    <w:rsid w:val="005A58D1"/>
    <w:rsid w:val="005A5980"/>
    <w:rsid w:val="005A5B7E"/>
    <w:rsid w:val="005A5D06"/>
    <w:rsid w:val="005A5ED5"/>
    <w:rsid w:val="005A5F88"/>
    <w:rsid w:val="005A5FCC"/>
    <w:rsid w:val="005A6032"/>
    <w:rsid w:val="005A60A5"/>
    <w:rsid w:val="005A60A9"/>
    <w:rsid w:val="005A60C6"/>
    <w:rsid w:val="005A630F"/>
    <w:rsid w:val="005A63FB"/>
    <w:rsid w:val="005A6571"/>
    <w:rsid w:val="005A67F0"/>
    <w:rsid w:val="005A6837"/>
    <w:rsid w:val="005A684C"/>
    <w:rsid w:val="005A694A"/>
    <w:rsid w:val="005A69D1"/>
    <w:rsid w:val="005A6CC1"/>
    <w:rsid w:val="005A6CD3"/>
    <w:rsid w:val="005A6DCA"/>
    <w:rsid w:val="005A6DD4"/>
    <w:rsid w:val="005A6DF7"/>
    <w:rsid w:val="005A6E9A"/>
    <w:rsid w:val="005A6ECF"/>
    <w:rsid w:val="005A6F15"/>
    <w:rsid w:val="005A6FCE"/>
    <w:rsid w:val="005A7046"/>
    <w:rsid w:val="005A70C0"/>
    <w:rsid w:val="005A7117"/>
    <w:rsid w:val="005A7125"/>
    <w:rsid w:val="005A71A9"/>
    <w:rsid w:val="005A7275"/>
    <w:rsid w:val="005A7364"/>
    <w:rsid w:val="005A74D0"/>
    <w:rsid w:val="005A75A1"/>
    <w:rsid w:val="005A7638"/>
    <w:rsid w:val="005A7930"/>
    <w:rsid w:val="005A7955"/>
    <w:rsid w:val="005A7A63"/>
    <w:rsid w:val="005A7B0B"/>
    <w:rsid w:val="005A7B6C"/>
    <w:rsid w:val="005A7BAE"/>
    <w:rsid w:val="005A7C0F"/>
    <w:rsid w:val="005A7C29"/>
    <w:rsid w:val="005A7C5A"/>
    <w:rsid w:val="005A7D18"/>
    <w:rsid w:val="005A7DA9"/>
    <w:rsid w:val="005A7DDE"/>
    <w:rsid w:val="005A7E16"/>
    <w:rsid w:val="005A7EDE"/>
    <w:rsid w:val="005A7F4A"/>
    <w:rsid w:val="005A7F53"/>
    <w:rsid w:val="005A7F65"/>
    <w:rsid w:val="005A7F89"/>
    <w:rsid w:val="005A7FCA"/>
    <w:rsid w:val="005B00DF"/>
    <w:rsid w:val="005B0101"/>
    <w:rsid w:val="005B0241"/>
    <w:rsid w:val="005B036D"/>
    <w:rsid w:val="005B0381"/>
    <w:rsid w:val="005B067B"/>
    <w:rsid w:val="005B0710"/>
    <w:rsid w:val="005B08B4"/>
    <w:rsid w:val="005B08FC"/>
    <w:rsid w:val="005B0934"/>
    <w:rsid w:val="005B096A"/>
    <w:rsid w:val="005B0B87"/>
    <w:rsid w:val="005B0B93"/>
    <w:rsid w:val="005B0BD1"/>
    <w:rsid w:val="005B0BE3"/>
    <w:rsid w:val="005B0C40"/>
    <w:rsid w:val="005B0D2B"/>
    <w:rsid w:val="005B0D9E"/>
    <w:rsid w:val="005B0DC2"/>
    <w:rsid w:val="005B0E03"/>
    <w:rsid w:val="005B0EAF"/>
    <w:rsid w:val="005B0EB0"/>
    <w:rsid w:val="005B0EDA"/>
    <w:rsid w:val="005B0EEF"/>
    <w:rsid w:val="005B0F10"/>
    <w:rsid w:val="005B0FC2"/>
    <w:rsid w:val="005B1126"/>
    <w:rsid w:val="005B1159"/>
    <w:rsid w:val="005B1206"/>
    <w:rsid w:val="005B12C5"/>
    <w:rsid w:val="005B12CE"/>
    <w:rsid w:val="005B136C"/>
    <w:rsid w:val="005B15A4"/>
    <w:rsid w:val="005B164C"/>
    <w:rsid w:val="005B167B"/>
    <w:rsid w:val="005B16BA"/>
    <w:rsid w:val="005B16EC"/>
    <w:rsid w:val="005B1720"/>
    <w:rsid w:val="005B1761"/>
    <w:rsid w:val="005B18F4"/>
    <w:rsid w:val="005B1A07"/>
    <w:rsid w:val="005B1A88"/>
    <w:rsid w:val="005B1AB5"/>
    <w:rsid w:val="005B1B50"/>
    <w:rsid w:val="005B1BC5"/>
    <w:rsid w:val="005B1C0F"/>
    <w:rsid w:val="005B1D2F"/>
    <w:rsid w:val="005B1D5A"/>
    <w:rsid w:val="005B1E4F"/>
    <w:rsid w:val="005B1FAC"/>
    <w:rsid w:val="005B1FCE"/>
    <w:rsid w:val="005B2006"/>
    <w:rsid w:val="005B2018"/>
    <w:rsid w:val="005B2056"/>
    <w:rsid w:val="005B207F"/>
    <w:rsid w:val="005B208E"/>
    <w:rsid w:val="005B2185"/>
    <w:rsid w:val="005B23C6"/>
    <w:rsid w:val="005B23FB"/>
    <w:rsid w:val="005B244F"/>
    <w:rsid w:val="005B2450"/>
    <w:rsid w:val="005B2467"/>
    <w:rsid w:val="005B24C5"/>
    <w:rsid w:val="005B24E1"/>
    <w:rsid w:val="005B2530"/>
    <w:rsid w:val="005B2577"/>
    <w:rsid w:val="005B258A"/>
    <w:rsid w:val="005B25B7"/>
    <w:rsid w:val="005B25EC"/>
    <w:rsid w:val="005B2633"/>
    <w:rsid w:val="005B26AB"/>
    <w:rsid w:val="005B26E6"/>
    <w:rsid w:val="005B27C6"/>
    <w:rsid w:val="005B2812"/>
    <w:rsid w:val="005B286E"/>
    <w:rsid w:val="005B292A"/>
    <w:rsid w:val="005B2971"/>
    <w:rsid w:val="005B297F"/>
    <w:rsid w:val="005B2A14"/>
    <w:rsid w:val="005B2A26"/>
    <w:rsid w:val="005B2A69"/>
    <w:rsid w:val="005B2B9B"/>
    <w:rsid w:val="005B2C92"/>
    <w:rsid w:val="005B2CCA"/>
    <w:rsid w:val="005B2F01"/>
    <w:rsid w:val="005B2F13"/>
    <w:rsid w:val="005B2F17"/>
    <w:rsid w:val="005B2F33"/>
    <w:rsid w:val="005B2F76"/>
    <w:rsid w:val="005B2F98"/>
    <w:rsid w:val="005B2FC6"/>
    <w:rsid w:val="005B3062"/>
    <w:rsid w:val="005B3070"/>
    <w:rsid w:val="005B30BC"/>
    <w:rsid w:val="005B30E8"/>
    <w:rsid w:val="005B321E"/>
    <w:rsid w:val="005B3251"/>
    <w:rsid w:val="005B3261"/>
    <w:rsid w:val="005B3266"/>
    <w:rsid w:val="005B3288"/>
    <w:rsid w:val="005B32DE"/>
    <w:rsid w:val="005B32DF"/>
    <w:rsid w:val="005B3364"/>
    <w:rsid w:val="005B3562"/>
    <w:rsid w:val="005B356D"/>
    <w:rsid w:val="005B35A4"/>
    <w:rsid w:val="005B36B2"/>
    <w:rsid w:val="005B3703"/>
    <w:rsid w:val="005B3759"/>
    <w:rsid w:val="005B3818"/>
    <w:rsid w:val="005B3827"/>
    <w:rsid w:val="005B3837"/>
    <w:rsid w:val="005B391F"/>
    <w:rsid w:val="005B3952"/>
    <w:rsid w:val="005B39C3"/>
    <w:rsid w:val="005B3B1F"/>
    <w:rsid w:val="005B3C99"/>
    <w:rsid w:val="005B3D31"/>
    <w:rsid w:val="005B3DAA"/>
    <w:rsid w:val="005B3E81"/>
    <w:rsid w:val="005B3ECF"/>
    <w:rsid w:val="005B3F7B"/>
    <w:rsid w:val="005B3FF9"/>
    <w:rsid w:val="005B409A"/>
    <w:rsid w:val="005B40BE"/>
    <w:rsid w:val="005B42A6"/>
    <w:rsid w:val="005B44CA"/>
    <w:rsid w:val="005B454C"/>
    <w:rsid w:val="005B459A"/>
    <w:rsid w:val="005B4638"/>
    <w:rsid w:val="005B4664"/>
    <w:rsid w:val="005B468D"/>
    <w:rsid w:val="005B46C8"/>
    <w:rsid w:val="005B4736"/>
    <w:rsid w:val="005B4773"/>
    <w:rsid w:val="005B486D"/>
    <w:rsid w:val="005B4A63"/>
    <w:rsid w:val="005B4A6C"/>
    <w:rsid w:val="005B4A85"/>
    <w:rsid w:val="005B4B2E"/>
    <w:rsid w:val="005B4B6B"/>
    <w:rsid w:val="005B4B6D"/>
    <w:rsid w:val="005B4C4B"/>
    <w:rsid w:val="005B4D57"/>
    <w:rsid w:val="005B4DF3"/>
    <w:rsid w:val="005B4E31"/>
    <w:rsid w:val="005B4E7C"/>
    <w:rsid w:val="005B4F63"/>
    <w:rsid w:val="005B4F64"/>
    <w:rsid w:val="005B503E"/>
    <w:rsid w:val="005B5057"/>
    <w:rsid w:val="005B5146"/>
    <w:rsid w:val="005B527A"/>
    <w:rsid w:val="005B533A"/>
    <w:rsid w:val="005B54D1"/>
    <w:rsid w:val="005B56E2"/>
    <w:rsid w:val="005B5789"/>
    <w:rsid w:val="005B58B1"/>
    <w:rsid w:val="005B59A4"/>
    <w:rsid w:val="005B59FD"/>
    <w:rsid w:val="005B5A80"/>
    <w:rsid w:val="005B5A9F"/>
    <w:rsid w:val="005B5C73"/>
    <w:rsid w:val="005B5D35"/>
    <w:rsid w:val="005B5D6E"/>
    <w:rsid w:val="005B5E0B"/>
    <w:rsid w:val="005B5E25"/>
    <w:rsid w:val="005B5EA2"/>
    <w:rsid w:val="005B5F6A"/>
    <w:rsid w:val="005B603F"/>
    <w:rsid w:val="005B6077"/>
    <w:rsid w:val="005B6094"/>
    <w:rsid w:val="005B60CB"/>
    <w:rsid w:val="005B6153"/>
    <w:rsid w:val="005B61D8"/>
    <w:rsid w:val="005B620D"/>
    <w:rsid w:val="005B6238"/>
    <w:rsid w:val="005B62C6"/>
    <w:rsid w:val="005B637D"/>
    <w:rsid w:val="005B63A8"/>
    <w:rsid w:val="005B6418"/>
    <w:rsid w:val="005B64DA"/>
    <w:rsid w:val="005B657E"/>
    <w:rsid w:val="005B665E"/>
    <w:rsid w:val="005B66A6"/>
    <w:rsid w:val="005B66C6"/>
    <w:rsid w:val="005B6758"/>
    <w:rsid w:val="005B6856"/>
    <w:rsid w:val="005B6885"/>
    <w:rsid w:val="005B68E0"/>
    <w:rsid w:val="005B6916"/>
    <w:rsid w:val="005B69ED"/>
    <w:rsid w:val="005B6A73"/>
    <w:rsid w:val="005B6BB1"/>
    <w:rsid w:val="005B6C88"/>
    <w:rsid w:val="005B6D24"/>
    <w:rsid w:val="005B6D8B"/>
    <w:rsid w:val="005B700D"/>
    <w:rsid w:val="005B70A1"/>
    <w:rsid w:val="005B713C"/>
    <w:rsid w:val="005B7199"/>
    <w:rsid w:val="005B7339"/>
    <w:rsid w:val="005B74A2"/>
    <w:rsid w:val="005B75A2"/>
    <w:rsid w:val="005B76BC"/>
    <w:rsid w:val="005B773A"/>
    <w:rsid w:val="005B77D8"/>
    <w:rsid w:val="005B78B0"/>
    <w:rsid w:val="005B7AAD"/>
    <w:rsid w:val="005B7AFB"/>
    <w:rsid w:val="005B7BB3"/>
    <w:rsid w:val="005B7C37"/>
    <w:rsid w:val="005B7D4F"/>
    <w:rsid w:val="005B7DDE"/>
    <w:rsid w:val="005B7E2D"/>
    <w:rsid w:val="005C0016"/>
    <w:rsid w:val="005C0086"/>
    <w:rsid w:val="005C00B8"/>
    <w:rsid w:val="005C01D4"/>
    <w:rsid w:val="005C03DE"/>
    <w:rsid w:val="005C03F9"/>
    <w:rsid w:val="005C0413"/>
    <w:rsid w:val="005C049E"/>
    <w:rsid w:val="005C0550"/>
    <w:rsid w:val="005C05BC"/>
    <w:rsid w:val="005C0684"/>
    <w:rsid w:val="005C0686"/>
    <w:rsid w:val="005C06AD"/>
    <w:rsid w:val="005C07E2"/>
    <w:rsid w:val="005C0809"/>
    <w:rsid w:val="005C09AA"/>
    <w:rsid w:val="005C09D7"/>
    <w:rsid w:val="005C09F7"/>
    <w:rsid w:val="005C0A97"/>
    <w:rsid w:val="005C0B04"/>
    <w:rsid w:val="005C0B1C"/>
    <w:rsid w:val="005C0B97"/>
    <w:rsid w:val="005C0C9F"/>
    <w:rsid w:val="005C0D84"/>
    <w:rsid w:val="005C0E9C"/>
    <w:rsid w:val="005C0ECA"/>
    <w:rsid w:val="005C0EE3"/>
    <w:rsid w:val="005C1204"/>
    <w:rsid w:val="005C125A"/>
    <w:rsid w:val="005C125B"/>
    <w:rsid w:val="005C130F"/>
    <w:rsid w:val="005C138D"/>
    <w:rsid w:val="005C13DD"/>
    <w:rsid w:val="005C1522"/>
    <w:rsid w:val="005C157A"/>
    <w:rsid w:val="005C1582"/>
    <w:rsid w:val="005C15BD"/>
    <w:rsid w:val="005C15DF"/>
    <w:rsid w:val="005C1656"/>
    <w:rsid w:val="005C1667"/>
    <w:rsid w:val="005C1679"/>
    <w:rsid w:val="005C174A"/>
    <w:rsid w:val="005C1860"/>
    <w:rsid w:val="005C18CF"/>
    <w:rsid w:val="005C1908"/>
    <w:rsid w:val="005C1915"/>
    <w:rsid w:val="005C1935"/>
    <w:rsid w:val="005C1A14"/>
    <w:rsid w:val="005C1A45"/>
    <w:rsid w:val="005C1ADA"/>
    <w:rsid w:val="005C1B0D"/>
    <w:rsid w:val="005C1BD9"/>
    <w:rsid w:val="005C1C10"/>
    <w:rsid w:val="005C1CCF"/>
    <w:rsid w:val="005C1DF9"/>
    <w:rsid w:val="005C1E8A"/>
    <w:rsid w:val="005C1ED0"/>
    <w:rsid w:val="005C20E7"/>
    <w:rsid w:val="005C2422"/>
    <w:rsid w:val="005C263A"/>
    <w:rsid w:val="005C2685"/>
    <w:rsid w:val="005C27C9"/>
    <w:rsid w:val="005C27ED"/>
    <w:rsid w:val="005C2860"/>
    <w:rsid w:val="005C28CA"/>
    <w:rsid w:val="005C2901"/>
    <w:rsid w:val="005C2A59"/>
    <w:rsid w:val="005C2B42"/>
    <w:rsid w:val="005C2BCC"/>
    <w:rsid w:val="005C2C60"/>
    <w:rsid w:val="005C2D45"/>
    <w:rsid w:val="005C2E77"/>
    <w:rsid w:val="005C2F2E"/>
    <w:rsid w:val="005C2F66"/>
    <w:rsid w:val="005C2FAD"/>
    <w:rsid w:val="005C309A"/>
    <w:rsid w:val="005C30F2"/>
    <w:rsid w:val="005C3134"/>
    <w:rsid w:val="005C31F9"/>
    <w:rsid w:val="005C3268"/>
    <w:rsid w:val="005C32C2"/>
    <w:rsid w:val="005C33AF"/>
    <w:rsid w:val="005C33B9"/>
    <w:rsid w:val="005C347A"/>
    <w:rsid w:val="005C3650"/>
    <w:rsid w:val="005C36EF"/>
    <w:rsid w:val="005C37E8"/>
    <w:rsid w:val="005C3886"/>
    <w:rsid w:val="005C38B5"/>
    <w:rsid w:val="005C38E3"/>
    <w:rsid w:val="005C3990"/>
    <w:rsid w:val="005C39D1"/>
    <w:rsid w:val="005C3A29"/>
    <w:rsid w:val="005C3AC6"/>
    <w:rsid w:val="005C3B09"/>
    <w:rsid w:val="005C3B2D"/>
    <w:rsid w:val="005C3D3D"/>
    <w:rsid w:val="005C3D9D"/>
    <w:rsid w:val="005C3DBE"/>
    <w:rsid w:val="005C3E8C"/>
    <w:rsid w:val="005C3E8D"/>
    <w:rsid w:val="005C3EC1"/>
    <w:rsid w:val="005C3FD4"/>
    <w:rsid w:val="005C3FE9"/>
    <w:rsid w:val="005C40CF"/>
    <w:rsid w:val="005C40D9"/>
    <w:rsid w:val="005C40EE"/>
    <w:rsid w:val="005C416B"/>
    <w:rsid w:val="005C42D3"/>
    <w:rsid w:val="005C4361"/>
    <w:rsid w:val="005C448F"/>
    <w:rsid w:val="005C4554"/>
    <w:rsid w:val="005C46D1"/>
    <w:rsid w:val="005C47D7"/>
    <w:rsid w:val="005C4844"/>
    <w:rsid w:val="005C4950"/>
    <w:rsid w:val="005C49D7"/>
    <w:rsid w:val="005C4A2A"/>
    <w:rsid w:val="005C4B07"/>
    <w:rsid w:val="005C4B46"/>
    <w:rsid w:val="005C4B59"/>
    <w:rsid w:val="005C4B91"/>
    <w:rsid w:val="005C4D0C"/>
    <w:rsid w:val="005C4D72"/>
    <w:rsid w:val="005C4D75"/>
    <w:rsid w:val="005C4DB3"/>
    <w:rsid w:val="005C4E84"/>
    <w:rsid w:val="005C4EBE"/>
    <w:rsid w:val="005C4ECA"/>
    <w:rsid w:val="005C4F9A"/>
    <w:rsid w:val="005C4FA9"/>
    <w:rsid w:val="005C5070"/>
    <w:rsid w:val="005C5089"/>
    <w:rsid w:val="005C50EF"/>
    <w:rsid w:val="005C5207"/>
    <w:rsid w:val="005C522D"/>
    <w:rsid w:val="005C5274"/>
    <w:rsid w:val="005C52F9"/>
    <w:rsid w:val="005C5394"/>
    <w:rsid w:val="005C5399"/>
    <w:rsid w:val="005C53F4"/>
    <w:rsid w:val="005C5447"/>
    <w:rsid w:val="005C54E6"/>
    <w:rsid w:val="005C554C"/>
    <w:rsid w:val="005C5604"/>
    <w:rsid w:val="005C56FA"/>
    <w:rsid w:val="005C57C4"/>
    <w:rsid w:val="005C584A"/>
    <w:rsid w:val="005C59DA"/>
    <w:rsid w:val="005C59E8"/>
    <w:rsid w:val="005C5A9F"/>
    <w:rsid w:val="005C5B4C"/>
    <w:rsid w:val="005C5B96"/>
    <w:rsid w:val="005C5BE3"/>
    <w:rsid w:val="005C5C0B"/>
    <w:rsid w:val="005C5C17"/>
    <w:rsid w:val="005C5D25"/>
    <w:rsid w:val="005C5D9C"/>
    <w:rsid w:val="005C5F12"/>
    <w:rsid w:val="005C604E"/>
    <w:rsid w:val="005C616D"/>
    <w:rsid w:val="005C6206"/>
    <w:rsid w:val="005C6445"/>
    <w:rsid w:val="005C64B5"/>
    <w:rsid w:val="005C651B"/>
    <w:rsid w:val="005C65BC"/>
    <w:rsid w:val="005C661E"/>
    <w:rsid w:val="005C6730"/>
    <w:rsid w:val="005C6824"/>
    <w:rsid w:val="005C689B"/>
    <w:rsid w:val="005C68E1"/>
    <w:rsid w:val="005C6A47"/>
    <w:rsid w:val="005C6C38"/>
    <w:rsid w:val="005C6D5F"/>
    <w:rsid w:val="005C6D60"/>
    <w:rsid w:val="005C6DC8"/>
    <w:rsid w:val="005C6DCD"/>
    <w:rsid w:val="005C6E5B"/>
    <w:rsid w:val="005C6FF2"/>
    <w:rsid w:val="005C709C"/>
    <w:rsid w:val="005C711A"/>
    <w:rsid w:val="005C716F"/>
    <w:rsid w:val="005C71BA"/>
    <w:rsid w:val="005C724A"/>
    <w:rsid w:val="005C7308"/>
    <w:rsid w:val="005C731D"/>
    <w:rsid w:val="005C738A"/>
    <w:rsid w:val="005C738B"/>
    <w:rsid w:val="005C73CF"/>
    <w:rsid w:val="005C741F"/>
    <w:rsid w:val="005C7459"/>
    <w:rsid w:val="005C74CE"/>
    <w:rsid w:val="005C75D3"/>
    <w:rsid w:val="005C7669"/>
    <w:rsid w:val="005C780C"/>
    <w:rsid w:val="005C78D4"/>
    <w:rsid w:val="005C7974"/>
    <w:rsid w:val="005C7A0C"/>
    <w:rsid w:val="005C7A4B"/>
    <w:rsid w:val="005C7CCB"/>
    <w:rsid w:val="005C7CFB"/>
    <w:rsid w:val="005C7D5E"/>
    <w:rsid w:val="005C7E77"/>
    <w:rsid w:val="005C7EE1"/>
    <w:rsid w:val="005C7FC5"/>
    <w:rsid w:val="005D0061"/>
    <w:rsid w:val="005D015D"/>
    <w:rsid w:val="005D01C4"/>
    <w:rsid w:val="005D0266"/>
    <w:rsid w:val="005D02BD"/>
    <w:rsid w:val="005D02E6"/>
    <w:rsid w:val="005D0792"/>
    <w:rsid w:val="005D08EB"/>
    <w:rsid w:val="005D092B"/>
    <w:rsid w:val="005D0974"/>
    <w:rsid w:val="005D0998"/>
    <w:rsid w:val="005D09B6"/>
    <w:rsid w:val="005D0A13"/>
    <w:rsid w:val="005D0A55"/>
    <w:rsid w:val="005D0A58"/>
    <w:rsid w:val="005D0AB0"/>
    <w:rsid w:val="005D0B0C"/>
    <w:rsid w:val="005D0B22"/>
    <w:rsid w:val="005D0C55"/>
    <w:rsid w:val="005D0C8F"/>
    <w:rsid w:val="005D0CCE"/>
    <w:rsid w:val="005D0CD6"/>
    <w:rsid w:val="005D0D72"/>
    <w:rsid w:val="005D0D77"/>
    <w:rsid w:val="005D0DAF"/>
    <w:rsid w:val="005D0DBA"/>
    <w:rsid w:val="005D0DEF"/>
    <w:rsid w:val="005D0F12"/>
    <w:rsid w:val="005D0F3F"/>
    <w:rsid w:val="005D0F69"/>
    <w:rsid w:val="005D0FE2"/>
    <w:rsid w:val="005D0FEE"/>
    <w:rsid w:val="005D0FFD"/>
    <w:rsid w:val="005D1063"/>
    <w:rsid w:val="005D11B6"/>
    <w:rsid w:val="005D1232"/>
    <w:rsid w:val="005D136F"/>
    <w:rsid w:val="005D1743"/>
    <w:rsid w:val="005D1776"/>
    <w:rsid w:val="005D17D6"/>
    <w:rsid w:val="005D17E6"/>
    <w:rsid w:val="005D17FA"/>
    <w:rsid w:val="005D18A4"/>
    <w:rsid w:val="005D1964"/>
    <w:rsid w:val="005D1A32"/>
    <w:rsid w:val="005D1A6F"/>
    <w:rsid w:val="005D1B5C"/>
    <w:rsid w:val="005D1C69"/>
    <w:rsid w:val="005D1E01"/>
    <w:rsid w:val="005D20D0"/>
    <w:rsid w:val="005D20F6"/>
    <w:rsid w:val="005D219C"/>
    <w:rsid w:val="005D2336"/>
    <w:rsid w:val="005D23D5"/>
    <w:rsid w:val="005D241B"/>
    <w:rsid w:val="005D2448"/>
    <w:rsid w:val="005D266A"/>
    <w:rsid w:val="005D2752"/>
    <w:rsid w:val="005D28E0"/>
    <w:rsid w:val="005D29CE"/>
    <w:rsid w:val="005D2A6C"/>
    <w:rsid w:val="005D2A6E"/>
    <w:rsid w:val="005D2BE1"/>
    <w:rsid w:val="005D2C01"/>
    <w:rsid w:val="005D2C60"/>
    <w:rsid w:val="005D2C63"/>
    <w:rsid w:val="005D2F31"/>
    <w:rsid w:val="005D2F8B"/>
    <w:rsid w:val="005D301E"/>
    <w:rsid w:val="005D3073"/>
    <w:rsid w:val="005D3077"/>
    <w:rsid w:val="005D313E"/>
    <w:rsid w:val="005D317F"/>
    <w:rsid w:val="005D32C5"/>
    <w:rsid w:val="005D3415"/>
    <w:rsid w:val="005D34DB"/>
    <w:rsid w:val="005D35EC"/>
    <w:rsid w:val="005D3641"/>
    <w:rsid w:val="005D36E3"/>
    <w:rsid w:val="005D3722"/>
    <w:rsid w:val="005D384F"/>
    <w:rsid w:val="005D3914"/>
    <w:rsid w:val="005D3A05"/>
    <w:rsid w:val="005D3A30"/>
    <w:rsid w:val="005D3B06"/>
    <w:rsid w:val="005D3B38"/>
    <w:rsid w:val="005D3B4A"/>
    <w:rsid w:val="005D3B4C"/>
    <w:rsid w:val="005D3B4E"/>
    <w:rsid w:val="005D3BD9"/>
    <w:rsid w:val="005D3C34"/>
    <w:rsid w:val="005D3CCA"/>
    <w:rsid w:val="005D3DE5"/>
    <w:rsid w:val="005D3E3D"/>
    <w:rsid w:val="005D3EBB"/>
    <w:rsid w:val="005D3F2D"/>
    <w:rsid w:val="005D3FF1"/>
    <w:rsid w:val="005D425E"/>
    <w:rsid w:val="005D4279"/>
    <w:rsid w:val="005D42E1"/>
    <w:rsid w:val="005D452B"/>
    <w:rsid w:val="005D463F"/>
    <w:rsid w:val="005D46B2"/>
    <w:rsid w:val="005D473D"/>
    <w:rsid w:val="005D482A"/>
    <w:rsid w:val="005D482F"/>
    <w:rsid w:val="005D494F"/>
    <w:rsid w:val="005D4968"/>
    <w:rsid w:val="005D4982"/>
    <w:rsid w:val="005D49C4"/>
    <w:rsid w:val="005D4A6F"/>
    <w:rsid w:val="005D4AE4"/>
    <w:rsid w:val="005D4C54"/>
    <w:rsid w:val="005D4E49"/>
    <w:rsid w:val="005D4EF4"/>
    <w:rsid w:val="005D4FA4"/>
    <w:rsid w:val="005D4FFA"/>
    <w:rsid w:val="005D5077"/>
    <w:rsid w:val="005D508D"/>
    <w:rsid w:val="005D50D5"/>
    <w:rsid w:val="005D52FF"/>
    <w:rsid w:val="005D533B"/>
    <w:rsid w:val="005D54E7"/>
    <w:rsid w:val="005D55C1"/>
    <w:rsid w:val="005D563A"/>
    <w:rsid w:val="005D5658"/>
    <w:rsid w:val="005D568C"/>
    <w:rsid w:val="005D56A2"/>
    <w:rsid w:val="005D56AA"/>
    <w:rsid w:val="005D5767"/>
    <w:rsid w:val="005D5768"/>
    <w:rsid w:val="005D579C"/>
    <w:rsid w:val="005D57F2"/>
    <w:rsid w:val="005D591E"/>
    <w:rsid w:val="005D5979"/>
    <w:rsid w:val="005D5B22"/>
    <w:rsid w:val="005D5C1C"/>
    <w:rsid w:val="005D5CB8"/>
    <w:rsid w:val="005D5CD1"/>
    <w:rsid w:val="005D5CF3"/>
    <w:rsid w:val="005D5D7E"/>
    <w:rsid w:val="005D5E4E"/>
    <w:rsid w:val="005D5E6B"/>
    <w:rsid w:val="005D60A5"/>
    <w:rsid w:val="005D60AB"/>
    <w:rsid w:val="005D6113"/>
    <w:rsid w:val="005D61B8"/>
    <w:rsid w:val="005D6207"/>
    <w:rsid w:val="005D6219"/>
    <w:rsid w:val="005D627B"/>
    <w:rsid w:val="005D63AA"/>
    <w:rsid w:val="005D63C6"/>
    <w:rsid w:val="005D6459"/>
    <w:rsid w:val="005D649C"/>
    <w:rsid w:val="005D64A3"/>
    <w:rsid w:val="005D64E6"/>
    <w:rsid w:val="005D6521"/>
    <w:rsid w:val="005D66C2"/>
    <w:rsid w:val="005D66DC"/>
    <w:rsid w:val="005D671C"/>
    <w:rsid w:val="005D688C"/>
    <w:rsid w:val="005D6907"/>
    <w:rsid w:val="005D69FE"/>
    <w:rsid w:val="005D6AD3"/>
    <w:rsid w:val="005D6B4F"/>
    <w:rsid w:val="005D6C95"/>
    <w:rsid w:val="005D6CDF"/>
    <w:rsid w:val="005D6E4D"/>
    <w:rsid w:val="005D6F5F"/>
    <w:rsid w:val="005D6FD4"/>
    <w:rsid w:val="005D7045"/>
    <w:rsid w:val="005D70F7"/>
    <w:rsid w:val="005D71AD"/>
    <w:rsid w:val="005D71E7"/>
    <w:rsid w:val="005D7251"/>
    <w:rsid w:val="005D7311"/>
    <w:rsid w:val="005D734A"/>
    <w:rsid w:val="005D738C"/>
    <w:rsid w:val="005D73AC"/>
    <w:rsid w:val="005D754E"/>
    <w:rsid w:val="005D76C5"/>
    <w:rsid w:val="005D76EB"/>
    <w:rsid w:val="005D7742"/>
    <w:rsid w:val="005D7869"/>
    <w:rsid w:val="005D788A"/>
    <w:rsid w:val="005D798C"/>
    <w:rsid w:val="005D7A02"/>
    <w:rsid w:val="005D7A30"/>
    <w:rsid w:val="005D7AF6"/>
    <w:rsid w:val="005D7C25"/>
    <w:rsid w:val="005D7C67"/>
    <w:rsid w:val="005D7D2A"/>
    <w:rsid w:val="005D7DA6"/>
    <w:rsid w:val="005D7EB8"/>
    <w:rsid w:val="005D7F1E"/>
    <w:rsid w:val="005E000A"/>
    <w:rsid w:val="005E0176"/>
    <w:rsid w:val="005E023C"/>
    <w:rsid w:val="005E0287"/>
    <w:rsid w:val="005E02CF"/>
    <w:rsid w:val="005E0356"/>
    <w:rsid w:val="005E0483"/>
    <w:rsid w:val="005E04AA"/>
    <w:rsid w:val="005E05EC"/>
    <w:rsid w:val="005E05ED"/>
    <w:rsid w:val="005E0662"/>
    <w:rsid w:val="005E0696"/>
    <w:rsid w:val="005E06BC"/>
    <w:rsid w:val="005E0726"/>
    <w:rsid w:val="005E0728"/>
    <w:rsid w:val="005E07B7"/>
    <w:rsid w:val="005E07DA"/>
    <w:rsid w:val="005E08B5"/>
    <w:rsid w:val="005E08F6"/>
    <w:rsid w:val="005E09A0"/>
    <w:rsid w:val="005E09D8"/>
    <w:rsid w:val="005E09F3"/>
    <w:rsid w:val="005E0A02"/>
    <w:rsid w:val="005E0A41"/>
    <w:rsid w:val="005E0B35"/>
    <w:rsid w:val="005E0BED"/>
    <w:rsid w:val="005E0C03"/>
    <w:rsid w:val="005E0DD2"/>
    <w:rsid w:val="005E0DEB"/>
    <w:rsid w:val="005E0F5C"/>
    <w:rsid w:val="005E0F7D"/>
    <w:rsid w:val="005E0F98"/>
    <w:rsid w:val="005E10BB"/>
    <w:rsid w:val="005E11BA"/>
    <w:rsid w:val="005E144E"/>
    <w:rsid w:val="005E1461"/>
    <w:rsid w:val="005E1463"/>
    <w:rsid w:val="005E164D"/>
    <w:rsid w:val="005E1652"/>
    <w:rsid w:val="005E1731"/>
    <w:rsid w:val="005E1774"/>
    <w:rsid w:val="005E1785"/>
    <w:rsid w:val="005E1797"/>
    <w:rsid w:val="005E17F6"/>
    <w:rsid w:val="005E1858"/>
    <w:rsid w:val="005E18DF"/>
    <w:rsid w:val="005E19AD"/>
    <w:rsid w:val="005E19F1"/>
    <w:rsid w:val="005E1A33"/>
    <w:rsid w:val="005E1A79"/>
    <w:rsid w:val="005E1A89"/>
    <w:rsid w:val="005E1ACF"/>
    <w:rsid w:val="005E1AD5"/>
    <w:rsid w:val="005E1B39"/>
    <w:rsid w:val="005E1B6B"/>
    <w:rsid w:val="005E1C3F"/>
    <w:rsid w:val="005E1C56"/>
    <w:rsid w:val="005E1C93"/>
    <w:rsid w:val="005E1D7D"/>
    <w:rsid w:val="005E1EA8"/>
    <w:rsid w:val="005E1EFA"/>
    <w:rsid w:val="005E1F37"/>
    <w:rsid w:val="005E1F53"/>
    <w:rsid w:val="005E1F75"/>
    <w:rsid w:val="005E2070"/>
    <w:rsid w:val="005E214B"/>
    <w:rsid w:val="005E21CB"/>
    <w:rsid w:val="005E2226"/>
    <w:rsid w:val="005E236B"/>
    <w:rsid w:val="005E2472"/>
    <w:rsid w:val="005E2539"/>
    <w:rsid w:val="005E258D"/>
    <w:rsid w:val="005E25A1"/>
    <w:rsid w:val="005E2608"/>
    <w:rsid w:val="005E2650"/>
    <w:rsid w:val="005E2720"/>
    <w:rsid w:val="005E2809"/>
    <w:rsid w:val="005E2A5E"/>
    <w:rsid w:val="005E2A90"/>
    <w:rsid w:val="005E2ABA"/>
    <w:rsid w:val="005E2BE6"/>
    <w:rsid w:val="005E2C34"/>
    <w:rsid w:val="005E2E45"/>
    <w:rsid w:val="005E3003"/>
    <w:rsid w:val="005E304D"/>
    <w:rsid w:val="005E30C5"/>
    <w:rsid w:val="005E30F1"/>
    <w:rsid w:val="005E31B7"/>
    <w:rsid w:val="005E31C6"/>
    <w:rsid w:val="005E330A"/>
    <w:rsid w:val="005E3310"/>
    <w:rsid w:val="005E3354"/>
    <w:rsid w:val="005E335F"/>
    <w:rsid w:val="005E33CE"/>
    <w:rsid w:val="005E3534"/>
    <w:rsid w:val="005E359D"/>
    <w:rsid w:val="005E3625"/>
    <w:rsid w:val="005E37C5"/>
    <w:rsid w:val="005E3897"/>
    <w:rsid w:val="005E38BF"/>
    <w:rsid w:val="005E38C7"/>
    <w:rsid w:val="005E3984"/>
    <w:rsid w:val="005E3A54"/>
    <w:rsid w:val="005E3A60"/>
    <w:rsid w:val="005E3C00"/>
    <w:rsid w:val="005E3D76"/>
    <w:rsid w:val="005E3D97"/>
    <w:rsid w:val="005E3DC5"/>
    <w:rsid w:val="005E3DD0"/>
    <w:rsid w:val="005E3F21"/>
    <w:rsid w:val="005E3F90"/>
    <w:rsid w:val="005E3FFB"/>
    <w:rsid w:val="005E414F"/>
    <w:rsid w:val="005E4322"/>
    <w:rsid w:val="005E448B"/>
    <w:rsid w:val="005E44B6"/>
    <w:rsid w:val="005E44DC"/>
    <w:rsid w:val="005E4590"/>
    <w:rsid w:val="005E469F"/>
    <w:rsid w:val="005E46BB"/>
    <w:rsid w:val="005E472F"/>
    <w:rsid w:val="005E4A02"/>
    <w:rsid w:val="005E4A1B"/>
    <w:rsid w:val="005E4A3A"/>
    <w:rsid w:val="005E4BAD"/>
    <w:rsid w:val="005E4D54"/>
    <w:rsid w:val="005E4DBC"/>
    <w:rsid w:val="005E4E11"/>
    <w:rsid w:val="005E4E92"/>
    <w:rsid w:val="005E4E9B"/>
    <w:rsid w:val="005E4FBD"/>
    <w:rsid w:val="005E4FC9"/>
    <w:rsid w:val="005E503D"/>
    <w:rsid w:val="005E5114"/>
    <w:rsid w:val="005E5132"/>
    <w:rsid w:val="005E5165"/>
    <w:rsid w:val="005E51D5"/>
    <w:rsid w:val="005E525D"/>
    <w:rsid w:val="005E53B7"/>
    <w:rsid w:val="005E543A"/>
    <w:rsid w:val="005E5443"/>
    <w:rsid w:val="005E559D"/>
    <w:rsid w:val="005E55F8"/>
    <w:rsid w:val="005E5697"/>
    <w:rsid w:val="005E573A"/>
    <w:rsid w:val="005E57DB"/>
    <w:rsid w:val="005E5840"/>
    <w:rsid w:val="005E58DB"/>
    <w:rsid w:val="005E5956"/>
    <w:rsid w:val="005E5AC3"/>
    <w:rsid w:val="005E5B9E"/>
    <w:rsid w:val="005E5C47"/>
    <w:rsid w:val="005E5DC5"/>
    <w:rsid w:val="005E5E42"/>
    <w:rsid w:val="005E5E4D"/>
    <w:rsid w:val="005E5F74"/>
    <w:rsid w:val="005E5F9C"/>
    <w:rsid w:val="005E5FB4"/>
    <w:rsid w:val="005E6202"/>
    <w:rsid w:val="005E6286"/>
    <w:rsid w:val="005E62E9"/>
    <w:rsid w:val="005E633A"/>
    <w:rsid w:val="005E6379"/>
    <w:rsid w:val="005E64CD"/>
    <w:rsid w:val="005E6540"/>
    <w:rsid w:val="005E66EE"/>
    <w:rsid w:val="005E681A"/>
    <w:rsid w:val="005E684F"/>
    <w:rsid w:val="005E6925"/>
    <w:rsid w:val="005E697A"/>
    <w:rsid w:val="005E6B6B"/>
    <w:rsid w:val="005E6B8F"/>
    <w:rsid w:val="005E6BF5"/>
    <w:rsid w:val="005E6C00"/>
    <w:rsid w:val="005E6C39"/>
    <w:rsid w:val="005E6E68"/>
    <w:rsid w:val="005E6E6F"/>
    <w:rsid w:val="005E6FC0"/>
    <w:rsid w:val="005E6FC7"/>
    <w:rsid w:val="005E7028"/>
    <w:rsid w:val="005E7030"/>
    <w:rsid w:val="005E708F"/>
    <w:rsid w:val="005E70E6"/>
    <w:rsid w:val="005E7145"/>
    <w:rsid w:val="005E72E0"/>
    <w:rsid w:val="005E73D3"/>
    <w:rsid w:val="005E7423"/>
    <w:rsid w:val="005E74F0"/>
    <w:rsid w:val="005E7509"/>
    <w:rsid w:val="005E7514"/>
    <w:rsid w:val="005E7629"/>
    <w:rsid w:val="005E7669"/>
    <w:rsid w:val="005E76A4"/>
    <w:rsid w:val="005E7764"/>
    <w:rsid w:val="005E77E5"/>
    <w:rsid w:val="005E7832"/>
    <w:rsid w:val="005E7913"/>
    <w:rsid w:val="005E79B1"/>
    <w:rsid w:val="005E7B5F"/>
    <w:rsid w:val="005E7B61"/>
    <w:rsid w:val="005E7B6F"/>
    <w:rsid w:val="005E7CAE"/>
    <w:rsid w:val="005E7DBE"/>
    <w:rsid w:val="005E7DD8"/>
    <w:rsid w:val="005E7ED4"/>
    <w:rsid w:val="005E7F4D"/>
    <w:rsid w:val="005F0047"/>
    <w:rsid w:val="005F0110"/>
    <w:rsid w:val="005F0174"/>
    <w:rsid w:val="005F01F9"/>
    <w:rsid w:val="005F0231"/>
    <w:rsid w:val="005F0332"/>
    <w:rsid w:val="005F0514"/>
    <w:rsid w:val="005F055D"/>
    <w:rsid w:val="005F05DA"/>
    <w:rsid w:val="005F06E7"/>
    <w:rsid w:val="005F0751"/>
    <w:rsid w:val="005F079C"/>
    <w:rsid w:val="005F0860"/>
    <w:rsid w:val="005F0B94"/>
    <w:rsid w:val="005F0C1C"/>
    <w:rsid w:val="005F0C90"/>
    <w:rsid w:val="005F0DB6"/>
    <w:rsid w:val="005F0E65"/>
    <w:rsid w:val="005F0F92"/>
    <w:rsid w:val="005F101F"/>
    <w:rsid w:val="005F1113"/>
    <w:rsid w:val="005F115E"/>
    <w:rsid w:val="005F11AC"/>
    <w:rsid w:val="005F11C9"/>
    <w:rsid w:val="005F11D5"/>
    <w:rsid w:val="005F12AF"/>
    <w:rsid w:val="005F1319"/>
    <w:rsid w:val="005F133F"/>
    <w:rsid w:val="005F13CB"/>
    <w:rsid w:val="005F13E9"/>
    <w:rsid w:val="005F1410"/>
    <w:rsid w:val="005F1442"/>
    <w:rsid w:val="005F144D"/>
    <w:rsid w:val="005F155A"/>
    <w:rsid w:val="005F155B"/>
    <w:rsid w:val="005F159A"/>
    <w:rsid w:val="005F15B3"/>
    <w:rsid w:val="005F17BA"/>
    <w:rsid w:val="005F1801"/>
    <w:rsid w:val="005F18E9"/>
    <w:rsid w:val="005F191B"/>
    <w:rsid w:val="005F192C"/>
    <w:rsid w:val="005F19AC"/>
    <w:rsid w:val="005F1A7C"/>
    <w:rsid w:val="005F1AD9"/>
    <w:rsid w:val="005F1B06"/>
    <w:rsid w:val="005F1B4A"/>
    <w:rsid w:val="005F1B9C"/>
    <w:rsid w:val="005F1B9F"/>
    <w:rsid w:val="005F1BD6"/>
    <w:rsid w:val="005F1C55"/>
    <w:rsid w:val="005F1CAA"/>
    <w:rsid w:val="005F1D74"/>
    <w:rsid w:val="005F1D84"/>
    <w:rsid w:val="005F1DF1"/>
    <w:rsid w:val="005F1E19"/>
    <w:rsid w:val="005F1E99"/>
    <w:rsid w:val="005F1EBE"/>
    <w:rsid w:val="005F1EDB"/>
    <w:rsid w:val="005F1EE5"/>
    <w:rsid w:val="005F1F0E"/>
    <w:rsid w:val="005F1F5D"/>
    <w:rsid w:val="005F1F91"/>
    <w:rsid w:val="005F20EF"/>
    <w:rsid w:val="005F2265"/>
    <w:rsid w:val="005F227B"/>
    <w:rsid w:val="005F2288"/>
    <w:rsid w:val="005F22D5"/>
    <w:rsid w:val="005F2308"/>
    <w:rsid w:val="005F2374"/>
    <w:rsid w:val="005F24ED"/>
    <w:rsid w:val="005F2541"/>
    <w:rsid w:val="005F271B"/>
    <w:rsid w:val="005F274A"/>
    <w:rsid w:val="005F282D"/>
    <w:rsid w:val="005F28B1"/>
    <w:rsid w:val="005F28F3"/>
    <w:rsid w:val="005F2A44"/>
    <w:rsid w:val="005F2ADB"/>
    <w:rsid w:val="005F2B50"/>
    <w:rsid w:val="005F2C23"/>
    <w:rsid w:val="005F2C6B"/>
    <w:rsid w:val="005F2C6F"/>
    <w:rsid w:val="005F2C9B"/>
    <w:rsid w:val="005F2DBD"/>
    <w:rsid w:val="005F2E78"/>
    <w:rsid w:val="005F2E7E"/>
    <w:rsid w:val="005F2EA4"/>
    <w:rsid w:val="005F2EBC"/>
    <w:rsid w:val="005F2F19"/>
    <w:rsid w:val="005F2F7A"/>
    <w:rsid w:val="005F2FA3"/>
    <w:rsid w:val="005F304B"/>
    <w:rsid w:val="005F3205"/>
    <w:rsid w:val="005F321B"/>
    <w:rsid w:val="005F324D"/>
    <w:rsid w:val="005F326B"/>
    <w:rsid w:val="005F32DF"/>
    <w:rsid w:val="005F34F2"/>
    <w:rsid w:val="005F3585"/>
    <w:rsid w:val="005F364A"/>
    <w:rsid w:val="005F369E"/>
    <w:rsid w:val="005F36DA"/>
    <w:rsid w:val="005F36E2"/>
    <w:rsid w:val="005F3734"/>
    <w:rsid w:val="005F374A"/>
    <w:rsid w:val="005F3753"/>
    <w:rsid w:val="005F3758"/>
    <w:rsid w:val="005F3A30"/>
    <w:rsid w:val="005F3B39"/>
    <w:rsid w:val="005F3C29"/>
    <w:rsid w:val="005F3C33"/>
    <w:rsid w:val="005F3C90"/>
    <w:rsid w:val="005F3D52"/>
    <w:rsid w:val="005F3D78"/>
    <w:rsid w:val="005F3D96"/>
    <w:rsid w:val="005F3E08"/>
    <w:rsid w:val="005F3E3B"/>
    <w:rsid w:val="005F3E82"/>
    <w:rsid w:val="005F3E96"/>
    <w:rsid w:val="005F3EE3"/>
    <w:rsid w:val="005F3EED"/>
    <w:rsid w:val="005F3F21"/>
    <w:rsid w:val="005F3FE6"/>
    <w:rsid w:val="005F400C"/>
    <w:rsid w:val="005F406D"/>
    <w:rsid w:val="005F40C2"/>
    <w:rsid w:val="005F40F6"/>
    <w:rsid w:val="005F418C"/>
    <w:rsid w:val="005F41D3"/>
    <w:rsid w:val="005F41FA"/>
    <w:rsid w:val="005F4361"/>
    <w:rsid w:val="005F449A"/>
    <w:rsid w:val="005F44EB"/>
    <w:rsid w:val="005F4518"/>
    <w:rsid w:val="005F4738"/>
    <w:rsid w:val="005F47DD"/>
    <w:rsid w:val="005F4817"/>
    <w:rsid w:val="005F4856"/>
    <w:rsid w:val="005F48AA"/>
    <w:rsid w:val="005F4933"/>
    <w:rsid w:val="005F494D"/>
    <w:rsid w:val="005F49DD"/>
    <w:rsid w:val="005F4A03"/>
    <w:rsid w:val="005F4AF3"/>
    <w:rsid w:val="005F4C79"/>
    <w:rsid w:val="005F4ECA"/>
    <w:rsid w:val="005F4F0F"/>
    <w:rsid w:val="005F4F94"/>
    <w:rsid w:val="005F4FCB"/>
    <w:rsid w:val="005F5083"/>
    <w:rsid w:val="005F51C1"/>
    <w:rsid w:val="005F51FB"/>
    <w:rsid w:val="005F5206"/>
    <w:rsid w:val="005F527A"/>
    <w:rsid w:val="005F551F"/>
    <w:rsid w:val="005F5593"/>
    <w:rsid w:val="005F5610"/>
    <w:rsid w:val="005F5613"/>
    <w:rsid w:val="005F5767"/>
    <w:rsid w:val="005F5868"/>
    <w:rsid w:val="005F586E"/>
    <w:rsid w:val="005F5900"/>
    <w:rsid w:val="005F593F"/>
    <w:rsid w:val="005F5AB6"/>
    <w:rsid w:val="005F5AF7"/>
    <w:rsid w:val="005F5B48"/>
    <w:rsid w:val="005F5BE2"/>
    <w:rsid w:val="005F5E12"/>
    <w:rsid w:val="005F5F24"/>
    <w:rsid w:val="005F5F63"/>
    <w:rsid w:val="005F5FBA"/>
    <w:rsid w:val="005F5FBF"/>
    <w:rsid w:val="005F6087"/>
    <w:rsid w:val="005F6108"/>
    <w:rsid w:val="005F618B"/>
    <w:rsid w:val="005F618E"/>
    <w:rsid w:val="005F6229"/>
    <w:rsid w:val="005F62B4"/>
    <w:rsid w:val="005F6428"/>
    <w:rsid w:val="005F645A"/>
    <w:rsid w:val="005F654F"/>
    <w:rsid w:val="005F66DA"/>
    <w:rsid w:val="005F66E9"/>
    <w:rsid w:val="005F670E"/>
    <w:rsid w:val="005F6736"/>
    <w:rsid w:val="005F67C3"/>
    <w:rsid w:val="005F6800"/>
    <w:rsid w:val="005F693C"/>
    <w:rsid w:val="005F698F"/>
    <w:rsid w:val="005F6A85"/>
    <w:rsid w:val="005F6AAC"/>
    <w:rsid w:val="005F6B8D"/>
    <w:rsid w:val="005F6BBC"/>
    <w:rsid w:val="005F6BF0"/>
    <w:rsid w:val="005F6C41"/>
    <w:rsid w:val="005F6CA0"/>
    <w:rsid w:val="005F6DFA"/>
    <w:rsid w:val="005F6FAF"/>
    <w:rsid w:val="005F6FDD"/>
    <w:rsid w:val="005F7023"/>
    <w:rsid w:val="005F7206"/>
    <w:rsid w:val="005F7233"/>
    <w:rsid w:val="005F73CC"/>
    <w:rsid w:val="005F74B5"/>
    <w:rsid w:val="005F7577"/>
    <w:rsid w:val="005F7584"/>
    <w:rsid w:val="005F75B0"/>
    <w:rsid w:val="005F75C6"/>
    <w:rsid w:val="005F7607"/>
    <w:rsid w:val="005F764D"/>
    <w:rsid w:val="005F7675"/>
    <w:rsid w:val="005F76CA"/>
    <w:rsid w:val="005F76E4"/>
    <w:rsid w:val="005F771B"/>
    <w:rsid w:val="005F77A9"/>
    <w:rsid w:val="005F77B2"/>
    <w:rsid w:val="005F7844"/>
    <w:rsid w:val="005F7851"/>
    <w:rsid w:val="005F786A"/>
    <w:rsid w:val="005F79D3"/>
    <w:rsid w:val="005F7A4C"/>
    <w:rsid w:val="005F7AF1"/>
    <w:rsid w:val="005F7BB3"/>
    <w:rsid w:val="005F7CC0"/>
    <w:rsid w:val="005F7DAD"/>
    <w:rsid w:val="005F7DE0"/>
    <w:rsid w:val="005F7E4B"/>
    <w:rsid w:val="005F7E5C"/>
    <w:rsid w:val="005F7E79"/>
    <w:rsid w:val="005F7F2E"/>
    <w:rsid w:val="005F7F7E"/>
    <w:rsid w:val="00600284"/>
    <w:rsid w:val="00600293"/>
    <w:rsid w:val="00600308"/>
    <w:rsid w:val="0060038A"/>
    <w:rsid w:val="006003A8"/>
    <w:rsid w:val="006003B5"/>
    <w:rsid w:val="00600551"/>
    <w:rsid w:val="00600575"/>
    <w:rsid w:val="00600619"/>
    <w:rsid w:val="0060084B"/>
    <w:rsid w:val="00600859"/>
    <w:rsid w:val="006008D8"/>
    <w:rsid w:val="006008E4"/>
    <w:rsid w:val="006009C8"/>
    <w:rsid w:val="00600AB1"/>
    <w:rsid w:val="00600AB2"/>
    <w:rsid w:val="00600BE9"/>
    <w:rsid w:val="00600C32"/>
    <w:rsid w:val="00600CFD"/>
    <w:rsid w:val="00600D3E"/>
    <w:rsid w:val="00600D72"/>
    <w:rsid w:val="00600D73"/>
    <w:rsid w:val="006010C9"/>
    <w:rsid w:val="00601172"/>
    <w:rsid w:val="0060119A"/>
    <w:rsid w:val="006011C1"/>
    <w:rsid w:val="006011C9"/>
    <w:rsid w:val="0060124E"/>
    <w:rsid w:val="00601293"/>
    <w:rsid w:val="006012CB"/>
    <w:rsid w:val="006012D6"/>
    <w:rsid w:val="00601319"/>
    <w:rsid w:val="006013EB"/>
    <w:rsid w:val="006016AE"/>
    <w:rsid w:val="0060173F"/>
    <w:rsid w:val="00601780"/>
    <w:rsid w:val="00601784"/>
    <w:rsid w:val="00601900"/>
    <w:rsid w:val="006019B9"/>
    <w:rsid w:val="00601B03"/>
    <w:rsid w:val="00601C5B"/>
    <w:rsid w:val="00601E3B"/>
    <w:rsid w:val="00601ECB"/>
    <w:rsid w:val="00601F84"/>
    <w:rsid w:val="0060200B"/>
    <w:rsid w:val="00602043"/>
    <w:rsid w:val="006020B6"/>
    <w:rsid w:val="006020D7"/>
    <w:rsid w:val="00602413"/>
    <w:rsid w:val="00602734"/>
    <w:rsid w:val="006027DA"/>
    <w:rsid w:val="006027FD"/>
    <w:rsid w:val="00602A06"/>
    <w:rsid w:val="00602A09"/>
    <w:rsid w:val="00602A29"/>
    <w:rsid w:val="00602A78"/>
    <w:rsid w:val="00602AAE"/>
    <w:rsid w:val="00602B85"/>
    <w:rsid w:val="00602C4F"/>
    <w:rsid w:val="00602EF4"/>
    <w:rsid w:val="00602FD1"/>
    <w:rsid w:val="00603094"/>
    <w:rsid w:val="00603217"/>
    <w:rsid w:val="00603222"/>
    <w:rsid w:val="0060329D"/>
    <w:rsid w:val="00603367"/>
    <w:rsid w:val="0060337E"/>
    <w:rsid w:val="00603461"/>
    <w:rsid w:val="00603489"/>
    <w:rsid w:val="00603491"/>
    <w:rsid w:val="00603571"/>
    <w:rsid w:val="00603768"/>
    <w:rsid w:val="006037D6"/>
    <w:rsid w:val="0060381B"/>
    <w:rsid w:val="0060384E"/>
    <w:rsid w:val="00603950"/>
    <w:rsid w:val="00603A69"/>
    <w:rsid w:val="00603A72"/>
    <w:rsid w:val="00603B6B"/>
    <w:rsid w:val="00603C1D"/>
    <w:rsid w:val="00603C3D"/>
    <w:rsid w:val="00603C91"/>
    <w:rsid w:val="00603D18"/>
    <w:rsid w:val="00603DDE"/>
    <w:rsid w:val="00603E19"/>
    <w:rsid w:val="00603EB2"/>
    <w:rsid w:val="00603ECA"/>
    <w:rsid w:val="006040DC"/>
    <w:rsid w:val="00604130"/>
    <w:rsid w:val="00604169"/>
    <w:rsid w:val="0060424D"/>
    <w:rsid w:val="006042B6"/>
    <w:rsid w:val="00604400"/>
    <w:rsid w:val="006044D0"/>
    <w:rsid w:val="00604500"/>
    <w:rsid w:val="0060453C"/>
    <w:rsid w:val="00604591"/>
    <w:rsid w:val="006045C4"/>
    <w:rsid w:val="0060461B"/>
    <w:rsid w:val="00604629"/>
    <w:rsid w:val="00604646"/>
    <w:rsid w:val="006046BB"/>
    <w:rsid w:val="006046CE"/>
    <w:rsid w:val="00604766"/>
    <w:rsid w:val="00604792"/>
    <w:rsid w:val="00604878"/>
    <w:rsid w:val="00604892"/>
    <w:rsid w:val="00604897"/>
    <w:rsid w:val="006048A1"/>
    <w:rsid w:val="00604961"/>
    <w:rsid w:val="00604978"/>
    <w:rsid w:val="0060499C"/>
    <w:rsid w:val="00604A53"/>
    <w:rsid w:val="00604AAF"/>
    <w:rsid w:val="00604AEC"/>
    <w:rsid w:val="00604B5A"/>
    <w:rsid w:val="00604C99"/>
    <w:rsid w:val="00604CA1"/>
    <w:rsid w:val="00604D73"/>
    <w:rsid w:val="00604DE9"/>
    <w:rsid w:val="00604E8B"/>
    <w:rsid w:val="00604F16"/>
    <w:rsid w:val="00604F4C"/>
    <w:rsid w:val="00604F90"/>
    <w:rsid w:val="00605009"/>
    <w:rsid w:val="006050FA"/>
    <w:rsid w:val="006050FD"/>
    <w:rsid w:val="0060514F"/>
    <w:rsid w:val="00605197"/>
    <w:rsid w:val="006052BF"/>
    <w:rsid w:val="0060532A"/>
    <w:rsid w:val="0060552F"/>
    <w:rsid w:val="0060553D"/>
    <w:rsid w:val="00605570"/>
    <w:rsid w:val="0060565C"/>
    <w:rsid w:val="0060568B"/>
    <w:rsid w:val="006056C7"/>
    <w:rsid w:val="006057E2"/>
    <w:rsid w:val="00605858"/>
    <w:rsid w:val="0060594C"/>
    <w:rsid w:val="006059E1"/>
    <w:rsid w:val="00605A76"/>
    <w:rsid w:val="00605AD5"/>
    <w:rsid w:val="00605B83"/>
    <w:rsid w:val="00605B97"/>
    <w:rsid w:val="00605BCE"/>
    <w:rsid w:val="00605C22"/>
    <w:rsid w:val="00605D5E"/>
    <w:rsid w:val="00605E9D"/>
    <w:rsid w:val="00605EAD"/>
    <w:rsid w:val="00605EE4"/>
    <w:rsid w:val="00605F45"/>
    <w:rsid w:val="00606071"/>
    <w:rsid w:val="00606103"/>
    <w:rsid w:val="006062AD"/>
    <w:rsid w:val="0060631F"/>
    <w:rsid w:val="00606329"/>
    <w:rsid w:val="00606355"/>
    <w:rsid w:val="0060639D"/>
    <w:rsid w:val="00606446"/>
    <w:rsid w:val="00606501"/>
    <w:rsid w:val="00606565"/>
    <w:rsid w:val="00606630"/>
    <w:rsid w:val="0060680D"/>
    <w:rsid w:val="00606894"/>
    <w:rsid w:val="006068AD"/>
    <w:rsid w:val="006068B8"/>
    <w:rsid w:val="006069A6"/>
    <w:rsid w:val="00606A32"/>
    <w:rsid w:val="00606A83"/>
    <w:rsid w:val="00606A99"/>
    <w:rsid w:val="00606AC1"/>
    <w:rsid w:val="00606AEC"/>
    <w:rsid w:val="00606BC3"/>
    <w:rsid w:val="00606CCC"/>
    <w:rsid w:val="00606DE8"/>
    <w:rsid w:val="00606DEA"/>
    <w:rsid w:val="00606E95"/>
    <w:rsid w:val="00606F31"/>
    <w:rsid w:val="00607033"/>
    <w:rsid w:val="006070C4"/>
    <w:rsid w:val="00607109"/>
    <w:rsid w:val="0060715B"/>
    <w:rsid w:val="006071BE"/>
    <w:rsid w:val="0060720F"/>
    <w:rsid w:val="00607214"/>
    <w:rsid w:val="006072F7"/>
    <w:rsid w:val="006074F3"/>
    <w:rsid w:val="00607512"/>
    <w:rsid w:val="00607591"/>
    <w:rsid w:val="0060762D"/>
    <w:rsid w:val="006076A5"/>
    <w:rsid w:val="006076E4"/>
    <w:rsid w:val="006076EA"/>
    <w:rsid w:val="006077E0"/>
    <w:rsid w:val="0060781F"/>
    <w:rsid w:val="006078EB"/>
    <w:rsid w:val="0060790A"/>
    <w:rsid w:val="0060794E"/>
    <w:rsid w:val="00607AF6"/>
    <w:rsid w:val="00607B90"/>
    <w:rsid w:val="00607BB4"/>
    <w:rsid w:val="00607C1B"/>
    <w:rsid w:val="00607D26"/>
    <w:rsid w:val="00607D6A"/>
    <w:rsid w:val="00607D74"/>
    <w:rsid w:val="00607DA5"/>
    <w:rsid w:val="00607E2E"/>
    <w:rsid w:val="00607E8A"/>
    <w:rsid w:val="00607F6B"/>
    <w:rsid w:val="00607FA2"/>
    <w:rsid w:val="00607FE1"/>
    <w:rsid w:val="00610049"/>
    <w:rsid w:val="006100B4"/>
    <w:rsid w:val="0061010C"/>
    <w:rsid w:val="00610131"/>
    <w:rsid w:val="006101C3"/>
    <w:rsid w:val="00610212"/>
    <w:rsid w:val="006103C3"/>
    <w:rsid w:val="006103D2"/>
    <w:rsid w:val="006103E1"/>
    <w:rsid w:val="0061057C"/>
    <w:rsid w:val="00610586"/>
    <w:rsid w:val="006105D6"/>
    <w:rsid w:val="00610656"/>
    <w:rsid w:val="0061065C"/>
    <w:rsid w:val="006106FE"/>
    <w:rsid w:val="006107C0"/>
    <w:rsid w:val="00610830"/>
    <w:rsid w:val="00610840"/>
    <w:rsid w:val="00610844"/>
    <w:rsid w:val="0061094C"/>
    <w:rsid w:val="006109B4"/>
    <w:rsid w:val="00610A8D"/>
    <w:rsid w:val="00610B2D"/>
    <w:rsid w:val="00610B95"/>
    <w:rsid w:val="00610B9B"/>
    <w:rsid w:val="00610BAC"/>
    <w:rsid w:val="00610BD4"/>
    <w:rsid w:val="00610C71"/>
    <w:rsid w:val="00610D2B"/>
    <w:rsid w:val="00610D66"/>
    <w:rsid w:val="00610DE0"/>
    <w:rsid w:val="00610E16"/>
    <w:rsid w:val="00610EB5"/>
    <w:rsid w:val="00610EDE"/>
    <w:rsid w:val="00610EEC"/>
    <w:rsid w:val="00610F05"/>
    <w:rsid w:val="00610F1C"/>
    <w:rsid w:val="00610F7A"/>
    <w:rsid w:val="00610FA5"/>
    <w:rsid w:val="00611019"/>
    <w:rsid w:val="00611056"/>
    <w:rsid w:val="00611073"/>
    <w:rsid w:val="006110C5"/>
    <w:rsid w:val="006111A4"/>
    <w:rsid w:val="006111C4"/>
    <w:rsid w:val="00611224"/>
    <w:rsid w:val="006112DC"/>
    <w:rsid w:val="00611346"/>
    <w:rsid w:val="006114AC"/>
    <w:rsid w:val="00611605"/>
    <w:rsid w:val="00611703"/>
    <w:rsid w:val="006117A6"/>
    <w:rsid w:val="00611895"/>
    <w:rsid w:val="006118F3"/>
    <w:rsid w:val="006119DB"/>
    <w:rsid w:val="006119E9"/>
    <w:rsid w:val="00611AC3"/>
    <w:rsid w:val="00611B06"/>
    <w:rsid w:val="00611B65"/>
    <w:rsid w:val="00611BF9"/>
    <w:rsid w:val="00611CC9"/>
    <w:rsid w:val="00611D1C"/>
    <w:rsid w:val="00611E28"/>
    <w:rsid w:val="00611E2C"/>
    <w:rsid w:val="00611E70"/>
    <w:rsid w:val="00611FA6"/>
    <w:rsid w:val="00611FC1"/>
    <w:rsid w:val="0061205C"/>
    <w:rsid w:val="006121DD"/>
    <w:rsid w:val="00612261"/>
    <w:rsid w:val="006122B5"/>
    <w:rsid w:val="006122D3"/>
    <w:rsid w:val="00612392"/>
    <w:rsid w:val="0061242F"/>
    <w:rsid w:val="00612437"/>
    <w:rsid w:val="0061243B"/>
    <w:rsid w:val="006124DC"/>
    <w:rsid w:val="0061250E"/>
    <w:rsid w:val="0061259B"/>
    <w:rsid w:val="006125BF"/>
    <w:rsid w:val="00612730"/>
    <w:rsid w:val="00612794"/>
    <w:rsid w:val="006127C9"/>
    <w:rsid w:val="006127E4"/>
    <w:rsid w:val="006127FD"/>
    <w:rsid w:val="00612842"/>
    <w:rsid w:val="00612A23"/>
    <w:rsid w:val="00612AB5"/>
    <w:rsid w:val="00612AB8"/>
    <w:rsid w:val="00612AEE"/>
    <w:rsid w:val="00612C60"/>
    <w:rsid w:val="00612C9D"/>
    <w:rsid w:val="00612CC0"/>
    <w:rsid w:val="00612CF2"/>
    <w:rsid w:val="00612D62"/>
    <w:rsid w:val="00612D88"/>
    <w:rsid w:val="00612DB0"/>
    <w:rsid w:val="00612DF4"/>
    <w:rsid w:val="00612E0E"/>
    <w:rsid w:val="00612E46"/>
    <w:rsid w:val="00612E56"/>
    <w:rsid w:val="00612F9C"/>
    <w:rsid w:val="0061303A"/>
    <w:rsid w:val="00613062"/>
    <w:rsid w:val="006132D6"/>
    <w:rsid w:val="00613302"/>
    <w:rsid w:val="0061334C"/>
    <w:rsid w:val="006133C2"/>
    <w:rsid w:val="00613447"/>
    <w:rsid w:val="006134DD"/>
    <w:rsid w:val="006134F8"/>
    <w:rsid w:val="006135B0"/>
    <w:rsid w:val="006135CF"/>
    <w:rsid w:val="00613706"/>
    <w:rsid w:val="0061371F"/>
    <w:rsid w:val="0061379F"/>
    <w:rsid w:val="006137E3"/>
    <w:rsid w:val="0061383D"/>
    <w:rsid w:val="0061384F"/>
    <w:rsid w:val="00613919"/>
    <w:rsid w:val="006139D2"/>
    <w:rsid w:val="00613A21"/>
    <w:rsid w:val="00613A8C"/>
    <w:rsid w:val="00613AA9"/>
    <w:rsid w:val="00613BCB"/>
    <w:rsid w:val="00613BEA"/>
    <w:rsid w:val="00613C0B"/>
    <w:rsid w:val="00613C65"/>
    <w:rsid w:val="00613CBC"/>
    <w:rsid w:val="00613D67"/>
    <w:rsid w:val="00613E64"/>
    <w:rsid w:val="00613EB6"/>
    <w:rsid w:val="00613ED4"/>
    <w:rsid w:val="00613EE7"/>
    <w:rsid w:val="00613F0E"/>
    <w:rsid w:val="006140ED"/>
    <w:rsid w:val="00614111"/>
    <w:rsid w:val="00614177"/>
    <w:rsid w:val="00614197"/>
    <w:rsid w:val="006141CB"/>
    <w:rsid w:val="00614211"/>
    <w:rsid w:val="00614307"/>
    <w:rsid w:val="0061434F"/>
    <w:rsid w:val="0061438F"/>
    <w:rsid w:val="0061444A"/>
    <w:rsid w:val="0061447D"/>
    <w:rsid w:val="006144A1"/>
    <w:rsid w:val="006144AD"/>
    <w:rsid w:val="00614546"/>
    <w:rsid w:val="00614555"/>
    <w:rsid w:val="006145B0"/>
    <w:rsid w:val="006145DB"/>
    <w:rsid w:val="006145F0"/>
    <w:rsid w:val="0061463D"/>
    <w:rsid w:val="00614650"/>
    <w:rsid w:val="006146A7"/>
    <w:rsid w:val="00614765"/>
    <w:rsid w:val="006147E6"/>
    <w:rsid w:val="00614805"/>
    <w:rsid w:val="0061488C"/>
    <w:rsid w:val="0061490C"/>
    <w:rsid w:val="00614AB2"/>
    <w:rsid w:val="00614B55"/>
    <w:rsid w:val="00614C3C"/>
    <w:rsid w:val="00614C71"/>
    <w:rsid w:val="00614CA0"/>
    <w:rsid w:val="00614CA9"/>
    <w:rsid w:val="00614E04"/>
    <w:rsid w:val="00614E43"/>
    <w:rsid w:val="00614ED8"/>
    <w:rsid w:val="00614F2A"/>
    <w:rsid w:val="00614F37"/>
    <w:rsid w:val="00614F70"/>
    <w:rsid w:val="00614F7A"/>
    <w:rsid w:val="00614F7E"/>
    <w:rsid w:val="00615014"/>
    <w:rsid w:val="0061505A"/>
    <w:rsid w:val="00615149"/>
    <w:rsid w:val="006153F1"/>
    <w:rsid w:val="00615442"/>
    <w:rsid w:val="0061551D"/>
    <w:rsid w:val="00615647"/>
    <w:rsid w:val="0061567F"/>
    <w:rsid w:val="00615757"/>
    <w:rsid w:val="006158B8"/>
    <w:rsid w:val="00615982"/>
    <w:rsid w:val="00615AF6"/>
    <w:rsid w:val="00615B84"/>
    <w:rsid w:val="00615BAC"/>
    <w:rsid w:val="00615C9F"/>
    <w:rsid w:val="00615CE3"/>
    <w:rsid w:val="00615D32"/>
    <w:rsid w:val="00615DAD"/>
    <w:rsid w:val="00615F45"/>
    <w:rsid w:val="006160C2"/>
    <w:rsid w:val="006160D5"/>
    <w:rsid w:val="00616187"/>
    <w:rsid w:val="006162F7"/>
    <w:rsid w:val="006163C3"/>
    <w:rsid w:val="006164C8"/>
    <w:rsid w:val="006165A3"/>
    <w:rsid w:val="006166A6"/>
    <w:rsid w:val="006166D3"/>
    <w:rsid w:val="00616793"/>
    <w:rsid w:val="0061695B"/>
    <w:rsid w:val="00616980"/>
    <w:rsid w:val="00616989"/>
    <w:rsid w:val="00616990"/>
    <w:rsid w:val="00616C31"/>
    <w:rsid w:val="00616CD6"/>
    <w:rsid w:val="00616CFC"/>
    <w:rsid w:val="00616E61"/>
    <w:rsid w:val="00616ECE"/>
    <w:rsid w:val="00616EE3"/>
    <w:rsid w:val="00616FE6"/>
    <w:rsid w:val="00617193"/>
    <w:rsid w:val="006171C9"/>
    <w:rsid w:val="0061739F"/>
    <w:rsid w:val="0061744C"/>
    <w:rsid w:val="00617514"/>
    <w:rsid w:val="0061753B"/>
    <w:rsid w:val="006175C2"/>
    <w:rsid w:val="006175FE"/>
    <w:rsid w:val="006176E4"/>
    <w:rsid w:val="0061776A"/>
    <w:rsid w:val="00617822"/>
    <w:rsid w:val="0061793B"/>
    <w:rsid w:val="0061794F"/>
    <w:rsid w:val="00617B1A"/>
    <w:rsid w:val="00617B96"/>
    <w:rsid w:val="00617DBA"/>
    <w:rsid w:val="00617E05"/>
    <w:rsid w:val="00617E34"/>
    <w:rsid w:val="00617E63"/>
    <w:rsid w:val="00617EB0"/>
    <w:rsid w:val="00617F8F"/>
    <w:rsid w:val="00618F68"/>
    <w:rsid w:val="00620047"/>
    <w:rsid w:val="006200B5"/>
    <w:rsid w:val="006200CF"/>
    <w:rsid w:val="00620121"/>
    <w:rsid w:val="0062018C"/>
    <w:rsid w:val="006201B4"/>
    <w:rsid w:val="006201F0"/>
    <w:rsid w:val="00620209"/>
    <w:rsid w:val="0062024C"/>
    <w:rsid w:val="00620317"/>
    <w:rsid w:val="00620475"/>
    <w:rsid w:val="00620497"/>
    <w:rsid w:val="006204BC"/>
    <w:rsid w:val="006205DF"/>
    <w:rsid w:val="00620632"/>
    <w:rsid w:val="0062064F"/>
    <w:rsid w:val="00620697"/>
    <w:rsid w:val="006206C6"/>
    <w:rsid w:val="006207ED"/>
    <w:rsid w:val="00620A20"/>
    <w:rsid w:val="00620AA6"/>
    <w:rsid w:val="00620AD3"/>
    <w:rsid w:val="00620BDF"/>
    <w:rsid w:val="00620C55"/>
    <w:rsid w:val="00620C67"/>
    <w:rsid w:val="00620CBF"/>
    <w:rsid w:val="00620F3B"/>
    <w:rsid w:val="0062102A"/>
    <w:rsid w:val="006210D8"/>
    <w:rsid w:val="006210E3"/>
    <w:rsid w:val="006210F3"/>
    <w:rsid w:val="00621396"/>
    <w:rsid w:val="0062141A"/>
    <w:rsid w:val="0062141C"/>
    <w:rsid w:val="0062145D"/>
    <w:rsid w:val="00621657"/>
    <w:rsid w:val="006216A4"/>
    <w:rsid w:val="0062184E"/>
    <w:rsid w:val="00621858"/>
    <w:rsid w:val="00621919"/>
    <w:rsid w:val="00621970"/>
    <w:rsid w:val="006219C8"/>
    <w:rsid w:val="00621AB2"/>
    <w:rsid w:val="00621B28"/>
    <w:rsid w:val="00621B77"/>
    <w:rsid w:val="00621BEB"/>
    <w:rsid w:val="00621BFB"/>
    <w:rsid w:val="00621C39"/>
    <w:rsid w:val="00621C7B"/>
    <w:rsid w:val="00621C89"/>
    <w:rsid w:val="00621CE6"/>
    <w:rsid w:val="00621D41"/>
    <w:rsid w:val="00621E2C"/>
    <w:rsid w:val="00621E32"/>
    <w:rsid w:val="00621F05"/>
    <w:rsid w:val="006220DE"/>
    <w:rsid w:val="00622156"/>
    <w:rsid w:val="006221AC"/>
    <w:rsid w:val="0062226C"/>
    <w:rsid w:val="006222E8"/>
    <w:rsid w:val="0062233D"/>
    <w:rsid w:val="006223BE"/>
    <w:rsid w:val="0062241F"/>
    <w:rsid w:val="0062242A"/>
    <w:rsid w:val="00622461"/>
    <w:rsid w:val="0062251C"/>
    <w:rsid w:val="0062279E"/>
    <w:rsid w:val="0062285B"/>
    <w:rsid w:val="00622927"/>
    <w:rsid w:val="00622992"/>
    <w:rsid w:val="00622AEA"/>
    <w:rsid w:val="00622B00"/>
    <w:rsid w:val="00622BC9"/>
    <w:rsid w:val="00622C32"/>
    <w:rsid w:val="00622E40"/>
    <w:rsid w:val="00622E6C"/>
    <w:rsid w:val="00622EC9"/>
    <w:rsid w:val="00622FB2"/>
    <w:rsid w:val="0062303E"/>
    <w:rsid w:val="00623098"/>
    <w:rsid w:val="0062322E"/>
    <w:rsid w:val="00623288"/>
    <w:rsid w:val="0062336C"/>
    <w:rsid w:val="0062338E"/>
    <w:rsid w:val="006233A8"/>
    <w:rsid w:val="006233C0"/>
    <w:rsid w:val="006233F7"/>
    <w:rsid w:val="00623453"/>
    <w:rsid w:val="006234AF"/>
    <w:rsid w:val="006234C1"/>
    <w:rsid w:val="00623514"/>
    <w:rsid w:val="0062353A"/>
    <w:rsid w:val="0062356D"/>
    <w:rsid w:val="00623587"/>
    <w:rsid w:val="006235C2"/>
    <w:rsid w:val="006235D5"/>
    <w:rsid w:val="00623695"/>
    <w:rsid w:val="0062369B"/>
    <w:rsid w:val="00623725"/>
    <w:rsid w:val="0062378E"/>
    <w:rsid w:val="006238CE"/>
    <w:rsid w:val="006239C6"/>
    <w:rsid w:val="006239C7"/>
    <w:rsid w:val="00623A52"/>
    <w:rsid w:val="00623B26"/>
    <w:rsid w:val="00623BF3"/>
    <w:rsid w:val="00623C8D"/>
    <w:rsid w:val="00623D02"/>
    <w:rsid w:val="00623D13"/>
    <w:rsid w:val="00623D16"/>
    <w:rsid w:val="00623D89"/>
    <w:rsid w:val="00623DDC"/>
    <w:rsid w:val="00623F6B"/>
    <w:rsid w:val="00624024"/>
    <w:rsid w:val="0062402C"/>
    <w:rsid w:val="00624137"/>
    <w:rsid w:val="0062413D"/>
    <w:rsid w:val="006241B0"/>
    <w:rsid w:val="00624221"/>
    <w:rsid w:val="00624274"/>
    <w:rsid w:val="006243BC"/>
    <w:rsid w:val="00624419"/>
    <w:rsid w:val="00624461"/>
    <w:rsid w:val="0062448C"/>
    <w:rsid w:val="006244C2"/>
    <w:rsid w:val="006244CE"/>
    <w:rsid w:val="006244D4"/>
    <w:rsid w:val="006245CF"/>
    <w:rsid w:val="0062471F"/>
    <w:rsid w:val="00624728"/>
    <w:rsid w:val="0062476A"/>
    <w:rsid w:val="0062485C"/>
    <w:rsid w:val="00624D63"/>
    <w:rsid w:val="00624DCF"/>
    <w:rsid w:val="00624DDC"/>
    <w:rsid w:val="00624E46"/>
    <w:rsid w:val="00624E4E"/>
    <w:rsid w:val="00624E77"/>
    <w:rsid w:val="00624F89"/>
    <w:rsid w:val="006251D5"/>
    <w:rsid w:val="00625244"/>
    <w:rsid w:val="006252EF"/>
    <w:rsid w:val="00625424"/>
    <w:rsid w:val="006254FD"/>
    <w:rsid w:val="00625502"/>
    <w:rsid w:val="00625568"/>
    <w:rsid w:val="0062558D"/>
    <w:rsid w:val="00625662"/>
    <w:rsid w:val="0062568D"/>
    <w:rsid w:val="0062577D"/>
    <w:rsid w:val="00625787"/>
    <w:rsid w:val="0062589B"/>
    <w:rsid w:val="00625998"/>
    <w:rsid w:val="00625A65"/>
    <w:rsid w:val="00625A82"/>
    <w:rsid w:val="00625AC0"/>
    <w:rsid w:val="00625BF5"/>
    <w:rsid w:val="00625C00"/>
    <w:rsid w:val="00625C42"/>
    <w:rsid w:val="00625CDC"/>
    <w:rsid w:val="00625D98"/>
    <w:rsid w:val="00625EA3"/>
    <w:rsid w:val="00625ECA"/>
    <w:rsid w:val="00626020"/>
    <w:rsid w:val="006260B5"/>
    <w:rsid w:val="00626157"/>
    <w:rsid w:val="00626177"/>
    <w:rsid w:val="00626235"/>
    <w:rsid w:val="00626241"/>
    <w:rsid w:val="00626278"/>
    <w:rsid w:val="0062631C"/>
    <w:rsid w:val="00626397"/>
    <w:rsid w:val="006263F1"/>
    <w:rsid w:val="00626481"/>
    <w:rsid w:val="006264E0"/>
    <w:rsid w:val="0062650C"/>
    <w:rsid w:val="0062655C"/>
    <w:rsid w:val="006265C3"/>
    <w:rsid w:val="00626689"/>
    <w:rsid w:val="006267A8"/>
    <w:rsid w:val="006267CD"/>
    <w:rsid w:val="006267FC"/>
    <w:rsid w:val="0062684C"/>
    <w:rsid w:val="00626A26"/>
    <w:rsid w:val="00626A82"/>
    <w:rsid w:val="00626AB2"/>
    <w:rsid w:val="00626AD7"/>
    <w:rsid w:val="00626AE0"/>
    <w:rsid w:val="00626B94"/>
    <w:rsid w:val="00626BA6"/>
    <w:rsid w:val="00626CEE"/>
    <w:rsid w:val="00626E0D"/>
    <w:rsid w:val="00626E3A"/>
    <w:rsid w:val="00626F67"/>
    <w:rsid w:val="00627105"/>
    <w:rsid w:val="006271C1"/>
    <w:rsid w:val="006271E4"/>
    <w:rsid w:val="006273A3"/>
    <w:rsid w:val="006274AC"/>
    <w:rsid w:val="0062759D"/>
    <w:rsid w:val="0062769B"/>
    <w:rsid w:val="00627710"/>
    <w:rsid w:val="0062772A"/>
    <w:rsid w:val="0062774F"/>
    <w:rsid w:val="006277E7"/>
    <w:rsid w:val="00627848"/>
    <w:rsid w:val="006278CD"/>
    <w:rsid w:val="00627AED"/>
    <w:rsid w:val="00627AEE"/>
    <w:rsid w:val="00627B33"/>
    <w:rsid w:val="00627C7B"/>
    <w:rsid w:val="00627CA2"/>
    <w:rsid w:val="00627E42"/>
    <w:rsid w:val="00627F08"/>
    <w:rsid w:val="00630088"/>
    <w:rsid w:val="0063011B"/>
    <w:rsid w:val="0063012B"/>
    <w:rsid w:val="00630160"/>
    <w:rsid w:val="006302B6"/>
    <w:rsid w:val="006302D4"/>
    <w:rsid w:val="0063037D"/>
    <w:rsid w:val="00630409"/>
    <w:rsid w:val="00630437"/>
    <w:rsid w:val="0063048B"/>
    <w:rsid w:val="00630506"/>
    <w:rsid w:val="0063063D"/>
    <w:rsid w:val="00630674"/>
    <w:rsid w:val="00630679"/>
    <w:rsid w:val="0063072B"/>
    <w:rsid w:val="00630738"/>
    <w:rsid w:val="00630797"/>
    <w:rsid w:val="006307CD"/>
    <w:rsid w:val="006307E7"/>
    <w:rsid w:val="00630833"/>
    <w:rsid w:val="0063088D"/>
    <w:rsid w:val="006308A2"/>
    <w:rsid w:val="006308A7"/>
    <w:rsid w:val="00630950"/>
    <w:rsid w:val="006309AC"/>
    <w:rsid w:val="006309E4"/>
    <w:rsid w:val="00630A39"/>
    <w:rsid w:val="00630D2F"/>
    <w:rsid w:val="00630D73"/>
    <w:rsid w:val="00630E09"/>
    <w:rsid w:val="00630E58"/>
    <w:rsid w:val="00630E71"/>
    <w:rsid w:val="00630FA6"/>
    <w:rsid w:val="00630FAA"/>
    <w:rsid w:val="00630FD9"/>
    <w:rsid w:val="0063108E"/>
    <w:rsid w:val="006310AA"/>
    <w:rsid w:val="00631170"/>
    <w:rsid w:val="006311CC"/>
    <w:rsid w:val="006311CE"/>
    <w:rsid w:val="006313CB"/>
    <w:rsid w:val="006313D4"/>
    <w:rsid w:val="006313DB"/>
    <w:rsid w:val="006313E0"/>
    <w:rsid w:val="00631450"/>
    <w:rsid w:val="0063149B"/>
    <w:rsid w:val="0063152C"/>
    <w:rsid w:val="00631709"/>
    <w:rsid w:val="00631725"/>
    <w:rsid w:val="00631817"/>
    <w:rsid w:val="006318B8"/>
    <w:rsid w:val="006319E3"/>
    <w:rsid w:val="00631A1B"/>
    <w:rsid w:val="00631C35"/>
    <w:rsid w:val="00631C86"/>
    <w:rsid w:val="00631E56"/>
    <w:rsid w:val="00631F06"/>
    <w:rsid w:val="00632079"/>
    <w:rsid w:val="006320C5"/>
    <w:rsid w:val="00632111"/>
    <w:rsid w:val="00632153"/>
    <w:rsid w:val="006322A3"/>
    <w:rsid w:val="006322A8"/>
    <w:rsid w:val="00632303"/>
    <w:rsid w:val="00632317"/>
    <w:rsid w:val="0063239B"/>
    <w:rsid w:val="00632452"/>
    <w:rsid w:val="00632556"/>
    <w:rsid w:val="00632592"/>
    <w:rsid w:val="0063271F"/>
    <w:rsid w:val="00632743"/>
    <w:rsid w:val="0063276D"/>
    <w:rsid w:val="00632774"/>
    <w:rsid w:val="006327BE"/>
    <w:rsid w:val="006328F7"/>
    <w:rsid w:val="006329EE"/>
    <w:rsid w:val="006329F1"/>
    <w:rsid w:val="00632AF4"/>
    <w:rsid w:val="00632B20"/>
    <w:rsid w:val="00632C39"/>
    <w:rsid w:val="00632D99"/>
    <w:rsid w:val="00632E2D"/>
    <w:rsid w:val="00632EFC"/>
    <w:rsid w:val="00632F20"/>
    <w:rsid w:val="00633214"/>
    <w:rsid w:val="0063322A"/>
    <w:rsid w:val="006332C6"/>
    <w:rsid w:val="006332F8"/>
    <w:rsid w:val="0063331A"/>
    <w:rsid w:val="00633340"/>
    <w:rsid w:val="006333F7"/>
    <w:rsid w:val="00633533"/>
    <w:rsid w:val="00633598"/>
    <w:rsid w:val="0063360E"/>
    <w:rsid w:val="00633739"/>
    <w:rsid w:val="00633744"/>
    <w:rsid w:val="0063378C"/>
    <w:rsid w:val="00633790"/>
    <w:rsid w:val="006337C2"/>
    <w:rsid w:val="00633827"/>
    <w:rsid w:val="00633869"/>
    <w:rsid w:val="00633886"/>
    <w:rsid w:val="006338B6"/>
    <w:rsid w:val="00633960"/>
    <w:rsid w:val="006339C6"/>
    <w:rsid w:val="006339E0"/>
    <w:rsid w:val="006339EF"/>
    <w:rsid w:val="00633A13"/>
    <w:rsid w:val="00633A60"/>
    <w:rsid w:val="00633ABA"/>
    <w:rsid w:val="00633CDA"/>
    <w:rsid w:val="00633D3B"/>
    <w:rsid w:val="00633DCB"/>
    <w:rsid w:val="00633DEA"/>
    <w:rsid w:val="00633E54"/>
    <w:rsid w:val="00633E58"/>
    <w:rsid w:val="00633EFE"/>
    <w:rsid w:val="00633F34"/>
    <w:rsid w:val="00634008"/>
    <w:rsid w:val="00634088"/>
    <w:rsid w:val="00634094"/>
    <w:rsid w:val="006341A5"/>
    <w:rsid w:val="006341AE"/>
    <w:rsid w:val="0063435C"/>
    <w:rsid w:val="00634399"/>
    <w:rsid w:val="00634479"/>
    <w:rsid w:val="00634521"/>
    <w:rsid w:val="006345C6"/>
    <w:rsid w:val="006345FA"/>
    <w:rsid w:val="00634631"/>
    <w:rsid w:val="0063465F"/>
    <w:rsid w:val="00634675"/>
    <w:rsid w:val="0063472B"/>
    <w:rsid w:val="00634764"/>
    <w:rsid w:val="0063486C"/>
    <w:rsid w:val="006348E5"/>
    <w:rsid w:val="0063496E"/>
    <w:rsid w:val="00634A65"/>
    <w:rsid w:val="00634EE1"/>
    <w:rsid w:val="00634EFA"/>
    <w:rsid w:val="00634F82"/>
    <w:rsid w:val="0063507D"/>
    <w:rsid w:val="0063517E"/>
    <w:rsid w:val="0063520E"/>
    <w:rsid w:val="0063527B"/>
    <w:rsid w:val="006352B8"/>
    <w:rsid w:val="006352F6"/>
    <w:rsid w:val="006353B9"/>
    <w:rsid w:val="00635420"/>
    <w:rsid w:val="0063546A"/>
    <w:rsid w:val="0063551D"/>
    <w:rsid w:val="00635615"/>
    <w:rsid w:val="00635670"/>
    <w:rsid w:val="006356C2"/>
    <w:rsid w:val="00635790"/>
    <w:rsid w:val="006358A8"/>
    <w:rsid w:val="00635904"/>
    <w:rsid w:val="00635950"/>
    <w:rsid w:val="006359D6"/>
    <w:rsid w:val="00635A9D"/>
    <w:rsid w:val="00635AB8"/>
    <w:rsid w:val="00635E08"/>
    <w:rsid w:val="00635EDE"/>
    <w:rsid w:val="00636127"/>
    <w:rsid w:val="006361F7"/>
    <w:rsid w:val="0063624E"/>
    <w:rsid w:val="006362F6"/>
    <w:rsid w:val="00636349"/>
    <w:rsid w:val="0063643D"/>
    <w:rsid w:val="00636443"/>
    <w:rsid w:val="0063648E"/>
    <w:rsid w:val="00636540"/>
    <w:rsid w:val="00636542"/>
    <w:rsid w:val="00636560"/>
    <w:rsid w:val="00636581"/>
    <w:rsid w:val="006365AB"/>
    <w:rsid w:val="006365DB"/>
    <w:rsid w:val="006365F5"/>
    <w:rsid w:val="00636646"/>
    <w:rsid w:val="006366F2"/>
    <w:rsid w:val="0063670D"/>
    <w:rsid w:val="00636784"/>
    <w:rsid w:val="00636878"/>
    <w:rsid w:val="006368CE"/>
    <w:rsid w:val="006369B5"/>
    <w:rsid w:val="006369FA"/>
    <w:rsid w:val="00636B3B"/>
    <w:rsid w:val="00636D4B"/>
    <w:rsid w:val="00636E05"/>
    <w:rsid w:val="00636E1F"/>
    <w:rsid w:val="00636F04"/>
    <w:rsid w:val="00637137"/>
    <w:rsid w:val="0063719D"/>
    <w:rsid w:val="0063721D"/>
    <w:rsid w:val="0063726A"/>
    <w:rsid w:val="0063740B"/>
    <w:rsid w:val="0063749A"/>
    <w:rsid w:val="0063760F"/>
    <w:rsid w:val="0063765C"/>
    <w:rsid w:val="006377C5"/>
    <w:rsid w:val="006377D3"/>
    <w:rsid w:val="00637815"/>
    <w:rsid w:val="00637A41"/>
    <w:rsid w:val="00637ACC"/>
    <w:rsid w:val="00637B90"/>
    <w:rsid w:val="00637BB2"/>
    <w:rsid w:val="00637C5A"/>
    <w:rsid w:val="00637CA9"/>
    <w:rsid w:val="00637CCE"/>
    <w:rsid w:val="00637D75"/>
    <w:rsid w:val="00637D8E"/>
    <w:rsid w:val="00637E03"/>
    <w:rsid w:val="00637EA4"/>
    <w:rsid w:val="00637EC9"/>
    <w:rsid w:val="00637F8F"/>
    <w:rsid w:val="00637FB6"/>
    <w:rsid w:val="00640036"/>
    <w:rsid w:val="006400BB"/>
    <w:rsid w:val="006401BE"/>
    <w:rsid w:val="006401E4"/>
    <w:rsid w:val="006402BE"/>
    <w:rsid w:val="0064030F"/>
    <w:rsid w:val="00640341"/>
    <w:rsid w:val="00640387"/>
    <w:rsid w:val="006404DC"/>
    <w:rsid w:val="006405E0"/>
    <w:rsid w:val="006405E9"/>
    <w:rsid w:val="0064066F"/>
    <w:rsid w:val="0064077C"/>
    <w:rsid w:val="0064088A"/>
    <w:rsid w:val="006408DE"/>
    <w:rsid w:val="00640BFD"/>
    <w:rsid w:val="00640C1F"/>
    <w:rsid w:val="00640DB9"/>
    <w:rsid w:val="00640E43"/>
    <w:rsid w:val="00641092"/>
    <w:rsid w:val="00641130"/>
    <w:rsid w:val="00641147"/>
    <w:rsid w:val="006411A2"/>
    <w:rsid w:val="00641203"/>
    <w:rsid w:val="006412F2"/>
    <w:rsid w:val="00641336"/>
    <w:rsid w:val="0064133F"/>
    <w:rsid w:val="0064135E"/>
    <w:rsid w:val="0064146A"/>
    <w:rsid w:val="006414A1"/>
    <w:rsid w:val="00641563"/>
    <w:rsid w:val="006415E5"/>
    <w:rsid w:val="00641735"/>
    <w:rsid w:val="00641A98"/>
    <w:rsid w:val="00641CD1"/>
    <w:rsid w:val="00641DDB"/>
    <w:rsid w:val="00641E5D"/>
    <w:rsid w:val="00641E7F"/>
    <w:rsid w:val="00641FF9"/>
    <w:rsid w:val="0064202E"/>
    <w:rsid w:val="006420D8"/>
    <w:rsid w:val="0064217D"/>
    <w:rsid w:val="0064218D"/>
    <w:rsid w:val="0064218F"/>
    <w:rsid w:val="00642190"/>
    <w:rsid w:val="00642218"/>
    <w:rsid w:val="00642315"/>
    <w:rsid w:val="0064234C"/>
    <w:rsid w:val="006423D0"/>
    <w:rsid w:val="00642404"/>
    <w:rsid w:val="00642405"/>
    <w:rsid w:val="00642427"/>
    <w:rsid w:val="0064246B"/>
    <w:rsid w:val="006424BE"/>
    <w:rsid w:val="00642636"/>
    <w:rsid w:val="00642662"/>
    <w:rsid w:val="00642682"/>
    <w:rsid w:val="00642684"/>
    <w:rsid w:val="006426D0"/>
    <w:rsid w:val="0064272A"/>
    <w:rsid w:val="0064276C"/>
    <w:rsid w:val="0064289D"/>
    <w:rsid w:val="00642937"/>
    <w:rsid w:val="006429AD"/>
    <w:rsid w:val="00642A8A"/>
    <w:rsid w:val="00642B85"/>
    <w:rsid w:val="00642C23"/>
    <w:rsid w:val="00642D0E"/>
    <w:rsid w:val="00642D63"/>
    <w:rsid w:val="00642E68"/>
    <w:rsid w:val="00642F11"/>
    <w:rsid w:val="0064305E"/>
    <w:rsid w:val="00643065"/>
    <w:rsid w:val="00643086"/>
    <w:rsid w:val="0064308A"/>
    <w:rsid w:val="00643160"/>
    <w:rsid w:val="006431D5"/>
    <w:rsid w:val="006432AD"/>
    <w:rsid w:val="0064332C"/>
    <w:rsid w:val="00643348"/>
    <w:rsid w:val="00643554"/>
    <w:rsid w:val="00643684"/>
    <w:rsid w:val="00643692"/>
    <w:rsid w:val="0064379C"/>
    <w:rsid w:val="00643801"/>
    <w:rsid w:val="00643892"/>
    <w:rsid w:val="00643903"/>
    <w:rsid w:val="00643C28"/>
    <w:rsid w:val="00643CB6"/>
    <w:rsid w:val="00643CD1"/>
    <w:rsid w:val="00643D29"/>
    <w:rsid w:val="00643D85"/>
    <w:rsid w:val="00643DB4"/>
    <w:rsid w:val="00643DC3"/>
    <w:rsid w:val="00643DF2"/>
    <w:rsid w:val="00643E26"/>
    <w:rsid w:val="00643E36"/>
    <w:rsid w:val="00643E59"/>
    <w:rsid w:val="00643EBF"/>
    <w:rsid w:val="00643F39"/>
    <w:rsid w:val="00643F3B"/>
    <w:rsid w:val="006440D3"/>
    <w:rsid w:val="0064411A"/>
    <w:rsid w:val="0064416F"/>
    <w:rsid w:val="00644198"/>
    <w:rsid w:val="006441DC"/>
    <w:rsid w:val="00644247"/>
    <w:rsid w:val="00644388"/>
    <w:rsid w:val="006443D6"/>
    <w:rsid w:val="00644446"/>
    <w:rsid w:val="00644458"/>
    <w:rsid w:val="00644627"/>
    <w:rsid w:val="0064473B"/>
    <w:rsid w:val="0064479E"/>
    <w:rsid w:val="006447AB"/>
    <w:rsid w:val="006447F8"/>
    <w:rsid w:val="006448AA"/>
    <w:rsid w:val="0064490E"/>
    <w:rsid w:val="00644A4D"/>
    <w:rsid w:val="00644B27"/>
    <w:rsid w:val="00644B78"/>
    <w:rsid w:val="00644B83"/>
    <w:rsid w:val="00644D66"/>
    <w:rsid w:val="00644DD7"/>
    <w:rsid w:val="00644DD9"/>
    <w:rsid w:val="00644DFC"/>
    <w:rsid w:val="00644E95"/>
    <w:rsid w:val="00644EC4"/>
    <w:rsid w:val="00644F86"/>
    <w:rsid w:val="00645029"/>
    <w:rsid w:val="0064502E"/>
    <w:rsid w:val="0064507F"/>
    <w:rsid w:val="006450D6"/>
    <w:rsid w:val="006452A3"/>
    <w:rsid w:val="006452A9"/>
    <w:rsid w:val="006453DD"/>
    <w:rsid w:val="00645406"/>
    <w:rsid w:val="006454E0"/>
    <w:rsid w:val="0064556A"/>
    <w:rsid w:val="00645616"/>
    <w:rsid w:val="00645665"/>
    <w:rsid w:val="0064569D"/>
    <w:rsid w:val="00645702"/>
    <w:rsid w:val="00645716"/>
    <w:rsid w:val="00645748"/>
    <w:rsid w:val="006457AA"/>
    <w:rsid w:val="006457D9"/>
    <w:rsid w:val="0064580D"/>
    <w:rsid w:val="0064583A"/>
    <w:rsid w:val="00645856"/>
    <w:rsid w:val="00645933"/>
    <w:rsid w:val="0064594B"/>
    <w:rsid w:val="00645AE4"/>
    <w:rsid w:val="00645B25"/>
    <w:rsid w:val="00645B99"/>
    <w:rsid w:val="00645BA5"/>
    <w:rsid w:val="00645C23"/>
    <w:rsid w:val="00645C42"/>
    <w:rsid w:val="00645C63"/>
    <w:rsid w:val="00645D56"/>
    <w:rsid w:val="00645E62"/>
    <w:rsid w:val="00645F61"/>
    <w:rsid w:val="00645FEA"/>
    <w:rsid w:val="00646058"/>
    <w:rsid w:val="0064611C"/>
    <w:rsid w:val="0064614A"/>
    <w:rsid w:val="006461F5"/>
    <w:rsid w:val="00646265"/>
    <w:rsid w:val="0064638D"/>
    <w:rsid w:val="0064641D"/>
    <w:rsid w:val="006465E4"/>
    <w:rsid w:val="00646618"/>
    <w:rsid w:val="006466B2"/>
    <w:rsid w:val="006466E6"/>
    <w:rsid w:val="00646713"/>
    <w:rsid w:val="00646727"/>
    <w:rsid w:val="00646744"/>
    <w:rsid w:val="00646859"/>
    <w:rsid w:val="00646945"/>
    <w:rsid w:val="006469A9"/>
    <w:rsid w:val="00646BF6"/>
    <w:rsid w:val="00646DA5"/>
    <w:rsid w:val="00646E60"/>
    <w:rsid w:val="00646EC9"/>
    <w:rsid w:val="00646F2B"/>
    <w:rsid w:val="00646F9E"/>
    <w:rsid w:val="00647142"/>
    <w:rsid w:val="0064717E"/>
    <w:rsid w:val="006471A5"/>
    <w:rsid w:val="006471F4"/>
    <w:rsid w:val="006471FE"/>
    <w:rsid w:val="0064734B"/>
    <w:rsid w:val="006474D7"/>
    <w:rsid w:val="00647690"/>
    <w:rsid w:val="00647778"/>
    <w:rsid w:val="0064778D"/>
    <w:rsid w:val="006477D6"/>
    <w:rsid w:val="00647877"/>
    <w:rsid w:val="00647935"/>
    <w:rsid w:val="006479BC"/>
    <w:rsid w:val="006479F5"/>
    <w:rsid w:val="00647A62"/>
    <w:rsid w:val="00647A9D"/>
    <w:rsid w:val="00647B08"/>
    <w:rsid w:val="00647B83"/>
    <w:rsid w:val="00647C0B"/>
    <w:rsid w:val="00647C8A"/>
    <w:rsid w:val="00647CDC"/>
    <w:rsid w:val="00647D63"/>
    <w:rsid w:val="0065004A"/>
    <w:rsid w:val="00650189"/>
    <w:rsid w:val="0065022A"/>
    <w:rsid w:val="006502AC"/>
    <w:rsid w:val="006502B8"/>
    <w:rsid w:val="0065031E"/>
    <w:rsid w:val="006503ED"/>
    <w:rsid w:val="006504B5"/>
    <w:rsid w:val="006505D1"/>
    <w:rsid w:val="006505E4"/>
    <w:rsid w:val="00650780"/>
    <w:rsid w:val="006507D0"/>
    <w:rsid w:val="0065081A"/>
    <w:rsid w:val="00650970"/>
    <w:rsid w:val="00650975"/>
    <w:rsid w:val="00650B0E"/>
    <w:rsid w:val="00650B6C"/>
    <w:rsid w:val="00650BE6"/>
    <w:rsid w:val="00650C3B"/>
    <w:rsid w:val="00650C78"/>
    <w:rsid w:val="00650DCC"/>
    <w:rsid w:val="00650DE9"/>
    <w:rsid w:val="00650E16"/>
    <w:rsid w:val="00650EA2"/>
    <w:rsid w:val="00650F32"/>
    <w:rsid w:val="006511AF"/>
    <w:rsid w:val="006511DA"/>
    <w:rsid w:val="006513E6"/>
    <w:rsid w:val="00651442"/>
    <w:rsid w:val="00651492"/>
    <w:rsid w:val="006514F2"/>
    <w:rsid w:val="00651556"/>
    <w:rsid w:val="0065168E"/>
    <w:rsid w:val="00651801"/>
    <w:rsid w:val="00651828"/>
    <w:rsid w:val="00651835"/>
    <w:rsid w:val="00651918"/>
    <w:rsid w:val="006519A7"/>
    <w:rsid w:val="006519B7"/>
    <w:rsid w:val="00651A3C"/>
    <w:rsid w:val="00651C45"/>
    <w:rsid w:val="00651C49"/>
    <w:rsid w:val="00651CC6"/>
    <w:rsid w:val="00651D84"/>
    <w:rsid w:val="00651F05"/>
    <w:rsid w:val="00651F92"/>
    <w:rsid w:val="00651FCC"/>
    <w:rsid w:val="00652028"/>
    <w:rsid w:val="006521A6"/>
    <w:rsid w:val="006522C8"/>
    <w:rsid w:val="006523B0"/>
    <w:rsid w:val="00652483"/>
    <w:rsid w:val="0065248F"/>
    <w:rsid w:val="006524EC"/>
    <w:rsid w:val="006525EC"/>
    <w:rsid w:val="006525FD"/>
    <w:rsid w:val="00652628"/>
    <w:rsid w:val="00652678"/>
    <w:rsid w:val="0065268F"/>
    <w:rsid w:val="006526AA"/>
    <w:rsid w:val="006526ED"/>
    <w:rsid w:val="00652734"/>
    <w:rsid w:val="006527AA"/>
    <w:rsid w:val="006527B6"/>
    <w:rsid w:val="0065295D"/>
    <w:rsid w:val="006529D8"/>
    <w:rsid w:val="00652A30"/>
    <w:rsid w:val="00652A53"/>
    <w:rsid w:val="00652A57"/>
    <w:rsid w:val="00652A62"/>
    <w:rsid w:val="00652AC4"/>
    <w:rsid w:val="00652B11"/>
    <w:rsid w:val="00652B3B"/>
    <w:rsid w:val="00652B52"/>
    <w:rsid w:val="00652C1B"/>
    <w:rsid w:val="00652CA0"/>
    <w:rsid w:val="00652CF5"/>
    <w:rsid w:val="00652F78"/>
    <w:rsid w:val="0065300F"/>
    <w:rsid w:val="00653069"/>
    <w:rsid w:val="006531DC"/>
    <w:rsid w:val="0065321A"/>
    <w:rsid w:val="006532C4"/>
    <w:rsid w:val="00653370"/>
    <w:rsid w:val="0065337E"/>
    <w:rsid w:val="006533E6"/>
    <w:rsid w:val="006534AC"/>
    <w:rsid w:val="00653559"/>
    <w:rsid w:val="006535EA"/>
    <w:rsid w:val="00653609"/>
    <w:rsid w:val="00653620"/>
    <w:rsid w:val="006537B7"/>
    <w:rsid w:val="0065385E"/>
    <w:rsid w:val="006538B9"/>
    <w:rsid w:val="00653972"/>
    <w:rsid w:val="006539D0"/>
    <w:rsid w:val="006539EF"/>
    <w:rsid w:val="00653A26"/>
    <w:rsid w:val="00653AF3"/>
    <w:rsid w:val="00653B75"/>
    <w:rsid w:val="00653C55"/>
    <w:rsid w:val="00653C87"/>
    <w:rsid w:val="00653CAF"/>
    <w:rsid w:val="00653CB0"/>
    <w:rsid w:val="00653CD7"/>
    <w:rsid w:val="00653E59"/>
    <w:rsid w:val="00653E8B"/>
    <w:rsid w:val="00653EF2"/>
    <w:rsid w:val="006540F6"/>
    <w:rsid w:val="0065413B"/>
    <w:rsid w:val="006541B8"/>
    <w:rsid w:val="0065423F"/>
    <w:rsid w:val="006542C5"/>
    <w:rsid w:val="006542C9"/>
    <w:rsid w:val="00654335"/>
    <w:rsid w:val="00654354"/>
    <w:rsid w:val="006543BB"/>
    <w:rsid w:val="0065452D"/>
    <w:rsid w:val="006545DB"/>
    <w:rsid w:val="0065465E"/>
    <w:rsid w:val="006546DD"/>
    <w:rsid w:val="0065472B"/>
    <w:rsid w:val="00654752"/>
    <w:rsid w:val="00654882"/>
    <w:rsid w:val="006548A0"/>
    <w:rsid w:val="006549B4"/>
    <w:rsid w:val="006549CC"/>
    <w:rsid w:val="00654A55"/>
    <w:rsid w:val="00654AC0"/>
    <w:rsid w:val="00654AFC"/>
    <w:rsid w:val="00654B47"/>
    <w:rsid w:val="00654B48"/>
    <w:rsid w:val="00654B7B"/>
    <w:rsid w:val="00654BE7"/>
    <w:rsid w:val="00654D85"/>
    <w:rsid w:val="00654E2D"/>
    <w:rsid w:val="00654E69"/>
    <w:rsid w:val="0065518C"/>
    <w:rsid w:val="00655197"/>
    <w:rsid w:val="00655211"/>
    <w:rsid w:val="00655229"/>
    <w:rsid w:val="006552DF"/>
    <w:rsid w:val="00655303"/>
    <w:rsid w:val="00655347"/>
    <w:rsid w:val="00655367"/>
    <w:rsid w:val="006555B8"/>
    <w:rsid w:val="006555CD"/>
    <w:rsid w:val="006555EA"/>
    <w:rsid w:val="0065567C"/>
    <w:rsid w:val="0065593B"/>
    <w:rsid w:val="00655942"/>
    <w:rsid w:val="006559AB"/>
    <w:rsid w:val="006559BD"/>
    <w:rsid w:val="00655AA6"/>
    <w:rsid w:val="00655C30"/>
    <w:rsid w:val="00655C37"/>
    <w:rsid w:val="00655CA9"/>
    <w:rsid w:val="00655CE5"/>
    <w:rsid w:val="00655D3F"/>
    <w:rsid w:val="00655D7C"/>
    <w:rsid w:val="00655EBC"/>
    <w:rsid w:val="00655F9E"/>
    <w:rsid w:val="006560C9"/>
    <w:rsid w:val="00656146"/>
    <w:rsid w:val="00656174"/>
    <w:rsid w:val="006561CA"/>
    <w:rsid w:val="0065623B"/>
    <w:rsid w:val="0065625B"/>
    <w:rsid w:val="0065628A"/>
    <w:rsid w:val="00656339"/>
    <w:rsid w:val="00656356"/>
    <w:rsid w:val="00656456"/>
    <w:rsid w:val="00656470"/>
    <w:rsid w:val="0065648D"/>
    <w:rsid w:val="006564D1"/>
    <w:rsid w:val="006564DE"/>
    <w:rsid w:val="00656609"/>
    <w:rsid w:val="00656736"/>
    <w:rsid w:val="00656814"/>
    <w:rsid w:val="006568B4"/>
    <w:rsid w:val="00656938"/>
    <w:rsid w:val="0065697B"/>
    <w:rsid w:val="006569C6"/>
    <w:rsid w:val="00656A7B"/>
    <w:rsid w:val="00656B37"/>
    <w:rsid w:val="00656BD1"/>
    <w:rsid w:val="00656C0B"/>
    <w:rsid w:val="00656D0F"/>
    <w:rsid w:val="00656D52"/>
    <w:rsid w:val="00656D63"/>
    <w:rsid w:val="00656DE0"/>
    <w:rsid w:val="00656FF0"/>
    <w:rsid w:val="00657039"/>
    <w:rsid w:val="0065726B"/>
    <w:rsid w:val="006572DC"/>
    <w:rsid w:val="00657344"/>
    <w:rsid w:val="00657364"/>
    <w:rsid w:val="006573EB"/>
    <w:rsid w:val="00657574"/>
    <w:rsid w:val="006575DE"/>
    <w:rsid w:val="0065762E"/>
    <w:rsid w:val="006576A1"/>
    <w:rsid w:val="00657729"/>
    <w:rsid w:val="00657790"/>
    <w:rsid w:val="006577C5"/>
    <w:rsid w:val="0065792F"/>
    <w:rsid w:val="0065799E"/>
    <w:rsid w:val="006579B1"/>
    <w:rsid w:val="00657A66"/>
    <w:rsid w:val="00657BB5"/>
    <w:rsid w:val="00657D09"/>
    <w:rsid w:val="00657D96"/>
    <w:rsid w:val="00657DA9"/>
    <w:rsid w:val="00657E0C"/>
    <w:rsid w:val="00657E48"/>
    <w:rsid w:val="00657FC9"/>
    <w:rsid w:val="0066000D"/>
    <w:rsid w:val="0066004B"/>
    <w:rsid w:val="006600D2"/>
    <w:rsid w:val="00660451"/>
    <w:rsid w:val="006604CB"/>
    <w:rsid w:val="0066050E"/>
    <w:rsid w:val="0066071C"/>
    <w:rsid w:val="006607B4"/>
    <w:rsid w:val="006607ED"/>
    <w:rsid w:val="006609E0"/>
    <w:rsid w:val="00660A4B"/>
    <w:rsid w:val="00660A6B"/>
    <w:rsid w:val="00660A99"/>
    <w:rsid w:val="00660B6A"/>
    <w:rsid w:val="00660B8C"/>
    <w:rsid w:val="00660CDE"/>
    <w:rsid w:val="00660CF9"/>
    <w:rsid w:val="00660D1E"/>
    <w:rsid w:val="00660DBA"/>
    <w:rsid w:val="00660DCA"/>
    <w:rsid w:val="00660E24"/>
    <w:rsid w:val="00660E8D"/>
    <w:rsid w:val="00660EAD"/>
    <w:rsid w:val="00660F6C"/>
    <w:rsid w:val="00661028"/>
    <w:rsid w:val="0066105A"/>
    <w:rsid w:val="006611B6"/>
    <w:rsid w:val="0066129F"/>
    <w:rsid w:val="00661303"/>
    <w:rsid w:val="0066131E"/>
    <w:rsid w:val="00661435"/>
    <w:rsid w:val="00661453"/>
    <w:rsid w:val="00661576"/>
    <w:rsid w:val="006615BD"/>
    <w:rsid w:val="0066166B"/>
    <w:rsid w:val="00661681"/>
    <w:rsid w:val="006616B9"/>
    <w:rsid w:val="0066170A"/>
    <w:rsid w:val="00661830"/>
    <w:rsid w:val="00661879"/>
    <w:rsid w:val="00661882"/>
    <w:rsid w:val="006618DB"/>
    <w:rsid w:val="006618F4"/>
    <w:rsid w:val="00661A07"/>
    <w:rsid w:val="00661A16"/>
    <w:rsid w:val="00661BAA"/>
    <w:rsid w:val="00661C75"/>
    <w:rsid w:val="00661D8A"/>
    <w:rsid w:val="00661EC7"/>
    <w:rsid w:val="00661F17"/>
    <w:rsid w:val="00661F63"/>
    <w:rsid w:val="006621F0"/>
    <w:rsid w:val="00662461"/>
    <w:rsid w:val="0066257D"/>
    <w:rsid w:val="00662587"/>
    <w:rsid w:val="00662599"/>
    <w:rsid w:val="0066261C"/>
    <w:rsid w:val="00662666"/>
    <w:rsid w:val="00662719"/>
    <w:rsid w:val="00662A96"/>
    <w:rsid w:val="00662B20"/>
    <w:rsid w:val="00662C34"/>
    <w:rsid w:val="00662C7B"/>
    <w:rsid w:val="00662D84"/>
    <w:rsid w:val="00662F5F"/>
    <w:rsid w:val="00662F7C"/>
    <w:rsid w:val="0066303F"/>
    <w:rsid w:val="00663210"/>
    <w:rsid w:val="0066329E"/>
    <w:rsid w:val="0066332E"/>
    <w:rsid w:val="0066333F"/>
    <w:rsid w:val="006633CE"/>
    <w:rsid w:val="006633D6"/>
    <w:rsid w:val="006633EB"/>
    <w:rsid w:val="006634E7"/>
    <w:rsid w:val="006634F3"/>
    <w:rsid w:val="006637F3"/>
    <w:rsid w:val="00663835"/>
    <w:rsid w:val="00663923"/>
    <w:rsid w:val="00663929"/>
    <w:rsid w:val="00663966"/>
    <w:rsid w:val="0066399C"/>
    <w:rsid w:val="00663A89"/>
    <w:rsid w:val="00663B1C"/>
    <w:rsid w:val="00663C53"/>
    <w:rsid w:val="00663C99"/>
    <w:rsid w:val="00663DE5"/>
    <w:rsid w:val="00663F31"/>
    <w:rsid w:val="00663F33"/>
    <w:rsid w:val="00663F48"/>
    <w:rsid w:val="00663F65"/>
    <w:rsid w:val="00663FAE"/>
    <w:rsid w:val="00663FE0"/>
    <w:rsid w:val="006640A1"/>
    <w:rsid w:val="006642CA"/>
    <w:rsid w:val="006643B5"/>
    <w:rsid w:val="006644E8"/>
    <w:rsid w:val="006645B3"/>
    <w:rsid w:val="00664630"/>
    <w:rsid w:val="00664631"/>
    <w:rsid w:val="00664635"/>
    <w:rsid w:val="00664640"/>
    <w:rsid w:val="00664656"/>
    <w:rsid w:val="00664789"/>
    <w:rsid w:val="006647DF"/>
    <w:rsid w:val="006647F4"/>
    <w:rsid w:val="00664866"/>
    <w:rsid w:val="00664877"/>
    <w:rsid w:val="0066489A"/>
    <w:rsid w:val="006648E1"/>
    <w:rsid w:val="0066491A"/>
    <w:rsid w:val="006649C2"/>
    <w:rsid w:val="006649F7"/>
    <w:rsid w:val="00664A1C"/>
    <w:rsid w:val="00664A2C"/>
    <w:rsid w:val="00664A84"/>
    <w:rsid w:val="00664B0B"/>
    <w:rsid w:val="00664B4C"/>
    <w:rsid w:val="00664C5D"/>
    <w:rsid w:val="00664C95"/>
    <w:rsid w:val="00664CB1"/>
    <w:rsid w:val="00664CB7"/>
    <w:rsid w:val="00664E79"/>
    <w:rsid w:val="00664F26"/>
    <w:rsid w:val="00664F7A"/>
    <w:rsid w:val="006650C2"/>
    <w:rsid w:val="006650C3"/>
    <w:rsid w:val="0066512C"/>
    <w:rsid w:val="006654D2"/>
    <w:rsid w:val="0066552D"/>
    <w:rsid w:val="006655A7"/>
    <w:rsid w:val="00665678"/>
    <w:rsid w:val="0066569F"/>
    <w:rsid w:val="0066577A"/>
    <w:rsid w:val="006657B9"/>
    <w:rsid w:val="0066582D"/>
    <w:rsid w:val="00665844"/>
    <w:rsid w:val="006658F6"/>
    <w:rsid w:val="006659C8"/>
    <w:rsid w:val="00665A0F"/>
    <w:rsid w:val="00665AEA"/>
    <w:rsid w:val="00665BA1"/>
    <w:rsid w:val="00665C98"/>
    <w:rsid w:val="00665D68"/>
    <w:rsid w:val="00665DA3"/>
    <w:rsid w:val="00665DD4"/>
    <w:rsid w:val="00665E59"/>
    <w:rsid w:val="00666001"/>
    <w:rsid w:val="0066606A"/>
    <w:rsid w:val="006660AD"/>
    <w:rsid w:val="006660F8"/>
    <w:rsid w:val="0066614D"/>
    <w:rsid w:val="006661EC"/>
    <w:rsid w:val="006661FA"/>
    <w:rsid w:val="006662A0"/>
    <w:rsid w:val="006662C5"/>
    <w:rsid w:val="0066635F"/>
    <w:rsid w:val="0066645B"/>
    <w:rsid w:val="006664D9"/>
    <w:rsid w:val="006665B3"/>
    <w:rsid w:val="0066670B"/>
    <w:rsid w:val="00666756"/>
    <w:rsid w:val="00666AE3"/>
    <w:rsid w:val="00666B1D"/>
    <w:rsid w:val="00666B9A"/>
    <w:rsid w:val="00666C68"/>
    <w:rsid w:val="00666E27"/>
    <w:rsid w:val="00666E66"/>
    <w:rsid w:val="00666EEE"/>
    <w:rsid w:val="00666FB2"/>
    <w:rsid w:val="00667021"/>
    <w:rsid w:val="006670E7"/>
    <w:rsid w:val="00667125"/>
    <w:rsid w:val="006671A4"/>
    <w:rsid w:val="00667229"/>
    <w:rsid w:val="00667264"/>
    <w:rsid w:val="006673FC"/>
    <w:rsid w:val="0066756E"/>
    <w:rsid w:val="006675FD"/>
    <w:rsid w:val="0066787E"/>
    <w:rsid w:val="006678C8"/>
    <w:rsid w:val="006678DC"/>
    <w:rsid w:val="00667912"/>
    <w:rsid w:val="00667932"/>
    <w:rsid w:val="00667942"/>
    <w:rsid w:val="00667B70"/>
    <w:rsid w:val="00667C4A"/>
    <w:rsid w:val="00667ECF"/>
    <w:rsid w:val="00667FE5"/>
    <w:rsid w:val="00670197"/>
    <w:rsid w:val="00670246"/>
    <w:rsid w:val="0067026C"/>
    <w:rsid w:val="006703DD"/>
    <w:rsid w:val="00670406"/>
    <w:rsid w:val="006704B8"/>
    <w:rsid w:val="0067059F"/>
    <w:rsid w:val="006705A5"/>
    <w:rsid w:val="006705CA"/>
    <w:rsid w:val="00670730"/>
    <w:rsid w:val="00670755"/>
    <w:rsid w:val="006707D2"/>
    <w:rsid w:val="0067085D"/>
    <w:rsid w:val="00670965"/>
    <w:rsid w:val="00670A3F"/>
    <w:rsid w:val="00670B09"/>
    <w:rsid w:val="00670B77"/>
    <w:rsid w:val="00670B8F"/>
    <w:rsid w:val="00670CB0"/>
    <w:rsid w:val="00670CF9"/>
    <w:rsid w:val="00670D50"/>
    <w:rsid w:val="00670DF3"/>
    <w:rsid w:val="00670E38"/>
    <w:rsid w:val="00670F89"/>
    <w:rsid w:val="00670FC7"/>
    <w:rsid w:val="00670FD4"/>
    <w:rsid w:val="00670FF8"/>
    <w:rsid w:val="00671140"/>
    <w:rsid w:val="006711CD"/>
    <w:rsid w:val="006711E6"/>
    <w:rsid w:val="006712BD"/>
    <w:rsid w:val="006712FE"/>
    <w:rsid w:val="00671300"/>
    <w:rsid w:val="00671371"/>
    <w:rsid w:val="006713AC"/>
    <w:rsid w:val="006713FD"/>
    <w:rsid w:val="00671453"/>
    <w:rsid w:val="00671495"/>
    <w:rsid w:val="00671810"/>
    <w:rsid w:val="006718B9"/>
    <w:rsid w:val="006718D8"/>
    <w:rsid w:val="006719B3"/>
    <w:rsid w:val="006719E2"/>
    <w:rsid w:val="00671A4A"/>
    <w:rsid w:val="00671A50"/>
    <w:rsid w:val="00671B05"/>
    <w:rsid w:val="00671B08"/>
    <w:rsid w:val="00671B53"/>
    <w:rsid w:val="00671B8D"/>
    <w:rsid w:val="00671CE6"/>
    <w:rsid w:val="00671D08"/>
    <w:rsid w:val="00671D52"/>
    <w:rsid w:val="00671DB2"/>
    <w:rsid w:val="00671E1F"/>
    <w:rsid w:val="00671F61"/>
    <w:rsid w:val="00671FD2"/>
    <w:rsid w:val="00672005"/>
    <w:rsid w:val="006721D6"/>
    <w:rsid w:val="006721F0"/>
    <w:rsid w:val="00672209"/>
    <w:rsid w:val="00672232"/>
    <w:rsid w:val="00672233"/>
    <w:rsid w:val="006723BE"/>
    <w:rsid w:val="006723DB"/>
    <w:rsid w:val="006723EF"/>
    <w:rsid w:val="006724F5"/>
    <w:rsid w:val="006724F6"/>
    <w:rsid w:val="00672519"/>
    <w:rsid w:val="0067263F"/>
    <w:rsid w:val="006726B8"/>
    <w:rsid w:val="006726D4"/>
    <w:rsid w:val="0067273D"/>
    <w:rsid w:val="0067278E"/>
    <w:rsid w:val="0067284E"/>
    <w:rsid w:val="00672873"/>
    <w:rsid w:val="006728E5"/>
    <w:rsid w:val="00672991"/>
    <w:rsid w:val="00672B68"/>
    <w:rsid w:val="00672BD8"/>
    <w:rsid w:val="00672C95"/>
    <w:rsid w:val="00672CAA"/>
    <w:rsid w:val="00672DBF"/>
    <w:rsid w:val="006732C9"/>
    <w:rsid w:val="00673302"/>
    <w:rsid w:val="0067334B"/>
    <w:rsid w:val="006733E0"/>
    <w:rsid w:val="00673538"/>
    <w:rsid w:val="00673571"/>
    <w:rsid w:val="0067369B"/>
    <w:rsid w:val="006736B8"/>
    <w:rsid w:val="0067370E"/>
    <w:rsid w:val="00673722"/>
    <w:rsid w:val="00673755"/>
    <w:rsid w:val="00673942"/>
    <w:rsid w:val="00673945"/>
    <w:rsid w:val="00673948"/>
    <w:rsid w:val="0067397B"/>
    <w:rsid w:val="00673A21"/>
    <w:rsid w:val="00673A91"/>
    <w:rsid w:val="00673B05"/>
    <w:rsid w:val="00673C0A"/>
    <w:rsid w:val="00673D78"/>
    <w:rsid w:val="00673D80"/>
    <w:rsid w:val="00673D8A"/>
    <w:rsid w:val="00673DCF"/>
    <w:rsid w:val="00673DE2"/>
    <w:rsid w:val="00673E46"/>
    <w:rsid w:val="00673E5B"/>
    <w:rsid w:val="00673EC0"/>
    <w:rsid w:val="00674100"/>
    <w:rsid w:val="00674146"/>
    <w:rsid w:val="00674170"/>
    <w:rsid w:val="0067422F"/>
    <w:rsid w:val="0067425E"/>
    <w:rsid w:val="00674275"/>
    <w:rsid w:val="00674313"/>
    <w:rsid w:val="0067448D"/>
    <w:rsid w:val="0067452C"/>
    <w:rsid w:val="006745EF"/>
    <w:rsid w:val="00674784"/>
    <w:rsid w:val="00674842"/>
    <w:rsid w:val="00674849"/>
    <w:rsid w:val="00674906"/>
    <w:rsid w:val="00674944"/>
    <w:rsid w:val="00674A61"/>
    <w:rsid w:val="00674AA6"/>
    <w:rsid w:val="00674B26"/>
    <w:rsid w:val="00674B41"/>
    <w:rsid w:val="00674C4E"/>
    <w:rsid w:val="00674D71"/>
    <w:rsid w:val="00674E20"/>
    <w:rsid w:val="00674E63"/>
    <w:rsid w:val="00674F03"/>
    <w:rsid w:val="00674F40"/>
    <w:rsid w:val="00675028"/>
    <w:rsid w:val="00675073"/>
    <w:rsid w:val="00675081"/>
    <w:rsid w:val="00675132"/>
    <w:rsid w:val="00675203"/>
    <w:rsid w:val="006752A1"/>
    <w:rsid w:val="006752EE"/>
    <w:rsid w:val="00675358"/>
    <w:rsid w:val="006754FC"/>
    <w:rsid w:val="00675599"/>
    <w:rsid w:val="006755E6"/>
    <w:rsid w:val="006755F9"/>
    <w:rsid w:val="0067571D"/>
    <w:rsid w:val="0067591C"/>
    <w:rsid w:val="00675944"/>
    <w:rsid w:val="00675A88"/>
    <w:rsid w:val="00675B0B"/>
    <w:rsid w:val="00675BB7"/>
    <w:rsid w:val="00675C3F"/>
    <w:rsid w:val="00675C81"/>
    <w:rsid w:val="00675CB7"/>
    <w:rsid w:val="00675F3A"/>
    <w:rsid w:val="0067607D"/>
    <w:rsid w:val="006760C3"/>
    <w:rsid w:val="00676129"/>
    <w:rsid w:val="0067619D"/>
    <w:rsid w:val="006761AC"/>
    <w:rsid w:val="0067620A"/>
    <w:rsid w:val="00676241"/>
    <w:rsid w:val="006762AB"/>
    <w:rsid w:val="006763AE"/>
    <w:rsid w:val="0067644C"/>
    <w:rsid w:val="00676551"/>
    <w:rsid w:val="0067657D"/>
    <w:rsid w:val="006765D3"/>
    <w:rsid w:val="006765E1"/>
    <w:rsid w:val="0067665B"/>
    <w:rsid w:val="0067669C"/>
    <w:rsid w:val="0067669D"/>
    <w:rsid w:val="006766F1"/>
    <w:rsid w:val="0067676D"/>
    <w:rsid w:val="0067681E"/>
    <w:rsid w:val="00676905"/>
    <w:rsid w:val="0067693E"/>
    <w:rsid w:val="00676AF0"/>
    <w:rsid w:val="00676DBF"/>
    <w:rsid w:val="00676E6D"/>
    <w:rsid w:val="00676ED6"/>
    <w:rsid w:val="00676FB4"/>
    <w:rsid w:val="0067703C"/>
    <w:rsid w:val="0067714D"/>
    <w:rsid w:val="006771C8"/>
    <w:rsid w:val="006772DE"/>
    <w:rsid w:val="006772E3"/>
    <w:rsid w:val="006772EF"/>
    <w:rsid w:val="00677303"/>
    <w:rsid w:val="0067739A"/>
    <w:rsid w:val="006773D3"/>
    <w:rsid w:val="0067756D"/>
    <w:rsid w:val="00677721"/>
    <w:rsid w:val="006777CF"/>
    <w:rsid w:val="006779B3"/>
    <w:rsid w:val="00677A26"/>
    <w:rsid w:val="00677A46"/>
    <w:rsid w:val="00677AB3"/>
    <w:rsid w:val="00677B91"/>
    <w:rsid w:val="00677C22"/>
    <w:rsid w:val="00677CAD"/>
    <w:rsid w:val="00677D57"/>
    <w:rsid w:val="00677E1E"/>
    <w:rsid w:val="00677E90"/>
    <w:rsid w:val="00677ED6"/>
    <w:rsid w:val="00677F6E"/>
    <w:rsid w:val="00677F79"/>
    <w:rsid w:val="006800B1"/>
    <w:rsid w:val="006800C2"/>
    <w:rsid w:val="0068018F"/>
    <w:rsid w:val="00680238"/>
    <w:rsid w:val="00680269"/>
    <w:rsid w:val="0068027B"/>
    <w:rsid w:val="00680292"/>
    <w:rsid w:val="006802D3"/>
    <w:rsid w:val="006802D4"/>
    <w:rsid w:val="006802EA"/>
    <w:rsid w:val="0068030A"/>
    <w:rsid w:val="00680362"/>
    <w:rsid w:val="0068037A"/>
    <w:rsid w:val="00680414"/>
    <w:rsid w:val="006804B6"/>
    <w:rsid w:val="006804B8"/>
    <w:rsid w:val="006804DB"/>
    <w:rsid w:val="00680575"/>
    <w:rsid w:val="0068067B"/>
    <w:rsid w:val="006806D0"/>
    <w:rsid w:val="00680846"/>
    <w:rsid w:val="00680890"/>
    <w:rsid w:val="006809A2"/>
    <w:rsid w:val="006809B1"/>
    <w:rsid w:val="006809D1"/>
    <w:rsid w:val="00680AD2"/>
    <w:rsid w:val="00680D30"/>
    <w:rsid w:val="00680D63"/>
    <w:rsid w:val="00680E2D"/>
    <w:rsid w:val="00680E53"/>
    <w:rsid w:val="00680E8E"/>
    <w:rsid w:val="00680EF2"/>
    <w:rsid w:val="00680FA6"/>
    <w:rsid w:val="00681001"/>
    <w:rsid w:val="0068103D"/>
    <w:rsid w:val="00681043"/>
    <w:rsid w:val="00681090"/>
    <w:rsid w:val="006810EF"/>
    <w:rsid w:val="00681140"/>
    <w:rsid w:val="0068118F"/>
    <w:rsid w:val="006811FD"/>
    <w:rsid w:val="0068124B"/>
    <w:rsid w:val="006812CA"/>
    <w:rsid w:val="006813C1"/>
    <w:rsid w:val="00681448"/>
    <w:rsid w:val="00681482"/>
    <w:rsid w:val="00681592"/>
    <w:rsid w:val="006815CA"/>
    <w:rsid w:val="0068163B"/>
    <w:rsid w:val="0068164A"/>
    <w:rsid w:val="0068169F"/>
    <w:rsid w:val="006817BF"/>
    <w:rsid w:val="0068188A"/>
    <w:rsid w:val="00681996"/>
    <w:rsid w:val="00681A11"/>
    <w:rsid w:val="00681A33"/>
    <w:rsid w:val="00681AD4"/>
    <w:rsid w:val="00681AEC"/>
    <w:rsid w:val="00681AFA"/>
    <w:rsid w:val="00681B36"/>
    <w:rsid w:val="00681CAC"/>
    <w:rsid w:val="00681CE3"/>
    <w:rsid w:val="00681D61"/>
    <w:rsid w:val="00681DEB"/>
    <w:rsid w:val="006821EC"/>
    <w:rsid w:val="00682299"/>
    <w:rsid w:val="00682446"/>
    <w:rsid w:val="00682566"/>
    <w:rsid w:val="0068260C"/>
    <w:rsid w:val="00682633"/>
    <w:rsid w:val="006826AA"/>
    <w:rsid w:val="006827EA"/>
    <w:rsid w:val="00682832"/>
    <w:rsid w:val="00682960"/>
    <w:rsid w:val="0068299B"/>
    <w:rsid w:val="0068299C"/>
    <w:rsid w:val="006829E6"/>
    <w:rsid w:val="006829E9"/>
    <w:rsid w:val="00682A37"/>
    <w:rsid w:val="00682DFB"/>
    <w:rsid w:val="00682E17"/>
    <w:rsid w:val="00682E42"/>
    <w:rsid w:val="00682E75"/>
    <w:rsid w:val="00682E8C"/>
    <w:rsid w:val="00682E95"/>
    <w:rsid w:val="00682F25"/>
    <w:rsid w:val="00682F3E"/>
    <w:rsid w:val="00682F6C"/>
    <w:rsid w:val="00683026"/>
    <w:rsid w:val="00683160"/>
    <w:rsid w:val="00683173"/>
    <w:rsid w:val="00683205"/>
    <w:rsid w:val="0068325C"/>
    <w:rsid w:val="006832F2"/>
    <w:rsid w:val="00683337"/>
    <w:rsid w:val="0068334B"/>
    <w:rsid w:val="00683403"/>
    <w:rsid w:val="00683462"/>
    <w:rsid w:val="006834D9"/>
    <w:rsid w:val="00683843"/>
    <w:rsid w:val="00683944"/>
    <w:rsid w:val="0068394E"/>
    <w:rsid w:val="00683A87"/>
    <w:rsid w:val="00683B81"/>
    <w:rsid w:val="00683C1F"/>
    <w:rsid w:val="00683C9B"/>
    <w:rsid w:val="00683E52"/>
    <w:rsid w:val="00683FD6"/>
    <w:rsid w:val="00684062"/>
    <w:rsid w:val="006841BA"/>
    <w:rsid w:val="00684218"/>
    <w:rsid w:val="0068428B"/>
    <w:rsid w:val="006844E0"/>
    <w:rsid w:val="006844EB"/>
    <w:rsid w:val="006844F6"/>
    <w:rsid w:val="006845C9"/>
    <w:rsid w:val="0068462F"/>
    <w:rsid w:val="00684651"/>
    <w:rsid w:val="00684728"/>
    <w:rsid w:val="006848D1"/>
    <w:rsid w:val="006848D8"/>
    <w:rsid w:val="006848FA"/>
    <w:rsid w:val="00684A0E"/>
    <w:rsid w:val="00684ACF"/>
    <w:rsid w:val="00684C15"/>
    <w:rsid w:val="00684C33"/>
    <w:rsid w:val="00684C6F"/>
    <w:rsid w:val="00684E11"/>
    <w:rsid w:val="00684E7C"/>
    <w:rsid w:val="00684E9D"/>
    <w:rsid w:val="00684FDA"/>
    <w:rsid w:val="00685015"/>
    <w:rsid w:val="0068504C"/>
    <w:rsid w:val="0068523E"/>
    <w:rsid w:val="006853BA"/>
    <w:rsid w:val="00685455"/>
    <w:rsid w:val="006854C8"/>
    <w:rsid w:val="006854EF"/>
    <w:rsid w:val="00685586"/>
    <w:rsid w:val="00685608"/>
    <w:rsid w:val="00685659"/>
    <w:rsid w:val="00685667"/>
    <w:rsid w:val="006856AF"/>
    <w:rsid w:val="00685764"/>
    <w:rsid w:val="0068578D"/>
    <w:rsid w:val="006858BD"/>
    <w:rsid w:val="00685962"/>
    <w:rsid w:val="00685970"/>
    <w:rsid w:val="00685DB7"/>
    <w:rsid w:val="00685E12"/>
    <w:rsid w:val="00685E71"/>
    <w:rsid w:val="00685EAE"/>
    <w:rsid w:val="00685F1A"/>
    <w:rsid w:val="00685F99"/>
    <w:rsid w:val="006860C8"/>
    <w:rsid w:val="006860C9"/>
    <w:rsid w:val="0068613D"/>
    <w:rsid w:val="0068621E"/>
    <w:rsid w:val="00686275"/>
    <w:rsid w:val="006862FA"/>
    <w:rsid w:val="006862FC"/>
    <w:rsid w:val="0068630D"/>
    <w:rsid w:val="00686312"/>
    <w:rsid w:val="00686344"/>
    <w:rsid w:val="0068635B"/>
    <w:rsid w:val="00686537"/>
    <w:rsid w:val="006865DA"/>
    <w:rsid w:val="00686625"/>
    <w:rsid w:val="00686864"/>
    <w:rsid w:val="006868CE"/>
    <w:rsid w:val="006869CF"/>
    <w:rsid w:val="00686A3C"/>
    <w:rsid w:val="00686A87"/>
    <w:rsid w:val="00686AD4"/>
    <w:rsid w:val="00686C82"/>
    <w:rsid w:val="00686CB6"/>
    <w:rsid w:val="00686CE1"/>
    <w:rsid w:val="00686D02"/>
    <w:rsid w:val="00686DE9"/>
    <w:rsid w:val="00686E1E"/>
    <w:rsid w:val="00686E4F"/>
    <w:rsid w:val="00686EFD"/>
    <w:rsid w:val="00686F76"/>
    <w:rsid w:val="00686FC5"/>
    <w:rsid w:val="006870B1"/>
    <w:rsid w:val="0068711E"/>
    <w:rsid w:val="006872AD"/>
    <w:rsid w:val="0068732C"/>
    <w:rsid w:val="00687437"/>
    <w:rsid w:val="0068746B"/>
    <w:rsid w:val="006874F1"/>
    <w:rsid w:val="0068759D"/>
    <w:rsid w:val="00687630"/>
    <w:rsid w:val="006876B2"/>
    <w:rsid w:val="00687775"/>
    <w:rsid w:val="0068785C"/>
    <w:rsid w:val="00687860"/>
    <w:rsid w:val="00687886"/>
    <w:rsid w:val="006878DE"/>
    <w:rsid w:val="00687934"/>
    <w:rsid w:val="00687949"/>
    <w:rsid w:val="006879FF"/>
    <w:rsid w:val="00687B54"/>
    <w:rsid w:val="00687B5C"/>
    <w:rsid w:val="00687BE2"/>
    <w:rsid w:val="00687C2E"/>
    <w:rsid w:val="00687D28"/>
    <w:rsid w:val="00687E71"/>
    <w:rsid w:val="00687E80"/>
    <w:rsid w:val="00687F03"/>
    <w:rsid w:val="00690074"/>
    <w:rsid w:val="006900EB"/>
    <w:rsid w:val="0069013D"/>
    <w:rsid w:val="00690445"/>
    <w:rsid w:val="00690457"/>
    <w:rsid w:val="006904B7"/>
    <w:rsid w:val="00690588"/>
    <w:rsid w:val="006906C0"/>
    <w:rsid w:val="006907A6"/>
    <w:rsid w:val="006907E3"/>
    <w:rsid w:val="00690910"/>
    <w:rsid w:val="0069098D"/>
    <w:rsid w:val="00690AB5"/>
    <w:rsid w:val="00690AC8"/>
    <w:rsid w:val="00690B9A"/>
    <w:rsid w:val="00690BA5"/>
    <w:rsid w:val="00690BB4"/>
    <w:rsid w:val="00690D4F"/>
    <w:rsid w:val="00690E44"/>
    <w:rsid w:val="00690E6A"/>
    <w:rsid w:val="00690EC5"/>
    <w:rsid w:val="0069101A"/>
    <w:rsid w:val="0069104B"/>
    <w:rsid w:val="00691082"/>
    <w:rsid w:val="00691085"/>
    <w:rsid w:val="00691143"/>
    <w:rsid w:val="006911DA"/>
    <w:rsid w:val="006911E5"/>
    <w:rsid w:val="00691274"/>
    <w:rsid w:val="0069127B"/>
    <w:rsid w:val="00691366"/>
    <w:rsid w:val="00691386"/>
    <w:rsid w:val="006913DE"/>
    <w:rsid w:val="0069144A"/>
    <w:rsid w:val="00691473"/>
    <w:rsid w:val="0069149E"/>
    <w:rsid w:val="0069156A"/>
    <w:rsid w:val="00691684"/>
    <w:rsid w:val="006916F1"/>
    <w:rsid w:val="00691745"/>
    <w:rsid w:val="006917B3"/>
    <w:rsid w:val="0069187A"/>
    <w:rsid w:val="00691A53"/>
    <w:rsid w:val="00691A7B"/>
    <w:rsid w:val="00691A97"/>
    <w:rsid w:val="00691AA9"/>
    <w:rsid w:val="00691C33"/>
    <w:rsid w:val="00691C70"/>
    <w:rsid w:val="00691CC3"/>
    <w:rsid w:val="00691CC5"/>
    <w:rsid w:val="00691D10"/>
    <w:rsid w:val="00691D27"/>
    <w:rsid w:val="00691E20"/>
    <w:rsid w:val="00691E36"/>
    <w:rsid w:val="00691E5A"/>
    <w:rsid w:val="00691FF8"/>
    <w:rsid w:val="0069202D"/>
    <w:rsid w:val="006920C6"/>
    <w:rsid w:val="00692276"/>
    <w:rsid w:val="00692325"/>
    <w:rsid w:val="00692362"/>
    <w:rsid w:val="00692365"/>
    <w:rsid w:val="0069247B"/>
    <w:rsid w:val="006924EF"/>
    <w:rsid w:val="0069259A"/>
    <w:rsid w:val="0069264E"/>
    <w:rsid w:val="006926A1"/>
    <w:rsid w:val="006926F8"/>
    <w:rsid w:val="006928FC"/>
    <w:rsid w:val="00692954"/>
    <w:rsid w:val="006929D5"/>
    <w:rsid w:val="00692A5F"/>
    <w:rsid w:val="00692ACF"/>
    <w:rsid w:val="00692B09"/>
    <w:rsid w:val="00692B82"/>
    <w:rsid w:val="00692BD6"/>
    <w:rsid w:val="00692CE6"/>
    <w:rsid w:val="00692DA9"/>
    <w:rsid w:val="00692E02"/>
    <w:rsid w:val="00692E51"/>
    <w:rsid w:val="00692E7B"/>
    <w:rsid w:val="00692EC1"/>
    <w:rsid w:val="00692F90"/>
    <w:rsid w:val="00692F93"/>
    <w:rsid w:val="0069328F"/>
    <w:rsid w:val="006932F8"/>
    <w:rsid w:val="00693379"/>
    <w:rsid w:val="006933A4"/>
    <w:rsid w:val="00693502"/>
    <w:rsid w:val="00693701"/>
    <w:rsid w:val="0069377A"/>
    <w:rsid w:val="006937C0"/>
    <w:rsid w:val="0069384E"/>
    <w:rsid w:val="006938A6"/>
    <w:rsid w:val="006938FB"/>
    <w:rsid w:val="006938FE"/>
    <w:rsid w:val="00693900"/>
    <w:rsid w:val="00693962"/>
    <w:rsid w:val="00693977"/>
    <w:rsid w:val="00693990"/>
    <w:rsid w:val="006939DA"/>
    <w:rsid w:val="006939ED"/>
    <w:rsid w:val="006939F0"/>
    <w:rsid w:val="00693A92"/>
    <w:rsid w:val="00693AB5"/>
    <w:rsid w:val="00693BBA"/>
    <w:rsid w:val="00693D49"/>
    <w:rsid w:val="00693D64"/>
    <w:rsid w:val="00693E08"/>
    <w:rsid w:val="00693E6E"/>
    <w:rsid w:val="00693E84"/>
    <w:rsid w:val="00693EA6"/>
    <w:rsid w:val="00693F8B"/>
    <w:rsid w:val="00693FF3"/>
    <w:rsid w:val="0069403D"/>
    <w:rsid w:val="00694050"/>
    <w:rsid w:val="00694137"/>
    <w:rsid w:val="00694149"/>
    <w:rsid w:val="006941E0"/>
    <w:rsid w:val="006942A3"/>
    <w:rsid w:val="006942F4"/>
    <w:rsid w:val="00694335"/>
    <w:rsid w:val="00694362"/>
    <w:rsid w:val="00694476"/>
    <w:rsid w:val="0069449C"/>
    <w:rsid w:val="006944A0"/>
    <w:rsid w:val="006944BA"/>
    <w:rsid w:val="006944E3"/>
    <w:rsid w:val="006944F2"/>
    <w:rsid w:val="00694530"/>
    <w:rsid w:val="0069455F"/>
    <w:rsid w:val="00694576"/>
    <w:rsid w:val="006946C0"/>
    <w:rsid w:val="0069470C"/>
    <w:rsid w:val="0069482B"/>
    <w:rsid w:val="00694843"/>
    <w:rsid w:val="00694854"/>
    <w:rsid w:val="00694877"/>
    <w:rsid w:val="00694A89"/>
    <w:rsid w:val="00694A9E"/>
    <w:rsid w:val="00694AEF"/>
    <w:rsid w:val="00694B12"/>
    <w:rsid w:val="00694B3B"/>
    <w:rsid w:val="00694DAC"/>
    <w:rsid w:val="00694DF1"/>
    <w:rsid w:val="00694EA8"/>
    <w:rsid w:val="00694F76"/>
    <w:rsid w:val="00695051"/>
    <w:rsid w:val="0069550C"/>
    <w:rsid w:val="006955C8"/>
    <w:rsid w:val="00695648"/>
    <w:rsid w:val="00695690"/>
    <w:rsid w:val="006956AE"/>
    <w:rsid w:val="00695716"/>
    <w:rsid w:val="00695724"/>
    <w:rsid w:val="006957A3"/>
    <w:rsid w:val="006957C8"/>
    <w:rsid w:val="00695AE5"/>
    <w:rsid w:val="00695B01"/>
    <w:rsid w:val="00695C67"/>
    <w:rsid w:val="00695E87"/>
    <w:rsid w:val="00695FC1"/>
    <w:rsid w:val="00695FDB"/>
    <w:rsid w:val="0069601C"/>
    <w:rsid w:val="00696345"/>
    <w:rsid w:val="0069637D"/>
    <w:rsid w:val="006963AC"/>
    <w:rsid w:val="006963DF"/>
    <w:rsid w:val="00696490"/>
    <w:rsid w:val="006964D5"/>
    <w:rsid w:val="006965AF"/>
    <w:rsid w:val="006965E8"/>
    <w:rsid w:val="00696692"/>
    <w:rsid w:val="00696861"/>
    <w:rsid w:val="006968C8"/>
    <w:rsid w:val="00696902"/>
    <w:rsid w:val="00696960"/>
    <w:rsid w:val="00696AE9"/>
    <w:rsid w:val="00696CAD"/>
    <w:rsid w:val="00696CC4"/>
    <w:rsid w:val="00696CF1"/>
    <w:rsid w:val="00696D8D"/>
    <w:rsid w:val="00696E95"/>
    <w:rsid w:val="00696ED4"/>
    <w:rsid w:val="00696F00"/>
    <w:rsid w:val="00696FA3"/>
    <w:rsid w:val="00696FA7"/>
    <w:rsid w:val="00697136"/>
    <w:rsid w:val="0069713F"/>
    <w:rsid w:val="0069715B"/>
    <w:rsid w:val="0069716D"/>
    <w:rsid w:val="00697178"/>
    <w:rsid w:val="0069718B"/>
    <w:rsid w:val="006971C4"/>
    <w:rsid w:val="00697302"/>
    <w:rsid w:val="00697375"/>
    <w:rsid w:val="0069753C"/>
    <w:rsid w:val="006975D3"/>
    <w:rsid w:val="0069771B"/>
    <w:rsid w:val="00697839"/>
    <w:rsid w:val="00697855"/>
    <w:rsid w:val="006979C2"/>
    <w:rsid w:val="00697A0E"/>
    <w:rsid w:val="00697AA3"/>
    <w:rsid w:val="00697AD0"/>
    <w:rsid w:val="00697B47"/>
    <w:rsid w:val="00697CCC"/>
    <w:rsid w:val="00697F92"/>
    <w:rsid w:val="00697FA3"/>
    <w:rsid w:val="006A013F"/>
    <w:rsid w:val="006A01B8"/>
    <w:rsid w:val="006A01F5"/>
    <w:rsid w:val="006A0215"/>
    <w:rsid w:val="006A0392"/>
    <w:rsid w:val="006A043C"/>
    <w:rsid w:val="006A0691"/>
    <w:rsid w:val="006A069A"/>
    <w:rsid w:val="006A072F"/>
    <w:rsid w:val="006A0817"/>
    <w:rsid w:val="006A0819"/>
    <w:rsid w:val="006A0831"/>
    <w:rsid w:val="006A0852"/>
    <w:rsid w:val="006A0880"/>
    <w:rsid w:val="006A0896"/>
    <w:rsid w:val="006A08C5"/>
    <w:rsid w:val="006A09CA"/>
    <w:rsid w:val="006A0A28"/>
    <w:rsid w:val="006A0AD7"/>
    <w:rsid w:val="006A0AF4"/>
    <w:rsid w:val="006A0B80"/>
    <w:rsid w:val="006A0B83"/>
    <w:rsid w:val="006A0C0E"/>
    <w:rsid w:val="006A0C68"/>
    <w:rsid w:val="006A0E0D"/>
    <w:rsid w:val="006A0E8F"/>
    <w:rsid w:val="006A0F1F"/>
    <w:rsid w:val="006A107E"/>
    <w:rsid w:val="006A1185"/>
    <w:rsid w:val="006A1291"/>
    <w:rsid w:val="006A135C"/>
    <w:rsid w:val="006A138A"/>
    <w:rsid w:val="006A146F"/>
    <w:rsid w:val="006A14C2"/>
    <w:rsid w:val="006A14E3"/>
    <w:rsid w:val="006A157D"/>
    <w:rsid w:val="006A18A0"/>
    <w:rsid w:val="006A18BD"/>
    <w:rsid w:val="006A1904"/>
    <w:rsid w:val="006A1970"/>
    <w:rsid w:val="006A19EC"/>
    <w:rsid w:val="006A1AB3"/>
    <w:rsid w:val="006A1C13"/>
    <w:rsid w:val="006A1D68"/>
    <w:rsid w:val="006A1DFC"/>
    <w:rsid w:val="006A1F60"/>
    <w:rsid w:val="006A200D"/>
    <w:rsid w:val="006A2060"/>
    <w:rsid w:val="006A20A8"/>
    <w:rsid w:val="006A20F1"/>
    <w:rsid w:val="006A20F5"/>
    <w:rsid w:val="006A213D"/>
    <w:rsid w:val="006A214C"/>
    <w:rsid w:val="006A22EA"/>
    <w:rsid w:val="006A24FD"/>
    <w:rsid w:val="006A2650"/>
    <w:rsid w:val="006A2666"/>
    <w:rsid w:val="006A278E"/>
    <w:rsid w:val="006A2865"/>
    <w:rsid w:val="006A2894"/>
    <w:rsid w:val="006A295E"/>
    <w:rsid w:val="006A2A35"/>
    <w:rsid w:val="006A2A68"/>
    <w:rsid w:val="006A2B13"/>
    <w:rsid w:val="006A2B40"/>
    <w:rsid w:val="006A2B9E"/>
    <w:rsid w:val="006A2BFC"/>
    <w:rsid w:val="006A2C56"/>
    <w:rsid w:val="006A2CFF"/>
    <w:rsid w:val="006A2D20"/>
    <w:rsid w:val="006A2D3A"/>
    <w:rsid w:val="006A2D47"/>
    <w:rsid w:val="006A2DC2"/>
    <w:rsid w:val="006A2E0C"/>
    <w:rsid w:val="006A2F1E"/>
    <w:rsid w:val="006A2F44"/>
    <w:rsid w:val="006A3025"/>
    <w:rsid w:val="006A3054"/>
    <w:rsid w:val="006A3243"/>
    <w:rsid w:val="006A32D3"/>
    <w:rsid w:val="006A3317"/>
    <w:rsid w:val="006A3367"/>
    <w:rsid w:val="006A34E8"/>
    <w:rsid w:val="006A353E"/>
    <w:rsid w:val="006A3729"/>
    <w:rsid w:val="006A372F"/>
    <w:rsid w:val="006A37BC"/>
    <w:rsid w:val="006A38A3"/>
    <w:rsid w:val="006A39EF"/>
    <w:rsid w:val="006A3A40"/>
    <w:rsid w:val="006A3B63"/>
    <w:rsid w:val="006A3B71"/>
    <w:rsid w:val="006A3C5B"/>
    <w:rsid w:val="006A3D50"/>
    <w:rsid w:val="006A3DBC"/>
    <w:rsid w:val="006A3E63"/>
    <w:rsid w:val="006A3EB5"/>
    <w:rsid w:val="006A3EE1"/>
    <w:rsid w:val="006A3F4B"/>
    <w:rsid w:val="006A3F6F"/>
    <w:rsid w:val="006A3F99"/>
    <w:rsid w:val="006A3FBE"/>
    <w:rsid w:val="006A417E"/>
    <w:rsid w:val="006A41B0"/>
    <w:rsid w:val="006A42F1"/>
    <w:rsid w:val="006A42F2"/>
    <w:rsid w:val="006A42FE"/>
    <w:rsid w:val="006A439B"/>
    <w:rsid w:val="006A446A"/>
    <w:rsid w:val="006A44C8"/>
    <w:rsid w:val="006A450C"/>
    <w:rsid w:val="006A45E3"/>
    <w:rsid w:val="006A4747"/>
    <w:rsid w:val="006A47F7"/>
    <w:rsid w:val="006A4845"/>
    <w:rsid w:val="006A48CE"/>
    <w:rsid w:val="006A48E6"/>
    <w:rsid w:val="006A4998"/>
    <w:rsid w:val="006A49D4"/>
    <w:rsid w:val="006A4A73"/>
    <w:rsid w:val="006A4AEB"/>
    <w:rsid w:val="006A4C8C"/>
    <w:rsid w:val="006A4CDB"/>
    <w:rsid w:val="006A4D4B"/>
    <w:rsid w:val="006A4E13"/>
    <w:rsid w:val="006A4E8A"/>
    <w:rsid w:val="006A4EB9"/>
    <w:rsid w:val="006A4F00"/>
    <w:rsid w:val="006A4F4D"/>
    <w:rsid w:val="006A4F62"/>
    <w:rsid w:val="006A4F6B"/>
    <w:rsid w:val="006A4F82"/>
    <w:rsid w:val="006A4FFE"/>
    <w:rsid w:val="006A50A1"/>
    <w:rsid w:val="006A51FD"/>
    <w:rsid w:val="006A5418"/>
    <w:rsid w:val="006A5426"/>
    <w:rsid w:val="006A5453"/>
    <w:rsid w:val="006A54C7"/>
    <w:rsid w:val="006A54CE"/>
    <w:rsid w:val="006A54D1"/>
    <w:rsid w:val="006A54D4"/>
    <w:rsid w:val="006A5613"/>
    <w:rsid w:val="006A56B5"/>
    <w:rsid w:val="006A5741"/>
    <w:rsid w:val="006A575B"/>
    <w:rsid w:val="006A5889"/>
    <w:rsid w:val="006A588D"/>
    <w:rsid w:val="006A591E"/>
    <w:rsid w:val="006A59A0"/>
    <w:rsid w:val="006A59EE"/>
    <w:rsid w:val="006A5A08"/>
    <w:rsid w:val="006A5A1F"/>
    <w:rsid w:val="006A5A6A"/>
    <w:rsid w:val="006A5AAC"/>
    <w:rsid w:val="006A5AEA"/>
    <w:rsid w:val="006A5B32"/>
    <w:rsid w:val="006A5C2B"/>
    <w:rsid w:val="006A5CDD"/>
    <w:rsid w:val="006A5D57"/>
    <w:rsid w:val="006A5DA1"/>
    <w:rsid w:val="006A5E00"/>
    <w:rsid w:val="006A5EE3"/>
    <w:rsid w:val="006A60BE"/>
    <w:rsid w:val="006A6185"/>
    <w:rsid w:val="006A61BA"/>
    <w:rsid w:val="006A6223"/>
    <w:rsid w:val="006A62E7"/>
    <w:rsid w:val="006A62E8"/>
    <w:rsid w:val="006A6376"/>
    <w:rsid w:val="006A6461"/>
    <w:rsid w:val="006A64B5"/>
    <w:rsid w:val="006A6509"/>
    <w:rsid w:val="006A663F"/>
    <w:rsid w:val="006A665F"/>
    <w:rsid w:val="006A6726"/>
    <w:rsid w:val="006A6770"/>
    <w:rsid w:val="006A67F9"/>
    <w:rsid w:val="006A682F"/>
    <w:rsid w:val="006A6890"/>
    <w:rsid w:val="006A69C0"/>
    <w:rsid w:val="006A69FB"/>
    <w:rsid w:val="006A6A6F"/>
    <w:rsid w:val="006A6C38"/>
    <w:rsid w:val="006A6E7A"/>
    <w:rsid w:val="006A6E7D"/>
    <w:rsid w:val="006A6F1A"/>
    <w:rsid w:val="006A6F43"/>
    <w:rsid w:val="006A7141"/>
    <w:rsid w:val="006A7172"/>
    <w:rsid w:val="006A71FC"/>
    <w:rsid w:val="006A72CF"/>
    <w:rsid w:val="006A733E"/>
    <w:rsid w:val="006A7381"/>
    <w:rsid w:val="006A7594"/>
    <w:rsid w:val="006A75FA"/>
    <w:rsid w:val="006A775C"/>
    <w:rsid w:val="006A78A9"/>
    <w:rsid w:val="006A78AE"/>
    <w:rsid w:val="006A795E"/>
    <w:rsid w:val="006A798A"/>
    <w:rsid w:val="006A79F7"/>
    <w:rsid w:val="006A7A0E"/>
    <w:rsid w:val="006A7A64"/>
    <w:rsid w:val="006A7AD0"/>
    <w:rsid w:val="006A7B40"/>
    <w:rsid w:val="006A7B98"/>
    <w:rsid w:val="006A7D5A"/>
    <w:rsid w:val="006A7E95"/>
    <w:rsid w:val="006A7EA7"/>
    <w:rsid w:val="006A7EC4"/>
    <w:rsid w:val="006A7EF3"/>
    <w:rsid w:val="006B0035"/>
    <w:rsid w:val="006B0175"/>
    <w:rsid w:val="006B01AE"/>
    <w:rsid w:val="006B042F"/>
    <w:rsid w:val="006B045C"/>
    <w:rsid w:val="006B0462"/>
    <w:rsid w:val="006B04B1"/>
    <w:rsid w:val="006B05D4"/>
    <w:rsid w:val="006B0631"/>
    <w:rsid w:val="006B087E"/>
    <w:rsid w:val="006B0880"/>
    <w:rsid w:val="006B094C"/>
    <w:rsid w:val="006B0989"/>
    <w:rsid w:val="006B0B35"/>
    <w:rsid w:val="006B0BF6"/>
    <w:rsid w:val="006B0C1C"/>
    <w:rsid w:val="006B0DE6"/>
    <w:rsid w:val="006B0DED"/>
    <w:rsid w:val="006B0DFF"/>
    <w:rsid w:val="006B0E5F"/>
    <w:rsid w:val="006B0E61"/>
    <w:rsid w:val="006B0EF6"/>
    <w:rsid w:val="006B0F83"/>
    <w:rsid w:val="006B1141"/>
    <w:rsid w:val="006B1163"/>
    <w:rsid w:val="006B11D4"/>
    <w:rsid w:val="006B12D7"/>
    <w:rsid w:val="006B1367"/>
    <w:rsid w:val="006B1470"/>
    <w:rsid w:val="006B1525"/>
    <w:rsid w:val="006B1603"/>
    <w:rsid w:val="006B1635"/>
    <w:rsid w:val="006B16A6"/>
    <w:rsid w:val="006B173A"/>
    <w:rsid w:val="006B1848"/>
    <w:rsid w:val="006B188C"/>
    <w:rsid w:val="006B18AB"/>
    <w:rsid w:val="006B19BF"/>
    <w:rsid w:val="006B19F3"/>
    <w:rsid w:val="006B1A0E"/>
    <w:rsid w:val="006B1B40"/>
    <w:rsid w:val="006B1B8D"/>
    <w:rsid w:val="006B1BC8"/>
    <w:rsid w:val="006B1BD6"/>
    <w:rsid w:val="006B1BF1"/>
    <w:rsid w:val="006B1C4B"/>
    <w:rsid w:val="006B1C72"/>
    <w:rsid w:val="006B1D3C"/>
    <w:rsid w:val="006B1D52"/>
    <w:rsid w:val="006B1E2D"/>
    <w:rsid w:val="006B1E56"/>
    <w:rsid w:val="006B20DF"/>
    <w:rsid w:val="006B2198"/>
    <w:rsid w:val="006B21A9"/>
    <w:rsid w:val="006B221A"/>
    <w:rsid w:val="006B2226"/>
    <w:rsid w:val="006B222B"/>
    <w:rsid w:val="006B224B"/>
    <w:rsid w:val="006B228F"/>
    <w:rsid w:val="006B22A9"/>
    <w:rsid w:val="006B22ED"/>
    <w:rsid w:val="006B232A"/>
    <w:rsid w:val="006B256C"/>
    <w:rsid w:val="006B2651"/>
    <w:rsid w:val="006B269A"/>
    <w:rsid w:val="006B26A8"/>
    <w:rsid w:val="006B279F"/>
    <w:rsid w:val="006B27AD"/>
    <w:rsid w:val="006B281F"/>
    <w:rsid w:val="006B283D"/>
    <w:rsid w:val="006B284B"/>
    <w:rsid w:val="006B28B5"/>
    <w:rsid w:val="006B2955"/>
    <w:rsid w:val="006B296C"/>
    <w:rsid w:val="006B2999"/>
    <w:rsid w:val="006B299F"/>
    <w:rsid w:val="006B2A0F"/>
    <w:rsid w:val="006B2AA1"/>
    <w:rsid w:val="006B2CB6"/>
    <w:rsid w:val="006B2CF5"/>
    <w:rsid w:val="006B2D2F"/>
    <w:rsid w:val="006B2D31"/>
    <w:rsid w:val="006B2DFE"/>
    <w:rsid w:val="006B2E52"/>
    <w:rsid w:val="006B3055"/>
    <w:rsid w:val="006B31F7"/>
    <w:rsid w:val="006B325C"/>
    <w:rsid w:val="006B339B"/>
    <w:rsid w:val="006B33F0"/>
    <w:rsid w:val="006B3490"/>
    <w:rsid w:val="006B3652"/>
    <w:rsid w:val="006B3683"/>
    <w:rsid w:val="006B386A"/>
    <w:rsid w:val="006B3903"/>
    <w:rsid w:val="006B399C"/>
    <w:rsid w:val="006B3A66"/>
    <w:rsid w:val="006B3AEC"/>
    <w:rsid w:val="006B3B40"/>
    <w:rsid w:val="006B3C0E"/>
    <w:rsid w:val="006B3C64"/>
    <w:rsid w:val="006B3D83"/>
    <w:rsid w:val="006B3EA8"/>
    <w:rsid w:val="006B3ED2"/>
    <w:rsid w:val="006B3EE1"/>
    <w:rsid w:val="006B3F5E"/>
    <w:rsid w:val="006B3FAB"/>
    <w:rsid w:val="006B4039"/>
    <w:rsid w:val="006B4046"/>
    <w:rsid w:val="006B40ED"/>
    <w:rsid w:val="006B417C"/>
    <w:rsid w:val="006B4193"/>
    <w:rsid w:val="006B422B"/>
    <w:rsid w:val="006B429A"/>
    <w:rsid w:val="006B42D3"/>
    <w:rsid w:val="006B439A"/>
    <w:rsid w:val="006B43A1"/>
    <w:rsid w:val="006B43B0"/>
    <w:rsid w:val="006B4492"/>
    <w:rsid w:val="006B44D9"/>
    <w:rsid w:val="006B45B6"/>
    <w:rsid w:val="006B45B8"/>
    <w:rsid w:val="006B45E5"/>
    <w:rsid w:val="006B462E"/>
    <w:rsid w:val="006B465D"/>
    <w:rsid w:val="006B465F"/>
    <w:rsid w:val="006B478D"/>
    <w:rsid w:val="006B4857"/>
    <w:rsid w:val="006B489A"/>
    <w:rsid w:val="006B48AA"/>
    <w:rsid w:val="006B490A"/>
    <w:rsid w:val="006B4986"/>
    <w:rsid w:val="006B49AE"/>
    <w:rsid w:val="006B4A4A"/>
    <w:rsid w:val="006B4AE9"/>
    <w:rsid w:val="006B4B33"/>
    <w:rsid w:val="006B4B6D"/>
    <w:rsid w:val="006B4E4E"/>
    <w:rsid w:val="006B4F5D"/>
    <w:rsid w:val="006B502F"/>
    <w:rsid w:val="006B5039"/>
    <w:rsid w:val="006B50A2"/>
    <w:rsid w:val="006B5133"/>
    <w:rsid w:val="006B51BF"/>
    <w:rsid w:val="006B51E9"/>
    <w:rsid w:val="006B5275"/>
    <w:rsid w:val="006B52E2"/>
    <w:rsid w:val="006B538D"/>
    <w:rsid w:val="006B553B"/>
    <w:rsid w:val="006B5573"/>
    <w:rsid w:val="006B55CC"/>
    <w:rsid w:val="006B55DB"/>
    <w:rsid w:val="006B55E3"/>
    <w:rsid w:val="006B563C"/>
    <w:rsid w:val="006B56BF"/>
    <w:rsid w:val="006B56E9"/>
    <w:rsid w:val="006B5785"/>
    <w:rsid w:val="006B57C9"/>
    <w:rsid w:val="006B5869"/>
    <w:rsid w:val="006B5910"/>
    <w:rsid w:val="006B5924"/>
    <w:rsid w:val="006B596C"/>
    <w:rsid w:val="006B5996"/>
    <w:rsid w:val="006B59A8"/>
    <w:rsid w:val="006B59CD"/>
    <w:rsid w:val="006B59D0"/>
    <w:rsid w:val="006B5BA3"/>
    <w:rsid w:val="006B5BE3"/>
    <w:rsid w:val="006B5BEF"/>
    <w:rsid w:val="006B5C2D"/>
    <w:rsid w:val="006B5D10"/>
    <w:rsid w:val="006B5F67"/>
    <w:rsid w:val="006B5FA2"/>
    <w:rsid w:val="006B605A"/>
    <w:rsid w:val="006B6091"/>
    <w:rsid w:val="006B60EE"/>
    <w:rsid w:val="006B610A"/>
    <w:rsid w:val="006B6122"/>
    <w:rsid w:val="006B6220"/>
    <w:rsid w:val="006B6244"/>
    <w:rsid w:val="006B6385"/>
    <w:rsid w:val="006B63D0"/>
    <w:rsid w:val="006B63EB"/>
    <w:rsid w:val="006B6451"/>
    <w:rsid w:val="006B665F"/>
    <w:rsid w:val="006B66DB"/>
    <w:rsid w:val="006B66FE"/>
    <w:rsid w:val="006B672C"/>
    <w:rsid w:val="006B6757"/>
    <w:rsid w:val="006B67CD"/>
    <w:rsid w:val="006B6861"/>
    <w:rsid w:val="006B69CD"/>
    <w:rsid w:val="006B69F0"/>
    <w:rsid w:val="006B6B56"/>
    <w:rsid w:val="006B6B6E"/>
    <w:rsid w:val="006B6CDA"/>
    <w:rsid w:val="006B6D8B"/>
    <w:rsid w:val="006B6E32"/>
    <w:rsid w:val="006B6F53"/>
    <w:rsid w:val="006B702F"/>
    <w:rsid w:val="006B7038"/>
    <w:rsid w:val="006B7051"/>
    <w:rsid w:val="006B7227"/>
    <w:rsid w:val="006B729F"/>
    <w:rsid w:val="006B740B"/>
    <w:rsid w:val="006B74CE"/>
    <w:rsid w:val="006B759B"/>
    <w:rsid w:val="006B75F7"/>
    <w:rsid w:val="006B76E6"/>
    <w:rsid w:val="006B7704"/>
    <w:rsid w:val="006B7717"/>
    <w:rsid w:val="006B7777"/>
    <w:rsid w:val="006B778C"/>
    <w:rsid w:val="006B7802"/>
    <w:rsid w:val="006B78F1"/>
    <w:rsid w:val="006B79D6"/>
    <w:rsid w:val="006B79DB"/>
    <w:rsid w:val="006B7B13"/>
    <w:rsid w:val="006B7C2E"/>
    <w:rsid w:val="006B7C93"/>
    <w:rsid w:val="006B7D60"/>
    <w:rsid w:val="006B7E12"/>
    <w:rsid w:val="006B7E6A"/>
    <w:rsid w:val="006B7E84"/>
    <w:rsid w:val="006B7F6C"/>
    <w:rsid w:val="006B7F88"/>
    <w:rsid w:val="006B7F97"/>
    <w:rsid w:val="006B7F9A"/>
    <w:rsid w:val="006C001D"/>
    <w:rsid w:val="006C0029"/>
    <w:rsid w:val="006C01AA"/>
    <w:rsid w:val="006C024A"/>
    <w:rsid w:val="006C02B3"/>
    <w:rsid w:val="006C02EA"/>
    <w:rsid w:val="006C0309"/>
    <w:rsid w:val="006C03D1"/>
    <w:rsid w:val="006C0422"/>
    <w:rsid w:val="006C044F"/>
    <w:rsid w:val="006C04B3"/>
    <w:rsid w:val="006C065D"/>
    <w:rsid w:val="006C0913"/>
    <w:rsid w:val="006C09E3"/>
    <w:rsid w:val="006C0A47"/>
    <w:rsid w:val="006C0B4F"/>
    <w:rsid w:val="006C0BC1"/>
    <w:rsid w:val="006C0CB1"/>
    <w:rsid w:val="006C0E2F"/>
    <w:rsid w:val="006C0E33"/>
    <w:rsid w:val="006C0E51"/>
    <w:rsid w:val="006C0E62"/>
    <w:rsid w:val="006C0E95"/>
    <w:rsid w:val="006C0EC4"/>
    <w:rsid w:val="006C0ECC"/>
    <w:rsid w:val="006C0EDE"/>
    <w:rsid w:val="006C1075"/>
    <w:rsid w:val="006C10ED"/>
    <w:rsid w:val="006C1111"/>
    <w:rsid w:val="006C141E"/>
    <w:rsid w:val="006C142E"/>
    <w:rsid w:val="006C14A5"/>
    <w:rsid w:val="006C16B8"/>
    <w:rsid w:val="006C16D3"/>
    <w:rsid w:val="006C175F"/>
    <w:rsid w:val="006C182E"/>
    <w:rsid w:val="006C18D9"/>
    <w:rsid w:val="006C1941"/>
    <w:rsid w:val="006C19D1"/>
    <w:rsid w:val="006C19FC"/>
    <w:rsid w:val="006C1A09"/>
    <w:rsid w:val="006C1A15"/>
    <w:rsid w:val="006C1A55"/>
    <w:rsid w:val="006C1A94"/>
    <w:rsid w:val="006C1C8E"/>
    <w:rsid w:val="006C1CB1"/>
    <w:rsid w:val="006C1D1A"/>
    <w:rsid w:val="006C1DA6"/>
    <w:rsid w:val="006C1DCD"/>
    <w:rsid w:val="006C1E3B"/>
    <w:rsid w:val="006C1E49"/>
    <w:rsid w:val="006C1EF4"/>
    <w:rsid w:val="006C1F1B"/>
    <w:rsid w:val="006C1F20"/>
    <w:rsid w:val="006C1F68"/>
    <w:rsid w:val="006C1F9F"/>
    <w:rsid w:val="006C20B7"/>
    <w:rsid w:val="006C2121"/>
    <w:rsid w:val="006C21D7"/>
    <w:rsid w:val="006C2228"/>
    <w:rsid w:val="006C222C"/>
    <w:rsid w:val="006C242A"/>
    <w:rsid w:val="006C24F8"/>
    <w:rsid w:val="006C255B"/>
    <w:rsid w:val="006C2584"/>
    <w:rsid w:val="006C2640"/>
    <w:rsid w:val="006C2686"/>
    <w:rsid w:val="006C269D"/>
    <w:rsid w:val="006C26AA"/>
    <w:rsid w:val="006C2878"/>
    <w:rsid w:val="006C287C"/>
    <w:rsid w:val="006C2AC5"/>
    <w:rsid w:val="006C2C69"/>
    <w:rsid w:val="006C2DFA"/>
    <w:rsid w:val="006C2EFE"/>
    <w:rsid w:val="006C2F08"/>
    <w:rsid w:val="006C2F45"/>
    <w:rsid w:val="006C2F4D"/>
    <w:rsid w:val="006C2FF5"/>
    <w:rsid w:val="006C304E"/>
    <w:rsid w:val="006C317D"/>
    <w:rsid w:val="006C334A"/>
    <w:rsid w:val="006C3380"/>
    <w:rsid w:val="006C349E"/>
    <w:rsid w:val="006C34B6"/>
    <w:rsid w:val="006C34FA"/>
    <w:rsid w:val="006C3544"/>
    <w:rsid w:val="006C354F"/>
    <w:rsid w:val="006C35B1"/>
    <w:rsid w:val="006C35C6"/>
    <w:rsid w:val="006C369F"/>
    <w:rsid w:val="006C3987"/>
    <w:rsid w:val="006C3A40"/>
    <w:rsid w:val="006C3B25"/>
    <w:rsid w:val="006C3B5D"/>
    <w:rsid w:val="006C3B61"/>
    <w:rsid w:val="006C3D0C"/>
    <w:rsid w:val="006C3EC7"/>
    <w:rsid w:val="006C3F5F"/>
    <w:rsid w:val="006C3FC7"/>
    <w:rsid w:val="006C4045"/>
    <w:rsid w:val="006C40F3"/>
    <w:rsid w:val="006C4188"/>
    <w:rsid w:val="006C41C5"/>
    <w:rsid w:val="006C4234"/>
    <w:rsid w:val="006C42B6"/>
    <w:rsid w:val="006C42BC"/>
    <w:rsid w:val="006C42BE"/>
    <w:rsid w:val="006C43D2"/>
    <w:rsid w:val="006C446B"/>
    <w:rsid w:val="006C4557"/>
    <w:rsid w:val="006C474F"/>
    <w:rsid w:val="006C487A"/>
    <w:rsid w:val="006C4A60"/>
    <w:rsid w:val="006C4B7A"/>
    <w:rsid w:val="006C4DD7"/>
    <w:rsid w:val="006C4E79"/>
    <w:rsid w:val="006C4E80"/>
    <w:rsid w:val="006C4F41"/>
    <w:rsid w:val="006C4F47"/>
    <w:rsid w:val="006C4F65"/>
    <w:rsid w:val="006C5123"/>
    <w:rsid w:val="006C514F"/>
    <w:rsid w:val="006C52C4"/>
    <w:rsid w:val="006C52D8"/>
    <w:rsid w:val="006C52F1"/>
    <w:rsid w:val="006C532F"/>
    <w:rsid w:val="006C53E3"/>
    <w:rsid w:val="006C562D"/>
    <w:rsid w:val="006C5764"/>
    <w:rsid w:val="006C5794"/>
    <w:rsid w:val="006C59C3"/>
    <w:rsid w:val="006C5A4B"/>
    <w:rsid w:val="006C5A6D"/>
    <w:rsid w:val="006C5A98"/>
    <w:rsid w:val="006C5B29"/>
    <w:rsid w:val="006C5B52"/>
    <w:rsid w:val="006C5F5F"/>
    <w:rsid w:val="006C5FE2"/>
    <w:rsid w:val="006C6006"/>
    <w:rsid w:val="006C6020"/>
    <w:rsid w:val="006C60E9"/>
    <w:rsid w:val="006C61FB"/>
    <w:rsid w:val="006C6248"/>
    <w:rsid w:val="006C638D"/>
    <w:rsid w:val="006C6398"/>
    <w:rsid w:val="006C63F5"/>
    <w:rsid w:val="006C647C"/>
    <w:rsid w:val="006C6490"/>
    <w:rsid w:val="006C6531"/>
    <w:rsid w:val="006C6687"/>
    <w:rsid w:val="006C6706"/>
    <w:rsid w:val="006C6821"/>
    <w:rsid w:val="006C6853"/>
    <w:rsid w:val="006C6866"/>
    <w:rsid w:val="006C6875"/>
    <w:rsid w:val="006C6885"/>
    <w:rsid w:val="006C69EA"/>
    <w:rsid w:val="006C6A18"/>
    <w:rsid w:val="006C6A62"/>
    <w:rsid w:val="006C6B7B"/>
    <w:rsid w:val="006C6BA2"/>
    <w:rsid w:val="006C6CD3"/>
    <w:rsid w:val="006C6D2A"/>
    <w:rsid w:val="006C6D35"/>
    <w:rsid w:val="006C6DA4"/>
    <w:rsid w:val="006C6E5C"/>
    <w:rsid w:val="006C6EE3"/>
    <w:rsid w:val="006C6F2D"/>
    <w:rsid w:val="006C6F4B"/>
    <w:rsid w:val="006C6F91"/>
    <w:rsid w:val="006C709E"/>
    <w:rsid w:val="006C70B5"/>
    <w:rsid w:val="006C70EC"/>
    <w:rsid w:val="006C70EF"/>
    <w:rsid w:val="006C7196"/>
    <w:rsid w:val="006C71C4"/>
    <w:rsid w:val="006C7219"/>
    <w:rsid w:val="006C7353"/>
    <w:rsid w:val="006C7557"/>
    <w:rsid w:val="006C76E0"/>
    <w:rsid w:val="006C7933"/>
    <w:rsid w:val="006C7977"/>
    <w:rsid w:val="006C7B3A"/>
    <w:rsid w:val="006C7B6D"/>
    <w:rsid w:val="006C7B90"/>
    <w:rsid w:val="006C7C5F"/>
    <w:rsid w:val="006C7CAE"/>
    <w:rsid w:val="006C7D0C"/>
    <w:rsid w:val="006C7D7C"/>
    <w:rsid w:val="006C7E21"/>
    <w:rsid w:val="006C7EF1"/>
    <w:rsid w:val="006C7F26"/>
    <w:rsid w:val="006C7FCF"/>
    <w:rsid w:val="006D008B"/>
    <w:rsid w:val="006D00EF"/>
    <w:rsid w:val="006D0147"/>
    <w:rsid w:val="006D0155"/>
    <w:rsid w:val="006D0199"/>
    <w:rsid w:val="006D01A4"/>
    <w:rsid w:val="006D01D2"/>
    <w:rsid w:val="006D0207"/>
    <w:rsid w:val="006D0293"/>
    <w:rsid w:val="006D02E8"/>
    <w:rsid w:val="006D0333"/>
    <w:rsid w:val="006D0384"/>
    <w:rsid w:val="006D043E"/>
    <w:rsid w:val="006D045B"/>
    <w:rsid w:val="006D0533"/>
    <w:rsid w:val="006D053B"/>
    <w:rsid w:val="006D06A7"/>
    <w:rsid w:val="006D06B0"/>
    <w:rsid w:val="006D06E2"/>
    <w:rsid w:val="006D0741"/>
    <w:rsid w:val="006D0792"/>
    <w:rsid w:val="006D08D5"/>
    <w:rsid w:val="006D091B"/>
    <w:rsid w:val="006D0A43"/>
    <w:rsid w:val="006D0BEB"/>
    <w:rsid w:val="006D0C8A"/>
    <w:rsid w:val="006D0D1B"/>
    <w:rsid w:val="006D0E24"/>
    <w:rsid w:val="006D0E58"/>
    <w:rsid w:val="006D0F2D"/>
    <w:rsid w:val="006D0FF9"/>
    <w:rsid w:val="006D1028"/>
    <w:rsid w:val="006D1098"/>
    <w:rsid w:val="006D1153"/>
    <w:rsid w:val="006D13EA"/>
    <w:rsid w:val="006D13FC"/>
    <w:rsid w:val="006D1428"/>
    <w:rsid w:val="006D145E"/>
    <w:rsid w:val="006D151F"/>
    <w:rsid w:val="006D157D"/>
    <w:rsid w:val="006D15D7"/>
    <w:rsid w:val="006D15DE"/>
    <w:rsid w:val="006D1603"/>
    <w:rsid w:val="006D1634"/>
    <w:rsid w:val="006D1682"/>
    <w:rsid w:val="006D16BC"/>
    <w:rsid w:val="006D1740"/>
    <w:rsid w:val="006D1839"/>
    <w:rsid w:val="006D1887"/>
    <w:rsid w:val="006D18BD"/>
    <w:rsid w:val="006D193C"/>
    <w:rsid w:val="006D1A0B"/>
    <w:rsid w:val="006D1C07"/>
    <w:rsid w:val="006D1C47"/>
    <w:rsid w:val="006D1DE9"/>
    <w:rsid w:val="006D1E2E"/>
    <w:rsid w:val="006D1E59"/>
    <w:rsid w:val="006D1F4B"/>
    <w:rsid w:val="006D1FD6"/>
    <w:rsid w:val="006D2053"/>
    <w:rsid w:val="006D20C8"/>
    <w:rsid w:val="006D2246"/>
    <w:rsid w:val="006D22F3"/>
    <w:rsid w:val="006D2417"/>
    <w:rsid w:val="006D2497"/>
    <w:rsid w:val="006D24B1"/>
    <w:rsid w:val="006D2784"/>
    <w:rsid w:val="006D27BF"/>
    <w:rsid w:val="006D27ED"/>
    <w:rsid w:val="006D28DF"/>
    <w:rsid w:val="006D291D"/>
    <w:rsid w:val="006D2A94"/>
    <w:rsid w:val="006D2ADF"/>
    <w:rsid w:val="006D2B2C"/>
    <w:rsid w:val="006D2BD1"/>
    <w:rsid w:val="006D2D44"/>
    <w:rsid w:val="006D2D77"/>
    <w:rsid w:val="006D2D8B"/>
    <w:rsid w:val="006D2D95"/>
    <w:rsid w:val="006D2DC7"/>
    <w:rsid w:val="006D2F0A"/>
    <w:rsid w:val="006D2F0D"/>
    <w:rsid w:val="006D2FC8"/>
    <w:rsid w:val="006D312F"/>
    <w:rsid w:val="006D317A"/>
    <w:rsid w:val="006D323C"/>
    <w:rsid w:val="006D3267"/>
    <w:rsid w:val="006D32E1"/>
    <w:rsid w:val="006D335A"/>
    <w:rsid w:val="006D336B"/>
    <w:rsid w:val="006D3446"/>
    <w:rsid w:val="006D34C7"/>
    <w:rsid w:val="006D34CE"/>
    <w:rsid w:val="006D3538"/>
    <w:rsid w:val="006D359E"/>
    <w:rsid w:val="006D3636"/>
    <w:rsid w:val="006D3662"/>
    <w:rsid w:val="006D3673"/>
    <w:rsid w:val="006D36A9"/>
    <w:rsid w:val="006D37B9"/>
    <w:rsid w:val="006D3813"/>
    <w:rsid w:val="006D3829"/>
    <w:rsid w:val="006D3892"/>
    <w:rsid w:val="006D397F"/>
    <w:rsid w:val="006D3ABC"/>
    <w:rsid w:val="006D3B75"/>
    <w:rsid w:val="006D3B80"/>
    <w:rsid w:val="006D3BAA"/>
    <w:rsid w:val="006D3D56"/>
    <w:rsid w:val="006D3D58"/>
    <w:rsid w:val="006D3D9E"/>
    <w:rsid w:val="006D3E98"/>
    <w:rsid w:val="006D3EE8"/>
    <w:rsid w:val="006D3F54"/>
    <w:rsid w:val="006D4035"/>
    <w:rsid w:val="006D4097"/>
    <w:rsid w:val="006D4099"/>
    <w:rsid w:val="006D4195"/>
    <w:rsid w:val="006D4313"/>
    <w:rsid w:val="006D43BA"/>
    <w:rsid w:val="006D43F3"/>
    <w:rsid w:val="006D4457"/>
    <w:rsid w:val="006D45F8"/>
    <w:rsid w:val="006D46BD"/>
    <w:rsid w:val="006D4751"/>
    <w:rsid w:val="006D47AC"/>
    <w:rsid w:val="006D47BC"/>
    <w:rsid w:val="006D47BF"/>
    <w:rsid w:val="006D4842"/>
    <w:rsid w:val="006D4936"/>
    <w:rsid w:val="006D4971"/>
    <w:rsid w:val="006D49D3"/>
    <w:rsid w:val="006D49F0"/>
    <w:rsid w:val="006D4AEE"/>
    <w:rsid w:val="006D4C07"/>
    <w:rsid w:val="006D4C1A"/>
    <w:rsid w:val="006D4C54"/>
    <w:rsid w:val="006D4DD5"/>
    <w:rsid w:val="006D4F16"/>
    <w:rsid w:val="006D4F75"/>
    <w:rsid w:val="006D5052"/>
    <w:rsid w:val="006D50FB"/>
    <w:rsid w:val="006D5124"/>
    <w:rsid w:val="006D5181"/>
    <w:rsid w:val="006D51B5"/>
    <w:rsid w:val="006D527F"/>
    <w:rsid w:val="006D53F0"/>
    <w:rsid w:val="006D5547"/>
    <w:rsid w:val="006D5649"/>
    <w:rsid w:val="006D5788"/>
    <w:rsid w:val="006D5A02"/>
    <w:rsid w:val="006D5A10"/>
    <w:rsid w:val="006D5A17"/>
    <w:rsid w:val="006D5B31"/>
    <w:rsid w:val="006D5B79"/>
    <w:rsid w:val="006D5B7C"/>
    <w:rsid w:val="006D5BDA"/>
    <w:rsid w:val="006D5BF6"/>
    <w:rsid w:val="006D5C77"/>
    <w:rsid w:val="006D5D20"/>
    <w:rsid w:val="006D5D7D"/>
    <w:rsid w:val="006D5E2F"/>
    <w:rsid w:val="006D5F55"/>
    <w:rsid w:val="006D5FB6"/>
    <w:rsid w:val="006D5FBE"/>
    <w:rsid w:val="006D60DC"/>
    <w:rsid w:val="006D6179"/>
    <w:rsid w:val="006D618A"/>
    <w:rsid w:val="006D61BD"/>
    <w:rsid w:val="006D62FC"/>
    <w:rsid w:val="006D6439"/>
    <w:rsid w:val="006D6499"/>
    <w:rsid w:val="006D66A1"/>
    <w:rsid w:val="006D6741"/>
    <w:rsid w:val="006D684E"/>
    <w:rsid w:val="006D693D"/>
    <w:rsid w:val="006D6948"/>
    <w:rsid w:val="006D69C0"/>
    <w:rsid w:val="006D6B4B"/>
    <w:rsid w:val="006D6BB0"/>
    <w:rsid w:val="006D6CC8"/>
    <w:rsid w:val="006D6CF1"/>
    <w:rsid w:val="006D6D65"/>
    <w:rsid w:val="006D6E62"/>
    <w:rsid w:val="006D6E7B"/>
    <w:rsid w:val="006D6ED6"/>
    <w:rsid w:val="006D6F32"/>
    <w:rsid w:val="006D7058"/>
    <w:rsid w:val="006D7069"/>
    <w:rsid w:val="006D70AA"/>
    <w:rsid w:val="006D719B"/>
    <w:rsid w:val="006D72CD"/>
    <w:rsid w:val="006D72F6"/>
    <w:rsid w:val="006D739A"/>
    <w:rsid w:val="006D73CD"/>
    <w:rsid w:val="006D7414"/>
    <w:rsid w:val="006D7476"/>
    <w:rsid w:val="006D7541"/>
    <w:rsid w:val="006D75FB"/>
    <w:rsid w:val="006D7649"/>
    <w:rsid w:val="006D76B8"/>
    <w:rsid w:val="006D76E8"/>
    <w:rsid w:val="006D776A"/>
    <w:rsid w:val="006D787A"/>
    <w:rsid w:val="006D78BE"/>
    <w:rsid w:val="006D7988"/>
    <w:rsid w:val="006D7A01"/>
    <w:rsid w:val="006D7B60"/>
    <w:rsid w:val="006D7BE4"/>
    <w:rsid w:val="006D7BFE"/>
    <w:rsid w:val="006D7C1D"/>
    <w:rsid w:val="006D7C28"/>
    <w:rsid w:val="006D7D87"/>
    <w:rsid w:val="006D7DF1"/>
    <w:rsid w:val="006E00BD"/>
    <w:rsid w:val="006E0154"/>
    <w:rsid w:val="006E0294"/>
    <w:rsid w:val="006E02AD"/>
    <w:rsid w:val="006E02F0"/>
    <w:rsid w:val="006E0613"/>
    <w:rsid w:val="006E067E"/>
    <w:rsid w:val="006E073A"/>
    <w:rsid w:val="006E077C"/>
    <w:rsid w:val="006E07EB"/>
    <w:rsid w:val="006E081E"/>
    <w:rsid w:val="006E081F"/>
    <w:rsid w:val="006E0820"/>
    <w:rsid w:val="006E0978"/>
    <w:rsid w:val="006E09D3"/>
    <w:rsid w:val="006E09FB"/>
    <w:rsid w:val="006E0AE9"/>
    <w:rsid w:val="006E0C16"/>
    <w:rsid w:val="006E0CCD"/>
    <w:rsid w:val="006E0DE5"/>
    <w:rsid w:val="006E0DF8"/>
    <w:rsid w:val="006E0E64"/>
    <w:rsid w:val="006E10B7"/>
    <w:rsid w:val="006E115A"/>
    <w:rsid w:val="006E1208"/>
    <w:rsid w:val="006E1309"/>
    <w:rsid w:val="006E1334"/>
    <w:rsid w:val="006E13DB"/>
    <w:rsid w:val="006E13EF"/>
    <w:rsid w:val="006E1476"/>
    <w:rsid w:val="006E14C0"/>
    <w:rsid w:val="006E1622"/>
    <w:rsid w:val="006E1624"/>
    <w:rsid w:val="006E165C"/>
    <w:rsid w:val="006E1681"/>
    <w:rsid w:val="006E17B8"/>
    <w:rsid w:val="006E183B"/>
    <w:rsid w:val="006E1899"/>
    <w:rsid w:val="006E18C3"/>
    <w:rsid w:val="006E18DB"/>
    <w:rsid w:val="006E1984"/>
    <w:rsid w:val="006E199C"/>
    <w:rsid w:val="006E1B1B"/>
    <w:rsid w:val="006E1C74"/>
    <w:rsid w:val="006E1C79"/>
    <w:rsid w:val="006E1C9B"/>
    <w:rsid w:val="006E1CFC"/>
    <w:rsid w:val="006E1DC3"/>
    <w:rsid w:val="006E1E1F"/>
    <w:rsid w:val="006E1E30"/>
    <w:rsid w:val="006E1EB7"/>
    <w:rsid w:val="006E1FFA"/>
    <w:rsid w:val="006E208D"/>
    <w:rsid w:val="006E2098"/>
    <w:rsid w:val="006E2144"/>
    <w:rsid w:val="006E215C"/>
    <w:rsid w:val="006E223D"/>
    <w:rsid w:val="006E2247"/>
    <w:rsid w:val="006E2445"/>
    <w:rsid w:val="006E244B"/>
    <w:rsid w:val="006E248E"/>
    <w:rsid w:val="006E249E"/>
    <w:rsid w:val="006E24CD"/>
    <w:rsid w:val="006E25F1"/>
    <w:rsid w:val="006E2635"/>
    <w:rsid w:val="006E28B3"/>
    <w:rsid w:val="006E2903"/>
    <w:rsid w:val="006E2982"/>
    <w:rsid w:val="006E29B8"/>
    <w:rsid w:val="006E2A93"/>
    <w:rsid w:val="006E2B1C"/>
    <w:rsid w:val="006E2B35"/>
    <w:rsid w:val="006E2B69"/>
    <w:rsid w:val="006E2BD7"/>
    <w:rsid w:val="006E2C32"/>
    <w:rsid w:val="006E2D08"/>
    <w:rsid w:val="006E2D72"/>
    <w:rsid w:val="006E2EC9"/>
    <w:rsid w:val="006E2F1A"/>
    <w:rsid w:val="006E2F1C"/>
    <w:rsid w:val="006E2F53"/>
    <w:rsid w:val="006E2F74"/>
    <w:rsid w:val="006E303C"/>
    <w:rsid w:val="006E309F"/>
    <w:rsid w:val="006E31B2"/>
    <w:rsid w:val="006E3223"/>
    <w:rsid w:val="006E32F5"/>
    <w:rsid w:val="006E32F9"/>
    <w:rsid w:val="006E330C"/>
    <w:rsid w:val="006E34FA"/>
    <w:rsid w:val="006E354D"/>
    <w:rsid w:val="006E36D3"/>
    <w:rsid w:val="006E37C0"/>
    <w:rsid w:val="006E38C1"/>
    <w:rsid w:val="006E38D7"/>
    <w:rsid w:val="006E3BAF"/>
    <w:rsid w:val="006E3C9E"/>
    <w:rsid w:val="006E3D4D"/>
    <w:rsid w:val="006E3DA8"/>
    <w:rsid w:val="006E3E3B"/>
    <w:rsid w:val="006E3F70"/>
    <w:rsid w:val="006E4019"/>
    <w:rsid w:val="006E4058"/>
    <w:rsid w:val="006E408F"/>
    <w:rsid w:val="006E40EF"/>
    <w:rsid w:val="006E413B"/>
    <w:rsid w:val="006E426C"/>
    <w:rsid w:val="006E42C9"/>
    <w:rsid w:val="006E447E"/>
    <w:rsid w:val="006E44A1"/>
    <w:rsid w:val="006E451C"/>
    <w:rsid w:val="006E46FB"/>
    <w:rsid w:val="006E4856"/>
    <w:rsid w:val="006E4878"/>
    <w:rsid w:val="006E49AF"/>
    <w:rsid w:val="006E4A93"/>
    <w:rsid w:val="006E4ABE"/>
    <w:rsid w:val="006E4B0F"/>
    <w:rsid w:val="006E4C6F"/>
    <w:rsid w:val="006E4DAC"/>
    <w:rsid w:val="006E4E9F"/>
    <w:rsid w:val="006E5048"/>
    <w:rsid w:val="006E508D"/>
    <w:rsid w:val="006E50A6"/>
    <w:rsid w:val="006E511D"/>
    <w:rsid w:val="006E5132"/>
    <w:rsid w:val="006E5170"/>
    <w:rsid w:val="006E5177"/>
    <w:rsid w:val="006E522D"/>
    <w:rsid w:val="006E5374"/>
    <w:rsid w:val="006E53B9"/>
    <w:rsid w:val="006E53BB"/>
    <w:rsid w:val="006E5420"/>
    <w:rsid w:val="006E547F"/>
    <w:rsid w:val="006E55C1"/>
    <w:rsid w:val="006E57A1"/>
    <w:rsid w:val="006E580F"/>
    <w:rsid w:val="006E58BB"/>
    <w:rsid w:val="006E58D2"/>
    <w:rsid w:val="006E5968"/>
    <w:rsid w:val="006E5A1B"/>
    <w:rsid w:val="006E5A3D"/>
    <w:rsid w:val="006E5A87"/>
    <w:rsid w:val="006E5B00"/>
    <w:rsid w:val="006E5B9A"/>
    <w:rsid w:val="006E5CA6"/>
    <w:rsid w:val="006E5D54"/>
    <w:rsid w:val="006E5DCE"/>
    <w:rsid w:val="006E5F40"/>
    <w:rsid w:val="006E5F8E"/>
    <w:rsid w:val="006E5FBC"/>
    <w:rsid w:val="006E5FEF"/>
    <w:rsid w:val="006E60BC"/>
    <w:rsid w:val="006E61C7"/>
    <w:rsid w:val="006E6208"/>
    <w:rsid w:val="006E6215"/>
    <w:rsid w:val="006E628D"/>
    <w:rsid w:val="006E634C"/>
    <w:rsid w:val="006E6372"/>
    <w:rsid w:val="006E63C0"/>
    <w:rsid w:val="006E63F5"/>
    <w:rsid w:val="006E64A1"/>
    <w:rsid w:val="006E64D8"/>
    <w:rsid w:val="006E660B"/>
    <w:rsid w:val="006E6625"/>
    <w:rsid w:val="006E6654"/>
    <w:rsid w:val="006E666B"/>
    <w:rsid w:val="006E66CF"/>
    <w:rsid w:val="006E66F3"/>
    <w:rsid w:val="006E6756"/>
    <w:rsid w:val="006E68F7"/>
    <w:rsid w:val="006E69AC"/>
    <w:rsid w:val="006E6A3E"/>
    <w:rsid w:val="006E6B07"/>
    <w:rsid w:val="006E6B55"/>
    <w:rsid w:val="006E6C66"/>
    <w:rsid w:val="006E6E6D"/>
    <w:rsid w:val="006E6E72"/>
    <w:rsid w:val="006E6E93"/>
    <w:rsid w:val="006E6F6F"/>
    <w:rsid w:val="006E6FFD"/>
    <w:rsid w:val="006E70E3"/>
    <w:rsid w:val="006E71EA"/>
    <w:rsid w:val="006E723B"/>
    <w:rsid w:val="006E7261"/>
    <w:rsid w:val="006E733C"/>
    <w:rsid w:val="006E738E"/>
    <w:rsid w:val="006E74BD"/>
    <w:rsid w:val="006E74E9"/>
    <w:rsid w:val="006E74F4"/>
    <w:rsid w:val="006E75D5"/>
    <w:rsid w:val="006E7607"/>
    <w:rsid w:val="006E76D8"/>
    <w:rsid w:val="006E76DF"/>
    <w:rsid w:val="006E7887"/>
    <w:rsid w:val="006E7992"/>
    <w:rsid w:val="006E7A95"/>
    <w:rsid w:val="006E7B24"/>
    <w:rsid w:val="006E7B32"/>
    <w:rsid w:val="006E7C30"/>
    <w:rsid w:val="006E7C51"/>
    <w:rsid w:val="006E7C66"/>
    <w:rsid w:val="006E7CBC"/>
    <w:rsid w:val="006E7CFC"/>
    <w:rsid w:val="006E7D3D"/>
    <w:rsid w:val="006E7D6F"/>
    <w:rsid w:val="006E7D9E"/>
    <w:rsid w:val="006E7E3A"/>
    <w:rsid w:val="006E7E6C"/>
    <w:rsid w:val="006E7F14"/>
    <w:rsid w:val="006E7FC1"/>
    <w:rsid w:val="006F01D1"/>
    <w:rsid w:val="006F01FE"/>
    <w:rsid w:val="006F022E"/>
    <w:rsid w:val="006F025C"/>
    <w:rsid w:val="006F02A2"/>
    <w:rsid w:val="006F02AE"/>
    <w:rsid w:val="006F02B0"/>
    <w:rsid w:val="006F03B4"/>
    <w:rsid w:val="006F03CC"/>
    <w:rsid w:val="006F0427"/>
    <w:rsid w:val="006F058A"/>
    <w:rsid w:val="006F05ED"/>
    <w:rsid w:val="006F06C3"/>
    <w:rsid w:val="006F072C"/>
    <w:rsid w:val="006F0965"/>
    <w:rsid w:val="006F09AF"/>
    <w:rsid w:val="006F0BAC"/>
    <w:rsid w:val="006F0C3B"/>
    <w:rsid w:val="006F0CCA"/>
    <w:rsid w:val="006F0D5B"/>
    <w:rsid w:val="006F0D8E"/>
    <w:rsid w:val="006F0DBC"/>
    <w:rsid w:val="006F0E55"/>
    <w:rsid w:val="006F0E86"/>
    <w:rsid w:val="006F0EDC"/>
    <w:rsid w:val="006F0EE4"/>
    <w:rsid w:val="006F0F03"/>
    <w:rsid w:val="006F0F3A"/>
    <w:rsid w:val="006F0FF1"/>
    <w:rsid w:val="006F1005"/>
    <w:rsid w:val="006F1017"/>
    <w:rsid w:val="006F1141"/>
    <w:rsid w:val="006F11F9"/>
    <w:rsid w:val="006F1244"/>
    <w:rsid w:val="006F12A2"/>
    <w:rsid w:val="006F13E8"/>
    <w:rsid w:val="006F15DB"/>
    <w:rsid w:val="006F16EB"/>
    <w:rsid w:val="006F1722"/>
    <w:rsid w:val="006F172F"/>
    <w:rsid w:val="006F1788"/>
    <w:rsid w:val="006F17FB"/>
    <w:rsid w:val="006F1840"/>
    <w:rsid w:val="006F184C"/>
    <w:rsid w:val="006F19DA"/>
    <w:rsid w:val="006F19F4"/>
    <w:rsid w:val="006F1A83"/>
    <w:rsid w:val="006F1B25"/>
    <w:rsid w:val="006F1B93"/>
    <w:rsid w:val="006F1C77"/>
    <w:rsid w:val="006F1CB0"/>
    <w:rsid w:val="006F1E6F"/>
    <w:rsid w:val="006F1F5B"/>
    <w:rsid w:val="006F20BE"/>
    <w:rsid w:val="006F2151"/>
    <w:rsid w:val="006F2172"/>
    <w:rsid w:val="006F218C"/>
    <w:rsid w:val="006F2196"/>
    <w:rsid w:val="006F219F"/>
    <w:rsid w:val="006F21EE"/>
    <w:rsid w:val="006F222F"/>
    <w:rsid w:val="006F2473"/>
    <w:rsid w:val="006F247B"/>
    <w:rsid w:val="006F2487"/>
    <w:rsid w:val="006F24B4"/>
    <w:rsid w:val="006F24DD"/>
    <w:rsid w:val="006F256E"/>
    <w:rsid w:val="006F25B4"/>
    <w:rsid w:val="006F25C4"/>
    <w:rsid w:val="006F26C3"/>
    <w:rsid w:val="006F26D8"/>
    <w:rsid w:val="006F26EC"/>
    <w:rsid w:val="006F2855"/>
    <w:rsid w:val="006F289F"/>
    <w:rsid w:val="006F28EF"/>
    <w:rsid w:val="006F2989"/>
    <w:rsid w:val="006F2A8D"/>
    <w:rsid w:val="006F2BB5"/>
    <w:rsid w:val="006F2C24"/>
    <w:rsid w:val="006F2CAE"/>
    <w:rsid w:val="006F2CDB"/>
    <w:rsid w:val="006F2D8D"/>
    <w:rsid w:val="006F2E10"/>
    <w:rsid w:val="006F2F8B"/>
    <w:rsid w:val="006F3046"/>
    <w:rsid w:val="006F30C5"/>
    <w:rsid w:val="006F3135"/>
    <w:rsid w:val="006F3194"/>
    <w:rsid w:val="006F31A0"/>
    <w:rsid w:val="006F31EF"/>
    <w:rsid w:val="006F3217"/>
    <w:rsid w:val="006F32EE"/>
    <w:rsid w:val="006F333E"/>
    <w:rsid w:val="006F34F5"/>
    <w:rsid w:val="006F35E8"/>
    <w:rsid w:val="006F364C"/>
    <w:rsid w:val="006F36D7"/>
    <w:rsid w:val="006F38D7"/>
    <w:rsid w:val="006F3907"/>
    <w:rsid w:val="006F3A69"/>
    <w:rsid w:val="006F3A9A"/>
    <w:rsid w:val="006F3B18"/>
    <w:rsid w:val="006F3BC2"/>
    <w:rsid w:val="006F3BD4"/>
    <w:rsid w:val="006F3C91"/>
    <w:rsid w:val="006F3CDE"/>
    <w:rsid w:val="006F3CFA"/>
    <w:rsid w:val="006F3D6F"/>
    <w:rsid w:val="006F3DFE"/>
    <w:rsid w:val="006F3DFF"/>
    <w:rsid w:val="006F3F92"/>
    <w:rsid w:val="006F3F9D"/>
    <w:rsid w:val="006F3F9E"/>
    <w:rsid w:val="006F3FA7"/>
    <w:rsid w:val="006F3FC3"/>
    <w:rsid w:val="006F40BD"/>
    <w:rsid w:val="006F4119"/>
    <w:rsid w:val="006F420E"/>
    <w:rsid w:val="006F422E"/>
    <w:rsid w:val="006F42D9"/>
    <w:rsid w:val="006F43C8"/>
    <w:rsid w:val="006F446A"/>
    <w:rsid w:val="006F4546"/>
    <w:rsid w:val="006F46A5"/>
    <w:rsid w:val="006F46C6"/>
    <w:rsid w:val="006F46E2"/>
    <w:rsid w:val="006F4704"/>
    <w:rsid w:val="006F476B"/>
    <w:rsid w:val="006F4782"/>
    <w:rsid w:val="006F4869"/>
    <w:rsid w:val="006F48AC"/>
    <w:rsid w:val="006F48C6"/>
    <w:rsid w:val="006F49F1"/>
    <w:rsid w:val="006F4A66"/>
    <w:rsid w:val="006F4B14"/>
    <w:rsid w:val="006F4B1C"/>
    <w:rsid w:val="006F4BAB"/>
    <w:rsid w:val="006F4C64"/>
    <w:rsid w:val="006F4C93"/>
    <w:rsid w:val="006F4CF9"/>
    <w:rsid w:val="006F4D9A"/>
    <w:rsid w:val="006F4F83"/>
    <w:rsid w:val="006F4FCE"/>
    <w:rsid w:val="006F50D0"/>
    <w:rsid w:val="006F5128"/>
    <w:rsid w:val="006F512C"/>
    <w:rsid w:val="006F5141"/>
    <w:rsid w:val="006F528A"/>
    <w:rsid w:val="006F5324"/>
    <w:rsid w:val="006F5475"/>
    <w:rsid w:val="006F54D1"/>
    <w:rsid w:val="006F558B"/>
    <w:rsid w:val="006F55CC"/>
    <w:rsid w:val="006F55D1"/>
    <w:rsid w:val="006F561E"/>
    <w:rsid w:val="006F5761"/>
    <w:rsid w:val="006F58AF"/>
    <w:rsid w:val="006F58F4"/>
    <w:rsid w:val="006F5915"/>
    <w:rsid w:val="006F591C"/>
    <w:rsid w:val="006F5A0A"/>
    <w:rsid w:val="006F5AE7"/>
    <w:rsid w:val="006F5B88"/>
    <w:rsid w:val="006F5CC0"/>
    <w:rsid w:val="006F5D47"/>
    <w:rsid w:val="006F5DB0"/>
    <w:rsid w:val="006F5E6D"/>
    <w:rsid w:val="006F5F4D"/>
    <w:rsid w:val="006F5F99"/>
    <w:rsid w:val="006F60A8"/>
    <w:rsid w:val="006F6157"/>
    <w:rsid w:val="006F665B"/>
    <w:rsid w:val="006F66BE"/>
    <w:rsid w:val="006F6AB9"/>
    <w:rsid w:val="006F6BAE"/>
    <w:rsid w:val="006F6BF8"/>
    <w:rsid w:val="006F6C8F"/>
    <w:rsid w:val="006F6DD6"/>
    <w:rsid w:val="006F6E92"/>
    <w:rsid w:val="006F6E9D"/>
    <w:rsid w:val="006F6F83"/>
    <w:rsid w:val="006F7053"/>
    <w:rsid w:val="006F7058"/>
    <w:rsid w:val="006F705E"/>
    <w:rsid w:val="006F7288"/>
    <w:rsid w:val="006F7295"/>
    <w:rsid w:val="006F72A4"/>
    <w:rsid w:val="006F735A"/>
    <w:rsid w:val="006F73A4"/>
    <w:rsid w:val="006F74B6"/>
    <w:rsid w:val="006F74C1"/>
    <w:rsid w:val="006F74DE"/>
    <w:rsid w:val="006F7582"/>
    <w:rsid w:val="006F7685"/>
    <w:rsid w:val="006F76B5"/>
    <w:rsid w:val="006F770F"/>
    <w:rsid w:val="006F773B"/>
    <w:rsid w:val="006F77D0"/>
    <w:rsid w:val="006F77F9"/>
    <w:rsid w:val="006F78C4"/>
    <w:rsid w:val="006F799C"/>
    <w:rsid w:val="006F7A54"/>
    <w:rsid w:val="006F7AF4"/>
    <w:rsid w:val="006F7B29"/>
    <w:rsid w:val="006F7D64"/>
    <w:rsid w:val="006F7DE5"/>
    <w:rsid w:val="006F7DF1"/>
    <w:rsid w:val="006F7F1F"/>
    <w:rsid w:val="006F7F49"/>
    <w:rsid w:val="006F7F58"/>
    <w:rsid w:val="006F7FB3"/>
    <w:rsid w:val="006F7FD9"/>
    <w:rsid w:val="006F7FDE"/>
    <w:rsid w:val="0070003F"/>
    <w:rsid w:val="00700047"/>
    <w:rsid w:val="007000FF"/>
    <w:rsid w:val="00700102"/>
    <w:rsid w:val="0070012F"/>
    <w:rsid w:val="007001A3"/>
    <w:rsid w:val="007001B9"/>
    <w:rsid w:val="00700206"/>
    <w:rsid w:val="00700343"/>
    <w:rsid w:val="007003B8"/>
    <w:rsid w:val="00700461"/>
    <w:rsid w:val="00700547"/>
    <w:rsid w:val="007005E2"/>
    <w:rsid w:val="007007A4"/>
    <w:rsid w:val="007009EA"/>
    <w:rsid w:val="00700A1D"/>
    <w:rsid w:val="00700A36"/>
    <w:rsid w:val="00700DDF"/>
    <w:rsid w:val="00700DE0"/>
    <w:rsid w:val="00700E6D"/>
    <w:rsid w:val="00700EB2"/>
    <w:rsid w:val="00700EB8"/>
    <w:rsid w:val="00700EE8"/>
    <w:rsid w:val="00700F04"/>
    <w:rsid w:val="00700F1E"/>
    <w:rsid w:val="00700F4F"/>
    <w:rsid w:val="00701005"/>
    <w:rsid w:val="00701024"/>
    <w:rsid w:val="007010C0"/>
    <w:rsid w:val="007010E7"/>
    <w:rsid w:val="0070118B"/>
    <w:rsid w:val="007011D4"/>
    <w:rsid w:val="007011E7"/>
    <w:rsid w:val="00701256"/>
    <w:rsid w:val="007013AD"/>
    <w:rsid w:val="007013D1"/>
    <w:rsid w:val="007013D5"/>
    <w:rsid w:val="007013F7"/>
    <w:rsid w:val="0070148B"/>
    <w:rsid w:val="007014D3"/>
    <w:rsid w:val="007016A1"/>
    <w:rsid w:val="00701738"/>
    <w:rsid w:val="00701774"/>
    <w:rsid w:val="00701850"/>
    <w:rsid w:val="00701A06"/>
    <w:rsid w:val="00701A5B"/>
    <w:rsid w:val="00701A75"/>
    <w:rsid w:val="00701C1C"/>
    <w:rsid w:val="00701C28"/>
    <w:rsid w:val="00701EF4"/>
    <w:rsid w:val="00701F3A"/>
    <w:rsid w:val="0070202B"/>
    <w:rsid w:val="007020B2"/>
    <w:rsid w:val="007021C7"/>
    <w:rsid w:val="00702247"/>
    <w:rsid w:val="0070233B"/>
    <w:rsid w:val="007023F2"/>
    <w:rsid w:val="00702488"/>
    <w:rsid w:val="0070248A"/>
    <w:rsid w:val="0070258F"/>
    <w:rsid w:val="00702656"/>
    <w:rsid w:val="0070266F"/>
    <w:rsid w:val="00702721"/>
    <w:rsid w:val="007027EF"/>
    <w:rsid w:val="0070281F"/>
    <w:rsid w:val="00702894"/>
    <w:rsid w:val="007028F1"/>
    <w:rsid w:val="00702A93"/>
    <w:rsid w:val="00702A9F"/>
    <w:rsid w:val="00702B4C"/>
    <w:rsid w:val="00702D33"/>
    <w:rsid w:val="00702DF1"/>
    <w:rsid w:val="00702E2A"/>
    <w:rsid w:val="00702E4C"/>
    <w:rsid w:val="00703057"/>
    <w:rsid w:val="00703099"/>
    <w:rsid w:val="007030CB"/>
    <w:rsid w:val="00703161"/>
    <w:rsid w:val="00703203"/>
    <w:rsid w:val="00703376"/>
    <w:rsid w:val="00703454"/>
    <w:rsid w:val="007034CB"/>
    <w:rsid w:val="007035AF"/>
    <w:rsid w:val="007035FE"/>
    <w:rsid w:val="00703655"/>
    <w:rsid w:val="00703699"/>
    <w:rsid w:val="0070370E"/>
    <w:rsid w:val="0070381C"/>
    <w:rsid w:val="00703A1D"/>
    <w:rsid w:val="00703A2E"/>
    <w:rsid w:val="00703A48"/>
    <w:rsid w:val="00703B00"/>
    <w:rsid w:val="00703B14"/>
    <w:rsid w:val="00703B49"/>
    <w:rsid w:val="00703C38"/>
    <w:rsid w:val="00703C49"/>
    <w:rsid w:val="00703C94"/>
    <w:rsid w:val="00703C96"/>
    <w:rsid w:val="00703D43"/>
    <w:rsid w:val="00703E83"/>
    <w:rsid w:val="00703EB7"/>
    <w:rsid w:val="00704038"/>
    <w:rsid w:val="00704062"/>
    <w:rsid w:val="00704071"/>
    <w:rsid w:val="0070407B"/>
    <w:rsid w:val="00704181"/>
    <w:rsid w:val="00704349"/>
    <w:rsid w:val="007043C8"/>
    <w:rsid w:val="0070442D"/>
    <w:rsid w:val="0070466F"/>
    <w:rsid w:val="00704809"/>
    <w:rsid w:val="00704879"/>
    <w:rsid w:val="007048A1"/>
    <w:rsid w:val="00704922"/>
    <w:rsid w:val="00704961"/>
    <w:rsid w:val="00704A8C"/>
    <w:rsid w:val="00704AC0"/>
    <w:rsid w:val="00704AD8"/>
    <w:rsid w:val="00704B0B"/>
    <w:rsid w:val="00704B2E"/>
    <w:rsid w:val="00704C2C"/>
    <w:rsid w:val="00704CD6"/>
    <w:rsid w:val="00704DC3"/>
    <w:rsid w:val="00704DD0"/>
    <w:rsid w:val="00704E57"/>
    <w:rsid w:val="00704F76"/>
    <w:rsid w:val="00705014"/>
    <w:rsid w:val="007050E9"/>
    <w:rsid w:val="007051D2"/>
    <w:rsid w:val="007051EE"/>
    <w:rsid w:val="00705271"/>
    <w:rsid w:val="007052B0"/>
    <w:rsid w:val="007053D2"/>
    <w:rsid w:val="0070552E"/>
    <w:rsid w:val="00705575"/>
    <w:rsid w:val="0070563D"/>
    <w:rsid w:val="007056D4"/>
    <w:rsid w:val="007056E0"/>
    <w:rsid w:val="007057B2"/>
    <w:rsid w:val="007058FF"/>
    <w:rsid w:val="0070592C"/>
    <w:rsid w:val="00705A3F"/>
    <w:rsid w:val="00705A76"/>
    <w:rsid w:val="00705ABB"/>
    <w:rsid w:val="00705ADE"/>
    <w:rsid w:val="00705BCD"/>
    <w:rsid w:val="00705C26"/>
    <w:rsid w:val="00705C33"/>
    <w:rsid w:val="00705C79"/>
    <w:rsid w:val="00705D68"/>
    <w:rsid w:val="00705E44"/>
    <w:rsid w:val="00706093"/>
    <w:rsid w:val="007060CE"/>
    <w:rsid w:val="0070616F"/>
    <w:rsid w:val="00706234"/>
    <w:rsid w:val="00706301"/>
    <w:rsid w:val="00706340"/>
    <w:rsid w:val="0070634E"/>
    <w:rsid w:val="00706374"/>
    <w:rsid w:val="0070647A"/>
    <w:rsid w:val="007064CC"/>
    <w:rsid w:val="00706528"/>
    <w:rsid w:val="007067CB"/>
    <w:rsid w:val="007068C6"/>
    <w:rsid w:val="007068F4"/>
    <w:rsid w:val="00706968"/>
    <w:rsid w:val="007069EA"/>
    <w:rsid w:val="00706AF0"/>
    <w:rsid w:val="00706C48"/>
    <w:rsid w:val="00706CA2"/>
    <w:rsid w:val="00706CBE"/>
    <w:rsid w:val="00706CBF"/>
    <w:rsid w:val="00706DDC"/>
    <w:rsid w:val="00706EE3"/>
    <w:rsid w:val="00706F2D"/>
    <w:rsid w:val="00706F57"/>
    <w:rsid w:val="00706FC9"/>
    <w:rsid w:val="00707021"/>
    <w:rsid w:val="00707207"/>
    <w:rsid w:val="00707219"/>
    <w:rsid w:val="007072F3"/>
    <w:rsid w:val="00707357"/>
    <w:rsid w:val="007073F2"/>
    <w:rsid w:val="00707563"/>
    <w:rsid w:val="007076D3"/>
    <w:rsid w:val="0070773D"/>
    <w:rsid w:val="007077AA"/>
    <w:rsid w:val="007077BD"/>
    <w:rsid w:val="00707835"/>
    <w:rsid w:val="0070786D"/>
    <w:rsid w:val="00707988"/>
    <w:rsid w:val="007079E3"/>
    <w:rsid w:val="00707A6A"/>
    <w:rsid w:val="00707AAE"/>
    <w:rsid w:val="00707BDD"/>
    <w:rsid w:val="00707C1F"/>
    <w:rsid w:val="00707C5A"/>
    <w:rsid w:val="00707CD5"/>
    <w:rsid w:val="00707DFB"/>
    <w:rsid w:val="00707E3E"/>
    <w:rsid w:val="00707E53"/>
    <w:rsid w:val="00707ECD"/>
    <w:rsid w:val="00707F8F"/>
    <w:rsid w:val="00710002"/>
    <w:rsid w:val="00710007"/>
    <w:rsid w:val="0071011C"/>
    <w:rsid w:val="007101C7"/>
    <w:rsid w:val="00710255"/>
    <w:rsid w:val="00710295"/>
    <w:rsid w:val="00710396"/>
    <w:rsid w:val="007103CF"/>
    <w:rsid w:val="00710493"/>
    <w:rsid w:val="007104AD"/>
    <w:rsid w:val="00710567"/>
    <w:rsid w:val="0071065E"/>
    <w:rsid w:val="007106CE"/>
    <w:rsid w:val="007106DE"/>
    <w:rsid w:val="00710786"/>
    <w:rsid w:val="0071086C"/>
    <w:rsid w:val="00710880"/>
    <w:rsid w:val="0071088B"/>
    <w:rsid w:val="007108EE"/>
    <w:rsid w:val="00710951"/>
    <w:rsid w:val="00710977"/>
    <w:rsid w:val="00710A36"/>
    <w:rsid w:val="00710B1C"/>
    <w:rsid w:val="00710BF2"/>
    <w:rsid w:val="00710C04"/>
    <w:rsid w:val="00710CE6"/>
    <w:rsid w:val="00710CFC"/>
    <w:rsid w:val="00710D9D"/>
    <w:rsid w:val="00710DFF"/>
    <w:rsid w:val="00710EAE"/>
    <w:rsid w:val="00710F78"/>
    <w:rsid w:val="0071114C"/>
    <w:rsid w:val="007112A4"/>
    <w:rsid w:val="007112D2"/>
    <w:rsid w:val="00711426"/>
    <w:rsid w:val="0071146F"/>
    <w:rsid w:val="007114E8"/>
    <w:rsid w:val="00711510"/>
    <w:rsid w:val="00711529"/>
    <w:rsid w:val="007115B4"/>
    <w:rsid w:val="00711634"/>
    <w:rsid w:val="007116AE"/>
    <w:rsid w:val="007117DF"/>
    <w:rsid w:val="0071181C"/>
    <w:rsid w:val="00711882"/>
    <w:rsid w:val="007118CA"/>
    <w:rsid w:val="00711A15"/>
    <w:rsid w:val="00711A39"/>
    <w:rsid w:val="00711A78"/>
    <w:rsid w:val="00711A94"/>
    <w:rsid w:val="00711AB3"/>
    <w:rsid w:val="00711AB6"/>
    <w:rsid w:val="00711C39"/>
    <w:rsid w:val="00711E31"/>
    <w:rsid w:val="00711F5D"/>
    <w:rsid w:val="00711FC2"/>
    <w:rsid w:val="00711FDD"/>
    <w:rsid w:val="00712044"/>
    <w:rsid w:val="00712048"/>
    <w:rsid w:val="00712326"/>
    <w:rsid w:val="00712452"/>
    <w:rsid w:val="00712498"/>
    <w:rsid w:val="00712538"/>
    <w:rsid w:val="0071271B"/>
    <w:rsid w:val="0071272D"/>
    <w:rsid w:val="00712778"/>
    <w:rsid w:val="007127D7"/>
    <w:rsid w:val="00712C60"/>
    <w:rsid w:val="00712CEA"/>
    <w:rsid w:val="00712E0C"/>
    <w:rsid w:val="00712E4D"/>
    <w:rsid w:val="00712EB6"/>
    <w:rsid w:val="00712F99"/>
    <w:rsid w:val="0071318F"/>
    <w:rsid w:val="007132D5"/>
    <w:rsid w:val="00713301"/>
    <w:rsid w:val="00713332"/>
    <w:rsid w:val="00713460"/>
    <w:rsid w:val="0071346F"/>
    <w:rsid w:val="007134B2"/>
    <w:rsid w:val="00713697"/>
    <w:rsid w:val="00713755"/>
    <w:rsid w:val="00713821"/>
    <w:rsid w:val="007138C8"/>
    <w:rsid w:val="00713951"/>
    <w:rsid w:val="007139C7"/>
    <w:rsid w:val="007139FB"/>
    <w:rsid w:val="00713A49"/>
    <w:rsid w:val="00713ACD"/>
    <w:rsid w:val="00713B5F"/>
    <w:rsid w:val="00713B62"/>
    <w:rsid w:val="00713C09"/>
    <w:rsid w:val="00713C85"/>
    <w:rsid w:val="00713CBF"/>
    <w:rsid w:val="00713DD5"/>
    <w:rsid w:val="00713DF0"/>
    <w:rsid w:val="00713EB4"/>
    <w:rsid w:val="00713EF2"/>
    <w:rsid w:val="00713EF6"/>
    <w:rsid w:val="00713F20"/>
    <w:rsid w:val="00713F27"/>
    <w:rsid w:val="00714015"/>
    <w:rsid w:val="0071403D"/>
    <w:rsid w:val="007141C8"/>
    <w:rsid w:val="0071425C"/>
    <w:rsid w:val="007142BB"/>
    <w:rsid w:val="007142FD"/>
    <w:rsid w:val="0071430A"/>
    <w:rsid w:val="0071431E"/>
    <w:rsid w:val="0071434A"/>
    <w:rsid w:val="007147F9"/>
    <w:rsid w:val="0071487A"/>
    <w:rsid w:val="007148CB"/>
    <w:rsid w:val="00714A06"/>
    <w:rsid w:val="00714AE1"/>
    <w:rsid w:val="00714AE7"/>
    <w:rsid w:val="00714C9C"/>
    <w:rsid w:val="00714CC0"/>
    <w:rsid w:val="00714CEC"/>
    <w:rsid w:val="00714DDE"/>
    <w:rsid w:val="00714E48"/>
    <w:rsid w:val="00714E66"/>
    <w:rsid w:val="00714EA1"/>
    <w:rsid w:val="0071501F"/>
    <w:rsid w:val="007150DE"/>
    <w:rsid w:val="0071511E"/>
    <w:rsid w:val="0071520F"/>
    <w:rsid w:val="00715281"/>
    <w:rsid w:val="007153E4"/>
    <w:rsid w:val="007154CD"/>
    <w:rsid w:val="0071551D"/>
    <w:rsid w:val="0071554F"/>
    <w:rsid w:val="0071555B"/>
    <w:rsid w:val="0071555E"/>
    <w:rsid w:val="00715579"/>
    <w:rsid w:val="0071558E"/>
    <w:rsid w:val="00715655"/>
    <w:rsid w:val="0071569F"/>
    <w:rsid w:val="0071573A"/>
    <w:rsid w:val="0071573C"/>
    <w:rsid w:val="0071583D"/>
    <w:rsid w:val="0071596E"/>
    <w:rsid w:val="007159CA"/>
    <w:rsid w:val="007159EE"/>
    <w:rsid w:val="00715A68"/>
    <w:rsid w:val="00715AF8"/>
    <w:rsid w:val="00715B3B"/>
    <w:rsid w:val="00715C18"/>
    <w:rsid w:val="00715C36"/>
    <w:rsid w:val="00715C62"/>
    <w:rsid w:val="00715C9D"/>
    <w:rsid w:val="00715CAA"/>
    <w:rsid w:val="00715CF2"/>
    <w:rsid w:val="00715F2D"/>
    <w:rsid w:val="0071606B"/>
    <w:rsid w:val="00716083"/>
    <w:rsid w:val="0071613E"/>
    <w:rsid w:val="00716167"/>
    <w:rsid w:val="007162CA"/>
    <w:rsid w:val="00716471"/>
    <w:rsid w:val="007164F2"/>
    <w:rsid w:val="0071651A"/>
    <w:rsid w:val="00716683"/>
    <w:rsid w:val="0071675A"/>
    <w:rsid w:val="0071676F"/>
    <w:rsid w:val="0071685D"/>
    <w:rsid w:val="007169E5"/>
    <w:rsid w:val="00716B52"/>
    <w:rsid w:val="00716BA6"/>
    <w:rsid w:val="00716C7A"/>
    <w:rsid w:val="00716DB8"/>
    <w:rsid w:val="00716DF0"/>
    <w:rsid w:val="00716E2A"/>
    <w:rsid w:val="00716F2F"/>
    <w:rsid w:val="00716FD1"/>
    <w:rsid w:val="00717082"/>
    <w:rsid w:val="00717150"/>
    <w:rsid w:val="00717205"/>
    <w:rsid w:val="0071720C"/>
    <w:rsid w:val="00717216"/>
    <w:rsid w:val="00717258"/>
    <w:rsid w:val="00717277"/>
    <w:rsid w:val="007172A7"/>
    <w:rsid w:val="0071733E"/>
    <w:rsid w:val="00717346"/>
    <w:rsid w:val="0071743E"/>
    <w:rsid w:val="007174A7"/>
    <w:rsid w:val="007174E1"/>
    <w:rsid w:val="00717511"/>
    <w:rsid w:val="00717596"/>
    <w:rsid w:val="007175B8"/>
    <w:rsid w:val="00717624"/>
    <w:rsid w:val="0071762E"/>
    <w:rsid w:val="00717645"/>
    <w:rsid w:val="007176DB"/>
    <w:rsid w:val="007176E2"/>
    <w:rsid w:val="00717756"/>
    <w:rsid w:val="00717852"/>
    <w:rsid w:val="00717859"/>
    <w:rsid w:val="007178D1"/>
    <w:rsid w:val="00717A1A"/>
    <w:rsid w:val="00717C00"/>
    <w:rsid w:val="00717DDC"/>
    <w:rsid w:val="00717DEF"/>
    <w:rsid w:val="00717F11"/>
    <w:rsid w:val="00717F60"/>
    <w:rsid w:val="00720068"/>
    <w:rsid w:val="0072008D"/>
    <w:rsid w:val="007202AA"/>
    <w:rsid w:val="007202D2"/>
    <w:rsid w:val="007203F5"/>
    <w:rsid w:val="0072056F"/>
    <w:rsid w:val="0072058A"/>
    <w:rsid w:val="007205EF"/>
    <w:rsid w:val="00720805"/>
    <w:rsid w:val="0072089A"/>
    <w:rsid w:val="00720914"/>
    <w:rsid w:val="00720953"/>
    <w:rsid w:val="007209C0"/>
    <w:rsid w:val="00720BBE"/>
    <w:rsid w:val="00720C11"/>
    <w:rsid w:val="00720D04"/>
    <w:rsid w:val="00720D20"/>
    <w:rsid w:val="00720E91"/>
    <w:rsid w:val="00720EB3"/>
    <w:rsid w:val="00720F36"/>
    <w:rsid w:val="00721157"/>
    <w:rsid w:val="00721363"/>
    <w:rsid w:val="007213FD"/>
    <w:rsid w:val="00721407"/>
    <w:rsid w:val="007215AA"/>
    <w:rsid w:val="007215ED"/>
    <w:rsid w:val="007215F3"/>
    <w:rsid w:val="007217E2"/>
    <w:rsid w:val="00721C4A"/>
    <w:rsid w:val="00721F2C"/>
    <w:rsid w:val="00721F3B"/>
    <w:rsid w:val="0072201B"/>
    <w:rsid w:val="0072203C"/>
    <w:rsid w:val="0072208B"/>
    <w:rsid w:val="007220D6"/>
    <w:rsid w:val="00722122"/>
    <w:rsid w:val="00722173"/>
    <w:rsid w:val="007221F8"/>
    <w:rsid w:val="00722247"/>
    <w:rsid w:val="00722321"/>
    <w:rsid w:val="007224D0"/>
    <w:rsid w:val="00722509"/>
    <w:rsid w:val="007225EE"/>
    <w:rsid w:val="007225FB"/>
    <w:rsid w:val="0072277B"/>
    <w:rsid w:val="007227B1"/>
    <w:rsid w:val="007227FC"/>
    <w:rsid w:val="0072286B"/>
    <w:rsid w:val="00722943"/>
    <w:rsid w:val="00722A61"/>
    <w:rsid w:val="00722BC4"/>
    <w:rsid w:val="00722C9E"/>
    <w:rsid w:val="00722E26"/>
    <w:rsid w:val="00722E4C"/>
    <w:rsid w:val="00722EB2"/>
    <w:rsid w:val="00723081"/>
    <w:rsid w:val="007230A0"/>
    <w:rsid w:val="007230FD"/>
    <w:rsid w:val="00723110"/>
    <w:rsid w:val="0072321B"/>
    <w:rsid w:val="007232D2"/>
    <w:rsid w:val="00723327"/>
    <w:rsid w:val="00723581"/>
    <w:rsid w:val="0072359B"/>
    <w:rsid w:val="007235AE"/>
    <w:rsid w:val="007235FA"/>
    <w:rsid w:val="00723752"/>
    <w:rsid w:val="0072376E"/>
    <w:rsid w:val="0072384B"/>
    <w:rsid w:val="00723A26"/>
    <w:rsid w:val="00723A33"/>
    <w:rsid w:val="00723AF3"/>
    <w:rsid w:val="00723D96"/>
    <w:rsid w:val="00723E06"/>
    <w:rsid w:val="00723E66"/>
    <w:rsid w:val="00723F53"/>
    <w:rsid w:val="00723FD4"/>
    <w:rsid w:val="00724088"/>
    <w:rsid w:val="007240F3"/>
    <w:rsid w:val="007241A2"/>
    <w:rsid w:val="00724265"/>
    <w:rsid w:val="007242B6"/>
    <w:rsid w:val="007242E8"/>
    <w:rsid w:val="0072430B"/>
    <w:rsid w:val="00724310"/>
    <w:rsid w:val="0072438C"/>
    <w:rsid w:val="007243CA"/>
    <w:rsid w:val="007244A9"/>
    <w:rsid w:val="0072455B"/>
    <w:rsid w:val="0072475E"/>
    <w:rsid w:val="007247D3"/>
    <w:rsid w:val="00724829"/>
    <w:rsid w:val="007248DC"/>
    <w:rsid w:val="007248EB"/>
    <w:rsid w:val="00724912"/>
    <w:rsid w:val="007249CF"/>
    <w:rsid w:val="00724A29"/>
    <w:rsid w:val="00724A66"/>
    <w:rsid w:val="00724B1A"/>
    <w:rsid w:val="00724C89"/>
    <w:rsid w:val="00724CFF"/>
    <w:rsid w:val="00724D62"/>
    <w:rsid w:val="00724DF7"/>
    <w:rsid w:val="00724E1E"/>
    <w:rsid w:val="00724F19"/>
    <w:rsid w:val="00724FBC"/>
    <w:rsid w:val="007250F6"/>
    <w:rsid w:val="00725149"/>
    <w:rsid w:val="00725182"/>
    <w:rsid w:val="00725266"/>
    <w:rsid w:val="0072527B"/>
    <w:rsid w:val="007252CF"/>
    <w:rsid w:val="007252ED"/>
    <w:rsid w:val="00725370"/>
    <w:rsid w:val="00725377"/>
    <w:rsid w:val="007253DD"/>
    <w:rsid w:val="00725415"/>
    <w:rsid w:val="0072543E"/>
    <w:rsid w:val="00725570"/>
    <w:rsid w:val="007255D6"/>
    <w:rsid w:val="00725639"/>
    <w:rsid w:val="0072567C"/>
    <w:rsid w:val="007256A4"/>
    <w:rsid w:val="007258F2"/>
    <w:rsid w:val="00725A07"/>
    <w:rsid w:val="00725A9C"/>
    <w:rsid w:val="00725B68"/>
    <w:rsid w:val="00725BB1"/>
    <w:rsid w:val="00725E92"/>
    <w:rsid w:val="0072609B"/>
    <w:rsid w:val="007261E6"/>
    <w:rsid w:val="0072624B"/>
    <w:rsid w:val="007262E0"/>
    <w:rsid w:val="007263BF"/>
    <w:rsid w:val="0072652F"/>
    <w:rsid w:val="007265BB"/>
    <w:rsid w:val="007265DF"/>
    <w:rsid w:val="007267E0"/>
    <w:rsid w:val="0072687A"/>
    <w:rsid w:val="007268DF"/>
    <w:rsid w:val="00726909"/>
    <w:rsid w:val="00726A65"/>
    <w:rsid w:val="00726A91"/>
    <w:rsid w:val="00726AC5"/>
    <w:rsid w:val="00726B37"/>
    <w:rsid w:val="00726C29"/>
    <w:rsid w:val="00726D87"/>
    <w:rsid w:val="00726E2C"/>
    <w:rsid w:val="00726E90"/>
    <w:rsid w:val="00726EBD"/>
    <w:rsid w:val="00726F7D"/>
    <w:rsid w:val="00726FC9"/>
    <w:rsid w:val="007270F4"/>
    <w:rsid w:val="00727123"/>
    <w:rsid w:val="00727180"/>
    <w:rsid w:val="00727284"/>
    <w:rsid w:val="00727324"/>
    <w:rsid w:val="00727332"/>
    <w:rsid w:val="00727401"/>
    <w:rsid w:val="0072744B"/>
    <w:rsid w:val="0072748F"/>
    <w:rsid w:val="00727503"/>
    <w:rsid w:val="0072752E"/>
    <w:rsid w:val="00727562"/>
    <w:rsid w:val="007275F8"/>
    <w:rsid w:val="00727829"/>
    <w:rsid w:val="00727888"/>
    <w:rsid w:val="007278FE"/>
    <w:rsid w:val="00727935"/>
    <w:rsid w:val="0072793D"/>
    <w:rsid w:val="00727A39"/>
    <w:rsid w:val="00727A43"/>
    <w:rsid w:val="00727C4E"/>
    <w:rsid w:val="00727C59"/>
    <w:rsid w:val="00727DCA"/>
    <w:rsid w:val="00727EBE"/>
    <w:rsid w:val="00727F10"/>
    <w:rsid w:val="00727FE9"/>
    <w:rsid w:val="007301DC"/>
    <w:rsid w:val="00730229"/>
    <w:rsid w:val="00730231"/>
    <w:rsid w:val="00730373"/>
    <w:rsid w:val="00730721"/>
    <w:rsid w:val="0073078A"/>
    <w:rsid w:val="00730836"/>
    <w:rsid w:val="0073085B"/>
    <w:rsid w:val="0073092C"/>
    <w:rsid w:val="00730B31"/>
    <w:rsid w:val="00730B68"/>
    <w:rsid w:val="00730BF2"/>
    <w:rsid w:val="00730C2E"/>
    <w:rsid w:val="00730C7A"/>
    <w:rsid w:val="00730DED"/>
    <w:rsid w:val="00730E84"/>
    <w:rsid w:val="00730E8A"/>
    <w:rsid w:val="00730FD0"/>
    <w:rsid w:val="007310D1"/>
    <w:rsid w:val="007310D3"/>
    <w:rsid w:val="0073113A"/>
    <w:rsid w:val="00731150"/>
    <w:rsid w:val="0073116A"/>
    <w:rsid w:val="007311AC"/>
    <w:rsid w:val="007311E9"/>
    <w:rsid w:val="00731283"/>
    <w:rsid w:val="007312B6"/>
    <w:rsid w:val="00731367"/>
    <w:rsid w:val="00731398"/>
    <w:rsid w:val="0073149D"/>
    <w:rsid w:val="0073152A"/>
    <w:rsid w:val="0073159B"/>
    <w:rsid w:val="0073162C"/>
    <w:rsid w:val="00731707"/>
    <w:rsid w:val="00731767"/>
    <w:rsid w:val="007318BB"/>
    <w:rsid w:val="007318E4"/>
    <w:rsid w:val="007319FB"/>
    <w:rsid w:val="00731CCD"/>
    <w:rsid w:val="00731DB3"/>
    <w:rsid w:val="00731DCE"/>
    <w:rsid w:val="00731E43"/>
    <w:rsid w:val="00731F4C"/>
    <w:rsid w:val="007320F1"/>
    <w:rsid w:val="007321A3"/>
    <w:rsid w:val="007322BF"/>
    <w:rsid w:val="007322CF"/>
    <w:rsid w:val="007324C3"/>
    <w:rsid w:val="00732525"/>
    <w:rsid w:val="0073253C"/>
    <w:rsid w:val="0073256C"/>
    <w:rsid w:val="00732585"/>
    <w:rsid w:val="007325A8"/>
    <w:rsid w:val="00732717"/>
    <w:rsid w:val="00732A37"/>
    <w:rsid w:val="00732A5C"/>
    <w:rsid w:val="00732B46"/>
    <w:rsid w:val="00732B8D"/>
    <w:rsid w:val="00732BB5"/>
    <w:rsid w:val="00732BC6"/>
    <w:rsid w:val="00732C62"/>
    <w:rsid w:val="00732C69"/>
    <w:rsid w:val="00732CBF"/>
    <w:rsid w:val="00732CEE"/>
    <w:rsid w:val="00732DB1"/>
    <w:rsid w:val="00732E4B"/>
    <w:rsid w:val="00732E6F"/>
    <w:rsid w:val="00732E77"/>
    <w:rsid w:val="00732EAB"/>
    <w:rsid w:val="00732ED7"/>
    <w:rsid w:val="0073308B"/>
    <w:rsid w:val="0073309C"/>
    <w:rsid w:val="0073313F"/>
    <w:rsid w:val="0073316B"/>
    <w:rsid w:val="007331E9"/>
    <w:rsid w:val="0073327D"/>
    <w:rsid w:val="007332E6"/>
    <w:rsid w:val="007333B5"/>
    <w:rsid w:val="007334BB"/>
    <w:rsid w:val="00733546"/>
    <w:rsid w:val="00733691"/>
    <w:rsid w:val="007336E5"/>
    <w:rsid w:val="007336FC"/>
    <w:rsid w:val="00733740"/>
    <w:rsid w:val="00733795"/>
    <w:rsid w:val="0073381B"/>
    <w:rsid w:val="00733937"/>
    <w:rsid w:val="007339DB"/>
    <w:rsid w:val="00733AB2"/>
    <w:rsid w:val="00733B9D"/>
    <w:rsid w:val="00733D40"/>
    <w:rsid w:val="00733E10"/>
    <w:rsid w:val="00733E6E"/>
    <w:rsid w:val="00733F87"/>
    <w:rsid w:val="00733FFC"/>
    <w:rsid w:val="00734079"/>
    <w:rsid w:val="007340A8"/>
    <w:rsid w:val="007340AA"/>
    <w:rsid w:val="00734303"/>
    <w:rsid w:val="00734343"/>
    <w:rsid w:val="00734374"/>
    <w:rsid w:val="00734450"/>
    <w:rsid w:val="00734464"/>
    <w:rsid w:val="007345B2"/>
    <w:rsid w:val="00734704"/>
    <w:rsid w:val="00734785"/>
    <w:rsid w:val="007347E4"/>
    <w:rsid w:val="0073499A"/>
    <w:rsid w:val="00734AA1"/>
    <w:rsid w:val="00734B26"/>
    <w:rsid w:val="00734BE0"/>
    <w:rsid w:val="00734BF1"/>
    <w:rsid w:val="00734D07"/>
    <w:rsid w:val="00734D1A"/>
    <w:rsid w:val="00734D1E"/>
    <w:rsid w:val="00734D2E"/>
    <w:rsid w:val="00734DC7"/>
    <w:rsid w:val="00734DCC"/>
    <w:rsid w:val="00734E2E"/>
    <w:rsid w:val="00735002"/>
    <w:rsid w:val="00735016"/>
    <w:rsid w:val="007350D0"/>
    <w:rsid w:val="00735165"/>
    <w:rsid w:val="007351E6"/>
    <w:rsid w:val="007352CD"/>
    <w:rsid w:val="00735307"/>
    <w:rsid w:val="00735430"/>
    <w:rsid w:val="007354BA"/>
    <w:rsid w:val="00735617"/>
    <w:rsid w:val="00735821"/>
    <w:rsid w:val="007358A3"/>
    <w:rsid w:val="007358CF"/>
    <w:rsid w:val="007358D4"/>
    <w:rsid w:val="00735988"/>
    <w:rsid w:val="00735A0C"/>
    <w:rsid w:val="00735AF9"/>
    <w:rsid w:val="00735B2D"/>
    <w:rsid w:val="00735D4E"/>
    <w:rsid w:val="00735DD5"/>
    <w:rsid w:val="00735DF1"/>
    <w:rsid w:val="00735EE3"/>
    <w:rsid w:val="00735FB5"/>
    <w:rsid w:val="00736204"/>
    <w:rsid w:val="0073623C"/>
    <w:rsid w:val="00736387"/>
    <w:rsid w:val="007363E6"/>
    <w:rsid w:val="00736456"/>
    <w:rsid w:val="007364E5"/>
    <w:rsid w:val="007364FE"/>
    <w:rsid w:val="007365F0"/>
    <w:rsid w:val="00736680"/>
    <w:rsid w:val="00736761"/>
    <w:rsid w:val="00736799"/>
    <w:rsid w:val="00736963"/>
    <w:rsid w:val="00736967"/>
    <w:rsid w:val="00736B27"/>
    <w:rsid w:val="00736BE0"/>
    <w:rsid w:val="00736C7A"/>
    <w:rsid w:val="00736C95"/>
    <w:rsid w:val="00736D91"/>
    <w:rsid w:val="00736D9F"/>
    <w:rsid w:val="0073707C"/>
    <w:rsid w:val="007371B2"/>
    <w:rsid w:val="007371FF"/>
    <w:rsid w:val="00737238"/>
    <w:rsid w:val="00737322"/>
    <w:rsid w:val="00737334"/>
    <w:rsid w:val="007373BC"/>
    <w:rsid w:val="007373CA"/>
    <w:rsid w:val="007373DA"/>
    <w:rsid w:val="0073743B"/>
    <w:rsid w:val="0073752F"/>
    <w:rsid w:val="00737A13"/>
    <w:rsid w:val="00737B48"/>
    <w:rsid w:val="00737CF7"/>
    <w:rsid w:val="00737DC6"/>
    <w:rsid w:val="00737E3B"/>
    <w:rsid w:val="00737E97"/>
    <w:rsid w:val="00737E9A"/>
    <w:rsid w:val="00737F19"/>
    <w:rsid w:val="00737F8D"/>
    <w:rsid w:val="00737FA7"/>
    <w:rsid w:val="0073BF28"/>
    <w:rsid w:val="00740014"/>
    <w:rsid w:val="00740077"/>
    <w:rsid w:val="0074007F"/>
    <w:rsid w:val="0074013E"/>
    <w:rsid w:val="00740219"/>
    <w:rsid w:val="0074027F"/>
    <w:rsid w:val="0074039B"/>
    <w:rsid w:val="00740517"/>
    <w:rsid w:val="00740529"/>
    <w:rsid w:val="00740537"/>
    <w:rsid w:val="00740545"/>
    <w:rsid w:val="00740571"/>
    <w:rsid w:val="00740575"/>
    <w:rsid w:val="0074057A"/>
    <w:rsid w:val="007405C9"/>
    <w:rsid w:val="00740693"/>
    <w:rsid w:val="007406BC"/>
    <w:rsid w:val="00740773"/>
    <w:rsid w:val="0074080E"/>
    <w:rsid w:val="00740859"/>
    <w:rsid w:val="007408AA"/>
    <w:rsid w:val="007408AC"/>
    <w:rsid w:val="00740996"/>
    <w:rsid w:val="007409B0"/>
    <w:rsid w:val="00740AE0"/>
    <w:rsid w:val="00740B42"/>
    <w:rsid w:val="00740C38"/>
    <w:rsid w:val="00740C4D"/>
    <w:rsid w:val="00740C74"/>
    <w:rsid w:val="00740C7D"/>
    <w:rsid w:val="00740CF6"/>
    <w:rsid w:val="00740D58"/>
    <w:rsid w:val="00740DD7"/>
    <w:rsid w:val="00740E40"/>
    <w:rsid w:val="00740E68"/>
    <w:rsid w:val="00740E88"/>
    <w:rsid w:val="0074102F"/>
    <w:rsid w:val="0074103A"/>
    <w:rsid w:val="00741090"/>
    <w:rsid w:val="007410B1"/>
    <w:rsid w:val="007411E4"/>
    <w:rsid w:val="007412FE"/>
    <w:rsid w:val="00741388"/>
    <w:rsid w:val="00741473"/>
    <w:rsid w:val="00741484"/>
    <w:rsid w:val="007414BF"/>
    <w:rsid w:val="007414D7"/>
    <w:rsid w:val="007414FA"/>
    <w:rsid w:val="007415C3"/>
    <w:rsid w:val="00741821"/>
    <w:rsid w:val="0074189C"/>
    <w:rsid w:val="00741923"/>
    <w:rsid w:val="00741960"/>
    <w:rsid w:val="007419D6"/>
    <w:rsid w:val="00741AEA"/>
    <w:rsid w:val="00741B05"/>
    <w:rsid w:val="00741BF9"/>
    <w:rsid w:val="00741CAA"/>
    <w:rsid w:val="00741CD9"/>
    <w:rsid w:val="00741D71"/>
    <w:rsid w:val="00741DEF"/>
    <w:rsid w:val="00741E02"/>
    <w:rsid w:val="00741E09"/>
    <w:rsid w:val="00741E49"/>
    <w:rsid w:val="00741EDD"/>
    <w:rsid w:val="00741FC7"/>
    <w:rsid w:val="00742078"/>
    <w:rsid w:val="007421B3"/>
    <w:rsid w:val="007421C4"/>
    <w:rsid w:val="00742270"/>
    <w:rsid w:val="00742291"/>
    <w:rsid w:val="007422D6"/>
    <w:rsid w:val="00742382"/>
    <w:rsid w:val="007423BC"/>
    <w:rsid w:val="00742458"/>
    <w:rsid w:val="00742893"/>
    <w:rsid w:val="007428F4"/>
    <w:rsid w:val="0074292C"/>
    <w:rsid w:val="00742974"/>
    <w:rsid w:val="0074297C"/>
    <w:rsid w:val="0074299D"/>
    <w:rsid w:val="007429F1"/>
    <w:rsid w:val="00742A01"/>
    <w:rsid w:val="00742A82"/>
    <w:rsid w:val="00742AFC"/>
    <w:rsid w:val="00742B19"/>
    <w:rsid w:val="00742B48"/>
    <w:rsid w:val="00742DDD"/>
    <w:rsid w:val="00742E6E"/>
    <w:rsid w:val="00742F40"/>
    <w:rsid w:val="007430BF"/>
    <w:rsid w:val="007431A6"/>
    <w:rsid w:val="00743285"/>
    <w:rsid w:val="007432BF"/>
    <w:rsid w:val="007435E3"/>
    <w:rsid w:val="00743632"/>
    <w:rsid w:val="0074365B"/>
    <w:rsid w:val="0074374F"/>
    <w:rsid w:val="00743834"/>
    <w:rsid w:val="00743884"/>
    <w:rsid w:val="007438A4"/>
    <w:rsid w:val="007439C7"/>
    <w:rsid w:val="007439FC"/>
    <w:rsid w:val="00743A6D"/>
    <w:rsid w:val="00743B18"/>
    <w:rsid w:val="00743B2B"/>
    <w:rsid w:val="00743B32"/>
    <w:rsid w:val="00743B63"/>
    <w:rsid w:val="00743B67"/>
    <w:rsid w:val="00743B80"/>
    <w:rsid w:val="00743CB3"/>
    <w:rsid w:val="00743CDF"/>
    <w:rsid w:val="00743D0C"/>
    <w:rsid w:val="00743D39"/>
    <w:rsid w:val="00743DEF"/>
    <w:rsid w:val="00743E47"/>
    <w:rsid w:val="00743F60"/>
    <w:rsid w:val="00743F77"/>
    <w:rsid w:val="00743FB6"/>
    <w:rsid w:val="00743FC3"/>
    <w:rsid w:val="00744016"/>
    <w:rsid w:val="00744025"/>
    <w:rsid w:val="007440BE"/>
    <w:rsid w:val="007441DD"/>
    <w:rsid w:val="00744225"/>
    <w:rsid w:val="007442B2"/>
    <w:rsid w:val="007444E1"/>
    <w:rsid w:val="0074454B"/>
    <w:rsid w:val="007445A7"/>
    <w:rsid w:val="0074460C"/>
    <w:rsid w:val="00744645"/>
    <w:rsid w:val="007446EB"/>
    <w:rsid w:val="00744734"/>
    <w:rsid w:val="00744777"/>
    <w:rsid w:val="007447AD"/>
    <w:rsid w:val="007447CF"/>
    <w:rsid w:val="0074480F"/>
    <w:rsid w:val="007448C7"/>
    <w:rsid w:val="007449B9"/>
    <w:rsid w:val="00744A15"/>
    <w:rsid w:val="00744A39"/>
    <w:rsid w:val="00744AD0"/>
    <w:rsid w:val="00744C01"/>
    <w:rsid w:val="00744C58"/>
    <w:rsid w:val="00744CB5"/>
    <w:rsid w:val="00744CB9"/>
    <w:rsid w:val="00744D65"/>
    <w:rsid w:val="00744DDC"/>
    <w:rsid w:val="00744E89"/>
    <w:rsid w:val="00744F27"/>
    <w:rsid w:val="00744F4D"/>
    <w:rsid w:val="00744F61"/>
    <w:rsid w:val="0074509A"/>
    <w:rsid w:val="007450CC"/>
    <w:rsid w:val="0074510E"/>
    <w:rsid w:val="00745190"/>
    <w:rsid w:val="00745194"/>
    <w:rsid w:val="007451F3"/>
    <w:rsid w:val="007451F7"/>
    <w:rsid w:val="0074528E"/>
    <w:rsid w:val="007452A5"/>
    <w:rsid w:val="007453EB"/>
    <w:rsid w:val="0074540D"/>
    <w:rsid w:val="0074547B"/>
    <w:rsid w:val="00745482"/>
    <w:rsid w:val="007454A5"/>
    <w:rsid w:val="00745541"/>
    <w:rsid w:val="0074565F"/>
    <w:rsid w:val="007456B4"/>
    <w:rsid w:val="007456C5"/>
    <w:rsid w:val="007456F9"/>
    <w:rsid w:val="0074575F"/>
    <w:rsid w:val="00745777"/>
    <w:rsid w:val="00745796"/>
    <w:rsid w:val="007457A4"/>
    <w:rsid w:val="007458EB"/>
    <w:rsid w:val="007458EC"/>
    <w:rsid w:val="0074598B"/>
    <w:rsid w:val="00745A7F"/>
    <w:rsid w:val="00745A9B"/>
    <w:rsid w:val="00745B5A"/>
    <w:rsid w:val="00745B61"/>
    <w:rsid w:val="00745C48"/>
    <w:rsid w:val="00745CBF"/>
    <w:rsid w:val="00745D37"/>
    <w:rsid w:val="00745D47"/>
    <w:rsid w:val="00745D8D"/>
    <w:rsid w:val="00745DE6"/>
    <w:rsid w:val="00745E2D"/>
    <w:rsid w:val="00745E71"/>
    <w:rsid w:val="00745E9E"/>
    <w:rsid w:val="00745F86"/>
    <w:rsid w:val="00745FA2"/>
    <w:rsid w:val="007460D0"/>
    <w:rsid w:val="00746150"/>
    <w:rsid w:val="0074619A"/>
    <w:rsid w:val="007461A7"/>
    <w:rsid w:val="007463E7"/>
    <w:rsid w:val="00746414"/>
    <w:rsid w:val="007464B8"/>
    <w:rsid w:val="007464C0"/>
    <w:rsid w:val="007464E6"/>
    <w:rsid w:val="00746580"/>
    <w:rsid w:val="00746587"/>
    <w:rsid w:val="007465DC"/>
    <w:rsid w:val="0074663B"/>
    <w:rsid w:val="00746664"/>
    <w:rsid w:val="0074678A"/>
    <w:rsid w:val="00746877"/>
    <w:rsid w:val="007468B9"/>
    <w:rsid w:val="007469EE"/>
    <w:rsid w:val="00746A82"/>
    <w:rsid w:val="00746A86"/>
    <w:rsid w:val="00746B73"/>
    <w:rsid w:val="00746B94"/>
    <w:rsid w:val="00746C3B"/>
    <w:rsid w:val="00746D91"/>
    <w:rsid w:val="00746DB9"/>
    <w:rsid w:val="00746E68"/>
    <w:rsid w:val="00746E79"/>
    <w:rsid w:val="00746E7E"/>
    <w:rsid w:val="00746E81"/>
    <w:rsid w:val="00746F08"/>
    <w:rsid w:val="00746F32"/>
    <w:rsid w:val="00747003"/>
    <w:rsid w:val="00747071"/>
    <w:rsid w:val="007470B7"/>
    <w:rsid w:val="007470EB"/>
    <w:rsid w:val="00747125"/>
    <w:rsid w:val="00747142"/>
    <w:rsid w:val="00747152"/>
    <w:rsid w:val="00747282"/>
    <w:rsid w:val="007473A7"/>
    <w:rsid w:val="007473B0"/>
    <w:rsid w:val="007473B6"/>
    <w:rsid w:val="007473F1"/>
    <w:rsid w:val="007474C6"/>
    <w:rsid w:val="00747690"/>
    <w:rsid w:val="007476F7"/>
    <w:rsid w:val="00747727"/>
    <w:rsid w:val="00747807"/>
    <w:rsid w:val="00747830"/>
    <w:rsid w:val="0074796E"/>
    <w:rsid w:val="00747B5F"/>
    <w:rsid w:val="00747C67"/>
    <w:rsid w:val="00747CE5"/>
    <w:rsid w:val="00747ED7"/>
    <w:rsid w:val="00747EF7"/>
    <w:rsid w:val="007500D9"/>
    <w:rsid w:val="0075015A"/>
    <w:rsid w:val="0075018E"/>
    <w:rsid w:val="0075027D"/>
    <w:rsid w:val="0075035F"/>
    <w:rsid w:val="007503CE"/>
    <w:rsid w:val="00750461"/>
    <w:rsid w:val="00750571"/>
    <w:rsid w:val="00750653"/>
    <w:rsid w:val="00750691"/>
    <w:rsid w:val="00750696"/>
    <w:rsid w:val="007506E9"/>
    <w:rsid w:val="00750795"/>
    <w:rsid w:val="007507B4"/>
    <w:rsid w:val="00750826"/>
    <w:rsid w:val="0075091E"/>
    <w:rsid w:val="007509E8"/>
    <w:rsid w:val="00750A37"/>
    <w:rsid w:val="00750A39"/>
    <w:rsid w:val="00750B58"/>
    <w:rsid w:val="00750CDA"/>
    <w:rsid w:val="00750D1D"/>
    <w:rsid w:val="00750D20"/>
    <w:rsid w:val="00750D3F"/>
    <w:rsid w:val="00750E47"/>
    <w:rsid w:val="00750E67"/>
    <w:rsid w:val="00750E81"/>
    <w:rsid w:val="00750FD5"/>
    <w:rsid w:val="00750FFA"/>
    <w:rsid w:val="007510B2"/>
    <w:rsid w:val="007510D6"/>
    <w:rsid w:val="00751154"/>
    <w:rsid w:val="00751179"/>
    <w:rsid w:val="0075130F"/>
    <w:rsid w:val="0075132F"/>
    <w:rsid w:val="007513AA"/>
    <w:rsid w:val="007514AB"/>
    <w:rsid w:val="0075165A"/>
    <w:rsid w:val="00751665"/>
    <w:rsid w:val="00751669"/>
    <w:rsid w:val="00751670"/>
    <w:rsid w:val="007516DD"/>
    <w:rsid w:val="00751791"/>
    <w:rsid w:val="00751805"/>
    <w:rsid w:val="007518ED"/>
    <w:rsid w:val="007519C7"/>
    <w:rsid w:val="00751A20"/>
    <w:rsid w:val="00751AEF"/>
    <w:rsid w:val="00751B3C"/>
    <w:rsid w:val="00751C5D"/>
    <w:rsid w:val="00751C67"/>
    <w:rsid w:val="00751C97"/>
    <w:rsid w:val="00751CB9"/>
    <w:rsid w:val="00751FE0"/>
    <w:rsid w:val="00752150"/>
    <w:rsid w:val="00752182"/>
    <w:rsid w:val="007521B4"/>
    <w:rsid w:val="007523B9"/>
    <w:rsid w:val="00752445"/>
    <w:rsid w:val="007524AA"/>
    <w:rsid w:val="00752545"/>
    <w:rsid w:val="00752608"/>
    <w:rsid w:val="0075268F"/>
    <w:rsid w:val="00752779"/>
    <w:rsid w:val="00752794"/>
    <w:rsid w:val="00752859"/>
    <w:rsid w:val="007528C2"/>
    <w:rsid w:val="007528C4"/>
    <w:rsid w:val="00752940"/>
    <w:rsid w:val="00752A8D"/>
    <w:rsid w:val="00752BC2"/>
    <w:rsid w:val="00752CB4"/>
    <w:rsid w:val="00752CD8"/>
    <w:rsid w:val="00752EF8"/>
    <w:rsid w:val="00752F50"/>
    <w:rsid w:val="007532CD"/>
    <w:rsid w:val="00753473"/>
    <w:rsid w:val="0075356F"/>
    <w:rsid w:val="00753591"/>
    <w:rsid w:val="00753601"/>
    <w:rsid w:val="00753679"/>
    <w:rsid w:val="00753721"/>
    <w:rsid w:val="00753794"/>
    <w:rsid w:val="007538F3"/>
    <w:rsid w:val="007538F5"/>
    <w:rsid w:val="0075391A"/>
    <w:rsid w:val="00753942"/>
    <w:rsid w:val="0075395E"/>
    <w:rsid w:val="00753A45"/>
    <w:rsid w:val="00753C46"/>
    <w:rsid w:val="00753C7F"/>
    <w:rsid w:val="00753CDB"/>
    <w:rsid w:val="00753CF9"/>
    <w:rsid w:val="00753D2C"/>
    <w:rsid w:val="00753D66"/>
    <w:rsid w:val="00753DD4"/>
    <w:rsid w:val="00753E7F"/>
    <w:rsid w:val="00753EC1"/>
    <w:rsid w:val="00753F6D"/>
    <w:rsid w:val="00753F7F"/>
    <w:rsid w:val="00753F81"/>
    <w:rsid w:val="00754055"/>
    <w:rsid w:val="00754096"/>
    <w:rsid w:val="007540E1"/>
    <w:rsid w:val="007540EF"/>
    <w:rsid w:val="00754160"/>
    <w:rsid w:val="007541EE"/>
    <w:rsid w:val="00754260"/>
    <w:rsid w:val="0075432B"/>
    <w:rsid w:val="00754335"/>
    <w:rsid w:val="00754641"/>
    <w:rsid w:val="00754733"/>
    <w:rsid w:val="00754775"/>
    <w:rsid w:val="007548DC"/>
    <w:rsid w:val="007548E4"/>
    <w:rsid w:val="007549C0"/>
    <w:rsid w:val="00754A5B"/>
    <w:rsid w:val="00754ABD"/>
    <w:rsid w:val="00754B05"/>
    <w:rsid w:val="00754B61"/>
    <w:rsid w:val="00754E2B"/>
    <w:rsid w:val="00754E8A"/>
    <w:rsid w:val="0075515C"/>
    <w:rsid w:val="00755373"/>
    <w:rsid w:val="007553D3"/>
    <w:rsid w:val="00755533"/>
    <w:rsid w:val="007556B6"/>
    <w:rsid w:val="0075572F"/>
    <w:rsid w:val="007558CB"/>
    <w:rsid w:val="00755AB0"/>
    <w:rsid w:val="00755B40"/>
    <w:rsid w:val="00755E01"/>
    <w:rsid w:val="00755E96"/>
    <w:rsid w:val="00755F13"/>
    <w:rsid w:val="00755F45"/>
    <w:rsid w:val="00755F89"/>
    <w:rsid w:val="00755F96"/>
    <w:rsid w:val="00756051"/>
    <w:rsid w:val="007560A2"/>
    <w:rsid w:val="00756130"/>
    <w:rsid w:val="0075625D"/>
    <w:rsid w:val="00756263"/>
    <w:rsid w:val="00756271"/>
    <w:rsid w:val="0075633F"/>
    <w:rsid w:val="00756422"/>
    <w:rsid w:val="007564F6"/>
    <w:rsid w:val="00756625"/>
    <w:rsid w:val="0075662B"/>
    <w:rsid w:val="00756674"/>
    <w:rsid w:val="0075669B"/>
    <w:rsid w:val="00756732"/>
    <w:rsid w:val="00756743"/>
    <w:rsid w:val="00756760"/>
    <w:rsid w:val="00756764"/>
    <w:rsid w:val="0075696F"/>
    <w:rsid w:val="00756BC4"/>
    <w:rsid w:val="00756CAC"/>
    <w:rsid w:val="00756CF2"/>
    <w:rsid w:val="00756E9F"/>
    <w:rsid w:val="00756F36"/>
    <w:rsid w:val="00756F69"/>
    <w:rsid w:val="00756FC2"/>
    <w:rsid w:val="00756FE2"/>
    <w:rsid w:val="0075701E"/>
    <w:rsid w:val="0075705E"/>
    <w:rsid w:val="00757096"/>
    <w:rsid w:val="0075709C"/>
    <w:rsid w:val="007570AE"/>
    <w:rsid w:val="007571B9"/>
    <w:rsid w:val="007572C9"/>
    <w:rsid w:val="007572D0"/>
    <w:rsid w:val="0075733D"/>
    <w:rsid w:val="00757368"/>
    <w:rsid w:val="007573A9"/>
    <w:rsid w:val="007573D2"/>
    <w:rsid w:val="007573E8"/>
    <w:rsid w:val="007574D6"/>
    <w:rsid w:val="00757531"/>
    <w:rsid w:val="00757556"/>
    <w:rsid w:val="0075756A"/>
    <w:rsid w:val="0075769C"/>
    <w:rsid w:val="0075787B"/>
    <w:rsid w:val="007578D5"/>
    <w:rsid w:val="007578E9"/>
    <w:rsid w:val="0075791E"/>
    <w:rsid w:val="007579B3"/>
    <w:rsid w:val="007579E4"/>
    <w:rsid w:val="00757A26"/>
    <w:rsid w:val="00757A94"/>
    <w:rsid w:val="00757B39"/>
    <w:rsid w:val="00757B5F"/>
    <w:rsid w:val="00757C58"/>
    <w:rsid w:val="00757D0E"/>
    <w:rsid w:val="00757D12"/>
    <w:rsid w:val="00757D59"/>
    <w:rsid w:val="00757E5A"/>
    <w:rsid w:val="00757F1C"/>
    <w:rsid w:val="00757F2E"/>
    <w:rsid w:val="00757FA2"/>
    <w:rsid w:val="00760001"/>
    <w:rsid w:val="00760015"/>
    <w:rsid w:val="0076001E"/>
    <w:rsid w:val="007601DA"/>
    <w:rsid w:val="0076021A"/>
    <w:rsid w:val="00760256"/>
    <w:rsid w:val="00760302"/>
    <w:rsid w:val="00760358"/>
    <w:rsid w:val="0076047C"/>
    <w:rsid w:val="00760596"/>
    <w:rsid w:val="00760682"/>
    <w:rsid w:val="0076069A"/>
    <w:rsid w:val="00760764"/>
    <w:rsid w:val="007607DB"/>
    <w:rsid w:val="007607EB"/>
    <w:rsid w:val="007607F8"/>
    <w:rsid w:val="0076083C"/>
    <w:rsid w:val="0076084A"/>
    <w:rsid w:val="00760926"/>
    <w:rsid w:val="0076094D"/>
    <w:rsid w:val="00760B9C"/>
    <w:rsid w:val="00760BC0"/>
    <w:rsid w:val="00760BF5"/>
    <w:rsid w:val="00760E30"/>
    <w:rsid w:val="00760ED4"/>
    <w:rsid w:val="00760FC8"/>
    <w:rsid w:val="00761041"/>
    <w:rsid w:val="007610A8"/>
    <w:rsid w:val="00761120"/>
    <w:rsid w:val="00761366"/>
    <w:rsid w:val="0076139E"/>
    <w:rsid w:val="007613B7"/>
    <w:rsid w:val="007613C5"/>
    <w:rsid w:val="00761445"/>
    <w:rsid w:val="00761458"/>
    <w:rsid w:val="00761460"/>
    <w:rsid w:val="0076147E"/>
    <w:rsid w:val="00761581"/>
    <w:rsid w:val="007615B6"/>
    <w:rsid w:val="007615BD"/>
    <w:rsid w:val="0076169A"/>
    <w:rsid w:val="007616D5"/>
    <w:rsid w:val="0076176E"/>
    <w:rsid w:val="0076179E"/>
    <w:rsid w:val="007617E9"/>
    <w:rsid w:val="0076193C"/>
    <w:rsid w:val="00761A16"/>
    <w:rsid w:val="00761A2E"/>
    <w:rsid w:val="00761A76"/>
    <w:rsid w:val="00761B8A"/>
    <w:rsid w:val="00761C10"/>
    <w:rsid w:val="00761C36"/>
    <w:rsid w:val="00761C5D"/>
    <w:rsid w:val="00761D21"/>
    <w:rsid w:val="00761D58"/>
    <w:rsid w:val="00761DAC"/>
    <w:rsid w:val="00761E78"/>
    <w:rsid w:val="00761EFB"/>
    <w:rsid w:val="00761F09"/>
    <w:rsid w:val="00761F33"/>
    <w:rsid w:val="00761FFE"/>
    <w:rsid w:val="0076218D"/>
    <w:rsid w:val="00762216"/>
    <w:rsid w:val="00762245"/>
    <w:rsid w:val="00762344"/>
    <w:rsid w:val="007623C9"/>
    <w:rsid w:val="00762400"/>
    <w:rsid w:val="00762503"/>
    <w:rsid w:val="007625F9"/>
    <w:rsid w:val="007626C0"/>
    <w:rsid w:val="007626DB"/>
    <w:rsid w:val="007627E4"/>
    <w:rsid w:val="00762811"/>
    <w:rsid w:val="0076283A"/>
    <w:rsid w:val="00762B39"/>
    <w:rsid w:val="00762C32"/>
    <w:rsid w:val="00762C9C"/>
    <w:rsid w:val="00762DA4"/>
    <w:rsid w:val="00762DEC"/>
    <w:rsid w:val="00762F85"/>
    <w:rsid w:val="00762FC7"/>
    <w:rsid w:val="00763073"/>
    <w:rsid w:val="007630DA"/>
    <w:rsid w:val="007631D2"/>
    <w:rsid w:val="007632A6"/>
    <w:rsid w:val="0076337B"/>
    <w:rsid w:val="007633E5"/>
    <w:rsid w:val="00763506"/>
    <w:rsid w:val="007635F6"/>
    <w:rsid w:val="00763675"/>
    <w:rsid w:val="007636B9"/>
    <w:rsid w:val="00763844"/>
    <w:rsid w:val="007638EF"/>
    <w:rsid w:val="007638FE"/>
    <w:rsid w:val="00763A50"/>
    <w:rsid w:val="00763B2B"/>
    <w:rsid w:val="00763B85"/>
    <w:rsid w:val="00763BA2"/>
    <w:rsid w:val="00763C2F"/>
    <w:rsid w:val="00763C49"/>
    <w:rsid w:val="00763CF0"/>
    <w:rsid w:val="00763D1D"/>
    <w:rsid w:val="00763E0B"/>
    <w:rsid w:val="00763E68"/>
    <w:rsid w:val="00763F0C"/>
    <w:rsid w:val="00763FED"/>
    <w:rsid w:val="00764025"/>
    <w:rsid w:val="00764120"/>
    <w:rsid w:val="00764226"/>
    <w:rsid w:val="007642B1"/>
    <w:rsid w:val="00764339"/>
    <w:rsid w:val="00764394"/>
    <w:rsid w:val="007643D5"/>
    <w:rsid w:val="00764449"/>
    <w:rsid w:val="007644DF"/>
    <w:rsid w:val="00764588"/>
    <w:rsid w:val="0076460E"/>
    <w:rsid w:val="00764679"/>
    <w:rsid w:val="007646BD"/>
    <w:rsid w:val="0076474B"/>
    <w:rsid w:val="007647A8"/>
    <w:rsid w:val="00764980"/>
    <w:rsid w:val="00764AC6"/>
    <w:rsid w:val="00764AE5"/>
    <w:rsid w:val="00764C2C"/>
    <w:rsid w:val="00764D31"/>
    <w:rsid w:val="00764DEF"/>
    <w:rsid w:val="00764E84"/>
    <w:rsid w:val="00764F4A"/>
    <w:rsid w:val="00764F8B"/>
    <w:rsid w:val="00765026"/>
    <w:rsid w:val="00765120"/>
    <w:rsid w:val="007651E9"/>
    <w:rsid w:val="0076520A"/>
    <w:rsid w:val="0076525F"/>
    <w:rsid w:val="00765308"/>
    <w:rsid w:val="00765465"/>
    <w:rsid w:val="00765571"/>
    <w:rsid w:val="007655A3"/>
    <w:rsid w:val="007655CC"/>
    <w:rsid w:val="00765676"/>
    <w:rsid w:val="007656D8"/>
    <w:rsid w:val="00765746"/>
    <w:rsid w:val="0076574B"/>
    <w:rsid w:val="00765773"/>
    <w:rsid w:val="00765908"/>
    <w:rsid w:val="00765C49"/>
    <w:rsid w:val="00765CC6"/>
    <w:rsid w:val="00765E02"/>
    <w:rsid w:val="00765EF2"/>
    <w:rsid w:val="00765F54"/>
    <w:rsid w:val="00766079"/>
    <w:rsid w:val="00766194"/>
    <w:rsid w:val="0076620F"/>
    <w:rsid w:val="00766346"/>
    <w:rsid w:val="0076634D"/>
    <w:rsid w:val="00766374"/>
    <w:rsid w:val="007664E9"/>
    <w:rsid w:val="00766539"/>
    <w:rsid w:val="00766612"/>
    <w:rsid w:val="00766742"/>
    <w:rsid w:val="00766751"/>
    <w:rsid w:val="007667AF"/>
    <w:rsid w:val="00766C1A"/>
    <w:rsid w:val="00766CE9"/>
    <w:rsid w:val="00766D58"/>
    <w:rsid w:val="00766DA0"/>
    <w:rsid w:val="00766E15"/>
    <w:rsid w:val="00766E66"/>
    <w:rsid w:val="00766EBE"/>
    <w:rsid w:val="00766F99"/>
    <w:rsid w:val="007670F3"/>
    <w:rsid w:val="00767119"/>
    <w:rsid w:val="00767136"/>
    <w:rsid w:val="00767173"/>
    <w:rsid w:val="007672FC"/>
    <w:rsid w:val="007673C0"/>
    <w:rsid w:val="007675DF"/>
    <w:rsid w:val="0076760C"/>
    <w:rsid w:val="007676B6"/>
    <w:rsid w:val="00767718"/>
    <w:rsid w:val="0076772A"/>
    <w:rsid w:val="0076780D"/>
    <w:rsid w:val="00767833"/>
    <w:rsid w:val="0076785B"/>
    <w:rsid w:val="007678DE"/>
    <w:rsid w:val="00767961"/>
    <w:rsid w:val="007679A1"/>
    <w:rsid w:val="00767A25"/>
    <w:rsid w:val="00767AC8"/>
    <w:rsid w:val="00767B6D"/>
    <w:rsid w:val="00767B85"/>
    <w:rsid w:val="00767CDF"/>
    <w:rsid w:val="00767E63"/>
    <w:rsid w:val="00767ECF"/>
    <w:rsid w:val="00767F74"/>
    <w:rsid w:val="00767F89"/>
    <w:rsid w:val="007700F8"/>
    <w:rsid w:val="00770113"/>
    <w:rsid w:val="00770131"/>
    <w:rsid w:val="007701DF"/>
    <w:rsid w:val="007702AA"/>
    <w:rsid w:val="007702F8"/>
    <w:rsid w:val="00770363"/>
    <w:rsid w:val="007703F9"/>
    <w:rsid w:val="00770572"/>
    <w:rsid w:val="007705B1"/>
    <w:rsid w:val="00770611"/>
    <w:rsid w:val="0077069C"/>
    <w:rsid w:val="007706C8"/>
    <w:rsid w:val="00770835"/>
    <w:rsid w:val="0077094A"/>
    <w:rsid w:val="00770981"/>
    <w:rsid w:val="00770A58"/>
    <w:rsid w:val="00770ACC"/>
    <w:rsid w:val="00770C7F"/>
    <w:rsid w:val="00770C82"/>
    <w:rsid w:val="00770C8B"/>
    <w:rsid w:val="00770CB2"/>
    <w:rsid w:val="00770D1D"/>
    <w:rsid w:val="00770DB0"/>
    <w:rsid w:val="00770F4E"/>
    <w:rsid w:val="007710A2"/>
    <w:rsid w:val="00771122"/>
    <w:rsid w:val="0077140B"/>
    <w:rsid w:val="007714A3"/>
    <w:rsid w:val="0077158D"/>
    <w:rsid w:val="007715A7"/>
    <w:rsid w:val="0077168C"/>
    <w:rsid w:val="0077171E"/>
    <w:rsid w:val="00771780"/>
    <w:rsid w:val="007717C9"/>
    <w:rsid w:val="0077181D"/>
    <w:rsid w:val="00771845"/>
    <w:rsid w:val="007718F1"/>
    <w:rsid w:val="00771965"/>
    <w:rsid w:val="0077196B"/>
    <w:rsid w:val="007719A8"/>
    <w:rsid w:val="00771A49"/>
    <w:rsid w:val="00771A73"/>
    <w:rsid w:val="00771BFE"/>
    <w:rsid w:val="00771CB4"/>
    <w:rsid w:val="00771CB7"/>
    <w:rsid w:val="00771DB9"/>
    <w:rsid w:val="00771DD6"/>
    <w:rsid w:val="00771E14"/>
    <w:rsid w:val="00771E35"/>
    <w:rsid w:val="00771E3D"/>
    <w:rsid w:val="00771E9E"/>
    <w:rsid w:val="00771F1B"/>
    <w:rsid w:val="00771F30"/>
    <w:rsid w:val="0077201A"/>
    <w:rsid w:val="0077204F"/>
    <w:rsid w:val="007720DF"/>
    <w:rsid w:val="007720E7"/>
    <w:rsid w:val="00772110"/>
    <w:rsid w:val="0077218B"/>
    <w:rsid w:val="007721F0"/>
    <w:rsid w:val="0077227F"/>
    <w:rsid w:val="00772311"/>
    <w:rsid w:val="00772394"/>
    <w:rsid w:val="007723CD"/>
    <w:rsid w:val="00772439"/>
    <w:rsid w:val="00772476"/>
    <w:rsid w:val="00772580"/>
    <w:rsid w:val="007725D6"/>
    <w:rsid w:val="007725E1"/>
    <w:rsid w:val="00772603"/>
    <w:rsid w:val="00772798"/>
    <w:rsid w:val="0077291A"/>
    <w:rsid w:val="0077295F"/>
    <w:rsid w:val="00772998"/>
    <w:rsid w:val="00772A2D"/>
    <w:rsid w:val="00772A99"/>
    <w:rsid w:val="00772BC0"/>
    <w:rsid w:val="00772C06"/>
    <w:rsid w:val="00772C29"/>
    <w:rsid w:val="00772D03"/>
    <w:rsid w:val="00772D50"/>
    <w:rsid w:val="00772E64"/>
    <w:rsid w:val="00772EE2"/>
    <w:rsid w:val="00772EEF"/>
    <w:rsid w:val="00772F30"/>
    <w:rsid w:val="00772F95"/>
    <w:rsid w:val="00772FB0"/>
    <w:rsid w:val="00772FBC"/>
    <w:rsid w:val="00772FFB"/>
    <w:rsid w:val="007731AE"/>
    <w:rsid w:val="007733F4"/>
    <w:rsid w:val="007734C2"/>
    <w:rsid w:val="0077350F"/>
    <w:rsid w:val="00773536"/>
    <w:rsid w:val="0077363D"/>
    <w:rsid w:val="007736AF"/>
    <w:rsid w:val="007736E8"/>
    <w:rsid w:val="00773771"/>
    <w:rsid w:val="007737EF"/>
    <w:rsid w:val="0077383A"/>
    <w:rsid w:val="007738C4"/>
    <w:rsid w:val="007738FE"/>
    <w:rsid w:val="0077390F"/>
    <w:rsid w:val="00773918"/>
    <w:rsid w:val="00773AAA"/>
    <w:rsid w:val="00773AC4"/>
    <w:rsid w:val="00773AF7"/>
    <w:rsid w:val="00773BA7"/>
    <w:rsid w:val="00773C51"/>
    <w:rsid w:val="00773D24"/>
    <w:rsid w:val="00773D4C"/>
    <w:rsid w:val="00773DB6"/>
    <w:rsid w:val="00773E73"/>
    <w:rsid w:val="00773E95"/>
    <w:rsid w:val="00773F0E"/>
    <w:rsid w:val="0077406D"/>
    <w:rsid w:val="007740DC"/>
    <w:rsid w:val="007741A9"/>
    <w:rsid w:val="007741AC"/>
    <w:rsid w:val="007741E5"/>
    <w:rsid w:val="007742B9"/>
    <w:rsid w:val="007742CF"/>
    <w:rsid w:val="007743A1"/>
    <w:rsid w:val="00774461"/>
    <w:rsid w:val="00774578"/>
    <w:rsid w:val="00774588"/>
    <w:rsid w:val="0077462B"/>
    <w:rsid w:val="007746E0"/>
    <w:rsid w:val="00774730"/>
    <w:rsid w:val="00774755"/>
    <w:rsid w:val="007747BC"/>
    <w:rsid w:val="00774890"/>
    <w:rsid w:val="0077494F"/>
    <w:rsid w:val="00774993"/>
    <w:rsid w:val="007749FB"/>
    <w:rsid w:val="00774BE5"/>
    <w:rsid w:val="00774C1D"/>
    <w:rsid w:val="00774C2B"/>
    <w:rsid w:val="00774C2E"/>
    <w:rsid w:val="00774CB5"/>
    <w:rsid w:val="00774CC1"/>
    <w:rsid w:val="00774CD9"/>
    <w:rsid w:val="00774D61"/>
    <w:rsid w:val="00774DB0"/>
    <w:rsid w:val="00774E23"/>
    <w:rsid w:val="00774FA9"/>
    <w:rsid w:val="00775016"/>
    <w:rsid w:val="00775018"/>
    <w:rsid w:val="007750AF"/>
    <w:rsid w:val="0077528F"/>
    <w:rsid w:val="0077529B"/>
    <w:rsid w:val="007753BB"/>
    <w:rsid w:val="007753C6"/>
    <w:rsid w:val="00775489"/>
    <w:rsid w:val="0077557B"/>
    <w:rsid w:val="00775595"/>
    <w:rsid w:val="0077564F"/>
    <w:rsid w:val="00775719"/>
    <w:rsid w:val="007757D0"/>
    <w:rsid w:val="00775868"/>
    <w:rsid w:val="0077598E"/>
    <w:rsid w:val="00775AA3"/>
    <w:rsid w:val="00775AF9"/>
    <w:rsid w:val="00775B1F"/>
    <w:rsid w:val="00775CDF"/>
    <w:rsid w:val="00775D79"/>
    <w:rsid w:val="00775DCB"/>
    <w:rsid w:val="00775E42"/>
    <w:rsid w:val="00775EB3"/>
    <w:rsid w:val="00775ED3"/>
    <w:rsid w:val="00775F76"/>
    <w:rsid w:val="00775FB8"/>
    <w:rsid w:val="00776046"/>
    <w:rsid w:val="00776124"/>
    <w:rsid w:val="0077614F"/>
    <w:rsid w:val="007761A2"/>
    <w:rsid w:val="007761B1"/>
    <w:rsid w:val="00776216"/>
    <w:rsid w:val="0077623A"/>
    <w:rsid w:val="00776254"/>
    <w:rsid w:val="00776289"/>
    <w:rsid w:val="007762A5"/>
    <w:rsid w:val="007762BF"/>
    <w:rsid w:val="00776440"/>
    <w:rsid w:val="00776495"/>
    <w:rsid w:val="007764B8"/>
    <w:rsid w:val="00776537"/>
    <w:rsid w:val="0077657D"/>
    <w:rsid w:val="007765CE"/>
    <w:rsid w:val="00776731"/>
    <w:rsid w:val="00776755"/>
    <w:rsid w:val="0077677A"/>
    <w:rsid w:val="007767BF"/>
    <w:rsid w:val="007768B2"/>
    <w:rsid w:val="00776905"/>
    <w:rsid w:val="00776AB5"/>
    <w:rsid w:val="00776BB3"/>
    <w:rsid w:val="00776C8C"/>
    <w:rsid w:val="00776E35"/>
    <w:rsid w:val="00776F68"/>
    <w:rsid w:val="00776F81"/>
    <w:rsid w:val="00777085"/>
    <w:rsid w:val="007773A4"/>
    <w:rsid w:val="00777425"/>
    <w:rsid w:val="007774AC"/>
    <w:rsid w:val="0077756B"/>
    <w:rsid w:val="00777693"/>
    <w:rsid w:val="007776B0"/>
    <w:rsid w:val="007776C0"/>
    <w:rsid w:val="007776EC"/>
    <w:rsid w:val="0077776D"/>
    <w:rsid w:val="0077780B"/>
    <w:rsid w:val="0077789F"/>
    <w:rsid w:val="007779DB"/>
    <w:rsid w:val="00777A2F"/>
    <w:rsid w:val="00777A93"/>
    <w:rsid w:val="00777AC9"/>
    <w:rsid w:val="00777B14"/>
    <w:rsid w:val="00777D10"/>
    <w:rsid w:val="00777D30"/>
    <w:rsid w:val="00777D42"/>
    <w:rsid w:val="00777D5A"/>
    <w:rsid w:val="00777E83"/>
    <w:rsid w:val="00777E9F"/>
    <w:rsid w:val="00777F9D"/>
    <w:rsid w:val="00777FA6"/>
    <w:rsid w:val="0078005E"/>
    <w:rsid w:val="007801AE"/>
    <w:rsid w:val="00780569"/>
    <w:rsid w:val="00780601"/>
    <w:rsid w:val="007807E9"/>
    <w:rsid w:val="00780822"/>
    <w:rsid w:val="00780898"/>
    <w:rsid w:val="007808D2"/>
    <w:rsid w:val="0078096B"/>
    <w:rsid w:val="007809D0"/>
    <w:rsid w:val="007809E8"/>
    <w:rsid w:val="00780C3A"/>
    <w:rsid w:val="00780C88"/>
    <w:rsid w:val="00780CD4"/>
    <w:rsid w:val="00780D8E"/>
    <w:rsid w:val="00780E77"/>
    <w:rsid w:val="00780EC2"/>
    <w:rsid w:val="00780F71"/>
    <w:rsid w:val="00780FB5"/>
    <w:rsid w:val="00780FB9"/>
    <w:rsid w:val="00781004"/>
    <w:rsid w:val="00781010"/>
    <w:rsid w:val="007810B3"/>
    <w:rsid w:val="0078110F"/>
    <w:rsid w:val="0078115D"/>
    <w:rsid w:val="007811FB"/>
    <w:rsid w:val="007812D7"/>
    <w:rsid w:val="00781320"/>
    <w:rsid w:val="0078134B"/>
    <w:rsid w:val="00781403"/>
    <w:rsid w:val="0078147A"/>
    <w:rsid w:val="007814D0"/>
    <w:rsid w:val="00781523"/>
    <w:rsid w:val="007815B0"/>
    <w:rsid w:val="00781642"/>
    <w:rsid w:val="0078166C"/>
    <w:rsid w:val="0078167E"/>
    <w:rsid w:val="00781686"/>
    <w:rsid w:val="007816D2"/>
    <w:rsid w:val="00781800"/>
    <w:rsid w:val="00781819"/>
    <w:rsid w:val="00781830"/>
    <w:rsid w:val="0078188A"/>
    <w:rsid w:val="0078194E"/>
    <w:rsid w:val="00781968"/>
    <w:rsid w:val="0078196B"/>
    <w:rsid w:val="007819B7"/>
    <w:rsid w:val="007819CE"/>
    <w:rsid w:val="00781A43"/>
    <w:rsid w:val="00781AE4"/>
    <w:rsid w:val="00781AF5"/>
    <w:rsid w:val="00781AFC"/>
    <w:rsid w:val="00781B82"/>
    <w:rsid w:val="00781BBD"/>
    <w:rsid w:val="00781D01"/>
    <w:rsid w:val="00781D61"/>
    <w:rsid w:val="00781DB0"/>
    <w:rsid w:val="00781F5F"/>
    <w:rsid w:val="00781F71"/>
    <w:rsid w:val="00782002"/>
    <w:rsid w:val="0078201B"/>
    <w:rsid w:val="00782143"/>
    <w:rsid w:val="007821C8"/>
    <w:rsid w:val="0078225A"/>
    <w:rsid w:val="007822D2"/>
    <w:rsid w:val="007822EB"/>
    <w:rsid w:val="007824E4"/>
    <w:rsid w:val="00782581"/>
    <w:rsid w:val="007826BE"/>
    <w:rsid w:val="00782754"/>
    <w:rsid w:val="0078276B"/>
    <w:rsid w:val="00782787"/>
    <w:rsid w:val="0078285D"/>
    <w:rsid w:val="00782930"/>
    <w:rsid w:val="00782946"/>
    <w:rsid w:val="007829CF"/>
    <w:rsid w:val="007829E0"/>
    <w:rsid w:val="00782A4C"/>
    <w:rsid w:val="00782CE3"/>
    <w:rsid w:val="00782DB7"/>
    <w:rsid w:val="00782DBE"/>
    <w:rsid w:val="00782EF1"/>
    <w:rsid w:val="00782F06"/>
    <w:rsid w:val="00782F2D"/>
    <w:rsid w:val="00782F37"/>
    <w:rsid w:val="00782F46"/>
    <w:rsid w:val="0078304C"/>
    <w:rsid w:val="00783278"/>
    <w:rsid w:val="007832A4"/>
    <w:rsid w:val="007832FE"/>
    <w:rsid w:val="00783399"/>
    <w:rsid w:val="007833BD"/>
    <w:rsid w:val="00783431"/>
    <w:rsid w:val="0078343A"/>
    <w:rsid w:val="00783518"/>
    <w:rsid w:val="007835B8"/>
    <w:rsid w:val="0078378F"/>
    <w:rsid w:val="0078395F"/>
    <w:rsid w:val="0078396C"/>
    <w:rsid w:val="00783977"/>
    <w:rsid w:val="00783996"/>
    <w:rsid w:val="00783A09"/>
    <w:rsid w:val="00783B0F"/>
    <w:rsid w:val="00783B64"/>
    <w:rsid w:val="00783B8F"/>
    <w:rsid w:val="00783BAA"/>
    <w:rsid w:val="00783C2C"/>
    <w:rsid w:val="00783C2F"/>
    <w:rsid w:val="00783C96"/>
    <w:rsid w:val="00783D06"/>
    <w:rsid w:val="00783DEB"/>
    <w:rsid w:val="00784052"/>
    <w:rsid w:val="0078414B"/>
    <w:rsid w:val="0078416A"/>
    <w:rsid w:val="007841EB"/>
    <w:rsid w:val="00784282"/>
    <w:rsid w:val="007842DE"/>
    <w:rsid w:val="00784355"/>
    <w:rsid w:val="007846A1"/>
    <w:rsid w:val="007848A0"/>
    <w:rsid w:val="00784934"/>
    <w:rsid w:val="0078499A"/>
    <w:rsid w:val="007849E1"/>
    <w:rsid w:val="00784A26"/>
    <w:rsid w:val="00784A62"/>
    <w:rsid w:val="00784C45"/>
    <w:rsid w:val="00784CC9"/>
    <w:rsid w:val="00784CD0"/>
    <w:rsid w:val="00784DCA"/>
    <w:rsid w:val="00784DF7"/>
    <w:rsid w:val="00784E07"/>
    <w:rsid w:val="00784ECE"/>
    <w:rsid w:val="00784ED1"/>
    <w:rsid w:val="00785011"/>
    <w:rsid w:val="00785116"/>
    <w:rsid w:val="0078517D"/>
    <w:rsid w:val="007851D4"/>
    <w:rsid w:val="007852AE"/>
    <w:rsid w:val="00785328"/>
    <w:rsid w:val="0078535D"/>
    <w:rsid w:val="007853BB"/>
    <w:rsid w:val="0078548F"/>
    <w:rsid w:val="007854B3"/>
    <w:rsid w:val="007854D1"/>
    <w:rsid w:val="00785640"/>
    <w:rsid w:val="0078580E"/>
    <w:rsid w:val="00785830"/>
    <w:rsid w:val="007859B2"/>
    <w:rsid w:val="007859C3"/>
    <w:rsid w:val="007859F0"/>
    <w:rsid w:val="00785A2C"/>
    <w:rsid w:val="00785BC7"/>
    <w:rsid w:val="00785C0D"/>
    <w:rsid w:val="00785C57"/>
    <w:rsid w:val="00785D74"/>
    <w:rsid w:val="00785F61"/>
    <w:rsid w:val="00786038"/>
    <w:rsid w:val="00786094"/>
    <w:rsid w:val="00786120"/>
    <w:rsid w:val="0078613A"/>
    <w:rsid w:val="00786182"/>
    <w:rsid w:val="007861D0"/>
    <w:rsid w:val="00786290"/>
    <w:rsid w:val="00786293"/>
    <w:rsid w:val="007862D5"/>
    <w:rsid w:val="007862EE"/>
    <w:rsid w:val="0078644E"/>
    <w:rsid w:val="00786585"/>
    <w:rsid w:val="0078659C"/>
    <w:rsid w:val="007865A4"/>
    <w:rsid w:val="00786649"/>
    <w:rsid w:val="00786765"/>
    <w:rsid w:val="007867F2"/>
    <w:rsid w:val="00786809"/>
    <w:rsid w:val="00786914"/>
    <w:rsid w:val="007869EC"/>
    <w:rsid w:val="00786B58"/>
    <w:rsid w:val="00786B8C"/>
    <w:rsid w:val="00786BB8"/>
    <w:rsid w:val="00786DB6"/>
    <w:rsid w:val="00786DBC"/>
    <w:rsid w:val="00786DC9"/>
    <w:rsid w:val="00786FDD"/>
    <w:rsid w:val="00787125"/>
    <w:rsid w:val="007871E8"/>
    <w:rsid w:val="0078727B"/>
    <w:rsid w:val="007872D2"/>
    <w:rsid w:val="007872D3"/>
    <w:rsid w:val="00787312"/>
    <w:rsid w:val="00787418"/>
    <w:rsid w:val="0078749B"/>
    <w:rsid w:val="007874BF"/>
    <w:rsid w:val="007874C4"/>
    <w:rsid w:val="00787517"/>
    <w:rsid w:val="00787523"/>
    <w:rsid w:val="007875BF"/>
    <w:rsid w:val="0078766F"/>
    <w:rsid w:val="007876A2"/>
    <w:rsid w:val="007876A3"/>
    <w:rsid w:val="007876CC"/>
    <w:rsid w:val="00787748"/>
    <w:rsid w:val="00787770"/>
    <w:rsid w:val="00787821"/>
    <w:rsid w:val="00787943"/>
    <w:rsid w:val="0078796F"/>
    <w:rsid w:val="00787AA1"/>
    <w:rsid w:val="00787B37"/>
    <w:rsid w:val="00787BA4"/>
    <w:rsid w:val="00787D4A"/>
    <w:rsid w:val="00787D55"/>
    <w:rsid w:val="00787D83"/>
    <w:rsid w:val="00787DDE"/>
    <w:rsid w:val="00787F2C"/>
    <w:rsid w:val="00787FA4"/>
    <w:rsid w:val="0079008B"/>
    <w:rsid w:val="00790157"/>
    <w:rsid w:val="00790173"/>
    <w:rsid w:val="007901BA"/>
    <w:rsid w:val="00790227"/>
    <w:rsid w:val="00790286"/>
    <w:rsid w:val="0079030C"/>
    <w:rsid w:val="00790313"/>
    <w:rsid w:val="0079044A"/>
    <w:rsid w:val="007904A3"/>
    <w:rsid w:val="0079052C"/>
    <w:rsid w:val="0079054E"/>
    <w:rsid w:val="007907D1"/>
    <w:rsid w:val="007907E4"/>
    <w:rsid w:val="00790849"/>
    <w:rsid w:val="00790A4A"/>
    <w:rsid w:val="00790A75"/>
    <w:rsid w:val="00790AA3"/>
    <w:rsid w:val="00790ACF"/>
    <w:rsid w:val="00790AD3"/>
    <w:rsid w:val="00790B4C"/>
    <w:rsid w:val="00790B53"/>
    <w:rsid w:val="00790C45"/>
    <w:rsid w:val="00790C5D"/>
    <w:rsid w:val="00790D02"/>
    <w:rsid w:val="00790D16"/>
    <w:rsid w:val="00790DD4"/>
    <w:rsid w:val="00790EBE"/>
    <w:rsid w:val="00790EC3"/>
    <w:rsid w:val="00790F9B"/>
    <w:rsid w:val="0079102B"/>
    <w:rsid w:val="007910F1"/>
    <w:rsid w:val="00791248"/>
    <w:rsid w:val="007912A2"/>
    <w:rsid w:val="00791367"/>
    <w:rsid w:val="007913B0"/>
    <w:rsid w:val="007914A1"/>
    <w:rsid w:val="007915D8"/>
    <w:rsid w:val="007917CE"/>
    <w:rsid w:val="00791873"/>
    <w:rsid w:val="00791977"/>
    <w:rsid w:val="00791B10"/>
    <w:rsid w:val="00791B2E"/>
    <w:rsid w:val="00791C7F"/>
    <w:rsid w:val="00791C8A"/>
    <w:rsid w:val="00791D40"/>
    <w:rsid w:val="00791D90"/>
    <w:rsid w:val="00791E3A"/>
    <w:rsid w:val="00791F68"/>
    <w:rsid w:val="00791F8F"/>
    <w:rsid w:val="00791FBB"/>
    <w:rsid w:val="007921CB"/>
    <w:rsid w:val="00792286"/>
    <w:rsid w:val="007922A5"/>
    <w:rsid w:val="00792474"/>
    <w:rsid w:val="007924AF"/>
    <w:rsid w:val="0079251A"/>
    <w:rsid w:val="00792599"/>
    <w:rsid w:val="007925CE"/>
    <w:rsid w:val="00792726"/>
    <w:rsid w:val="007927DC"/>
    <w:rsid w:val="00792832"/>
    <w:rsid w:val="00792886"/>
    <w:rsid w:val="007928FC"/>
    <w:rsid w:val="007929BB"/>
    <w:rsid w:val="00792A8F"/>
    <w:rsid w:val="00792AE1"/>
    <w:rsid w:val="00792B62"/>
    <w:rsid w:val="00792C2E"/>
    <w:rsid w:val="00792C90"/>
    <w:rsid w:val="00792CE1"/>
    <w:rsid w:val="00792CEA"/>
    <w:rsid w:val="00792D10"/>
    <w:rsid w:val="00792D19"/>
    <w:rsid w:val="00792D96"/>
    <w:rsid w:val="00792DE7"/>
    <w:rsid w:val="00792E7B"/>
    <w:rsid w:val="00792F0A"/>
    <w:rsid w:val="007930AF"/>
    <w:rsid w:val="007930B9"/>
    <w:rsid w:val="00793167"/>
    <w:rsid w:val="007931FD"/>
    <w:rsid w:val="00793287"/>
    <w:rsid w:val="007932F1"/>
    <w:rsid w:val="00793303"/>
    <w:rsid w:val="007933BD"/>
    <w:rsid w:val="0079343F"/>
    <w:rsid w:val="007934A8"/>
    <w:rsid w:val="0079354F"/>
    <w:rsid w:val="007936F4"/>
    <w:rsid w:val="007938CA"/>
    <w:rsid w:val="00793BD9"/>
    <w:rsid w:val="00793C88"/>
    <w:rsid w:val="00793D0A"/>
    <w:rsid w:val="00793D12"/>
    <w:rsid w:val="00793D19"/>
    <w:rsid w:val="00793EA6"/>
    <w:rsid w:val="00793EDB"/>
    <w:rsid w:val="00793EF0"/>
    <w:rsid w:val="00793F91"/>
    <w:rsid w:val="00793F92"/>
    <w:rsid w:val="0079404A"/>
    <w:rsid w:val="00794084"/>
    <w:rsid w:val="0079408C"/>
    <w:rsid w:val="007940DB"/>
    <w:rsid w:val="00794185"/>
    <w:rsid w:val="007941CD"/>
    <w:rsid w:val="00794214"/>
    <w:rsid w:val="00794246"/>
    <w:rsid w:val="00794280"/>
    <w:rsid w:val="007943F9"/>
    <w:rsid w:val="00794479"/>
    <w:rsid w:val="007944D0"/>
    <w:rsid w:val="007944F5"/>
    <w:rsid w:val="0079459E"/>
    <w:rsid w:val="00794710"/>
    <w:rsid w:val="007947A2"/>
    <w:rsid w:val="00794836"/>
    <w:rsid w:val="00794869"/>
    <w:rsid w:val="00794899"/>
    <w:rsid w:val="007948EC"/>
    <w:rsid w:val="00794994"/>
    <w:rsid w:val="00794BC0"/>
    <w:rsid w:val="00794C0B"/>
    <w:rsid w:val="00794C1F"/>
    <w:rsid w:val="00794C36"/>
    <w:rsid w:val="00794D8C"/>
    <w:rsid w:val="00794E02"/>
    <w:rsid w:val="00794E1E"/>
    <w:rsid w:val="00794F50"/>
    <w:rsid w:val="00795035"/>
    <w:rsid w:val="0079508A"/>
    <w:rsid w:val="007950AB"/>
    <w:rsid w:val="007950F0"/>
    <w:rsid w:val="007951C3"/>
    <w:rsid w:val="007951D4"/>
    <w:rsid w:val="00795264"/>
    <w:rsid w:val="007952E8"/>
    <w:rsid w:val="007953AE"/>
    <w:rsid w:val="00795418"/>
    <w:rsid w:val="0079547A"/>
    <w:rsid w:val="00795507"/>
    <w:rsid w:val="00795731"/>
    <w:rsid w:val="00795821"/>
    <w:rsid w:val="00795826"/>
    <w:rsid w:val="0079587C"/>
    <w:rsid w:val="00795893"/>
    <w:rsid w:val="007959D7"/>
    <w:rsid w:val="00795AD1"/>
    <w:rsid w:val="00795B64"/>
    <w:rsid w:val="00795C92"/>
    <w:rsid w:val="00795DC7"/>
    <w:rsid w:val="00795E5A"/>
    <w:rsid w:val="00795F0A"/>
    <w:rsid w:val="00795FD0"/>
    <w:rsid w:val="007961A9"/>
    <w:rsid w:val="007961AC"/>
    <w:rsid w:val="007961C1"/>
    <w:rsid w:val="00796206"/>
    <w:rsid w:val="0079651E"/>
    <w:rsid w:val="00796590"/>
    <w:rsid w:val="007965D1"/>
    <w:rsid w:val="0079670F"/>
    <w:rsid w:val="00796711"/>
    <w:rsid w:val="00796805"/>
    <w:rsid w:val="00796819"/>
    <w:rsid w:val="007968AA"/>
    <w:rsid w:val="0079697C"/>
    <w:rsid w:val="00796A23"/>
    <w:rsid w:val="00796A90"/>
    <w:rsid w:val="00796B16"/>
    <w:rsid w:val="00796B4F"/>
    <w:rsid w:val="00796BC8"/>
    <w:rsid w:val="00796BCB"/>
    <w:rsid w:val="00796C10"/>
    <w:rsid w:val="00796C7A"/>
    <w:rsid w:val="00796CF3"/>
    <w:rsid w:val="00796D62"/>
    <w:rsid w:val="00796DAF"/>
    <w:rsid w:val="00796E47"/>
    <w:rsid w:val="00796FED"/>
    <w:rsid w:val="00797053"/>
    <w:rsid w:val="0079707D"/>
    <w:rsid w:val="007970D2"/>
    <w:rsid w:val="007970D7"/>
    <w:rsid w:val="007970E1"/>
    <w:rsid w:val="0079726B"/>
    <w:rsid w:val="00797310"/>
    <w:rsid w:val="00797342"/>
    <w:rsid w:val="0079738B"/>
    <w:rsid w:val="00797390"/>
    <w:rsid w:val="00797399"/>
    <w:rsid w:val="007973D6"/>
    <w:rsid w:val="0079740A"/>
    <w:rsid w:val="00797413"/>
    <w:rsid w:val="0079744F"/>
    <w:rsid w:val="007974A6"/>
    <w:rsid w:val="007974A7"/>
    <w:rsid w:val="007975C3"/>
    <w:rsid w:val="007976E3"/>
    <w:rsid w:val="0079777F"/>
    <w:rsid w:val="007977BF"/>
    <w:rsid w:val="007977C8"/>
    <w:rsid w:val="0079787C"/>
    <w:rsid w:val="0079792E"/>
    <w:rsid w:val="0079795C"/>
    <w:rsid w:val="007979D8"/>
    <w:rsid w:val="00797A63"/>
    <w:rsid w:val="00797AB6"/>
    <w:rsid w:val="00797ACF"/>
    <w:rsid w:val="00797AFB"/>
    <w:rsid w:val="00797BD5"/>
    <w:rsid w:val="00797C14"/>
    <w:rsid w:val="00797C88"/>
    <w:rsid w:val="00797CB8"/>
    <w:rsid w:val="00797D34"/>
    <w:rsid w:val="00797F32"/>
    <w:rsid w:val="007A0047"/>
    <w:rsid w:val="007A0048"/>
    <w:rsid w:val="007A00D7"/>
    <w:rsid w:val="007A0160"/>
    <w:rsid w:val="007A0282"/>
    <w:rsid w:val="007A028B"/>
    <w:rsid w:val="007A03C4"/>
    <w:rsid w:val="007A042B"/>
    <w:rsid w:val="007A04A8"/>
    <w:rsid w:val="007A0505"/>
    <w:rsid w:val="007A0509"/>
    <w:rsid w:val="007A051C"/>
    <w:rsid w:val="007A0551"/>
    <w:rsid w:val="007A0552"/>
    <w:rsid w:val="007A0556"/>
    <w:rsid w:val="007A0647"/>
    <w:rsid w:val="007A06DA"/>
    <w:rsid w:val="007A0715"/>
    <w:rsid w:val="007A07A1"/>
    <w:rsid w:val="007A07A7"/>
    <w:rsid w:val="007A09E3"/>
    <w:rsid w:val="007A0C4C"/>
    <w:rsid w:val="007A0DE9"/>
    <w:rsid w:val="007A0E5C"/>
    <w:rsid w:val="007A0EB7"/>
    <w:rsid w:val="007A0EEA"/>
    <w:rsid w:val="007A0F20"/>
    <w:rsid w:val="007A0F76"/>
    <w:rsid w:val="007A1067"/>
    <w:rsid w:val="007A109E"/>
    <w:rsid w:val="007A10C5"/>
    <w:rsid w:val="007A1148"/>
    <w:rsid w:val="007A11C7"/>
    <w:rsid w:val="007A1228"/>
    <w:rsid w:val="007A123B"/>
    <w:rsid w:val="007A124F"/>
    <w:rsid w:val="007A126A"/>
    <w:rsid w:val="007A126D"/>
    <w:rsid w:val="007A12DF"/>
    <w:rsid w:val="007A1339"/>
    <w:rsid w:val="007A134C"/>
    <w:rsid w:val="007A13E3"/>
    <w:rsid w:val="007A14A6"/>
    <w:rsid w:val="007A1516"/>
    <w:rsid w:val="007A15CB"/>
    <w:rsid w:val="007A1661"/>
    <w:rsid w:val="007A174A"/>
    <w:rsid w:val="007A175A"/>
    <w:rsid w:val="007A1794"/>
    <w:rsid w:val="007A19CA"/>
    <w:rsid w:val="007A1B26"/>
    <w:rsid w:val="007A1B32"/>
    <w:rsid w:val="007A1BC0"/>
    <w:rsid w:val="007A1BDF"/>
    <w:rsid w:val="007A1BFF"/>
    <w:rsid w:val="007A1C22"/>
    <w:rsid w:val="007A1C8F"/>
    <w:rsid w:val="007A1E42"/>
    <w:rsid w:val="007A1F47"/>
    <w:rsid w:val="007A1FD4"/>
    <w:rsid w:val="007A1FFF"/>
    <w:rsid w:val="007A2008"/>
    <w:rsid w:val="007A2108"/>
    <w:rsid w:val="007A2243"/>
    <w:rsid w:val="007A2312"/>
    <w:rsid w:val="007A2329"/>
    <w:rsid w:val="007A23DB"/>
    <w:rsid w:val="007A23F1"/>
    <w:rsid w:val="007A2417"/>
    <w:rsid w:val="007A245B"/>
    <w:rsid w:val="007A24C1"/>
    <w:rsid w:val="007A2532"/>
    <w:rsid w:val="007A253A"/>
    <w:rsid w:val="007A2544"/>
    <w:rsid w:val="007A2635"/>
    <w:rsid w:val="007A269D"/>
    <w:rsid w:val="007A2715"/>
    <w:rsid w:val="007A2797"/>
    <w:rsid w:val="007A27D4"/>
    <w:rsid w:val="007A28A5"/>
    <w:rsid w:val="007A28DF"/>
    <w:rsid w:val="007A2999"/>
    <w:rsid w:val="007A2AB5"/>
    <w:rsid w:val="007A2AE8"/>
    <w:rsid w:val="007A2AF7"/>
    <w:rsid w:val="007A2B80"/>
    <w:rsid w:val="007A2BC9"/>
    <w:rsid w:val="007A2C87"/>
    <w:rsid w:val="007A2D3E"/>
    <w:rsid w:val="007A2DE6"/>
    <w:rsid w:val="007A2E6B"/>
    <w:rsid w:val="007A2EB9"/>
    <w:rsid w:val="007A2EE2"/>
    <w:rsid w:val="007A2F0D"/>
    <w:rsid w:val="007A2F59"/>
    <w:rsid w:val="007A2F63"/>
    <w:rsid w:val="007A3027"/>
    <w:rsid w:val="007A311B"/>
    <w:rsid w:val="007A3167"/>
    <w:rsid w:val="007A31BB"/>
    <w:rsid w:val="007A3224"/>
    <w:rsid w:val="007A325A"/>
    <w:rsid w:val="007A32B8"/>
    <w:rsid w:val="007A32C1"/>
    <w:rsid w:val="007A353B"/>
    <w:rsid w:val="007A3606"/>
    <w:rsid w:val="007A3621"/>
    <w:rsid w:val="007A36A7"/>
    <w:rsid w:val="007A36DF"/>
    <w:rsid w:val="007A36E7"/>
    <w:rsid w:val="007A36F0"/>
    <w:rsid w:val="007A374B"/>
    <w:rsid w:val="007A37BA"/>
    <w:rsid w:val="007A37E7"/>
    <w:rsid w:val="007A388F"/>
    <w:rsid w:val="007A389E"/>
    <w:rsid w:val="007A38C1"/>
    <w:rsid w:val="007A39FC"/>
    <w:rsid w:val="007A3A52"/>
    <w:rsid w:val="007A3BE3"/>
    <w:rsid w:val="007A3BF5"/>
    <w:rsid w:val="007A3C95"/>
    <w:rsid w:val="007A3CA3"/>
    <w:rsid w:val="007A3CCE"/>
    <w:rsid w:val="007A3D93"/>
    <w:rsid w:val="007A3E26"/>
    <w:rsid w:val="007A3EA1"/>
    <w:rsid w:val="007A3EE4"/>
    <w:rsid w:val="007A3FB8"/>
    <w:rsid w:val="007A3FED"/>
    <w:rsid w:val="007A411D"/>
    <w:rsid w:val="007A415E"/>
    <w:rsid w:val="007A41D0"/>
    <w:rsid w:val="007A41E9"/>
    <w:rsid w:val="007A4249"/>
    <w:rsid w:val="007A42DB"/>
    <w:rsid w:val="007A43E1"/>
    <w:rsid w:val="007A451D"/>
    <w:rsid w:val="007A462F"/>
    <w:rsid w:val="007A46CD"/>
    <w:rsid w:val="007A4866"/>
    <w:rsid w:val="007A4871"/>
    <w:rsid w:val="007A4ADE"/>
    <w:rsid w:val="007A4B3B"/>
    <w:rsid w:val="007A4B7C"/>
    <w:rsid w:val="007A4BE2"/>
    <w:rsid w:val="007A4D57"/>
    <w:rsid w:val="007A4D68"/>
    <w:rsid w:val="007A4DE0"/>
    <w:rsid w:val="007A4EC5"/>
    <w:rsid w:val="007A4EE8"/>
    <w:rsid w:val="007A4F92"/>
    <w:rsid w:val="007A5005"/>
    <w:rsid w:val="007A516A"/>
    <w:rsid w:val="007A5198"/>
    <w:rsid w:val="007A51F1"/>
    <w:rsid w:val="007A5230"/>
    <w:rsid w:val="007A538D"/>
    <w:rsid w:val="007A5402"/>
    <w:rsid w:val="007A5462"/>
    <w:rsid w:val="007A5467"/>
    <w:rsid w:val="007A54C8"/>
    <w:rsid w:val="007A558E"/>
    <w:rsid w:val="007A55C8"/>
    <w:rsid w:val="007A57B5"/>
    <w:rsid w:val="007A5826"/>
    <w:rsid w:val="007A589E"/>
    <w:rsid w:val="007A5934"/>
    <w:rsid w:val="007A5A71"/>
    <w:rsid w:val="007A5B65"/>
    <w:rsid w:val="007A5CCE"/>
    <w:rsid w:val="007A5CD8"/>
    <w:rsid w:val="007A5CFB"/>
    <w:rsid w:val="007A5D17"/>
    <w:rsid w:val="007A5D52"/>
    <w:rsid w:val="007A5D6A"/>
    <w:rsid w:val="007A5D87"/>
    <w:rsid w:val="007A5DC3"/>
    <w:rsid w:val="007A5E7D"/>
    <w:rsid w:val="007A5ED9"/>
    <w:rsid w:val="007A61C3"/>
    <w:rsid w:val="007A61E9"/>
    <w:rsid w:val="007A6221"/>
    <w:rsid w:val="007A6322"/>
    <w:rsid w:val="007A6373"/>
    <w:rsid w:val="007A6384"/>
    <w:rsid w:val="007A63F0"/>
    <w:rsid w:val="007A64E2"/>
    <w:rsid w:val="007A64EA"/>
    <w:rsid w:val="007A6538"/>
    <w:rsid w:val="007A65DC"/>
    <w:rsid w:val="007A662F"/>
    <w:rsid w:val="007A67D8"/>
    <w:rsid w:val="007A686C"/>
    <w:rsid w:val="007A6A24"/>
    <w:rsid w:val="007A6BBF"/>
    <w:rsid w:val="007A6BCF"/>
    <w:rsid w:val="007A6CB8"/>
    <w:rsid w:val="007A6D73"/>
    <w:rsid w:val="007A6E3D"/>
    <w:rsid w:val="007A6E5E"/>
    <w:rsid w:val="007A6E6F"/>
    <w:rsid w:val="007A6EB4"/>
    <w:rsid w:val="007A6EEA"/>
    <w:rsid w:val="007A6F8F"/>
    <w:rsid w:val="007A7017"/>
    <w:rsid w:val="007A70BD"/>
    <w:rsid w:val="007A7260"/>
    <w:rsid w:val="007A72B0"/>
    <w:rsid w:val="007A7315"/>
    <w:rsid w:val="007A7377"/>
    <w:rsid w:val="007A73C1"/>
    <w:rsid w:val="007A7491"/>
    <w:rsid w:val="007A74C6"/>
    <w:rsid w:val="007A7525"/>
    <w:rsid w:val="007A7542"/>
    <w:rsid w:val="007A75FC"/>
    <w:rsid w:val="007A760A"/>
    <w:rsid w:val="007A7637"/>
    <w:rsid w:val="007A7908"/>
    <w:rsid w:val="007A7A8A"/>
    <w:rsid w:val="007A7C37"/>
    <w:rsid w:val="007A7CDB"/>
    <w:rsid w:val="007A7DB5"/>
    <w:rsid w:val="007A7DCE"/>
    <w:rsid w:val="007A7E1F"/>
    <w:rsid w:val="007A7E73"/>
    <w:rsid w:val="007A7F72"/>
    <w:rsid w:val="007B000A"/>
    <w:rsid w:val="007B0099"/>
    <w:rsid w:val="007B024F"/>
    <w:rsid w:val="007B02B9"/>
    <w:rsid w:val="007B037F"/>
    <w:rsid w:val="007B0395"/>
    <w:rsid w:val="007B03CE"/>
    <w:rsid w:val="007B0481"/>
    <w:rsid w:val="007B050A"/>
    <w:rsid w:val="007B06D4"/>
    <w:rsid w:val="007B0703"/>
    <w:rsid w:val="007B0729"/>
    <w:rsid w:val="007B072B"/>
    <w:rsid w:val="007B095C"/>
    <w:rsid w:val="007B09A7"/>
    <w:rsid w:val="007B09A9"/>
    <w:rsid w:val="007B09D8"/>
    <w:rsid w:val="007B0A6F"/>
    <w:rsid w:val="007B0CAE"/>
    <w:rsid w:val="007B0CF7"/>
    <w:rsid w:val="007B0DA8"/>
    <w:rsid w:val="007B0DBA"/>
    <w:rsid w:val="007B0DE2"/>
    <w:rsid w:val="007B0F8D"/>
    <w:rsid w:val="007B0FFA"/>
    <w:rsid w:val="007B1130"/>
    <w:rsid w:val="007B11BE"/>
    <w:rsid w:val="007B1202"/>
    <w:rsid w:val="007B1295"/>
    <w:rsid w:val="007B1296"/>
    <w:rsid w:val="007B13BD"/>
    <w:rsid w:val="007B1511"/>
    <w:rsid w:val="007B153F"/>
    <w:rsid w:val="007B1598"/>
    <w:rsid w:val="007B15D8"/>
    <w:rsid w:val="007B15FE"/>
    <w:rsid w:val="007B164A"/>
    <w:rsid w:val="007B165F"/>
    <w:rsid w:val="007B17CA"/>
    <w:rsid w:val="007B17EE"/>
    <w:rsid w:val="007B198D"/>
    <w:rsid w:val="007B19D8"/>
    <w:rsid w:val="007B1B66"/>
    <w:rsid w:val="007B1B6F"/>
    <w:rsid w:val="007B1B9C"/>
    <w:rsid w:val="007B1BFF"/>
    <w:rsid w:val="007B1C05"/>
    <w:rsid w:val="007B1C5E"/>
    <w:rsid w:val="007B1D17"/>
    <w:rsid w:val="007B1D28"/>
    <w:rsid w:val="007B1DD0"/>
    <w:rsid w:val="007B1E06"/>
    <w:rsid w:val="007B1E72"/>
    <w:rsid w:val="007B2015"/>
    <w:rsid w:val="007B2074"/>
    <w:rsid w:val="007B2092"/>
    <w:rsid w:val="007B2109"/>
    <w:rsid w:val="007B2134"/>
    <w:rsid w:val="007B213F"/>
    <w:rsid w:val="007B21E1"/>
    <w:rsid w:val="007B225C"/>
    <w:rsid w:val="007B23B0"/>
    <w:rsid w:val="007B23FC"/>
    <w:rsid w:val="007B247F"/>
    <w:rsid w:val="007B24A0"/>
    <w:rsid w:val="007B2661"/>
    <w:rsid w:val="007B27C1"/>
    <w:rsid w:val="007B286C"/>
    <w:rsid w:val="007B2995"/>
    <w:rsid w:val="007B2A9D"/>
    <w:rsid w:val="007B2BA0"/>
    <w:rsid w:val="007B2C73"/>
    <w:rsid w:val="007B2DB6"/>
    <w:rsid w:val="007B2EA9"/>
    <w:rsid w:val="007B2F11"/>
    <w:rsid w:val="007B2F88"/>
    <w:rsid w:val="007B2FD7"/>
    <w:rsid w:val="007B2FE3"/>
    <w:rsid w:val="007B30D6"/>
    <w:rsid w:val="007B319A"/>
    <w:rsid w:val="007B31D1"/>
    <w:rsid w:val="007B323B"/>
    <w:rsid w:val="007B32BC"/>
    <w:rsid w:val="007B32E1"/>
    <w:rsid w:val="007B336E"/>
    <w:rsid w:val="007B33CB"/>
    <w:rsid w:val="007B3465"/>
    <w:rsid w:val="007B34D5"/>
    <w:rsid w:val="007B3637"/>
    <w:rsid w:val="007B36F7"/>
    <w:rsid w:val="007B371F"/>
    <w:rsid w:val="007B377A"/>
    <w:rsid w:val="007B37C2"/>
    <w:rsid w:val="007B382C"/>
    <w:rsid w:val="007B38F0"/>
    <w:rsid w:val="007B392F"/>
    <w:rsid w:val="007B3AE4"/>
    <w:rsid w:val="007B3DED"/>
    <w:rsid w:val="007B3DFF"/>
    <w:rsid w:val="007B3E9C"/>
    <w:rsid w:val="007B3FCA"/>
    <w:rsid w:val="007B4033"/>
    <w:rsid w:val="007B4080"/>
    <w:rsid w:val="007B409A"/>
    <w:rsid w:val="007B40F9"/>
    <w:rsid w:val="007B4150"/>
    <w:rsid w:val="007B416C"/>
    <w:rsid w:val="007B41AA"/>
    <w:rsid w:val="007B41C0"/>
    <w:rsid w:val="007B4378"/>
    <w:rsid w:val="007B4471"/>
    <w:rsid w:val="007B4508"/>
    <w:rsid w:val="007B45F1"/>
    <w:rsid w:val="007B4643"/>
    <w:rsid w:val="007B4725"/>
    <w:rsid w:val="007B47F9"/>
    <w:rsid w:val="007B47FD"/>
    <w:rsid w:val="007B481E"/>
    <w:rsid w:val="007B4834"/>
    <w:rsid w:val="007B48A9"/>
    <w:rsid w:val="007B48AB"/>
    <w:rsid w:val="007B48DF"/>
    <w:rsid w:val="007B498B"/>
    <w:rsid w:val="007B4A48"/>
    <w:rsid w:val="007B4AA3"/>
    <w:rsid w:val="007B4BD4"/>
    <w:rsid w:val="007B4C0C"/>
    <w:rsid w:val="007B4D8E"/>
    <w:rsid w:val="007B4DDD"/>
    <w:rsid w:val="007B4DF8"/>
    <w:rsid w:val="007B4E10"/>
    <w:rsid w:val="007B4E16"/>
    <w:rsid w:val="007B4E72"/>
    <w:rsid w:val="007B4ECF"/>
    <w:rsid w:val="007B4FE7"/>
    <w:rsid w:val="007B5029"/>
    <w:rsid w:val="007B5052"/>
    <w:rsid w:val="007B525D"/>
    <w:rsid w:val="007B536B"/>
    <w:rsid w:val="007B5450"/>
    <w:rsid w:val="007B54E0"/>
    <w:rsid w:val="007B54EF"/>
    <w:rsid w:val="007B5539"/>
    <w:rsid w:val="007B57A2"/>
    <w:rsid w:val="007B57D6"/>
    <w:rsid w:val="007B582D"/>
    <w:rsid w:val="007B5882"/>
    <w:rsid w:val="007B58A4"/>
    <w:rsid w:val="007B593A"/>
    <w:rsid w:val="007B59B6"/>
    <w:rsid w:val="007B5B5C"/>
    <w:rsid w:val="007B5C3D"/>
    <w:rsid w:val="007B5C4E"/>
    <w:rsid w:val="007B5C9E"/>
    <w:rsid w:val="007B5D2F"/>
    <w:rsid w:val="007B5D7F"/>
    <w:rsid w:val="007B5E30"/>
    <w:rsid w:val="007B5F75"/>
    <w:rsid w:val="007B5F97"/>
    <w:rsid w:val="007B60AE"/>
    <w:rsid w:val="007B61E5"/>
    <w:rsid w:val="007B62F5"/>
    <w:rsid w:val="007B63EE"/>
    <w:rsid w:val="007B644B"/>
    <w:rsid w:val="007B6553"/>
    <w:rsid w:val="007B658B"/>
    <w:rsid w:val="007B65A2"/>
    <w:rsid w:val="007B6621"/>
    <w:rsid w:val="007B6624"/>
    <w:rsid w:val="007B6758"/>
    <w:rsid w:val="007B6801"/>
    <w:rsid w:val="007B6820"/>
    <w:rsid w:val="007B688E"/>
    <w:rsid w:val="007B68EC"/>
    <w:rsid w:val="007B6946"/>
    <w:rsid w:val="007B6A52"/>
    <w:rsid w:val="007B6AB2"/>
    <w:rsid w:val="007B6CB1"/>
    <w:rsid w:val="007B6CBD"/>
    <w:rsid w:val="007B6F56"/>
    <w:rsid w:val="007B6F81"/>
    <w:rsid w:val="007B6FB2"/>
    <w:rsid w:val="007B7081"/>
    <w:rsid w:val="007B70E8"/>
    <w:rsid w:val="007B717A"/>
    <w:rsid w:val="007B7255"/>
    <w:rsid w:val="007B72D6"/>
    <w:rsid w:val="007B7317"/>
    <w:rsid w:val="007B7321"/>
    <w:rsid w:val="007B73FC"/>
    <w:rsid w:val="007B74BA"/>
    <w:rsid w:val="007B7502"/>
    <w:rsid w:val="007B75C4"/>
    <w:rsid w:val="007B75E4"/>
    <w:rsid w:val="007B7752"/>
    <w:rsid w:val="007B7782"/>
    <w:rsid w:val="007B7792"/>
    <w:rsid w:val="007B77BE"/>
    <w:rsid w:val="007B7854"/>
    <w:rsid w:val="007B79C3"/>
    <w:rsid w:val="007B7A3F"/>
    <w:rsid w:val="007B7AD5"/>
    <w:rsid w:val="007B7AE8"/>
    <w:rsid w:val="007B7B90"/>
    <w:rsid w:val="007B7BB1"/>
    <w:rsid w:val="007B7BB6"/>
    <w:rsid w:val="007B7BF3"/>
    <w:rsid w:val="007B7C6B"/>
    <w:rsid w:val="007B7C8A"/>
    <w:rsid w:val="007B7CD4"/>
    <w:rsid w:val="007B7D9D"/>
    <w:rsid w:val="007C01C0"/>
    <w:rsid w:val="007C024C"/>
    <w:rsid w:val="007C031F"/>
    <w:rsid w:val="007C03C8"/>
    <w:rsid w:val="007C0402"/>
    <w:rsid w:val="007C0407"/>
    <w:rsid w:val="007C042D"/>
    <w:rsid w:val="007C0474"/>
    <w:rsid w:val="007C0508"/>
    <w:rsid w:val="007C052E"/>
    <w:rsid w:val="007C0592"/>
    <w:rsid w:val="007C05D4"/>
    <w:rsid w:val="007C069A"/>
    <w:rsid w:val="007C077D"/>
    <w:rsid w:val="007C0780"/>
    <w:rsid w:val="007C07A2"/>
    <w:rsid w:val="007C08B9"/>
    <w:rsid w:val="007C09B2"/>
    <w:rsid w:val="007C0A8C"/>
    <w:rsid w:val="007C0B40"/>
    <w:rsid w:val="007C0B60"/>
    <w:rsid w:val="007C0C22"/>
    <w:rsid w:val="007C0C4F"/>
    <w:rsid w:val="007C0CC3"/>
    <w:rsid w:val="007C0D3C"/>
    <w:rsid w:val="007C0D9B"/>
    <w:rsid w:val="007C0DA3"/>
    <w:rsid w:val="007C0E2B"/>
    <w:rsid w:val="007C0F29"/>
    <w:rsid w:val="007C0F90"/>
    <w:rsid w:val="007C0FAE"/>
    <w:rsid w:val="007C0FBD"/>
    <w:rsid w:val="007C10E3"/>
    <w:rsid w:val="007C123A"/>
    <w:rsid w:val="007C128B"/>
    <w:rsid w:val="007C1324"/>
    <w:rsid w:val="007C1358"/>
    <w:rsid w:val="007C14B5"/>
    <w:rsid w:val="007C16FA"/>
    <w:rsid w:val="007C1850"/>
    <w:rsid w:val="007C196F"/>
    <w:rsid w:val="007C1988"/>
    <w:rsid w:val="007C1A88"/>
    <w:rsid w:val="007C1B1B"/>
    <w:rsid w:val="007C1B94"/>
    <w:rsid w:val="007C1C0C"/>
    <w:rsid w:val="007C1C15"/>
    <w:rsid w:val="007C1CC6"/>
    <w:rsid w:val="007C1CF3"/>
    <w:rsid w:val="007C1D04"/>
    <w:rsid w:val="007C1E61"/>
    <w:rsid w:val="007C1E92"/>
    <w:rsid w:val="007C1EA8"/>
    <w:rsid w:val="007C1F00"/>
    <w:rsid w:val="007C1F48"/>
    <w:rsid w:val="007C1F54"/>
    <w:rsid w:val="007C1FD5"/>
    <w:rsid w:val="007C211A"/>
    <w:rsid w:val="007C21C2"/>
    <w:rsid w:val="007C21E4"/>
    <w:rsid w:val="007C21EC"/>
    <w:rsid w:val="007C2214"/>
    <w:rsid w:val="007C2269"/>
    <w:rsid w:val="007C2295"/>
    <w:rsid w:val="007C229C"/>
    <w:rsid w:val="007C238E"/>
    <w:rsid w:val="007C23B0"/>
    <w:rsid w:val="007C248E"/>
    <w:rsid w:val="007C24A1"/>
    <w:rsid w:val="007C258E"/>
    <w:rsid w:val="007C2593"/>
    <w:rsid w:val="007C25AB"/>
    <w:rsid w:val="007C25D9"/>
    <w:rsid w:val="007C2637"/>
    <w:rsid w:val="007C2726"/>
    <w:rsid w:val="007C274E"/>
    <w:rsid w:val="007C277B"/>
    <w:rsid w:val="007C27A6"/>
    <w:rsid w:val="007C27EC"/>
    <w:rsid w:val="007C2919"/>
    <w:rsid w:val="007C29A9"/>
    <w:rsid w:val="007C29F0"/>
    <w:rsid w:val="007C2B25"/>
    <w:rsid w:val="007C2B82"/>
    <w:rsid w:val="007C2C93"/>
    <w:rsid w:val="007C2D1F"/>
    <w:rsid w:val="007C2D9A"/>
    <w:rsid w:val="007C2F47"/>
    <w:rsid w:val="007C2FA1"/>
    <w:rsid w:val="007C3014"/>
    <w:rsid w:val="007C3015"/>
    <w:rsid w:val="007C30C8"/>
    <w:rsid w:val="007C337C"/>
    <w:rsid w:val="007C3399"/>
    <w:rsid w:val="007C3564"/>
    <w:rsid w:val="007C35A3"/>
    <w:rsid w:val="007C35F1"/>
    <w:rsid w:val="007C381F"/>
    <w:rsid w:val="007C38B7"/>
    <w:rsid w:val="007C39ED"/>
    <w:rsid w:val="007C3A56"/>
    <w:rsid w:val="007C3BA9"/>
    <w:rsid w:val="007C3C63"/>
    <w:rsid w:val="007C3CD8"/>
    <w:rsid w:val="007C3CFB"/>
    <w:rsid w:val="007C3DCE"/>
    <w:rsid w:val="007C3DD6"/>
    <w:rsid w:val="007C3E0F"/>
    <w:rsid w:val="007C3E25"/>
    <w:rsid w:val="007C3E64"/>
    <w:rsid w:val="007C3F14"/>
    <w:rsid w:val="007C3FF8"/>
    <w:rsid w:val="007C4045"/>
    <w:rsid w:val="007C40E8"/>
    <w:rsid w:val="007C41DA"/>
    <w:rsid w:val="007C427A"/>
    <w:rsid w:val="007C42F7"/>
    <w:rsid w:val="007C4321"/>
    <w:rsid w:val="007C432A"/>
    <w:rsid w:val="007C43B7"/>
    <w:rsid w:val="007C44AC"/>
    <w:rsid w:val="007C459A"/>
    <w:rsid w:val="007C4668"/>
    <w:rsid w:val="007C4704"/>
    <w:rsid w:val="007C47F0"/>
    <w:rsid w:val="007C483F"/>
    <w:rsid w:val="007C48AC"/>
    <w:rsid w:val="007C4950"/>
    <w:rsid w:val="007C49C2"/>
    <w:rsid w:val="007C49FD"/>
    <w:rsid w:val="007C4B18"/>
    <w:rsid w:val="007C4BF4"/>
    <w:rsid w:val="007C4BFA"/>
    <w:rsid w:val="007C4C08"/>
    <w:rsid w:val="007C4CEF"/>
    <w:rsid w:val="007C4E0E"/>
    <w:rsid w:val="007C4E39"/>
    <w:rsid w:val="007C4E55"/>
    <w:rsid w:val="007C4E93"/>
    <w:rsid w:val="007C4F29"/>
    <w:rsid w:val="007C4F6A"/>
    <w:rsid w:val="007C4FAA"/>
    <w:rsid w:val="007C50FF"/>
    <w:rsid w:val="007C520D"/>
    <w:rsid w:val="007C52C3"/>
    <w:rsid w:val="007C52F7"/>
    <w:rsid w:val="007C530C"/>
    <w:rsid w:val="007C531C"/>
    <w:rsid w:val="007C5341"/>
    <w:rsid w:val="007C5473"/>
    <w:rsid w:val="007C5498"/>
    <w:rsid w:val="007C5593"/>
    <w:rsid w:val="007C55BF"/>
    <w:rsid w:val="007C5698"/>
    <w:rsid w:val="007C56BE"/>
    <w:rsid w:val="007C56C8"/>
    <w:rsid w:val="007C57DB"/>
    <w:rsid w:val="007C581E"/>
    <w:rsid w:val="007C5872"/>
    <w:rsid w:val="007C5A5A"/>
    <w:rsid w:val="007C5A82"/>
    <w:rsid w:val="007C5ACA"/>
    <w:rsid w:val="007C5B2F"/>
    <w:rsid w:val="007C5D03"/>
    <w:rsid w:val="007C5D5E"/>
    <w:rsid w:val="007C5E19"/>
    <w:rsid w:val="007C5F94"/>
    <w:rsid w:val="007C5FC7"/>
    <w:rsid w:val="007C61A4"/>
    <w:rsid w:val="007C627C"/>
    <w:rsid w:val="007C6321"/>
    <w:rsid w:val="007C6771"/>
    <w:rsid w:val="007C694A"/>
    <w:rsid w:val="007C6996"/>
    <w:rsid w:val="007C6A13"/>
    <w:rsid w:val="007C6AEE"/>
    <w:rsid w:val="007C6C18"/>
    <w:rsid w:val="007C6C66"/>
    <w:rsid w:val="007C6D53"/>
    <w:rsid w:val="007C6E05"/>
    <w:rsid w:val="007C6ED2"/>
    <w:rsid w:val="007C701C"/>
    <w:rsid w:val="007C70A1"/>
    <w:rsid w:val="007C7106"/>
    <w:rsid w:val="007C7112"/>
    <w:rsid w:val="007C7193"/>
    <w:rsid w:val="007C71DB"/>
    <w:rsid w:val="007C74CF"/>
    <w:rsid w:val="007C752C"/>
    <w:rsid w:val="007C756A"/>
    <w:rsid w:val="007C766C"/>
    <w:rsid w:val="007C7714"/>
    <w:rsid w:val="007C79D1"/>
    <w:rsid w:val="007C79D2"/>
    <w:rsid w:val="007C7A9E"/>
    <w:rsid w:val="007C7B7C"/>
    <w:rsid w:val="007C7C3D"/>
    <w:rsid w:val="007C7CDC"/>
    <w:rsid w:val="007C7D2E"/>
    <w:rsid w:val="007C7D58"/>
    <w:rsid w:val="007C7D6D"/>
    <w:rsid w:val="007C7FC8"/>
    <w:rsid w:val="007C7FE3"/>
    <w:rsid w:val="007D0035"/>
    <w:rsid w:val="007D014B"/>
    <w:rsid w:val="007D020E"/>
    <w:rsid w:val="007D0270"/>
    <w:rsid w:val="007D02AE"/>
    <w:rsid w:val="007D0452"/>
    <w:rsid w:val="007D04A4"/>
    <w:rsid w:val="007D0532"/>
    <w:rsid w:val="007D0753"/>
    <w:rsid w:val="007D083D"/>
    <w:rsid w:val="007D083E"/>
    <w:rsid w:val="007D088E"/>
    <w:rsid w:val="007D0939"/>
    <w:rsid w:val="007D0A14"/>
    <w:rsid w:val="007D0B9F"/>
    <w:rsid w:val="007D0BCB"/>
    <w:rsid w:val="007D0D4D"/>
    <w:rsid w:val="007D0E03"/>
    <w:rsid w:val="007D0E49"/>
    <w:rsid w:val="007D0E69"/>
    <w:rsid w:val="007D10F5"/>
    <w:rsid w:val="007D1161"/>
    <w:rsid w:val="007D11E0"/>
    <w:rsid w:val="007D123D"/>
    <w:rsid w:val="007D1242"/>
    <w:rsid w:val="007D12A6"/>
    <w:rsid w:val="007D12D3"/>
    <w:rsid w:val="007D1496"/>
    <w:rsid w:val="007D14C7"/>
    <w:rsid w:val="007D151E"/>
    <w:rsid w:val="007D168A"/>
    <w:rsid w:val="007D16A7"/>
    <w:rsid w:val="007D16E7"/>
    <w:rsid w:val="007D1729"/>
    <w:rsid w:val="007D172A"/>
    <w:rsid w:val="007D1778"/>
    <w:rsid w:val="007D17A1"/>
    <w:rsid w:val="007D185E"/>
    <w:rsid w:val="007D19DE"/>
    <w:rsid w:val="007D1A7B"/>
    <w:rsid w:val="007D1AE4"/>
    <w:rsid w:val="007D1C31"/>
    <w:rsid w:val="007D1C43"/>
    <w:rsid w:val="007D1CC1"/>
    <w:rsid w:val="007D1CD1"/>
    <w:rsid w:val="007D1D20"/>
    <w:rsid w:val="007D1D68"/>
    <w:rsid w:val="007D1DBC"/>
    <w:rsid w:val="007D1DC4"/>
    <w:rsid w:val="007D1DF2"/>
    <w:rsid w:val="007D1E50"/>
    <w:rsid w:val="007D1FCC"/>
    <w:rsid w:val="007D2012"/>
    <w:rsid w:val="007D22B2"/>
    <w:rsid w:val="007D2329"/>
    <w:rsid w:val="007D23B8"/>
    <w:rsid w:val="007D244D"/>
    <w:rsid w:val="007D247C"/>
    <w:rsid w:val="007D24F2"/>
    <w:rsid w:val="007D262E"/>
    <w:rsid w:val="007D26DA"/>
    <w:rsid w:val="007D2719"/>
    <w:rsid w:val="007D27CB"/>
    <w:rsid w:val="007D282F"/>
    <w:rsid w:val="007D283B"/>
    <w:rsid w:val="007D2894"/>
    <w:rsid w:val="007D28D4"/>
    <w:rsid w:val="007D2978"/>
    <w:rsid w:val="007D2999"/>
    <w:rsid w:val="007D299F"/>
    <w:rsid w:val="007D29F2"/>
    <w:rsid w:val="007D2A59"/>
    <w:rsid w:val="007D2AF8"/>
    <w:rsid w:val="007D2B89"/>
    <w:rsid w:val="007D2C06"/>
    <w:rsid w:val="007D2C54"/>
    <w:rsid w:val="007D2CB3"/>
    <w:rsid w:val="007D2DE2"/>
    <w:rsid w:val="007D2E31"/>
    <w:rsid w:val="007D2E54"/>
    <w:rsid w:val="007D301F"/>
    <w:rsid w:val="007D307C"/>
    <w:rsid w:val="007D317C"/>
    <w:rsid w:val="007D31A6"/>
    <w:rsid w:val="007D31AB"/>
    <w:rsid w:val="007D31F0"/>
    <w:rsid w:val="007D3227"/>
    <w:rsid w:val="007D32EC"/>
    <w:rsid w:val="007D341A"/>
    <w:rsid w:val="007D341E"/>
    <w:rsid w:val="007D3446"/>
    <w:rsid w:val="007D3475"/>
    <w:rsid w:val="007D347F"/>
    <w:rsid w:val="007D36B8"/>
    <w:rsid w:val="007D37AE"/>
    <w:rsid w:val="007D3838"/>
    <w:rsid w:val="007D38C9"/>
    <w:rsid w:val="007D3985"/>
    <w:rsid w:val="007D3A4D"/>
    <w:rsid w:val="007D3ACD"/>
    <w:rsid w:val="007D3B84"/>
    <w:rsid w:val="007D3BD8"/>
    <w:rsid w:val="007D3BF7"/>
    <w:rsid w:val="007D3DAC"/>
    <w:rsid w:val="007D3DCC"/>
    <w:rsid w:val="007D3EE5"/>
    <w:rsid w:val="007D3EE8"/>
    <w:rsid w:val="007D3EEE"/>
    <w:rsid w:val="007D3EF9"/>
    <w:rsid w:val="007D3F0A"/>
    <w:rsid w:val="007D3F26"/>
    <w:rsid w:val="007D4200"/>
    <w:rsid w:val="007D4237"/>
    <w:rsid w:val="007D42BE"/>
    <w:rsid w:val="007D4301"/>
    <w:rsid w:val="007D43DB"/>
    <w:rsid w:val="007D44CC"/>
    <w:rsid w:val="007D44FD"/>
    <w:rsid w:val="007D453C"/>
    <w:rsid w:val="007D45FC"/>
    <w:rsid w:val="007D4684"/>
    <w:rsid w:val="007D468B"/>
    <w:rsid w:val="007D4781"/>
    <w:rsid w:val="007D4882"/>
    <w:rsid w:val="007D48C9"/>
    <w:rsid w:val="007D48EA"/>
    <w:rsid w:val="007D4A3C"/>
    <w:rsid w:val="007D4A9B"/>
    <w:rsid w:val="007D4C18"/>
    <w:rsid w:val="007D4D2E"/>
    <w:rsid w:val="007D4D54"/>
    <w:rsid w:val="007D4D87"/>
    <w:rsid w:val="007D4FF3"/>
    <w:rsid w:val="007D509D"/>
    <w:rsid w:val="007D50DE"/>
    <w:rsid w:val="007D518D"/>
    <w:rsid w:val="007D51ED"/>
    <w:rsid w:val="007D51EE"/>
    <w:rsid w:val="007D53DD"/>
    <w:rsid w:val="007D5483"/>
    <w:rsid w:val="007D5490"/>
    <w:rsid w:val="007D54FA"/>
    <w:rsid w:val="007D550D"/>
    <w:rsid w:val="007D5536"/>
    <w:rsid w:val="007D5644"/>
    <w:rsid w:val="007D567A"/>
    <w:rsid w:val="007D57A2"/>
    <w:rsid w:val="007D592A"/>
    <w:rsid w:val="007D595C"/>
    <w:rsid w:val="007D5A2C"/>
    <w:rsid w:val="007D5A7A"/>
    <w:rsid w:val="007D5C0E"/>
    <w:rsid w:val="007D5DEE"/>
    <w:rsid w:val="007D5E3E"/>
    <w:rsid w:val="007D5F47"/>
    <w:rsid w:val="007D5F91"/>
    <w:rsid w:val="007D5F95"/>
    <w:rsid w:val="007D60E1"/>
    <w:rsid w:val="007D60E2"/>
    <w:rsid w:val="007D6110"/>
    <w:rsid w:val="007D6145"/>
    <w:rsid w:val="007D6170"/>
    <w:rsid w:val="007D630D"/>
    <w:rsid w:val="007D63FF"/>
    <w:rsid w:val="007D640A"/>
    <w:rsid w:val="007D6498"/>
    <w:rsid w:val="007D64BE"/>
    <w:rsid w:val="007D652B"/>
    <w:rsid w:val="007D6692"/>
    <w:rsid w:val="007D67A4"/>
    <w:rsid w:val="007D6A3F"/>
    <w:rsid w:val="007D6A96"/>
    <w:rsid w:val="007D6C77"/>
    <w:rsid w:val="007D6D50"/>
    <w:rsid w:val="007D6E54"/>
    <w:rsid w:val="007D6EEF"/>
    <w:rsid w:val="007D6FCA"/>
    <w:rsid w:val="007D7055"/>
    <w:rsid w:val="007D70AB"/>
    <w:rsid w:val="007D710B"/>
    <w:rsid w:val="007D7134"/>
    <w:rsid w:val="007D717D"/>
    <w:rsid w:val="007D73EB"/>
    <w:rsid w:val="007D73F0"/>
    <w:rsid w:val="007D73FE"/>
    <w:rsid w:val="007D746A"/>
    <w:rsid w:val="007D7713"/>
    <w:rsid w:val="007D7798"/>
    <w:rsid w:val="007D7810"/>
    <w:rsid w:val="007D79BB"/>
    <w:rsid w:val="007D7A21"/>
    <w:rsid w:val="007D7B2D"/>
    <w:rsid w:val="007D7B4A"/>
    <w:rsid w:val="007D7C0C"/>
    <w:rsid w:val="007D7CE1"/>
    <w:rsid w:val="007D7D4A"/>
    <w:rsid w:val="007D7E7B"/>
    <w:rsid w:val="007DD3F8"/>
    <w:rsid w:val="007E014C"/>
    <w:rsid w:val="007E0193"/>
    <w:rsid w:val="007E01F5"/>
    <w:rsid w:val="007E0310"/>
    <w:rsid w:val="007E0354"/>
    <w:rsid w:val="007E03A8"/>
    <w:rsid w:val="007E03B7"/>
    <w:rsid w:val="007E0584"/>
    <w:rsid w:val="007E05BB"/>
    <w:rsid w:val="007E0644"/>
    <w:rsid w:val="007E0648"/>
    <w:rsid w:val="007E064A"/>
    <w:rsid w:val="007E06B3"/>
    <w:rsid w:val="007E07EA"/>
    <w:rsid w:val="007E0994"/>
    <w:rsid w:val="007E09BB"/>
    <w:rsid w:val="007E0A17"/>
    <w:rsid w:val="007E0AED"/>
    <w:rsid w:val="007E0BF2"/>
    <w:rsid w:val="007E0C51"/>
    <w:rsid w:val="007E0CA0"/>
    <w:rsid w:val="007E0D5B"/>
    <w:rsid w:val="007E0D98"/>
    <w:rsid w:val="007E0DCD"/>
    <w:rsid w:val="007E0EE5"/>
    <w:rsid w:val="007E0F44"/>
    <w:rsid w:val="007E0F88"/>
    <w:rsid w:val="007E101A"/>
    <w:rsid w:val="007E101F"/>
    <w:rsid w:val="007E1020"/>
    <w:rsid w:val="007E1038"/>
    <w:rsid w:val="007E10A0"/>
    <w:rsid w:val="007E1100"/>
    <w:rsid w:val="007E1291"/>
    <w:rsid w:val="007E1479"/>
    <w:rsid w:val="007E148C"/>
    <w:rsid w:val="007E14F0"/>
    <w:rsid w:val="007E1600"/>
    <w:rsid w:val="007E174F"/>
    <w:rsid w:val="007E1860"/>
    <w:rsid w:val="007E193D"/>
    <w:rsid w:val="007E1A1F"/>
    <w:rsid w:val="007E1A34"/>
    <w:rsid w:val="007E1AB5"/>
    <w:rsid w:val="007E1BFE"/>
    <w:rsid w:val="007E1C8A"/>
    <w:rsid w:val="007E1C8E"/>
    <w:rsid w:val="007E1CB2"/>
    <w:rsid w:val="007E1CBD"/>
    <w:rsid w:val="007E1CCC"/>
    <w:rsid w:val="007E1CE6"/>
    <w:rsid w:val="007E1D21"/>
    <w:rsid w:val="007E1D23"/>
    <w:rsid w:val="007E1E00"/>
    <w:rsid w:val="007E1E64"/>
    <w:rsid w:val="007E1E94"/>
    <w:rsid w:val="007E1F31"/>
    <w:rsid w:val="007E1FAC"/>
    <w:rsid w:val="007E1FDE"/>
    <w:rsid w:val="007E218B"/>
    <w:rsid w:val="007E22DD"/>
    <w:rsid w:val="007E22E3"/>
    <w:rsid w:val="007E22E5"/>
    <w:rsid w:val="007E230D"/>
    <w:rsid w:val="007E25CA"/>
    <w:rsid w:val="007E2681"/>
    <w:rsid w:val="007E2840"/>
    <w:rsid w:val="007E29B6"/>
    <w:rsid w:val="007E2A74"/>
    <w:rsid w:val="007E2AA2"/>
    <w:rsid w:val="007E2ABC"/>
    <w:rsid w:val="007E2B9E"/>
    <w:rsid w:val="007E2BB5"/>
    <w:rsid w:val="007E2BE8"/>
    <w:rsid w:val="007E2BEF"/>
    <w:rsid w:val="007E2C22"/>
    <w:rsid w:val="007E2C61"/>
    <w:rsid w:val="007E2D24"/>
    <w:rsid w:val="007E2D4B"/>
    <w:rsid w:val="007E2D57"/>
    <w:rsid w:val="007E2E2A"/>
    <w:rsid w:val="007E2EEE"/>
    <w:rsid w:val="007E2F60"/>
    <w:rsid w:val="007E2FA4"/>
    <w:rsid w:val="007E30A8"/>
    <w:rsid w:val="007E312D"/>
    <w:rsid w:val="007E3172"/>
    <w:rsid w:val="007E323F"/>
    <w:rsid w:val="007E3532"/>
    <w:rsid w:val="007E357C"/>
    <w:rsid w:val="007E35DE"/>
    <w:rsid w:val="007E3615"/>
    <w:rsid w:val="007E365A"/>
    <w:rsid w:val="007E3696"/>
    <w:rsid w:val="007E36AD"/>
    <w:rsid w:val="007E370E"/>
    <w:rsid w:val="007E37C8"/>
    <w:rsid w:val="007E3871"/>
    <w:rsid w:val="007E3920"/>
    <w:rsid w:val="007E3943"/>
    <w:rsid w:val="007E3ABE"/>
    <w:rsid w:val="007E3AD6"/>
    <w:rsid w:val="007E3AD9"/>
    <w:rsid w:val="007E3B10"/>
    <w:rsid w:val="007E3B1A"/>
    <w:rsid w:val="007E3F8A"/>
    <w:rsid w:val="007E3FC3"/>
    <w:rsid w:val="007E3FDE"/>
    <w:rsid w:val="007E4046"/>
    <w:rsid w:val="007E4088"/>
    <w:rsid w:val="007E4096"/>
    <w:rsid w:val="007E40C4"/>
    <w:rsid w:val="007E414F"/>
    <w:rsid w:val="007E42C1"/>
    <w:rsid w:val="007E439B"/>
    <w:rsid w:val="007E43D1"/>
    <w:rsid w:val="007E43E4"/>
    <w:rsid w:val="007E43F8"/>
    <w:rsid w:val="007E4462"/>
    <w:rsid w:val="007E4479"/>
    <w:rsid w:val="007E4551"/>
    <w:rsid w:val="007E455F"/>
    <w:rsid w:val="007E45F2"/>
    <w:rsid w:val="007E45F4"/>
    <w:rsid w:val="007E46DC"/>
    <w:rsid w:val="007E4723"/>
    <w:rsid w:val="007E472C"/>
    <w:rsid w:val="007E475A"/>
    <w:rsid w:val="007E4763"/>
    <w:rsid w:val="007E47AD"/>
    <w:rsid w:val="007E47EC"/>
    <w:rsid w:val="007E485C"/>
    <w:rsid w:val="007E4871"/>
    <w:rsid w:val="007E489B"/>
    <w:rsid w:val="007E492A"/>
    <w:rsid w:val="007E4A7F"/>
    <w:rsid w:val="007E4A82"/>
    <w:rsid w:val="007E4B75"/>
    <w:rsid w:val="007E4D13"/>
    <w:rsid w:val="007E4D1C"/>
    <w:rsid w:val="007E4E5E"/>
    <w:rsid w:val="007E4E8C"/>
    <w:rsid w:val="007E4FF0"/>
    <w:rsid w:val="007E507A"/>
    <w:rsid w:val="007E5088"/>
    <w:rsid w:val="007E5106"/>
    <w:rsid w:val="007E5290"/>
    <w:rsid w:val="007E52D1"/>
    <w:rsid w:val="007E5393"/>
    <w:rsid w:val="007E53E8"/>
    <w:rsid w:val="007E5431"/>
    <w:rsid w:val="007E5433"/>
    <w:rsid w:val="007E5481"/>
    <w:rsid w:val="007E5513"/>
    <w:rsid w:val="007E55D7"/>
    <w:rsid w:val="007E5652"/>
    <w:rsid w:val="007E56DC"/>
    <w:rsid w:val="007E5731"/>
    <w:rsid w:val="007E5779"/>
    <w:rsid w:val="007E579D"/>
    <w:rsid w:val="007E58C8"/>
    <w:rsid w:val="007E58D3"/>
    <w:rsid w:val="007E5930"/>
    <w:rsid w:val="007E5A1F"/>
    <w:rsid w:val="007E5AA0"/>
    <w:rsid w:val="007E5B4E"/>
    <w:rsid w:val="007E5B61"/>
    <w:rsid w:val="007E5B8A"/>
    <w:rsid w:val="007E5BE7"/>
    <w:rsid w:val="007E5BEA"/>
    <w:rsid w:val="007E5C16"/>
    <w:rsid w:val="007E5C74"/>
    <w:rsid w:val="007E5CF5"/>
    <w:rsid w:val="007E5E00"/>
    <w:rsid w:val="007E5E22"/>
    <w:rsid w:val="007E5EBE"/>
    <w:rsid w:val="007E5F46"/>
    <w:rsid w:val="007E5FBA"/>
    <w:rsid w:val="007E5FD9"/>
    <w:rsid w:val="007E607F"/>
    <w:rsid w:val="007E610B"/>
    <w:rsid w:val="007E6151"/>
    <w:rsid w:val="007E616D"/>
    <w:rsid w:val="007E61A4"/>
    <w:rsid w:val="007E625A"/>
    <w:rsid w:val="007E6272"/>
    <w:rsid w:val="007E629B"/>
    <w:rsid w:val="007E6383"/>
    <w:rsid w:val="007E675E"/>
    <w:rsid w:val="007E67B8"/>
    <w:rsid w:val="007E67EC"/>
    <w:rsid w:val="007E684B"/>
    <w:rsid w:val="007E6874"/>
    <w:rsid w:val="007E6902"/>
    <w:rsid w:val="007E690D"/>
    <w:rsid w:val="007E692A"/>
    <w:rsid w:val="007E6A08"/>
    <w:rsid w:val="007E6A9F"/>
    <w:rsid w:val="007E6B9E"/>
    <w:rsid w:val="007E6C13"/>
    <w:rsid w:val="007E6CE1"/>
    <w:rsid w:val="007E6DB8"/>
    <w:rsid w:val="007E6F3F"/>
    <w:rsid w:val="007E6F45"/>
    <w:rsid w:val="007E7044"/>
    <w:rsid w:val="007E706B"/>
    <w:rsid w:val="007E72C5"/>
    <w:rsid w:val="007E733A"/>
    <w:rsid w:val="007E741D"/>
    <w:rsid w:val="007E748D"/>
    <w:rsid w:val="007E7572"/>
    <w:rsid w:val="007E75AE"/>
    <w:rsid w:val="007E77BD"/>
    <w:rsid w:val="007E780D"/>
    <w:rsid w:val="007E7924"/>
    <w:rsid w:val="007E794A"/>
    <w:rsid w:val="007E7990"/>
    <w:rsid w:val="007E79DE"/>
    <w:rsid w:val="007E7A00"/>
    <w:rsid w:val="007E7A0F"/>
    <w:rsid w:val="007E7A7E"/>
    <w:rsid w:val="007E7B28"/>
    <w:rsid w:val="007E7BA6"/>
    <w:rsid w:val="007E7BB9"/>
    <w:rsid w:val="007E7C23"/>
    <w:rsid w:val="007E7C50"/>
    <w:rsid w:val="007E7CC5"/>
    <w:rsid w:val="007E7D08"/>
    <w:rsid w:val="007E7DD7"/>
    <w:rsid w:val="007E7F96"/>
    <w:rsid w:val="007E7FB5"/>
    <w:rsid w:val="007F0010"/>
    <w:rsid w:val="007F00BA"/>
    <w:rsid w:val="007F0242"/>
    <w:rsid w:val="007F033D"/>
    <w:rsid w:val="007F036E"/>
    <w:rsid w:val="007F047B"/>
    <w:rsid w:val="007F0480"/>
    <w:rsid w:val="007F048E"/>
    <w:rsid w:val="007F0572"/>
    <w:rsid w:val="007F059E"/>
    <w:rsid w:val="007F05B0"/>
    <w:rsid w:val="007F05F4"/>
    <w:rsid w:val="007F0856"/>
    <w:rsid w:val="007F087F"/>
    <w:rsid w:val="007F088A"/>
    <w:rsid w:val="007F088B"/>
    <w:rsid w:val="007F0A20"/>
    <w:rsid w:val="007F0A7E"/>
    <w:rsid w:val="007F0B43"/>
    <w:rsid w:val="007F0C4B"/>
    <w:rsid w:val="007F0CD4"/>
    <w:rsid w:val="007F0D01"/>
    <w:rsid w:val="007F0D8A"/>
    <w:rsid w:val="007F0F3D"/>
    <w:rsid w:val="007F0FB8"/>
    <w:rsid w:val="007F1015"/>
    <w:rsid w:val="007F1019"/>
    <w:rsid w:val="007F1037"/>
    <w:rsid w:val="007F1046"/>
    <w:rsid w:val="007F10B6"/>
    <w:rsid w:val="007F1260"/>
    <w:rsid w:val="007F127F"/>
    <w:rsid w:val="007F12B8"/>
    <w:rsid w:val="007F12FA"/>
    <w:rsid w:val="007F1413"/>
    <w:rsid w:val="007F144E"/>
    <w:rsid w:val="007F1489"/>
    <w:rsid w:val="007F1507"/>
    <w:rsid w:val="007F15AD"/>
    <w:rsid w:val="007F15E3"/>
    <w:rsid w:val="007F1602"/>
    <w:rsid w:val="007F16CF"/>
    <w:rsid w:val="007F175F"/>
    <w:rsid w:val="007F179C"/>
    <w:rsid w:val="007F17CB"/>
    <w:rsid w:val="007F182C"/>
    <w:rsid w:val="007F182E"/>
    <w:rsid w:val="007F1936"/>
    <w:rsid w:val="007F1972"/>
    <w:rsid w:val="007F1A16"/>
    <w:rsid w:val="007F1A3D"/>
    <w:rsid w:val="007F1C24"/>
    <w:rsid w:val="007F1C3A"/>
    <w:rsid w:val="007F1C74"/>
    <w:rsid w:val="007F1CA9"/>
    <w:rsid w:val="007F1CB3"/>
    <w:rsid w:val="007F1CFA"/>
    <w:rsid w:val="007F1D2A"/>
    <w:rsid w:val="007F1D3E"/>
    <w:rsid w:val="007F1DED"/>
    <w:rsid w:val="007F1E1B"/>
    <w:rsid w:val="007F1E6E"/>
    <w:rsid w:val="007F1E8E"/>
    <w:rsid w:val="007F1F86"/>
    <w:rsid w:val="007F2065"/>
    <w:rsid w:val="007F21CB"/>
    <w:rsid w:val="007F225A"/>
    <w:rsid w:val="007F2280"/>
    <w:rsid w:val="007F236C"/>
    <w:rsid w:val="007F23F5"/>
    <w:rsid w:val="007F2406"/>
    <w:rsid w:val="007F240C"/>
    <w:rsid w:val="007F24F5"/>
    <w:rsid w:val="007F255C"/>
    <w:rsid w:val="007F2690"/>
    <w:rsid w:val="007F27D6"/>
    <w:rsid w:val="007F2854"/>
    <w:rsid w:val="007F2978"/>
    <w:rsid w:val="007F2A22"/>
    <w:rsid w:val="007F2ADA"/>
    <w:rsid w:val="007F2AFE"/>
    <w:rsid w:val="007F2B75"/>
    <w:rsid w:val="007F2BB2"/>
    <w:rsid w:val="007F2D39"/>
    <w:rsid w:val="007F2DF8"/>
    <w:rsid w:val="007F2E28"/>
    <w:rsid w:val="007F3081"/>
    <w:rsid w:val="007F30A3"/>
    <w:rsid w:val="007F3109"/>
    <w:rsid w:val="007F31BB"/>
    <w:rsid w:val="007F32B2"/>
    <w:rsid w:val="007F3370"/>
    <w:rsid w:val="007F3495"/>
    <w:rsid w:val="007F3600"/>
    <w:rsid w:val="007F3623"/>
    <w:rsid w:val="007F366E"/>
    <w:rsid w:val="007F375D"/>
    <w:rsid w:val="007F375F"/>
    <w:rsid w:val="007F3794"/>
    <w:rsid w:val="007F37D8"/>
    <w:rsid w:val="007F37F3"/>
    <w:rsid w:val="007F38D9"/>
    <w:rsid w:val="007F38FF"/>
    <w:rsid w:val="007F3918"/>
    <w:rsid w:val="007F3925"/>
    <w:rsid w:val="007F3A6A"/>
    <w:rsid w:val="007F3B83"/>
    <w:rsid w:val="007F3D16"/>
    <w:rsid w:val="007F3D53"/>
    <w:rsid w:val="007F3DB0"/>
    <w:rsid w:val="007F3EBA"/>
    <w:rsid w:val="007F411A"/>
    <w:rsid w:val="007F41AF"/>
    <w:rsid w:val="007F41F5"/>
    <w:rsid w:val="007F4238"/>
    <w:rsid w:val="007F4289"/>
    <w:rsid w:val="007F4305"/>
    <w:rsid w:val="007F430F"/>
    <w:rsid w:val="007F4468"/>
    <w:rsid w:val="007F4715"/>
    <w:rsid w:val="007F481A"/>
    <w:rsid w:val="007F4840"/>
    <w:rsid w:val="007F48EC"/>
    <w:rsid w:val="007F4915"/>
    <w:rsid w:val="007F49E7"/>
    <w:rsid w:val="007F4BE3"/>
    <w:rsid w:val="007F4CB9"/>
    <w:rsid w:val="007F4D41"/>
    <w:rsid w:val="007F4D48"/>
    <w:rsid w:val="007F4DC4"/>
    <w:rsid w:val="007F4E48"/>
    <w:rsid w:val="007F4EC8"/>
    <w:rsid w:val="007F5097"/>
    <w:rsid w:val="007F50B9"/>
    <w:rsid w:val="007F5187"/>
    <w:rsid w:val="007F51EC"/>
    <w:rsid w:val="007F520B"/>
    <w:rsid w:val="007F52E3"/>
    <w:rsid w:val="007F53A6"/>
    <w:rsid w:val="007F54D4"/>
    <w:rsid w:val="007F54F1"/>
    <w:rsid w:val="007F54F9"/>
    <w:rsid w:val="007F5528"/>
    <w:rsid w:val="007F5537"/>
    <w:rsid w:val="007F5568"/>
    <w:rsid w:val="007F55D3"/>
    <w:rsid w:val="007F56B7"/>
    <w:rsid w:val="007F572E"/>
    <w:rsid w:val="007F58CD"/>
    <w:rsid w:val="007F58CF"/>
    <w:rsid w:val="007F5962"/>
    <w:rsid w:val="007F5AB2"/>
    <w:rsid w:val="007F5BB4"/>
    <w:rsid w:val="007F5BD4"/>
    <w:rsid w:val="007F5BEA"/>
    <w:rsid w:val="007F5D73"/>
    <w:rsid w:val="007F5DA7"/>
    <w:rsid w:val="007F5E5E"/>
    <w:rsid w:val="007F5E72"/>
    <w:rsid w:val="007F5EAC"/>
    <w:rsid w:val="007F5F6A"/>
    <w:rsid w:val="007F5F83"/>
    <w:rsid w:val="007F6088"/>
    <w:rsid w:val="007F61D7"/>
    <w:rsid w:val="007F6216"/>
    <w:rsid w:val="007F6308"/>
    <w:rsid w:val="007F6330"/>
    <w:rsid w:val="007F636A"/>
    <w:rsid w:val="007F63B7"/>
    <w:rsid w:val="007F6492"/>
    <w:rsid w:val="007F6565"/>
    <w:rsid w:val="007F65E3"/>
    <w:rsid w:val="007F67B9"/>
    <w:rsid w:val="007F6927"/>
    <w:rsid w:val="007F69CD"/>
    <w:rsid w:val="007F6A67"/>
    <w:rsid w:val="007F6B29"/>
    <w:rsid w:val="007F6C5B"/>
    <w:rsid w:val="007F6EB3"/>
    <w:rsid w:val="007F6F9E"/>
    <w:rsid w:val="007F6FED"/>
    <w:rsid w:val="007F7102"/>
    <w:rsid w:val="007F7161"/>
    <w:rsid w:val="007F718D"/>
    <w:rsid w:val="007F7223"/>
    <w:rsid w:val="007F7277"/>
    <w:rsid w:val="007F744B"/>
    <w:rsid w:val="007F748B"/>
    <w:rsid w:val="007F7596"/>
    <w:rsid w:val="007F76C5"/>
    <w:rsid w:val="007F771D"/>
    <w:rsid w:val="007F771E"/>
    <w:rsid w:val="007F7808"/>
    <w:rsid w:val="007F780F"/>
    <w:rsid w:val="007F7871"/>
    <w:rsid w:val="007F7958"/>
    <w:rsid w:val="007F79CC"/>
    <w:rsid w:val="007F7A68"/>
    <w:rsid w:val="007F7AEC"/>
    <w:rsid w:val="007F7B23"/>
    <w:rsid w:val="007F7B33"/>
    <w:rsid w:val="007F7B62"/>
    <w:rsid w:val="007F7D6F"/>
    <w:rsid w:val="007F7E63"/>
    <w:rsid w:val="007F7F5D"/>
    <w:rsid w:val="00800115"/>
    <w:rsid w:val="00800170"/>
    <w:rsid w:val="00800176"/>
    <w:rsid w:val="008002A3"/>
    <w:rsid w:val="008003FF"/>
    <w:rsid w:val="00800588"/>
    <w:rsid w:val="00800612"/>
    <w:rsid w:val="0080069F"/>
    <w:rsid w:val="008006A3"/>
    <w:rsid w:val="008007C8"/>
    <w:rsid w:val="008007EF"/>
    <w:rsid w:val="00800948"/>
    <w:rsid w:val="0080095A"/>
    <w:rsid w:val="008009EB"/>
    <w:rsid w:val="00800A86"/>
    <w:rsid w:val="00800BDA"/>
    <w:rsid w:val="00800CF0"/>
    <w:rsid w:val="00800D6B"/>
    <w:rsid w:val="00800DC8"/>
    <w:rsid w:val="00800ED5"/>
    <w:rsid w:val="00800F1B"/>
    <w:rsid w:val="00800F49"/>
    <w:rsid w:val="00800F9C"/>
    <w:rsid w:val="00800FD3"/>
    <w:rsid w:val="00800FE6"/>
    <w:rsid w:val="008010BB"/>
    <w:rsid w:val="00801268"/>
    <w:rsid w:val="008012E8"/>
    <w:rsid w:val="00801347"/>
    <w:rsid w:val="008013B2"/>
    <w:rsid w:val="008013E5"/>
    <w:rsid w:val="00801471"/>
    <w:rsid w:val="0080149E"/>
    <w:rsid w:val="008014FA"/>
    <w:rsid w:val="0080151B"/>
    <w:rsid w:val="00801604"/>
    <w:rsid w:val="0080160A"/>
    <w:rsid w:val="0080168C"/>
    <w:rsid w:val="008016F6"/>
    <w:rsid w:val="008017B8"/>
    <w:rsid w:val="00801A7B"/>
    <w:rsid w:val="00801A80"/>
    <w:rsid w:val="00801B81"/>
    <w:rsid w:val="00801C71"/>
    <w:rsid w:val="00801D39"/>
    <w:rsid w:val="00801DAB"/>
    <w:rsid w:val="00801E43"/>
    <w:rsid w:val="00801E48"/>
    <w:rsid w:val="00801E6D"/>
    <w:rsid w:val="00801ECE"/>
    <w:rsid w:val="00801F6C"/>
    <w:rsid w:val="00802120"/>
    <w:rsid w:val="00802269"/>
    <w:rsid w:val="008022BC"/>
    <w:rsid w:val="0080245C"/>
    <w:rsid w:val="0080246A"/>
    <w:rsid w:val="00802502"/>
    <w:rsid w:val="00802565"/>
    <w:rsid w:val="0080259A"/>
    <w:rsid w:val="008025ED"/>
    <w:rsid w:val="00802640"/>
    <w:rsid w:val="008026D5"/>
    <w:rsid w:val="008027F9"/>
    <w:rsid w:val="00802878"/>
    <w:rsid w:val="00802913"/>
    <w:rsid w:val="008029C0"/>
    <w:rsid w:val="008029E8"/>
    <w:rsid w:val="00802D0F"/>
    <w:rsid w:val="00802E94"/>
    <w:rsid w:val="00802F2E"/>
    <w:rsid w:val="008030AE"/>
    <w:rsid w:val="008030D1"/>
    <w:rsid w:val="00803138"/>
    <w:rsid w:val="0080316A"/>
    <w:rsid w:val="00803192"/>
    <w:rsid w:val="0080329E"/>
    <w:rsid w:val="008032F3"/>
    <w:rsid w:val="0080335C"/>
    <w:rsid w:val="008033DE"/>
    <w:rsid w:val="008034CF"/>
    <w:rsid w:val="008035BE"/>
    <w:rsid w:val="0080368D"/>
    <w:rsid w:val="008036D9"/>
    <w:rsid w:val="00803700"/>
    <w:rsid w:val="0080372B"/>
    <w:rsid w:val="00803886"/>
    <w:rsid w:val="008039CD"/>
    <w:rsid w:val="008039E7"/>
    <w:rsid w:val="00803A45"/>
    <w:rsid w:val="00803AA6"/>
    <w:rsid w:val="00803B0A"/>
    <w:rsid w:val="00803B61"/>
    <w:rsid w:val="00803BD2"/>
    <w:rsid w:val="00803C73"/>
    <w:rsid w:val="00803C95"/>
    <w:rsid w:val="00803D1D"/>
    <w:rsid w:val="00803D7D"/>
    <w:rsid w:val="00803DEA"/>
    <w:rsid w:val="00803E04"/>
    <w:rsid w:val="00803E1C"/>
    <w:rsid w:val="00803E65"/>
    <w:rsid w:val="00803FDE"/>
    <w:rsid w:val="00803FF3"/>
    <w:rsid w:val="00804030"/>
    <w:rsid w:val="008040BE"/>
    <w:rsid w:val="008040DC"/>
    <w:rsid w:val="0080417A"/>
    <w:rsid w:val="00804344"/>
    <w:rsid w:val="00804376"/>
    <w:rsid w:val="00804421"/>
    <w:rsid w:val="0080445D"/>
    <w:rsid w:val="00804470"/>
    <w:rsid w:val="00804501"/>
    <w:rsid w:val="008046E3"/>
    <w:rsid w:val="00804778"/>
    <w:rsid w:val="008047D8"/>
    <w:rsid w:val="008049D5"/>
    <w:rsid w:val="00804A29"/>
    <w:rsid w:val="00804BD1"/>
    <w:rsid w:val="00804BE7"/>
    <w:rsid w:val="00804BEE"/>
    <w:rsid w:val="00804C41"/>
    <w:rsid w:val="00804C43"/>
    <w:rsid w:val="00804D22"/>
    <w:rsid w:val="00804D48"/>
    <w:rsid w:val="00804E55"/>
    <w:rsid w:val="00804E58"/>
    <w:rsid w:val="00804EB5"/>
    <w:rsid w:val="00805021"/>
    <w:rsid w:val="0080526B"/>
    <w:rsid w:val="00805484"/>
    <w:rsid w:val="00805778"/>
    <w:rsid w:val="008057E2"/>
    <w:rsid w:val="00805805"/>
    <w:rsid w:val="00805820"/>
    <w:rsid w:val="008058DD"/>
    <w:rsid w:val="008059B2"/>
    <w:rsid w:val="008059D0"/>
    <w:rsid w:val="00805AE3"/>
    <w:rsid w:val="00805B37"/>
    <w:rsid w:val="00805BA6"/>
    <w:rsid w:val="00805BE9"/>
    <w:rsid w:val="00805C1A"/>
    <w:rsid w:val="00805CB9"/>
    <w:rsid w:val="00805D50"/>
    <w:rsid w:val="00805DB6"/>
    <w:rsid w:val="00805EAD"/>
    <w:rsid w:val="00805EFA"/>
    <w:rsid w:val="00805F09"/>
    <w:rsid w:val="00805F17"/>
    <w:rsid w:val="00806064"/>
    <w:rsid w:val="00806081"/>
    <w:rsid w:val="00806100"/>
    <w:rsid w:val="0080619F"/>
    <w:rsid w:val="008061B5"/>
    <w:rsid w:val="008063CF"/>
    <w:rsid w:val="008063F7"/>
    <w:rsid w:val="00806418"/>
    <w:rsid w:val="008064BA"/>
    <w:rsid w:val="0080652E"/>
    <w:rsid w:val="0080653B"/>
    <w:rsid w:val="00806629"/>
    <w:rsid w:val="008066BB"/>
    <w:rsid w:val="008066F4"/>
    <w:rsid w:val="0080671C"/>
    <w:rsid w:val="0080673E"/>
    <w:rsid w:val="00806790"/>
    <w:rsid w:val="00806837"/>
    <w:rsid w:val="008068D7"/>
    <w:rsid w:val="0080691D"/>
    <w:rsid w:val="0080696C"/>
    <w:rsid w:val="00806996"/>
    <w:rsid w:val="00806B86"/>
    <w:rsid w:val="00806BB2"/>
    <w:rsid w:val="00806EED"/>
    <w:rsid w:val="00806F23"/>
    <w:rsid w:val="00807009"/>
    <w:rsid w:val="008071A9"/>
    <w:rsid w:val="008071C5"/>
    <w:rsid w:val="00807207"/>
    <w:rsid w:val="00807213"/>
    <w:rsid w:val="0080729D"/>
    <w:rsid w:val="00807374"/>
    <w:rsid w:val="00807458"/>
    <w:rsid w:val="00807520"/>
    <w:rsid w:val="008076BC"/>
    <w:rsid w:val="008077F9"/>
    <w:rsid w:val="00807921"/>
    <w:rsid w:val="0080795D"/>
    <w:rsid w:val="00807994"/>
    <w:rsid w:val="008079C5"/>
    <w:rsid w:val="00807A12"/>
    <w:rsid w:val="00807B57"/>
    <w:rsid w:val="00807BF1"/>
    <w:rsid w:val="00807CEE"/>
    <w:rsid w:val="00807D99"/>
    <w:rsid w:val="00807EE3"/>
    <w:rsid w:val="00807EEF"/>
    <w:rsid w:val="00807F40"/>
    <w:rsid w:val="0081006E"/>
    <w:rsid w:val="0081010D"/>
    <w:rsid w:val="0081014C"/>
    <w:rsid w:val="00810201"/>
    <w:rsid w:val="00810256"/>
    <w:rsid w:val="0081028A"/>
    <w:rsid w:val="008102B0"/>
    <w:rsid w:val="008102BE"/>
    <w:rsid w:val="00810332"/>
    <w:rsid w:val="00810367"/>
    <w:rsid w:val="008103EE"/>
    <w:rsid w:val="008104DE"/>
    <w:rsid w:val="00810560"/>
    <w:rsid w:val="008105C7"/>
    <w:rsid w:val="00810681"/>
    <w:rsid w:val="0081070B"/>
    <w:rsid w:val="0081074B"/>
    <w:rsid w:val="00810A50"/>
    <w:rsid w:val="00810B4D"/>
    <w:rsid w:val="00810BAA"/>
    <w:rsid w:val="00810C41"/>
    <w:rsid w:val="00810C46"/>
    <w:rsid w:val="00810C64"/>
    <w:rsid w:val="00810CE7"/>
    <w:rsid w:val="00810D79"/>
    <w:rsid w:val="00810E49"/>
    <w:rsid w:val="00810EB3"/>
    <w:rsid w:val="00810EF6"/>
    <w:rsid w:val="00810F27"/>
    <w:rsid w:val="00810FC3"/>
    <w:rsid w:val="008110A9"/>
    <w:rsid w:val="00811124"/>
    <w:rsid w:val="008112DE"/>
    <w:rsid w:val="00811420"/>
    <w:rsid w:val="00811622"/>
    <w:rsid w:val="0081162D"/>
    <w:rsid w:val="00811758"/>
    <w:rsid w:val="00811A32"/>
    <w:rsid w:val="00811C38"/>
    <w:rsid w:val="00811D68"/>
    <w:rsid w:val="00811F1A"/>
    <w:rsid w:val="00812060"/>
    <w:rsid w:val="0081206F"/>
    <w:rsid w:val="00812109"/>
    <w:rsid w:val="008121A7"/>
    <w:rsid w:val="0081233A"/>
    <w:rsid w:val="0081235C"/>
    <w:rsid w:val="008123D7"/>
    <w:rsid w:val="00812486"/>
    <w:rsid w:val="008124D6"/>
    <w:rsid w:val="008124DC"/>
    <w:rsid w:val="0081261C"/>
    <w:rsid w:val="0081263D"/>
    <w:rsid w:val="00812660"/>
    <w:rsid w:val="0081282E"/>
    <w:rsid w:val="00812A4C"/>
    <w:rsid w:val="00812A69"/>
    <w:rsid w:val="00812B0E"/>
    <w:rsid w:val="00812BBB"/>
    <w:rsid w:val="00812E48"/>
    <w:rsid w:val="00812E52"/>
    <w:rsid w:val="00812E5C"/>
    <w:rsid w:val="00812F7D"/>
    <w:rsid w:val="00812FDE"/>
    <w:rsid w:val="00813020"/>
    <w:rsid w:val="00813056"/>
    <w:rsid w:val="008130CC"/>
    <w:rsid w:val="00813381"/>
    <w:rsid w:val="008133A6"/>
    <w:rsid w:val="00813523"/>
    <w:rsid w:val="008135B4"/>
    <w:rsid w:val="0081368B"/>
    <w:rsid w:val="008136D9"/>
    <w:rsid w:val="0081372F"/>
    <w:rsid w:val="00813775"/>
    <w:rsid w:val="0081378F"/>
    <w:rsid w:val="008137C3"/>
    <w:rsid w:val="0081389A"/>
    <w:rsid w:val="008139D3"/>
    <w:rsid w:val="00813A1E"/>
    <w:rsid w:val="00813B13"/>
    <w:rsid w:val="00813B1F"/>
    <w:rsid w:val="00813B4E"/>
    <w:rsid w:val="00813B9F"/>
    <w:rsid w:val="00813BF9"/>
    <w:rsid w:val="00813C17"/>
    <w:rsid w:val="00813DE9"/>
    <w:rsid w:val="00813E1F"/>
    <w:rsid w:val="00813E8D"/>
    <w:rsid w:val="00813EEF"/>
    <w:rsid w:val="00813F8A"/>
    <w:rsid w:val="00813FAD"/>
    <w:rsid w:val="00813FDF"/>
    <w:rsid w:val="00814154"/>
    <w:rsid w:val="00814157"/>
    <w:rsid w:val="0081416E"/>
    <w:rsid w:val="008141EC"/>
    <w:rsid w:val="00814261"/>
    <w:rsid w:val="00814293"/>
    <w:rsid w:val="008142B1"/>
    <w:rsid w:val="008143AF"/>
    <w:rsid w:val="008143DF"/>
    <w:rsid w:val="0081448D"/>
    <w:rsid w:val="0081465B"/>
    <w:rsid w:val="008146D2"/>
    <w:rsid w:val="008147F6"/>
    <w:rsid w:val="008147FD"/>
    <w:rsid w:val="00814801"/>
    <w:rsid w:val="00814894"/>
    <w:rsid w:val="008148BF"/>
    <w:rsid w:val="00814950"/>
    <w:rsid w:val="008149C1"/>
    <w:rsid w:val="008149CF"/>
    <w:rsid w:val="008149FA"/>
    <w:rsid w:val="00814A58"/>
    <w:rsid w:val="00814A6A"/>
    <w:rsid w:val="00814A73"/>
    <w:rsid w:val="00814AE2"/>
    <w:rsid w:val="00814B0A"/>
    <w:rsid w:val="00814BC1"/>
    <w:rsid w:val="00814C05"/>
    <w:rsid w:val="00814CE1"/>
    <w:rsid w:val="00814D7C"/>
    <w:rsid w:val="00815071"/>
    <w:rsid w:val="008150CB"/>
    <w:rsid w:val="00815442"/>
    <w:rsid w:val="0081552D"/>
    <w:rsid w:val="00815559"/>
    <w:rsid w:val="008155D1"/>
    <w:rsid w:val="00815692"/>
    <w:rsid w:val="008156A2"/>
    <w:rsid w:val="00815738"/>
    <w:rsid w:val="00815865"/>
    <w:rsid w:val="00815899"/>
    <w:rsid w:val="00815945"/>
    <w:rsid w:val="00815A16"/>
    <w:rsid w:val="00815C39"/>
    <w:rsid w:val="00815C55"/>
    <w:rsid w:val="00815C93"/>
    <w:rsid w:val="00815CDB"/>
    <w:rsid w:val="00815D25"/>
    <w:rsid w:val="00816193"/>
    <w:rsid w:val="008162A6"/>
    <w:rsid w:val="008162C7"/>
    <w:rsid w:val="00816323"/>
    <w:rsid w:val="0081637F"/>
    <w:rsid w:val="008163ED"/>
    <w:rsid w:val="008164F7"/>
    <w:rsid w:val="00816618"/>
    <w:rsid w:val="008167F7"/>
    <w:rsid w:val="0081697C"/>
    <w:rsid w:val="00816B02"/>
    <w:rsid w:val="00816B83"/>
    <w:rsid w:val="00816C1E"/>
    <w:rsid w:val="00816C5D"/>
    <w:rsid w:val="00816C82"/>
    <w:rsid w:val="00816D4B"/>
    <w:rsid w:val="00816D6B"/>
    <w:rsid w:val="00816DE5"/>
    <w:rsid w:val="00816E21"/>
    <w:rsid w:val="00816E84"/>
    <w:rsid w:val="00816EDC"/>
    <w:rsid w:val="00816F96"/>
    <w:rsid w:val="00816FF3"/>
    <w:rsid w:val="008170D4"/>
    <w:rsid w:val="008170F0"/>
    <w:rsid w:val="008171C8"/>
    <w:rsid w:val="00817214"/>
    <w:rsid w:val="00817357"/>
    <w:rsid w:val="00817367"/>
    <w:rsid w:val="008174CB"/>
    <w:rsid w:val="00817571"/>
    <w:rsid w:val="0081757D"/>
    <w:rsid w:val="008175A0"/>
    <w:rsid w:val="0081760A"/>
    <w:rsid w:val="0081767C"/>
    <w:rsid w:val="00817689"/>
    <w:rsid w:val="00817726"/>
    <w:rsid w:val="0081772D"/>
    <w:rsid w:val="00817975"/>
    <w:rsid w:val="00817A1B"/>
    <w:rsid w:val="00817AA1"/>
    <w:rsid w:val="00817BE4"/>
    <w:rsid w:val="00817C6B"/>
    <w:rsid w:val="00817D30"/>
    <w:rsid w:val="00817FA8"/>
    <w:rsid w:val="00817FED"/>
    <w:rsid w:val="008200F9"/>
    <w:rsid w:val="0082015D"/>
    <w:rsid w:val="008201F6"/>
    <w:rsid w:val="008202EF"/>
    <w:rsid w:val="00820331"/>
    <w:rsid w:val="00820431"/>
    <w:rsid w:val="0082044E"/>
    <w:rsid w:val="00820504"/>
    <w:rsid w:val="008205BB"/>
    <w:rsid w:val="008205EC"/>
    <w:rsid w:val="00820825"/>
    <w:rsid w:val="0082085D"/>
    <w:rsid w:val="008208EA"/>
    <w:rsid w:val="0082091D"/>
    <w:rsid w:val="00820A6B"/>
    <w:rsid w:val="00820B2B"/>
    <w:rsid w:val="00820B46"/>
    <w:rsid w:val="00820BDF"/>
    <w:rsid w:val="00820DA6"/>
    <w:rsid w:val="00820E4D"/>
    <w:rsid w:val="00820F02"/>
    <w:rsid w:val="00820FB7"/>
    <w:rsid w:val="00820FBF"/>
    <w:rsid w:val="00821035"/>
    <w:rsid w:val="0082107B"/>
    <w:rsid w:val="008210D4"/>
    <w:rsid w:val="00821113"/>
    <w:rsid w:val="0082118C"/>
    <w:rsid w:val="00821196"/>
    <w:rsid w:val="008211AE"/>
    <w:rsid w:val="008212CB"/>
    <w:rsid w:val="008212D8"/>
    <w:rsid w:val="00821442"/>
    <w:rsid w:val="00821466"/>
    <w:rsid w:val="00821501"/>
    <w:rsid w:val="00821595"/>
    <w:rsid w:val="0082160C"/>
    <w:rsid w:val="00821668"/>
    <w:rsid w:val="008216D6"/>
    <w:rsid w:val="0082178A"/>
    <w:rsid w:val="0082178E"/>
    <w:rsid w:val="00821845"/>
    <w:rsid w:val="008218BF"/>
    <w:rsid w:val="008219DD"/>
    <w:rsid w:val="00821A10"/>
    <w:rsid w:val="00821A6A"/>
    <w:rsid w:val="00821B42"/>
    <w:rsid w:val="00821B92"/>
    <w:rsid w:val="00821D3C"/>
    <w:rsid w:val="00821DEE"/>
    <w:rsid w:val="00821ED2"/>
    <w:rsid w:val="0082201C"/>
    <w:rsid w:val="00822056"/>
    <w:rsid w:val="0082207D"/>
    <w:rsid w:val="0082237C"/>
    <w:rsid w:val="0082239F"/>
    <w:rsid w:val="008223AE"/>
    <w:rsid w:val="008223EA"/>
    <w:rsid w:val="008224F1"/>
    <w:rsid w:val="008225F1"/>
    <w:rsid w:val="00822687"/>
    <w:rsid w:val="0082275B"/>
    <w:rsid w:val="00822782"/>
    <w:rsid w:val="0082279A"/>
    <w:rsid w:val="008227A2"/>
    <w:rsid w:val="008227CC"/>
    <w:rsid w:val="00822923"/>
    <w:rsid w:val="008229E6"/>
    <w:rsid w:val="00822A32"/>
    <w:rsid w:val="00822A42"/>
    <w:rsid w:val="00822A90"/>
    <w:rsid w:val="00822B16"/>
    <w:rsid w:val="00822C40"/>
    <w:rsid w:val="00822D7C"/>
    <w:rsid w:val="00822DBE"/>
    <w:rsid w:val="00822EB5"/>
    <w:rsid w:val="00822ECF"/>
    <w:rsid w:val="008230B6"/>
    <w:rsid w:val="00823169"/>
    <w:rsid w:val="00823172"/>
    <w:rsid w:val="0082324E"/>
    <w:rsid w:val="0082332E"/>
    <w:rsid w:val="0082337F"/>
    <w:rsid w:val="00823401"/>
    <w:rsid w:val="008234F5"/>
    <w:rsid w:val="00823585"/>
    <w:rsid w:val="00823639"/>
    <w:rsid w:val="008236C6"/>
    <w:rsid w:val="0082374E"/>
    <w:rsid w:val="00823789"/>
    <w:rsid w:val="008237C2"/>
    <w:rsid w:val="0082389C"/>
    <w:rsid w:val="00823924"/>
    <w:rsid w:val="00823C39"/>
    <w:rsid w:val="00823CBE"/>
    <w:rsid w:val="00823D01"/>
    <w:rsid w:val="00823DE5"/>
    <w:rsid w:val="00823DF5"/>
    <w:rsid w:val="00823F98"/>
    <w:rsid w:val="00823FA5"/>
    <w:rsid w:val="00823FE2"/>
    <w:rsid w:val="0082400D"/>
    <w:rsid w:val="008240D9"/>
    <w:rsid w:val="00824117"/>
    <w:rsid w:val="0082411B"/>
    <w:rsid w:val="00824125"/>
    <w:rsid w:val="0082413B"/>
    <w:rsid w:val="008241FA"/>
    <w:rsid w:val="00824207"/>
    <w:rsid w:val="00824256"/>
    <w:rsid w:val="00824269"/>
    <w:rsid w:val="0082426E"/>
    <w:rsid w:val="00824380"/>
    <w:rsid w:val="00824382"/>
    <w:rsid w:val="0082445C"/>
    <w:rsid w:val="008244A2"/>
    <w:rsid w:val="008244E3"/>
    <w:rsid w:val="008244F3"/>
    <w:rsid w:val="008245EA"/>
    <w:rsid w:val="0082463A"/>
    <w:rsid w:val="00824792"/>
    <w:rsid w:val="0082484D"/>
    <w:rsid w:val="008248C8"/>
    <w:rsid w:val="00824A95"/>
    <w:rsid w:val="00824BA3"/>
    <w:rsid w:val="00824D88"/>
    <w:rsid w:val="00824DF8"/>
    <w:rsid w:val="00824E1D"/>
    <w:rsid w:val="00824E34"/>
    <w:rsid w:val="00825045"/>
    <w:rsid w:val="008250D5"/>
    <w:rsid w:val="00825115"/>
    <w:rsid w:val="0082519B"/>
    <w:rsid w:val="00825245"/>
    <w:rsid w:val="008252B3"/>
    <w:rsid w:val="00825330"/>
    <w:rsid w:val="008254CB"/>
    <w:rsid w:val="0082566D"/>
    <w:rsid w:val="00825695"/>
    <w:rsid w:val="008257AD"/>
    <w:rsid w:val="008257FA"/>
    <w:rsid w:val="00825860"/>
    <w:rsid w:val="008258B4"/>
    <w:rsid w:val="008258BC"/>
    <w:rsid w:val="00825AB6"/>
    <w:rsid w:val="00825EB4"/>
    <w:rsid w:val="00825EB5"/>
    <w:rsid w:val="00825ECB"/>
    <w:rsid w:val="00825FCE"/>
    <w:rsid w:val="00825FDC"/>
    <w:rsid w:val="00826147"/>
    <w:rsid w:val="0082615F"/>
    <w:rsid w:val="00826168"/>
    <w:rsid w:val="008261A3"/>
    <w:rsid w:val="008261AB"/>
    <w:rsid w:val="0082625F"/>
    <w:rsid w:val="0082629D"/>
    <w:rsid w:val="0082630F"/>
    <w:rsid w:val="00826394"/>
    <w:rsid w:val="008263CE"/>
    <w:rsid w:val="00826451"/>
    <w:rsid w:val="008264FA"/>
    <w:rsid w:val="008265E7"/>
    <w:rsid w:val="008266C1"/>
    <w:rsid w:val="0082681D"/>
    <w:rsid w:val="00826981"/>
    <w:rsid w:val="008269CC"/>
    <w:rsid w:val="00826A3F"/>
    <w:rsid w:val="00826A5E"/>
    <w:rsid w:val="00826A6F"/>
    <w:rsid w:val="00826B2F"/>
    <w:rsid w:val="00826BAF"/>
    <w:rsid w:val="00826BC8"/>
    <w:rsid w:val="00826CA5"/>
    <w:rsid w:val="00826CCE"/>
    <w:rsid w:val="00826D01"/>
    <w:rsid w:val="00826D67"/>
    <w:rsid w:val="00826E45"/>
    <w:rsid w:val="00826E4B"/>
    <w:rsid w:val="00826F3F"/>
    <w:rsid w:val="00826F6E"/>
    <w:rsid w:val="00826FDA"/>
    <w:rsid w:val="00826FF8"/>
    <w:rsid w:val="00827050"/>
    <w:rsid w:val="00827060"/>
    <w:rsid w:val="008270A1"/>
    <w:rsid w:val="00827284"/>
    <w:rsid w:val="008272A5"/>
    <w:rsid w:val="00827377"/>
    <w:rsid w:val="008274C0"/>
    <w:rsid w:val="008274CF"/>
    <w:rsid w:val="00827520"/>
    <w:rsid w:val="00827559"/>
    <w:rsid w:val="00827682"/>
    <w:rsid w:val="008277AC"/>
    <w:rsid w:val="00827800"/>
    <w:rsid w:val="008279DB"/>
    <w:rsid w:val="00827A31"/>
    <w:rsid w:val="00827B6B"/>
    <w:rsid w:val="00827D15"/>
    <w:rsid w:val="00827DFD"/>
    <w:rsid w:val="00827E16"/>
    <w:rsid w:val="00827E82"/>
    <w:rsid w:val="00827FAF"/>
    <w:rsid w:val="00827FDD"/>
    <w:rsid w:val="008300D9"/>
    <w:rsid w:val="0083029E"/>
    <w:rsid w:val="0083037D"/>
    <w:rsid w:val="0083037F"/>
    <w:rsid w:val="00830529"/>
    <w:rsid w:val="0083053E"/>
    <w:rsid w:val="00830567"/>
    <w:rsid w:val="008305A7"/>
    <w:rsid w:val="008305EC"/>
    <w:rsid w:val="008306DE"/>
    <w:rsid w:val="008309D9"/>
    <w:rsid w:val="00830A8C"/>
    <w:rsid w:val="00830C27"/>
    <w:rsid w:val="00830C9B"/>
    <w:rsid w:val="00830CC8"/>
    <w:rsid w:val="00830E35"/>
    <w:rsid w:val="00830E94"/>
    <w:rsid w:val="00830EA3"/>
    <w:rsid w:val="008310C8"/>
    <w:rsid w:val="00831149"/>
    <w:rsid w:val="00831152"/>
    <w:rsid w:val="0083122B"/>
    <w:rsid w:val="00831277"/>
    <w:rsid w:val="0083127C"/>
    <w:rsid w:val="008312F9"/>
    <w:rsid w:val="0083137B"/>
    <w:rsid w:val="008313AC"/>
    <w:rsid w:val="008313C4"/>
    <w:rsid w:val="008313E4"/>
    <w:rsid w:val="0083143A"/>
    <w:rsid w:val="008314DD"/>
    <w:rsid w:val="00831570"/>
    <w:rsid w:val="00831615"/>
    <w:rsid w:val="008316B6"/>
    <w:rsid w:val="008316CD"/>
    <w:rsid w:val="0083178B"/>
    <w:rsid w:val="0083179F"/>
    <w:rsid w:val="00831907"/>
    <w:rsid w:val="00831948"/>
    <w:rsid w:val="0083195E"/>
    <w:rsid w:val="0083196E"/>
    <w:rsid w:val="008319AB"/>
    <w:rsid w:val="00831AA0"/>
    <w:rsid w:val="00831C65"/>
    <w:rsid w:val="00831CE7"/>
    <w:rsid w:val="00831CEA"/>
    <w:rsid w:val="00831D81"/>
    <w:rsid w:val="00831D87"/>
    <w:rsid w:val="00831E60"/>
    <w:rsid w:val="00831F06"/>
    <w:rsid w:val="00831F46"/>
    <w:rsid w:val="00831FE7"/>
    <w:rsid w:val="0083204B"/>
    <w:rsid w:val="008320D2"/>
    <w:rsid w:val="008320E8"/>
    <w:rsid w:val="00832169"/>
    <w:rsid w:val="008322A3"/>
    <w:rsid w:val="0083236F"/>
    <w:rsid w:val="00832379"/>
    <w:rsid w:val="008323D1"/>
    <w:rsid w:val="0083245B"/>
    <w:rsid w:val="008324D5"/>
    <w:rsid w:val="00832579"/>
    <w:rsid w:val="008325B7"/>
    <w:rsid w:val="0083260C"/>
    <w:rsid w:val="00832753"/>
    <w:rsid w:val="0083278A"/>
    <w:rsid w:val="00832913"/>
    <w:rsid w:val="00832A25"/>
    <w:rsid w:val="00832AAB"/>
    <w:rsid w:val="00832ABF"/>
    <w:rsid w:val="00832B60"/>
    <w:rsid w:val="00832BAE"/>
    <w:rsid w:val="00832BBE"/>
    <w:rsid w:val="00832C38"/>
    <w:rsid w:val="00832C9B"/>
    <w:rsid w:val="00832CF2"/>
    <w:rsid w:val="00832CFE"/>
    <w:rsid w:val="00832E3E"/>
    <w:rsid w:val="00832F78"/>
    <w:rsid w:val="008331A0"/>
    <w:rsid w:val="008331AD"/>
    <w:rsid w:val="008332E7"/>
    <w:rsid w:val="008333B6"/>
    <w:rsid w:val="00833465"/>
    <w:rsid w:val="008334DD"/>
    <w:rsid w:val="0083356B"/>
    <w:rsid w:val="008335BB"/>
    <w:rsid w:val="008335CA"/>
    <w:rsid w:val="0083364F"/>
    <w:rsid w:val="008336D9"/>
    <w:rsid w:val="008337C8"/>
    <w:rsid w:val="008339B1"/>
    <w:rsid w:val="008339F4"/>
    <w:rsid w:val="00833A63"/>
    <w:rsid w:val="00833A89"/>
    <w:rsid w:val="00833AAC"/>
    <w:rsid w:val="00833AE5"/>
    <w:rsid w:val="00833AF7"/>
    <w:rsid w:val="00833B3D"/>
    <w:rsid w:val="00833B97"/>
    <w:rsid w:val="00833BBD"/>
    <w:rsid w:val="00833C87"/>
    <w:rsid w:val="00833D2A"/>
    <w:rsid w:val="00833D3C"/>
    <w:rsid w:val="00833E40"/>
    <w:rsid w:val="00833EBC"/>
    <w:rsid w:val="00833EFD"/>
    <w:rsid w:val="00833FEB"/>
    <w:rsid w:val="00833FFD"/>
    <w:rsid w:val="00834120"/>
    <w:rsid w:val="00834145"/>
    <w:rsid w:val="0083415D"/>
    <w:rsid w:val="00834198"/>
    <w:rsid w:val="008341F2"/>
    <w:rsid w:val="0083423C"/>
    <w:rsid w:val="008345F2"/>
    <w:rsid w:val="00834635"/>
    <w:rsid w:val="00834653"/>
    <w:rsid w:val="008347CD"/>
    <w:rsid w:val="0083499F"/>
    <w:rsid w:val="00834AA5"/>
    <w:rsid w:val="00834B28"/>
    <w:rsid w:val="00834C56"/>
    <w:rsid w:val="00834CFB"/>
    <w:rsid w:val="00834F12"/>
    <w:rsid w:val="00835074"/>
    <w:rsid w:val="00835114"/>
    <w:rsid w:val="008351C9"/>
    <w:rsid w:val="0083524D"/>
    <w:rsid w:val="008352FE"/>
    <w:rsid w:val="008353D5"/>
    <w:rsid w:val="008353F3"/>
    <w:rsid w:val="008353F7"/>
    <w:rsid w:val="0083555D"/>
    <w:rsid w:val="0083556E"/>
    <w:rsid w:val="00835591"/>
    <w:rsid w:val="00835618"/>
    <w:rsid w:val="008357BC"/>
    <w:rsid w:val="008358F8"/>
    <w:rsid w:val="00835909"/>
    <w:rsid w:val="00835A42"/>
    <w:rsid w:val="00835A4E"/>
    <w:rsid w:val="00835ACD"/>
    <w:rsid w:val="00835C07"/>
    <w:rsid w:val="00835C38"/>
    <w:rsid w:val="00835C39"/>
    <w:rsid w:val="00835C87"/>
    <w:rsid w:val="00835CF3"/>
    <w:rsid w:val="00835DFF"/>
    <w:rsid w:val="00835F50"/>
    <w:rsid w:val="00835FDF"/>
    <w:rsid w:val="00835FFA"/>
    <w:rsid w:val="0083602C"/>
    <w:rsid w:val="008360F6"/>
    <w:rsid w:val="0083617B"/>
    <w:rsid w:val="008361C7"/>
    <w:rsid w:val="00836240"/>
    <w:rsid w:val="0083629E"/>
    <w:rsid w:val="008362A6"/>
    <w:rsid w:val="00836410"/>
    <w:rsid w:val="0083644E"/>
    <w:rsid w:val="0083671A"/>
    <w:rsid w:val="008367C0"/>
    <w:rsid w:val="00836898"/>
    <w:rsid w:val="008368BA"/>
    <w:rsid w:val="00836971"/>
    <w:rsid w:val="008369AA"/>
    <w:rsid w:val="00836B7C"/>
    <w:rsid w:val="00836BD9"/>
    <w:rsid w:val="00836C09"/>
    <w:rsid w:val="00836C1F"/>
    <w:rsid w:val="00836DFA"/>
    <w:rsid w:val="00836EDA"/>
    <w:rsid w:val="00836F74"/>
    <w:rsid w:val="00836F79"/>
    <w:rsid w:val="00837033"/>
    <w:rsid w:val="0083705A"/>
    <w:rsid w:val="008371C9"/>
    <w:rsid w:val="00837228"/>
    <w:rsid w:val="00837348"/>
    <w:rsid w:val="00837443"/>
    <w:rsid w:val="008374E5"/>
    <w:rsid w:val="00837517"/>
    <w:rsid w:val="008375D2"/>
    <w:rsid w:val="00837638"/>
    <w:rsid w:val="0083763D"/>
    <w:rsid w:val="00837662"/>
    <w:rsid w:val="008376D2"/>
    <w:rsid w:val="00837716"/>
    <w:rsid w:val="008377B1"/>
    <w:rsid w:val="008377BD"/>
    <w:rsid w:val="00837920"/>
    <w:rsid w:val="00837A74"/>
    <w:rsid w:val="00837A89"/>
    <w:rsid w:val="00837AB7"/>
    <w:rsid w:val="00837B19"/>
    <w:rsid w:val="00837B42"/>
    <w:rsid w:val="00837B8C"/>
    <w:rsid w:val="00837E39"/>
    <w:rsid w:val="00837E3F"/>
    <w:rsid w:val="00837E8E"/>
    <w:rsid w:val="00837EA3"/>
    <w:rsid w:val="00837F6B"/>
    <w:rsid w:val="008401E1"/>
    <w:rsid w:val="008401E9"/>
    <w:rsid w:val="008401F8"/>
    <w:rsid w:val="0084036F"/>
    <w:rsid w:val="008403BC"/>
    <w:rsid w:val="0084052E"/>
    <w:rsid w:val="00840569"/>
    <w:rsid w:val="00840677"/>
    <w:rsid w:val="008406EA"/>
    <w:rsid w:val="00840709"/>
    <w:rsid w:val="0084072A"/>
    <w:rsid w:val="008407E5"/>
    <w:rsid w:val="0084081A"/>
    <w:rsid w:val="0084089C"/>
    <w:rsid w:val="008408C2"/>
    <w:rsid w:val="00840924"/>
    <w:rsid w:val="00840A10"/>
    <w:rsid w:val="00840AB3"/>
    <w:rsid w:val="00840BA2"/>
    <w:rsid w:val="00840C66"/>
    <w:rsid w:val="00840E2B"/>
    <w:rsid w:val="00840EB6"/>
    <w:rsid w:val="00840F0A"/>
    <w:rsid w:val="00840F14"/>
    <w:rsid w:val="00841054"/>
    <w:rsid w:val="0084123A"/>
    <w:rsid w:val="00841295"/>
    <w:rsid w:val="00841520"/>
    <w:rsid w:val="0084156D"/>
    <w:rsid w:val="00841646"/>
    <w:rsid w:val="0084168B"/>
    <w:rsid w:val="008416FC"/>
    <w:rsid w:val="00841757"/>
    <w:rsid w:val="00841830"/>
    <w:rsid w:val="00841A31"/>
    <w:rsid w:val="00841A49"/>
    <w:rsid w:val="00841B2C"/>
    <w:rsid w:val="00841BB4"/>
    <w:rsid w:val="00841BBB"/>
    <w:rsid w:val="00841C20"/>
    <w:rsid w:val="00841D08"/>
    <w:rsid w:val="00841D14"/>
    <w:rsid w:val="00841D28"/>
    <w:rsid w:val="00841E99"/>
    <w:rsid w:val="00841FAF"/>
    <w:rsid w:val="0084202C"/>
    <w:rsid w:val="0084243B"/>
    <w:rsid w:val="00842876"/>
    <w:rsid w:val="008429AE"/>
    <w:rsid w:val="008429DF"/>
    <w:rsid w:val="00842A8D"/>
    <w:rsid w:val="00842AA3"/>
    <w:rsid w:val="00842B99"/>
    <w:rsid w:val="00842BCB"/>
    <w:rsid w:val="00842C5A"/>
    <w:rsid w:val="00842DA2"/>
    <w:rsid w:val="00842DBE"/>
    <w:rsid w:val="00842EA2"/>
    <w:rsid w:val="00842F0A"/>
    <w:rsid w:val="00842F6F"/>
    <w:rsid w:val="00842FE9"/>
    <w:rsid w:val="00843036"/>
    <w:rsid w:val="00843162"/>
    <w:rsid w:val="008431FE"/>
    <w:rsid w:val="00843281"/>
    <w:rsid w:val="0084328C"/>
    <w:rsid w:val="008433A9"/>
    <w:rsid w:val="008433D5"/>
    <w:rsid w:val="008433E4"/>
    <w:rsid w:val="0084340A"/>
    <w:rsid w:val="008434A9"/>
    <w:rsid w:val="008434F9"/>
    <w:rsid w:val="008434FF"/>
    <w:rsid w:val="00843533"/>
    <w:rsid w:val="0084353B"/>
    <w:rsid w:val="0084363F"/>
    <w:rsid w:val="00843686"/>
    <w:rsid w:val="00843713"/>
    <w:rsid w:val="00843737"/>
    <w:rsid w:val="00843771"/>
    <w:rsid w:val="0084377B"/>
    <w:rsid w:val="008437FA"/>
    <w:rsid w:val="0084381D"/>
    <w:rsid w:val="00843869"/>
    <w:rsid w:val="008438F6"/>
    <w:rsid w:val="008439D5"/>
    <w:rsid w:val="00843ABE"/>
    <w:rsid w:val="00843AF9"/>
    <w:rsid w:val="00843B2B"/>
    <w:rsid w:val="00843B43"/>
    <w:rsid w:val="00843BE8"/>
    <w:rsid w:val="00843D6A"/>
    <w:rsid w:val="00843E1D"/>
    <w:rsid w:val="00843F64"/>
    <w:rsid w:val="00844104"/>
    <w:rsid w:val="00844152"/>
    <w:rsid w:val="0084421B"/>
    <w:rsid w:val="0084424C"/>
    <w:rsid w:val="008442DD"/>
    <w:rsid w:val="0084434D"/>
    <w:rsid w:val="00844362"/>
    <w:rsid w:val="00844419"/>
    <w:rsid w:val="0084441A"/>
    <w:rsid w:val="0084444A"/>
    <w:rsid w:val="008444A4"/>
    <w:rsid w:val="00844506"/>
    <w:rsid w:val="008447A5"/>
    <w:rsid w:val="008447D6"/>
    <w:rsid w:val="00844803"/>
    <w:rsid w:val="0084488E"/>
    <w:rsid w:val="00844903"/>
    <w:rsid w:val="00844951"/>
    <w:rsid w:val="00844A33"/>
    <w:rsid w:val="00844AB8"/>
    <w:rsid w:val="00844ADD"/>
    <w:rsid w:val="00844C90"/>
    <w:rsid w:val="00844DFA"/>
    <w:rsid w:val="00844EBD"/>
    <w:rsid w:val="00844F47"/>
    <w:rsid w:val="00845131"/>
    <w:rsid w:val="0084514F"/>
    <w:rsid w:val="008452A2"/>
    <w:rsid w:val="00845328"/>
    <w:rsid w:val="0084537D"/>
    <w:rsid w:val="0084549D"/>
    <w:rsid w:val="008454AA"/>
    <w:rsid w:val="008454E2"/>
    <w:rsid w:val="008454F9"/>
    <w:rsid w:val="0084555B"/>
    <w:rsid w:val="008455F7"/>
    <w:rsid w:val="008455FB"/>
    <w:rsid w:val="0084564F"/>
    <w:rsid w:val="008456AA"/>
    <w:rsid w:val="00845825"/>
    <w:rsid w:val="00845839"/>
    <w:rsid w:val="008458E1"/>
    <w:rsid w:val="008458F1"/>
    <w:rsid w:val="0084596C"/>
    <w:rsid w:val="00845ACC"/>
    <w:rsid w:val="00845ADE"/>
    <w:rsid w:val="00845BDE"/>
    <w:rsid w:val="00845BDF"/>
    <w:rsid w:val="00845C16"/>
    <w:rsid w:val="00845CB7"/>
    <w:rsid w:val="00845D82"/>
    <w:rsid w:val="00845D9A"/>
    <w:rsid w:val="00845F05"/>
    <w:rsid w:val="0084617B"/>
    <w:rsid w:val="008461EB"/>
    <w:rsid w:val="008461F2"/>
    <w:rsid w:val="00846220"/>
    <w:rsid w:val="00846270"/>
    <w:rsid w:val="0084646C"/>
    <w:rsid w:val="00846478"/>
    <w:rsid w:val="0084660E"/>
    <w:rsid w:val="00846650"/>
    <w:rsid w:val="00846725"/>
    <w:rsid w:val="00846755"/>
    <w:rsid w:val="0084679F"/>
    <w:rsid w:val="00846894"/>
    <w:rsid w:val="00846940"/>
    <w:rsid w:val="00846A24"/>
    <w:rsid w:val="00846C3E"/>
    <w:rsid w:val="00846D3A"/>
    <w:rsid w:val="00846D9A"/>
    <w:rsid w:val="00846E2A"/>
    <w:rsid w:val="00846F27"/>
    <w:rsid w:val="00846FDF"/>
    <w:rsid w:val="0084704C"/>
    <w:rsid w:val="008470D2"/>
    <w:rsid w:val="00847101"/>
    <w:rsid w:val="008472F3"/>
    <w:rsid w:val="008473B7"/>
    <w:rsid w:val="00847410"/>
    <w:rsid w:val="008474E8"/>
    <w:rsid w:val="0084757C"/>
    <w:rsid w:val="008475CD"/>
    <w:rsid w:val="008476B3"/>
    <w:rsid w:val="008476E0"/>
    <w:rsid w:val="00847737"/>
    <w:rsid w:val="0084788A"/>
    <w:rsid w:val="008478B8"/>
    <w:rsid w:val="00847925"/>
    <w:rsid w:val="008479DE"/>
    <w:rsid w:val="00847AD4"/>
    <w:rsid w:val="00847BCE"/>
    <w:rsid w:val="00847BED"/>
    <w:rsid w:val="00847C91"/>
    <w:rsid w:val="00847DB5"/>
    <w:rsid w:val="00847E9D"/>
    <w:rsid w:val="00847EAA"/>
    <w:rsid w:val="00847FF0"/>
    <w:rsid w:val="008500B6"/>
    <w:rsid w:val="008501EB"/>
    <w:rsid w:val="00850205"/>
    <w:rsid w:val="00850288"/>
    <w:rsid w:val="008502DE"/>
    <w:rsid w:val="0085030C"/>
    <w:rsid w:val="0085045D"/>
    <w:rsid w:val="0085048C"/>
    <w:rsid w:val="008504D7"/>
    <w:rsid w:val="00850694"/>
    <w:rsid w:val="008506F0"/>
    <w:rsid w:val="00850769"/>
    <w:rsid w:val="008507BA"/>
    <w:rsid w:val="00850819"/>
    <w:rsid w:val="008508DD"/>
    <w:rsid w:val="00850931"/>
    <w:rsid w:val="00850940"/>
    <w:rsid w:val="00850960"/>
    <w:rsid w:val="00850967"/>
    <w:rsid w:val="008509BE"/>
    <w:rsid w:val="00850AEF"/>
    <w:rsid w:val="00850DC3"/>
    <w:rsid w:val="00850E55"/>
    <w:rsid w:val="00850F11"/>
    <w:rsid w:val="00850F70"/>
    <w:rsid w:val="00850FCA"/>
    <w:rsid w:val="00851057"/>
    <w:rsid w:val="00851221"/>
    <w:rsid w:val="0085129A"/>
    <w:rsid w:val="0085131F"/>
    <w:rsid w:val="0085132D"/>
    <w:rsid w:val="0085132E"/>
    <w:rsid w:val="00851350"/>
    <w:rsid w:val="008513A8"/>
    <w:rsid w:val="0085143F"/>
    <w:rsid w:val="00851553"/>
    <w:rsid w:val="008515E5"/>
    <w:rsid w:val="008517B7"/>
    <w:rsid w:val="0085183E"/>
    <w:rsid w:val="008518A5"/>
    <w:rsid w:val="008518B7"/>
    <w:rsid w:val="008518E7"/>
    <w:rsid w:val="00851967"/>
    <w:rsid w:val="008519C2"/>
    <w:rsid w:val="00851AAC"/>
    <w:rsid w:val="00851AB1"/>
    <w:rsid w:val="00851B86"/>
    <w:rsid w:val="00851BD2"/>
    <w:rsid w:val="00851C84"/>
    <w:rsid w:val="00851DD5"/>
    <w:rsid w:val="00851DFA"/>
    <w:rsid w:val="00851FE4"/>
    <w:rsid w:val="00852007"/>
    <w:rsid w:val="0085202F"/>
    <w:rsid w:val="008520D2"/>
    <w:rsid w:val="008522F8"/>
    <w:rsid w:val="008524D1"/>
    <w:rsid w:val="008524D5"/>
    <w:rsid w:val="008525D6"/>
    <w:rsid w:val="00852698"/>
    <w:rsid w:val="0085280D"/>
    <w:rsid w:val="00852921"/>
    <w:rsid w:val="00852A6A"/>
    <w:rsid w:val="00852AF3"/>
    <w:rsid w:val="00852B92"/>
    <w:rsid w:val="00852CB7"/>
    <w:rsid w:val="00852DB1"/>
    <w:rsid w:val="00852E00"/>
    <w:rsid w:val="00852E83"/>
    <w:rsid w:val="00852EA1"/>
    <w:rsid w:val="00852EF0"/>
    <w:rsid w:val="00852F8C"/>
    <w:rsid w:val="00852FC8"/>
    <w:rsid w:val="008530E8"/>
    <w:rsid w:val="008530E9"/>
    <w:rsid w:val="008531DA"/>
    <w:rsid w:val="008531ED"/>
    <w:rsid w:val="00853231"/>
    <w:rsid w:val="008532ED"/>
    <w:rsid w:val="008532F5"/>
    <w:rsid w:val="008533D1"/>
    <w:rsid w:val="00853479"/>
    <w:rsid w:val="0085352E"/>
    <w:rsid w:val="008535E5"/>
    <w:rsid w:val="00853666"/>
    <w:rsid w:val="00853686"/>
    <w:rsid w:val="00853695"/>
    <w:rsid w:val="008537C2"/>
    <w:rsid w:val="008537DD"/>
    <w:rsid w:val="00853883"/>
    <w:rsid w:val="00853AC5"/>
    <w:rsid w:val="00853B99"/>
    <w:rsid w:val="00853C17"/>
    <w:rsid w:val="00853CE3"/>
    <w:rsid w:val="00853CF0"/>
    <w:rsid w:val="00853D27"/>
    <w:rsid w:val="00853E73"/>
    <w:rsid w:val="00853FF7"/>
    <w:rsid w:val="00854098"/>
    <w:rsid w:val="008540C5"/>
    <w:rsid w:val="00854100"/>
    <w:rsid w:val="00854278"/>
    <w:rsid w:val="008542A2"/>
    <w:rsid w:val="008542F0"/>
    <w:rsid w:val="00854350"/>
    <w:rsid w:val="0085436A"/>
    <w:rsid w:val="00854489"/>
    <w:rsid w:val="008544BD"/>
    <w:rsid w:val="008545A0"/>
    <w:rsid w:val="008545D0"/>
    <w:rsid w:val="008545D8"/>
    <w:rsid w:val="00854607"/>
    <w:rsid w:val="008546A9"/>
    <w:rsid w:val="00854849"/>
    <w:rsid w:val="00854857"/>
    <w:rsid w:val="008548C5"/>
    <w:rsid w:val="00854B19"/>
    <w:rsid w:val="00854B61"/>
    <w:rsid w:val="00854B7D"/>
    <w:rsid w:val="00854C49"/>
    <w:rsid w:val="00854C69"/>
    <w:rsid w:val="00854C75"/>
    <w:rsid w:val="00854C95"/>
    <w:rsid w:val="00854CD2"/>
    <w:rsid w:val="00854CEB"/>
    <w:rsid w:val="00854D69"/>
    <w:rsid w:val="00854D8D"/>
    <w:rsid w:val="00854E21"/>
    <w:rsid w:val="00854F9F"/>
    <w:rsid w:val="008550B5"/>
    <w:rsid w:val="0085521E"/>
    <w:rsid w:val="00855331"/>
    <w:rsid w:val="008554C5"/>
    <w:rsid w:val="00855539"/>
    <w:rsid w:val="00855551"/>
    <w:rsid w:val="008555AB"/>
    <w:rsid w:val="0085562F"/>
    <w:rsid w:val="008556C6"/>
    <w:rsid w:val="008556CC"/>
    <w:rsid w:val="00855718"/>
    <w:rsid w:val="008558C1"/>
    <w:rsid w:val="008558DC"/>
    <w:rsid w:val="00855923"/>
    <w:rsid w:val="008559D5"/>
    <w:rsid w:val="00855A83"/>
    <w:rsid w:val="00855A92"/>
    <w:rsid w:val="00855B01"/>
    <w:rsid w:val="00855B9B"/>
    <w:rsid w:val="00855BD9"/>
    <w:rsid w:val="00855C32"/>
    <w:rsid w:val="00855C63"/>
    <w:rsid w:val="00855E05"/>
    <w:rsid w:val="00855F80"/>
    <w:rsid w:val="00855F81"/>
    <w:rsid w:val="00855FFF"/>
    <w:rsid w:val="0085608E"/>
    <w:rsid w:val="008560B5"/>
    <w:rsid w:val="008562BD"/>
    <w:rsid w:val="008562FA"/>
    <w:rsid w:val="00856322"/>
    <w:rsid w:val="008564BC"/>
    <w:rsid w:val="00856679"/>
    <w:rsid w:val="008566B3"/>
    <w:rsid w:val="008566BA"/>
    <w:rsid w:val="00856817"/>
    <w:rsid w:val="00856870"/>
    <w:rsid w:val="008568EF"/>
    <w:rsid w:val="0085692C"/>
    <w:rsid w:val="0085696C"/>
    <w:rsid w:val="008569A4"/>
    <w:rsid w:val="00856A54"/>
    <w:rsid w:val="00856BFB"/>
    <w:rsid w:val="00856C07"/>
    <w:rsid w:val="00856C0E"/>
    <w:rsid w:val="00856C14"/>
    <w:rsid w:val="00856D53"/>
    <w:rsid w:val="00856D5D"/>
    <w:rsid w:val="00856DA9"/>
    <w:rsid w:val="00856E5C"/>
    <w:rsid w:val="00856FA0"/>
    <w:rsid w:val="008570C3"/>
    <w:rsid w:val="00857211"/>
    <w:rsid w:val="00857258"/>
    <w:rsid w:val="00857279"/>
    <w:rsid w:val="008572A9"/>
    <w:rsid w:val="008572E6"/>
    <w:rsid w:val="00857367"/>
    <w:rsid w:val="0085736E"/>
    <w:rsid w:val="00857397"/>
    <w:rsid w:val="008574A8"/>
    <w:rsid w:val="00857540"/>
    <w:rsid w:val="0085754E"/>
    <w:rsid w:val="00857575"/>
    <w:rsid w:val="008575BE"/>
    <w:rsid w:val="008575C5"/>
    <w:rsid w:val="0085760B"/>
    <w:rsid w:val="0085763D"/>
    <w:rsid w:val="0085766D"/>
    <w:rsid w:val="008576DD"/>
    <w:rsid w:val="0085777B"/>
    <w:rsid w:val="00857787"/>
    <w:rsid w:val="00857810"/>
    <w:rsid w:val="00857843"/>
    <w:rsid w:val="0085785C"/>
    <w:rsid w:val="00857947"/>
    <w:rsid w:val="00857977"/>
    <w:rsid w:val="00857A4A"/>
    <w:rsid w:val="00857A56"/>
    <w:rsid w:val="00857C12"/>
    <w:rsid w:val="00857D03"/>
    <w:rsid w:val="00857E1B"/>
    <w:rsid w:val="00857E41"/>
    <w:rsid w:val="00857F17"/>
    <w:rsid w:val="00857FE5"/>
    <w:rsid w:val="00857FF2"/>
    <w:rsid w:val="0085812E"/>
    <w:rsid w:val="0086006A"/>
    <w:rsid w:val="0086013F"/>
    <w:rsid w:val="008601C8"/>
    <w:rsid w:val="00860260"/>
    <w:rsid w:val="00860263"/>
    <w:rsid w:val="00860346"/>
    <w:rsid w:val="00860527"/>
    <w:rsid w:val="00860597"/>
    <w:rsid w:val="008605AE"/>
    <w:rsid w:val="00860675"/>
    <w:rsid w:val="008608D6"/>
    <w:rsid w:val="0086092E"/>
    <w:rsid w:val="00860950"/>
    <w:rsid w:val="00860976"/>
    <w:rsid w:val="00860987"/>
    <w:rsid w:val="00860A4C"/>
    <w:rsid w:val="00860BC1"/>
    <w:rsid w:val="00860EE7"/>
    <w:rsid w:val="00860FC3"/>
    <w:rsid w:val="00861090"/>
    <w:rsid w:val="00861165"/>
    <w:rsid w:val="00861253"/>
    <w:rsid w:val="008614C1"/>
    <w:rsid w:val="008614CB"/>
    <w:rsid w:val="00861533"/>
    <w:rsid w:val="00861547"/>
    <w:rsid w:val="008615A7"/>
    <w:rsid w:val="008615B8"/>
    <w:rsid w:val="0086186D"/>
    <w:rsid w:val="008618E2"/>
    <w:rsid w:val="00861932"/>
    <w:rsid w:val="008619CB"/>
    <w:rsid w:val="00861B1B"/>
    <w:rsid w:val="00861C2F"/>
    <w:rsid w:val="00861C34"/>
    <w:rsid w:val="00861C44"/>
    <w:rsid w:val="00861CE7"/>
    <w:rsid w:val="00861CED"/>
    <w:rsid w:val="00861DA2"/>
    <w:rsid w:val="00861DB8"/>
    <w:rsid w:val="00861DCE"/>
    <w:rsid w:val="00861E56"/>
    <w:rsid w:val="00861F54"/>
    <w:rsid w:val="00862001"/>
    <w:rsid w:val="008620AD"/>
    <w:rsid w:val="008620B4"/>
    <w:rsid w:val="008621B7"/>
    <w:rsid w:val="008621BA"/>
    <w:rsid w:val="008622A2"/>
    <w:rsid w:val="008622E1"/>
    <w:rsid w:val="00862309"/>
    <w:rsid w:val="00862361"/>
    <w:rsid w:val="00862425"/>
    <w:rsid w:val="0086247F"/>
    <w:rsid w:val="008624E7"/>
    <w:rsid w:val="008625AB"/>
    <w:rsid w:val="008625D7"/>
    <w:rsid w:val="00862640"/>
    <w:rsid w:val="00862651"/>
    <w:rsid w:val="008626AA"/>
    <w:rsid w:val="008627B5"/>
    <w:rsid w:val="00862818"/>
    <w:rsid w:val="0086289B"/>
    <w:rsid w:val="008628F7"/>
    <w:rsid w:val="00862933"/>
    <w:rsid w:val="00862961"/>
    <w:rsid w:val="00862994"/>
    <w:rsid w:val="00862A79"/>
    <w:rsid w:val="00862B03"/>
    <w:rsid w:val="00862BDD"/>
    <w:rsid w:val="00862C34"/>
    <w:rsid w:val="00862C3D"/>
    <w:rsid w:val="00862CD3"/>
    <w:rsid w:val="00862D1C"/>
    <w:rsid w:val="00862D8A"/>
    <w:rsid w:val="00862DF2"/>
    <w:rsid w:val="00862E13"/>
    <w:rsid w:val="00862ED7"/>
    <w:rsid w:val="00862FCE"/>
    <w:rsid w:val="00863002"/>
    <w:rsid w:val="0086304E"/>
    <w:rsid w:val="00863091"/>
    <w:rsid w:val="008630B7"/>
    <w:rsid w:val="00863247"/>
    <w:rsid w:val="00863282"/>
    <w:rsid w:val="0086330E"/>
    <w:rsid w:val="00863330"/>
    <w:rsid w:val="00863343"/>
    <w:rsid w:val="0086336B"/>
    <w:rsid w:val="00863394"/>
    <w:rsid w:val="008633CF"/>
    <w:rsid w:val="00863434"/>
    <w:rsid w:val="00863544"/>
    <w:rsid w:val="0086355A"/>
    <w:rsid w:val="0086356F"/>
    <w:rsid w:val="00863689"/>
    <w:rsid w:val="008636B1"/>
    <w:rsid w:val="00863762"/>
    <w:rsid w:val="00863769"/>
    <w:rsid w:val="00863784"/>
    <w:rsid w:val="0086381C"/>
    <w:rsid w:val="0086388B"/>
    <w:rsid w:val="00863975"/>
    <w:rsid w:val="008639C4"/>
    <w:rsid w:val="008639ED"/>
    <w:rsid w:val="00863C84"/>
    <w:rsid w:val="00863CFC"/>
    <w:rsid w:val="00863D32"/>
    <w:rsid w:val="00863D88"/>
    <w:rsid w:val="00863D9D"/>
    <w:rsid w:val="00863DBD"/>
    <w:rsid w:val="00863DF7"/>
    <w:rsid w:val="00864061"/>
    <w:rsid w:val="008640DF"/>
    <w:rsid w:val="0086411F"/>
    <w:rsid w:val="008641F2"/>
    <w:rsid w:val="008642EA"/>
    <w:rsid w:val="008643EC"/>
    <w:rsid w:val="00864652"/>
    <w:rsid w:val="008646E9"/>
    <w:rsid w:val="0086479B"/>
    <w:rsid w:val="008647BD"/>
    <w:rsid w:val="008647CC"/>
    <w:rsid w:val="008648CD"/>
    <w:rsid w:val="00864950"/>
    <w:rsid w:val="00864997"/>
    <w:rsid w:val="00864A6B"/>
    <w:rsid w:val="00864B1C"/>
    <w:rsid w:val="00864C89"/>
    <w:rsid w:val="00864CE4"/>
    <w:rsid w:val="00864D45"/>
    <w:rsid w:val="00864DA5"/>
    <w:rsid w:val="00864EE3"/>
    <w:rsid w:val="00864F24"/>
    <w:rsid w:val="0086507B"/>
    <w:rsid w:val="008650B2"/>
    <w:rsid w:val="0086517B"/>
    <w:rsid w:val="008651A2"/>
    <w:rsid w:val="0086520D"/>
    <w:rsid w:val="00865290"/>
    <w:rsid w:val="008652D6"/>
    <w:rsid w:val="0086542C"/>
    <w:rsid w:val="0086543F"/>
    <w:rsid w:val="00865475"/>
    <w:rsid w:val="00865624"/>
    <w:rsid w:val="00865633"/>
    <w:rsid w:val="0086567A"/>
    <w:rsid w:val="00865785"/>
    <w:rsid w:val="00865793"/>
    <w:rsid w:val="008657E6"/>
    <w:rsid w:val="0086585C"/>
    <w:rsid w:val="00865C7A"/>
    <w:rsid w:val="00865D0F"/>
    <w:rsid w:val="00865D58"/>
    <w:rsid w:val="00865E34"/>
    <w:rsid w:val="00865EE6"/>
    <w:rsid w:val="00866004"/>
    <w:rsid w:val="00866058"/>
    <w:rsid w:val="008661A3"/>
    <w:rsid w:val="008661D7"/>
    <w:rsid w:val="00866233"/>
    <w:rsid w:val="00866270"/>
    <w:rsid w:val="00866423"/>
    <w:rsid w:val="00866431"/>
    <w:rsid w:val="00866476"/>
    <w:rsid w:val="00866491"/>
    <w:rsid w:val="00866547"/>
    <w:rsid w:val="00866714"/>
    <w:rsid w:val="008667E9"/>
    <w:rsid w:val="0086684A"/>
    <w:rsid w:val="00866925"/>
    <w:rsid w:val="00866A8D"/>
    <w:rsid w:val="00866B13"/>
    <w:rsid w:val="00866B3C"/>
    <w:rsid w:val="00866B60"/>
    <w:rsid w:val="00866BB7"/>
    <w:rsid w:val="00866C51"/>
    <w:rsid w:val="00866CD3"/>
    <w:rsid w:val="00866D3F"/>
    <w:rsid w:val="00866DA1"/>
    <w:rsid w:val="00866DE2"/>
    <w:rsid w:val="00866E71"/>
    <w:rsid w:val="00866E86"/>
    <w:rsid w:val="00866F18"/>
    <w:rsid w:val="00866FDC"/>
    <w:rsid w:val="008670B6"/>
    <w:rsid w:val="008670ED"/>
    <w:rsid w:val="0086716C"/>
    <w:rsid w:val="008672E7"/>
    <w:rsid w:val="008673C6"/>
    <w:rsid w:val="0086750E"/>
    <w:rsid w:val="00867548"/>
    <w:rsid w:val="0086756D"/>
    <w:rsid w:val="008675B4"/>
    <w:rsid w:val="0086789B"/>
    <w:rsid w:val="00867958"/>
    <w:rsid w:val="00867AB6"/>
    <w:rsid w:val="00867AC8"/>
    <w:rsid w:val="00867B5B"/>
    <w:rsid w:val="00867B65"/>
    <w:rsid w:val="00867BC7"/>
    <w:rsid w:val="00867D0A"/>
    <w:rsid w:val="00867DFA"/>
    <w:rsid w:val="00867EDF"/>
    <w:rsid w:val="00867F23"/>
    <w:rsid w:val="00867F6E"/>
    <w:rsid w:val="0087010F"/>
    <w:rsid w:val="0087017B"/>
    <w:rsid w:val="008701E7"/>
    <w:rsid w:val="0087030E"/>
    <w:rsid w:val="008704EF"/>
    <w:rsid w:val="00870508"/>
    <w:rsid w:val="00870524"/>
    <w:rsid w:val="008705C4"/>
    <w:rsid w:val="00870682"/>
    <w:rsid w:val="008707C2"/>
    <w:rsid w:val="008708DE"/>
    <w:rsid w:val="0087097F"/>
    <w:rsid w:val="00870988"/>
    <w:rsid w:val="00870992"/>
    <w:rsid w:val="008709CA"/>
    <w:rsid w:val="00870B05"/>
    <w:rsid w:val="00870B78"/>
    <w:rsid w:val="00870CA9"/>
    <w:rsid w:val="00870CC0"/>
    <w:rsid w:val="00870D7B"/>
    <w:rsid w:val="00870DFA"/>
    <w:rsid w:val="00870E02"/>
    <w:rsid w:val="00870E09"/>
    <w:rsid w:val="00870EE9"/>
    <w:rsid w:val="00870FEC"/>
    <w:rsid w:val="008710C6"/>
    <w:rsid w:val="008710ED"/>
    <w:rsid w:val="00871183"/>
    <w:rsid w:val="008711CF"/>
    <w:rsid w:val="008711D1"/>
    <w:rsid w:val="00871205"/>
    <w:rsid w:val="008712A4"/>
    <w:rsid w:val="0087134B"/>
    <w:rsid w:val="00871468"/>
    <w:rsid w:val="008714A6"/>
    <w:rsid w:val="00871540"/>
    <w:rsid w:val="0087180F"/>
    <w:rsid w:val="00871839"/>
    <w:rsid w:val="00871867"/>
    <w:rsid w:val="008718EB"/>
    <w:rsid w:val="00871933"/>
    <w:rsid w:val="008719BC"/>
    <w:rsid w:val="00871B00"/>
    <w:rsid w:val="00871B84"/>
    <w:rsid w:val="00871C51"/>
    <w:rsid w:val="00871DA7"/>
    <w:rsid w:val="00871DAA"/>
    <w:rsid w:val="00871DC4"/>
    <w:rsid w:val="00871E06"/>
    <w:rsid w:val="00871ECE"/>
    <w:rsid w:val="00871FC6"/>
    <w:rsid w:val="00872099"/>
    <w:rsid w:val="008721E8"/>
    <w:rsid w:val="00872233"/>
    <w:rsid w:val="0087229C"/>
    <w:rsid w:val="0087239A"/>
    <w:rsid w:val="00872425"/>
    <w:rsid w:val="008725D2"/>
    <w:rsid w:val="00872720"/>
    <w:rsid w:val="008727B9"/>
    <w:rsid w:val="008728BC"/>
    <w:rsid w:val="0087290B"/>
    <w:rsid w:val="0087292B"/>
    <w:rsid w:val="00872960"/>
    <w:rsid w:val="0087299B"/>
    <w:rsid w:val="00872B0A"/>
    <w:rsid w:val="00872B20"/>
    <w:rsid w:val="00872BCA"/>
    <w:rsid w:val="00872CC3"/>
    <w:rsid w:val="00872CE8"/>
    <w:rsid w:val="00872D4A"/>
    <w:rsid w:val="00872D7B"/>
    <w:rsid w:val="00872E79"/>
    <w:rsid w:val="00872E81"/>
    <w:rsid w:val="00872E98"/>
    <w:rsid w:val="00872EE2"/>
    <w:rsid w:val="00872F16"/>
    <w:rsid w:val="00872F93"/>
    <w:rsid w:val="00872FAB"/>
    <w:rsid w:val="00873038"/>
    <w:rsid w:val="00873161"/>
    <w:rsid w:val="00873213"/>
    <w:rsid w:val="00873236"/>
    <w:rsid w:val="0087325F"/>
    <w:rsid w:val="0087334F"/>
    <w:rsid w:val="0087342C"/>
    <w:rsid w:val="008735B3"/>
    <w:rsid w:val="008735D1"/>
    <w:rsid w:val="00873611"/>
    <w:rsid w:val="0087385A"/>
    <w:rsid w:val="0087386D"/>
    <w:rsid w:val="00873870"/>
    <w:rsid w:val="0087389F"/>
    <w:rsid w:val="0087392D"/>
    <w:rsid w:val="00873936"/>
    <w:rsid w:val="00873957"/>
    <w:rsid w:val="008739BA"/>
    <w:rsid w:val="008739BE"/>
    <w:rsid w:val="008739E7"/>
    <w:rsid w:val="00873CFC"/>
    <w:rsid w:val="00873DC3"/>
    <w:rsid w:val="00873DEC"/>
    <w:rsid w:val="00873E5C"/>
    <w:rsid w:val="00873EB4"/>
    <w:rsid w:val="00873F2B"/>
    <w:rsid w:val="00873F48"/>
    <w:rsid w:val="0087401C"/>
    <w:rsid w:val="00874042"/>
    <w:rsid w:val="0087411F"/>
    <w:rsid w:val="0087425F"/>
    <w:rsid w:val="0087429B"/>
    <w:rsid w:val="0087429C"/>
    <w:rsid w:val="00874323"/>
    <w:rsid w:val="00874433"/>
    <w:rsid w:val="00874461"/>
    <w:rsid w:val="008744E7"/>
    <w:rsid w:val="00874513"/>
    <w:rsid w:val="00874594"/>
    <w:rsid w:val="008746A7"/>
    <w:rsid w:val="00874736"/>
    <w:rsid w:val="00874762"/>
    <w:rsid w:val="008747ED"/>
    <w:rsid w:val="008747FE"/>
    <w:rsid w:val="008749AF"/>
    <w:rsid w:val="00874AE2"/>
    <w:rsid w:val="00874B00"/>
    <w:rsid w:val="00874C7C"/>
    <w:rsid w:val="00874CB4"/>
    <w:rsid w:val="00874CCF"/>
    <w:rsid w:val="00874F1D"/>
    <w:rsid w:val="008751CB"/>
    <w:rsid w:val="00875214"/>
    <w:rsid w:val="00875237"/>
    <w:rsid w:val="00875255"/>
    <w:rsid w:val="008752C1"/>
    <w:rsid w:val="008752F8"/>
    <w:rsid w:val="00875309"/>
    <w:rsid w:val="00875310"/>
    <w:rsid w:val="00875377"/>
    <w:rsid w:val="008754B9"/>
    <w:rsid w:val="0087550C"/>
    <w:rsid w:val="00875510"/>
    <w:rsid w:val="00875529"/>
    <w:rsid w:val="0087559E"/>
    <w:rsid w:val="0087559F"/>
    <w:rsid w:val="008756EE"/>
    <w:rsid w:val="00875852"/>
    <w:rsid w:val="00875861"/>
    <w:rsid w:val="0087586F"/>
    <w:rsid w:val="0087591F"/>
    <w:rsid w:val="00875A3B"/>
    <w:rsid w:val="00875B71"/>
    <w:rsid w:val="00875BD9"/>
    <w:rsid w:val="00875C32"/>
    <w:rsid w:val="00875D5D"/>
    <w:rsid w:val="00875D72"/>
    <w:rsid w:val="00875EAF"/>
    <w:rsid w:val="00875F40"/>
    <w:rsid w:val="00875F6A"/>
    <w:rsid w:val="00875FA4"/>
    <w:rsid w:val="00875FB0"/>
    <w:rsid w:val="0087601F"/>
    <w:rsid w:val="0087606B"/>
    <w:rsid w:val="00876079"/>
    <w:rsid w:val="0087612F"/>
    <w:rsid w:val="00876140"/>
    <w:rsid w:val="00876336"/>
    <w:rsid w:val="00876511"/>
    <w:rsid w:val="00876645"/>
    <w:rsid w:val="0087665C"/>
    <w:rsid w:val="008766E6"/>
    <w:rsid w:val="008766EA"/>
    <w:rsid w:val="008767D8"/>
    <w:rsid w:val="00876939"/>
    <w:rsid w:val="00876996"/>
    <w:rsid w:val="00876B02"/>
    <w:rsid w:val="00876B1E"/>
    <w:rsid w:val="00876B63"/>
    <w:rsid w:val="00876BFA"/>
    <w:rsid w:val="00876C7A"/>
    <w:rsid w:val="00876CAD"/>
    <w:rsid w:val="00876D54"/>
    <w:rsid w:val="00876E04"/>
    <w:rsid w:val="00876E63"/>
    <w:rsid w:val="00876E98"/>
    <w:rsid w:val="00876F32"/>
    <w:rsid w:val="00876FC4"/>
    <w:rsid w:val="0087700B"/>
    <w:rsid w:val="008770AD"/>
    <w:rsid w:val="00877172"/>
    <w:rsid w:val="008771ED"/>
    <w:rsid w:val="00877244"/>
    <w:rsid w:val="008772CC"/>
    <w:rsid w:val="008772D2"/>
    <w:rsid w:val="00877380"/>
    <w:rsid w:val="008773B6"/>
    <w:rsid w:val="008773D5"/>
    <w:rsid w:val="00877529"/>
    <w:rsid w:val="008775C7"/>
    <w:rsid w:val="00877638"/>
    <w:rsid w:val="00877677"/>
    <w:rsid w:val="00877680"/>
    <w:rsid w:val="0087770C"/>
    <w:rsid w:val="008777B3"/>
    <w:rsid w:val="0087785B"/>
    <w:rsid w:val="0087787D"/>
    <w:rsid w:val="008778B7"/>
    <w:rsid w:val="008778D5"/>
    <w:rsid w:val="00877911"/>
    <w:rsid w:val="00877A27"/>
    <w:rsid w:val="00877A39"/>
    <w:rsid w:val="00877A46"/>
    <w:rsid w:val="00877AA8"/>
    <w:rsid w:val="00877BE2"/>
    <w:rsid w:val="00877C84"/>
    <w:rsid w:val="00877D48"/>
    <w:rsid w:val="00877D7F"/>
    <w:rsid w:val="00877DD1"/>
    <w:rsid w:val="00880140"/>
    <w:rsid w:val="008801A4"/>
    <w:rsid w:val="00880230"/>
    <w:rsid w:val="00880279"/>
    <w:rsid w:val="008802B0"/>
    <w:rsid w:val="00880304"/>
    <w:rsid w:val="0088042B"/>
    <w:rsid w:val="0088046D"/>
    <w:rsid w:val="0088050F"/>
    <w:rsid w:val="00880560"/>
    <w:rsid w:val="008805B2"/>
    <w:rsid w:val="00880617"/>
    <w:rsid w:val="00880670"/>
    <w:rsid w:val="008806C1"/>
    <w:rsid w:val="008806F6"/>
    <w:rsid w:val="00880897"/>
    <w:rsid w:val="008808F4"/>
    <w:rsid w:val="00880962"/>
    <w:rsid w:val="00880965"/>
    <w:rsid w:val="008809BA"/>
    <w:rsid w:val="00880A22"/>
    <w:rsid w:val="00880A76"/>
    <w:rsid w:val="00880AA5"/>
    <w:rsid w:val="00880ABF"/>
    <w:rsid w:val="00880B3F"/>
    <w:rsid w:val="00880B69"/>
    <w:rsid w:val="00880C50"/>
    <w:rsid w:val="00880CE8"/>
    <w:rsid w:val="00880E27"/>
    <w:rsid w:val="00880F2A"/>
    <w:rsid w:val="00880FB0"/>
    <w:rsid w:val="00880FEC"/>
    <w:rsid w:val="008811B9"/>
    <w:rsid w:val="00881219"/>
    <w:rsid w:val="0088121A"/>
    <w:rsid w:val="00881319"/>
    <w:rsid w:val="008813F4"/>
    <w:rsid w:val="0088140E"/>
    <w:rsid w:val="00881470"/>
    <w:rsid w:val="00881521"/>
    <w:rsid w:val="00881532"/>
    <w:rsid w:val="0088153C"/>
    <w:rsid w:val="00881567"/>
    <w:rsid w:val="008815D6"/>
    <w:rsid w:val="0088167A"/>
    <w:rsid w:val="0088172C"/>
    <w:rsid w:val="00881812"/>
    <w:rsid w:val="008818D2"/>
    <w:rsid w:val="0088196C"/>
    <w:rsid w:val="00881A42"/>
    <w:rsid w:val="00881BFF"/>
    <w:rsid w:val="00881C47"/>
    <w:rsid w:val="00881CAD"/>
    <w:rsid w:val="00881D71"/>
    <w:rsid w:val="00881DC3"/>
    <w:rsid w:val="00881E67"/>
    <w:rsid w:val="00881EF7"/>
    <w:rsid w:val="00881F05"/>
    <w:rsid w:val="00881FD6"/>
    <w:rsid w:val="00881FDF"/>
    <w:rsid w:val="0088202B"/>
    <w:rsid w:val="008820A6"/>
    <w:rsid w:val="008820E6"/>
    <w:rsid w:val="00882118"/>
    <w:rsid w:val="00882159"/>
    <w:rsid w:val="008821B6"/>
    <w:rsid w:val="0088231B"/>
    <w:rsid w:val="0088237C"/>
    <w:rsid w:val="00882391"/>
    <w:rsid w:val="008823F1"/>
    <w:rsid w:val="00882404"/>
    <w:rsid w:val="00882459"/>
    <w:rsid w:val="0088245A"/>
    <w:rsid w:val="0088253A"/>
    <w:rsid w:val="008825D4"/>
    <w:rsid w:val="008825FA"/>
    <w:rsid w:val="00882625"/>
    <w:rsid w:val="00882668"/>
    <w:rsid w:val="008827AE"/>
    <w:rsid w:val="00882A1D"/>
    <w:rsid w:val="00882A55"/>
    <w:rsid w:val="00882AB2"/>
    <w:rsid w:val="00882BB7"/>
    <w:rsid w:val="00882BB8"/>
    <w:rsid w:val="00882C67"/>
    <w:rsid w:val="00882C9A"/>
    <w:rsid w:val="00882CB2"/>
    <w:rsid w:val="00882E40"/>
    <w:rsid w:val="00882E9C"/>
    <w:rsid w:val="00882F40"/>
    <w:rsid w:val="00882FD1"/>
    <w:rsid w:val="00883086"/>
    <w:rsid w:val="008830C6"/>
    <w:rsid w:val="008830DC"/>
    <w:rsid w:val="008831E4"/>
    <w:rsid w:val="00883243"/>
    <w:rsid w:val="00883254"/>
    <w:rsid w:val="00883378"/>
    <w:rsid w:val="00883445"/>
    <w:rsid w:val="008834F5"/>
    <w:rsid w:val="00883536"/>
    <w:rsid w:val="0088355D"/>
    <w:rsid w:val="008835C9"/>
    <w:rsid w:val="008835D0"/>
    <w:rsid w:val="00883629"/>
    <w:rsid w:val="008836CE"/>
    <w:rsid w:val="0088371D"/>
    <w:rsid w:val="008837B0"/>
    <w:rsid w:val="00883854"/>
    <w:rsid w:val="00883860"/>
    <w:rsid w:val="008838C9"/>
    <w:rsid w:val="00883A61"/>
    <w:rsid w:val="00883AF7"/>
    <w:rsid w:val="00883D93"/>
    <w:rsid w:val="00883D9E"/>
    <w:rsid w:val="00883DD5"/>
    <w:rsid w:val="00883E96"/>
    <w:rsid w:val="008840C9"/>
    <w:rsid w:val="008840D9"/>
    <w:rsid w:val="008841BD"/>
    <w:rsid w:val="008843E2"/>
    <w:rsid w:val="00884492"/>
    <w:rsid w:val="008844EF"/>
    <w:rsid w:val="00884548"/>
    <w:rsid w:val="00884550"/>
    <w:rsid w:val="0088459B"/>
    <w:rsid w:val="0088462C"/>
    <w:rsid w:val="008846C0"/>
    <w:rsid w:val="008847A0"/>
    <w:rsid w:val="0088497E"/>
    <w:rsid w:val="0088498D"/>
    <w:rsid w:val="008849BA"/>
    <w:rsid w:val="008849E7"/>
    <w:rsid w:val="00884ABF"/>
    <w:rsid w:val="00884B97"/>
    <w:rsid w:val="00884C38"/>
    <w:rsid w:val="00884CD2"/>
    <w:rsid w:val="00884CE5"/>
    <w:rsid w:val="00884D75"/>
    <w:rsid w:val="00884DF2"/>
    <w:rsid w:val="00884ECD"/>
    <w:rsid w:val="00884F03"/>
    <w:rsid w:val="00884F3C"/>
    <w:rsid w:val="0088502C"/>
    <w:rsid w:val="00885137"/>
    <w:rsid w:val="0088515A"/>
    <w:rsid w:val="00885254"/>
    <w:rsid w:val="00885296"/>
    <w:rsid w:val="00885431"/>
    <w:rsid w:val="00885617"/>
    <w:rsid w:val="00885673"/>
    <w:rsid w:val="008858C5"/>
    <w:rsid w:val="008858DD"/>
    <w:rsid w:val="008858FA"/>
    <w:rsid w:val="00885A1F"/>
    <w:rsid w:val="00885A63"/>
    <w:rsid w:val="00885AC8"/>
    <w:rsid w:val="00885B5E"/>
    <w:rsid w:val="00885B78"/>
    <w:rsid w:val="00885B81"/>
    <w:rsid w:val="00885C18"/>
    <w:rsid w:val="00885CD2"/>
    <w:rsid w:val="00885D54"/>
    <w:rsid w:val="00885D93"/>
    <w:rsid w:val="00885FE9"/>
    <w:rsid w:val="00886001"/>
    <w:rsid w:val="00886008"/>
    <w:rsid w:val="00886022"/>
    <w:rsid w:val="0088616A"/>
    <w:rsid w:val="00886198"/>
    <w:rsid w:val="008862CA"/>
    <w:rsid w:val="008863A3"/>
    <w:rsid w:val="008863D1"/>
    <w:rsid w:val="008863F3"/>
    <w:rsid w:val="00886485"/>
    <w:rsid w:val="008865A3"/>
    <w:rsid w:val="00886728"/>
    <w:rsid w:val="008867C9"/>
    <w:rsid w:val="008867CE"/>
    <w:rsid w:val="00886826"/>
    <w:rsid w:val="00886888"/>
    <w:rsid w:val="00886912"/>
    <w:rsid w:val="0088692E"/>
    <w:rsid w:val="0088695B"/>
    <w:rsid w:val="0088698A"/>
    <w:rsid w:val="0088699C"/>
    <w:rsid w:val="008869DB"/>
    <w:rsid w:val="00886A0E"/>
    <w:rsid w:val="00886A46"/>
    <w:rsid w:val="00886C2D"/>
    <w:rsid w:val="00886E74"/>
    <w:rsid w:val="00886F73"/>
    <w:rsid w:val="00886FBA"/>
    <w:rsid w:val="00886FD7"/>
    <w:rsid w:val="00887070"/>
    <w:rsid w:val="0088709F"/>
    <w:rsid w:val="008870A3"/>
    <w:rsid w:val="008870F8"/>
    <w:rsid w:val="00887106"/>
    <w:rsid w:val="0088712E"/>
    <w:rsid w:val="00887167"/>
    <w:rsid w:val="0088722F"/>
    <w:rsid w:val="00887290"/>
    <w:rsid w:val="00887291"/>
    <w:rsid w:val="008872D0"/>
    <w:rsid w:val="008872E3"/>
    <w:rsid w:val="0088730E"/>
    <w:rsid w:val="00887320"/>
    <w:rsid w:val="00887383"/>
    <w:rsid w:val="00887386"/>
    <w:rsid w:val="00887473"/>
    <w:rsid w:val="00887550"/>
    <w:rsid w:val="0088757C"/>
    <w:rsid w:val="008875B1"/>
    <w:rsid w:val="00887606"/>
    <w:rsid w:val="0088761A"/>
    <w:rsid w:val="0088774D"/>
    <w:rsid w:val="0088781F"/>
    <w:rsid w:val="00887826"/>
    <w:rsid w:val="00887877"/>
    <w:rsid w:val="0088789A"/>
    <w:rsid w:val="008878BD"/>
    <w:rsid w:val="008878C4"/>
    <w:rsid w:val="0088798F"/>
    <w:rsid w:val="008879AA"/>
    <w:rsid w:val="00887ACD"/>
    <w:rsid w:val="00887B8C"/>
    <w:rsid w:val="00887BE6"/>
    <w:rsid w:val="00887C5C"/>
    <w:rsid w:val="00887CCB"/>
    <w:rsid w:val="00887D57"/>
    <w:rsid w:val="00887DB6"/>
    <w:rsid w:val="00887E05"/>
    <w:rsid w:val="00887E85"/>
    <w:rsid w:val="008900A9"/>
    <w:rsid w:val="008900D0"/>
    <w:rsid w:val="008901BD"/>
    <w:rsid w:val="008901C3"/>
    <w:rsid w:val="00890265"/>
    <w:rsid w:val="008902DE"/>
    <w:rsid w:val="008902EA"/>
    <w:rsid w:val="00890348"/>
    <w:rsid w:val="008903B8"/>
    <w:rsid w:val="008903C8"/>
    <w:rsid w:val="0089047F"/>
    <w:rsid w:val="008904B0"/>
    <w:rsid w:val="008904F4"/>
    <w:rsid w:val="00890513"/>
    <w:rsid w:val="0089072C"/>
    <w:rsid w:val="008907A9"/>
    <w:rsid w:val="008907CA"/>
    <w:rsid w:val="00890968"/>
    <w:rsid w:val="00890B64"/>
    <w:rsid w:val="00890B9E"/>
    <w:rsid w:val="00890CF7"/>
    <w:rsid w:val="00890E2D"/>
    <w:rsid w:val="00890E54"/>
    <w:rsid w:val="00890ED9"/>
    <w:rsid w:val="00890F8C"/>
    <w:rsid w:val="00890F99"/>
    <w:rsid w:val="00891056"/>
    <w:rsid w:val="0089109A"/>
    <w:rsid w:val="008911C5"/>
    <w:rsid w:val="008912B6"/>
    <w:rsid w:val="0089139D"/>
    <w:rsid w:val="00891460"/>
    <w:rsid w:val="008914DC"/>
    <w:rsid w:val="008915DE"/>
    <w:rsid w:val="008915F9"/>
    <w:rsid w:val="008916BB"/>
    <w:rsid w:val="00891756"/>
    <w:rsid w:val="00891784"/>
    <w:rsid w:val="0089181B"/>
    <w:rsid w:val="0089183C"/>
    <w:rsid w:val="00891AD7"/>
    <w:rsid w:val="00891B59"/>
    <w:rsid w:val="00891CB8"/>
    <w:rsid w:val="00891DD4"/>
    <w:rsid w:val="00891E28"/>
    <w:rsid w:val="00891E55"/>
    <w:rsid w:val="00891E71"/>
    <w:rsid w:val="00891F66"/>
    <w:rsid w:val="00891FE1"/>
    <w:rsid w:val="00892074"/>
    <w:rsid w:val="0089214A"/>
    <w:rsid w:val="008921AB"/>
    <w:rsid w:val="00892222"/>
    <w:rsid w:val="00892564"/>
    <w:rsid w:val="008925D9"/>
    <w:rsid w:val="0089263B"/>
    <w:rsid w:val="00892651"/>
    <w:rsid w:val="00892710"/>
    <w:rsid w:val="00892716"/>
    <w:rsid w:val="00892768"/>
    <w:rsid w:val="008927EE"/>
    <w:rsid w:val="00892801"/>
    <w:rsid w:val="0089280A"/>
    <w:rsid w:val="008928E3"/>
    <w:rsid w:val="008928FD"/>
    <w:rsid w:val="008929B2"/>
    <w:rsid w:val="00892A55"/>
    <w:rsid w:val="00892AD5"/>
    <w:rsid w:val="00892ADE"/>
    <w:rsid w:val="00892C06"/>
    <w:rsid w:val="00892C63"/>
    <w:rsid w:val="00892C85"/>
    <w:rsid w:val="00892EF1"/>
    <w:rsid w:val="00892F05"/>
    <w:rsid w:val="00892F57"/>
    <w:rsid w:val="00892FE1"/>
    <w:rsid w:val="00893021"/>
    <w:rsid w:val="0089302F"/>
    <w:rsid w:val="0089308D"/>
    <w:rsid w:val="008930B5"/>
    <w:rsid w:val="00893110"/>
    <w:rsid w:val="0089315D"/>
    <w:rsid w:val="00893170"/>
    <w:rsid w:val="00893235"/>
    <w:rsid w:val="00893376"/>
    <w:rsid w:val="008934B8"/>
    <w:rsid w:val="0089354C"/>
    <w:rsid w:val="00893663"/>
    <w:rsid w:val="0089368B"/>
    <w:rsid w:val="008936F7"/>
    <w:rsid w:val="008937D9"/>
    <w:rsid w:val="0089385D"/>
    <w:rsid w:val="0089386B"/>
    <w:rsid w:val="0089389B"/>
    <w:rsid w:val="008938B9"/>
    <w:rsid w:val="00893A14"/>
    <w:rsid w:val="00893A5C"/>
    <w:rsid w:val="00893AB6"/>
    <w:rsid w:val="00893B5A"/>
    <w:rsid w:val="00893C55"/>
    <w:rsid w:val="00893C65"/>
    <w:rsid w:val="00893CE8"/>
    <w:rsid w:val="00893CF9"/>
    <w:rsid w:val="00893D77"/>
    <w:rsid w:val="00893DD7"/>
    <w:rsid w:val="00893E1B"/>
    <w:rsid w:val="00893E45"/>
    <w:rsid w:val="0089407B"/>
    <w:rsid w:val="008940B2"/>
    <w:rsid w:val="008941C3"/>
    <w:rsid w:val="00894244"/>
    <w:rsid w:val="00894639"/>
    <w:rsid w:val="0089475F"/>
    <w:rsid w:val="008947BD"/>
    <w:rsid w:val="0089482E"/>
    <w:rsid w:val="00894879"/>
    <w:rsid w:val="0089490F"/>
    <w:rsid w:val="008949D7"/>
    <w:rsid w:val="008949F5"/>
    <w:rsid w:val="008949FA"/>
    <w:rsid w:val="00894A59"/>
    <w:rsid w:val="00894AEB"/>
    <w:rsid w:val="00894B3B"/>
    <w:rsid w:val="00894B6D"/>
    <w:rsid w:val="00894B77"/>
    <w:rsid w:val="00894CB1"/>
    <w:rsid w:val="00894CE1"/>
    <w:rsid w:val="00894E5D"/>
    <w:rsid w:val="00894E6C"/>
    <w:rsid w:val="00894F25"/>
    <w:rsid w:val="00894F5B"/>
    <w:rsid w:val="00894F82"/>
    <w:rsid w:val="00894FB4"/>
    <w:rsid w:val="00895121"/>
    <w:rsid w:val="00895197"/>
    <w:rsid w:val="008951EE"/>
    <w:rsid w:val="00895231"/>
    <w:rsid w:val="008953B1"/>
    <w:rsid w:val="008953CB"/>
    <w:rsid w:val="00895423"/>
    <w:rsid w:val="008954C9"/>
    <w:rsid w:val="008954E8"/>
    <w:rsid w:val="0089551D"/>
    <w:rsid w:val="008955A2"/>
    <w:rsid w:val="008955AF"/>
    <w:rsid w:val="00895657"/>
    <w:rsid w:val="00895682"/>
    <w:rsid w:val="00895754"/>
    <w:rsid w:val="00895797"/>
    <w:rsid w:val="008958C4"/>
    <w:rsid w:val="0089595C"/>
    <w:rsid w:val="00895AA7"/>
    <w:rsid w:val="00895AD4"/>
    <w:rsid w:val="00895B6A"/>
    <w:rsid w:val="00895BA9"/>
    <w:rsid w:val="00895C26"/>
    <w:rsid w:val="00895D06"/>
    <w:rsid w:val="00895D90"/>
    <w:rsid w:val="00895DF6"/>
    <w:rsid w:val="00895F35"/>
    <w:rsid w:val="00895F6B"/>
    <w:rsid w:val="00895F91"/>
    <w:rsid w:val="0089603F"/>
    <w:rsid w:val="0089604E"/>
    <w:rsid w:val="0089616F"/>
    <w:rsid w:val="008961B8"/>
    <w:rsid w:val="008961ED"/>
    <w:rsid w:val="00896211"/>
    <w:rsid w:val="008962D7"/>
    <w:rsid w:val="0089646F"/>
    <w:rsid w:val="00896528"/>
    <w:rsid w:val="00896529"/>
    <w:rsid w:val="00896547"/>
    <w:rsid w:val="008965EE"/>
    <w:rsid w:val="00896745"/>
    <w:rsid w:val="00896876"/>
    <w:rsid w:val="0089689F"/>
    <w:rsid w:val="008968AF"/>
    <w:rsid w:val="00896946"/>
    <w:rsid w:val="0089696D"/>
    <w:rsid w:val="00896C29"/>
    <w:rsid w:val="00896C61"/>
    <w:rsid w:val="00896CC9"/>
    <w:rsid w:val="00896CEF"/>
    <w:rsid w:val="00896E26"/>
    <w:rsid w:val="00896F36"/>
    <w:rsid w:val="00897011"/>
    <w:rsid w:val="0089704C"/>
    <w:rsid w:val="008970B8"/>
    <w:rsid w:val="008970CD"/>
    <w:rsid w:val="00897124"/>
    <w:rsid w:val="00897156"/>
    <w:rsid w:val="008972A9"/>
    <w:rsid w:val="008972BC"/>
    <w:rsid w:val="0089737D"/>
    <w:rsid w:val="008973FB"/>
    <w:rsid w:val="00897431"/>
    <w:rsid w:val="00897493"/>
    <w:rsid w:val="00897510"/>
    <w:rsid w:val="00897513"/>
    <w:rsid w:val="00897568"/>
    <w:rsid w:val="0089756A"/>
    <w:rsid w:val="00897702"/>
    <w:rsid w:val="00897720"/>
    <w:rsid w:val="0089772C"/>
    <w:rsid w:val="008977AA"/>
    <w:rsid w:val="00897912"/>
    <w:rsid w:val="0089791E"/>
    <w:rsid w:val="00897A85"/>
    <w:rsid w:val="00897AF6"/>
    <w:rsid w:val="00897B72"/>
    <w:rsid w:val="00897BFA"/>
    <w:rsid w:val="00897C41"/>
    <w:rsid w:val="00897C59"/>
    <w:rsid w:val="00897C7B"/>
    <w:rsid w:val="00897CE4"/>
    <w:rsid w:val="00897D00"/>
    <w:rsid w:val="00897DA0"/>
    <w:rsid w:val="00897DBB"/>
    <w:rsid w:val="00897E9C"/>
    <w:rsid w:val="00897EEA"/>
    <w:rsid w:val="00897F78"/>
    <w:rsid w:val="00899CB7"/>
    <w:rsid w:val="008A00F7"/>
    <w:rsid w:val="008A0176"/>
    <w:rsid w:val="008A0220"/>
    <w:rsid w:val="008A0256"/>
    <w:rsid w:val="008A02EA"/>
    <w:rsid w:val="008A02FC"/>
    <w:rsid w:val="008A0331"/>
    <w:rsid w:val="008A033A"/>
    <w:rsid w:val="008A03B5"/>
    <w:rsid w:val="008A03EB"/>
    <w:rsid w:val="008A03F5"/>
    <w:rsid w:val="008A04BF"/>
    <w:rsid w:val="008A050E"/>
    <w:rsid w:val="008A0576"/>
    <w:rsid w:val="008A05BA"/>
    <w:rsid w:val="008A0604"/>
    <w:rsid w:val="008A074B"/>
    <w:rsid w:val="008A07D9"/>
    <w:rsid w:val="008A081C"/>
    <w:rsid w:val="008A08BD"/>
    <w:rsid w:val="008A08D7"/>
    <w:rsid w:val="008A099E"/>
    <w:rsid w:val="008A09D3"/>
    <w:rsid w:val="008A0AF3"/>
    <w:rsid w:val="008A0B57"/>
    <w:rsid w:val="008A0C27"/>
    <w:rsid w:val="008A0D00"/>
    <w:rsid w:val="008A0D5B"/>
    <w:rsid w:val="008A0DA8"/>
    <w:rsid w:val="008A0E50"/>
    <w:rsid w:val="008A0E73"/>
    <w:rsid w:val="008A0F16"/>
    <w:rsid w:val="008A0F88"/>
    <w:rsid w:val="008A10B3"/>
    <w:rsid w:val="008A1165"/>
    <w:rsid w:val="008A11C0"/>
    <w:rsid w:val="008A1285"/>
    <w:rsid w:val="008A1331"/>
    <w:rsid w:val="008A13C5"/>
    <w:rsid w:val="008A14C7"/>
    <w:rsid w:val="008A1514"/>
    <w:rsid w:val="008A1524"/>
    <w:rsid w:val="008A1538"/>
    <w:rsid w:val="008A16A5"/>
    <w:rsid w:val="008A16A9"/>
    <w:rsid w:val="008A177B"/>
    <w:rsid w:val="008A17E7"/>
    <w:rsid w:val="008A17F6"/>
    <w:rsid w:val="008A1815"/>
    <w:rsid w:val="008A182C"/>
    <w:rsid w:val="008A187F"/>
    <w:rsid w:val="008A18E7"/>
    <w:rsid w:val="008A190F"/>
    <w:rsid w:val="008A191F"/>
    <w:rsid w:val="008A1B07"/>
    <w:rsid w:val="008A1B37"/>
    <w:rsid w:val="008A1BBC"/>
    <w:rsid w:val="008A1D42"/>
    <w:rsid w:val="008A1D93"/>
    <w:rsid w:val="008A1FF6"/>
    <w:rsid w:val="008A2077"/>
    <w:rsid w:val="008A210A"/>
    <w:rsid w:val="008A2156"/>
    <w:rsid w:val="008A2197"/>
    <w:rsid w:val="008A21CB"/>
    <w:rsid w:val="008A21E5"/>
    <w:rsid w:val="008A22B1"/>
    <w:rsid w:val="008A2436"/>
    <w:rsid w:val="008A24B8"/>
    <w:rsid w:val="008A24E7"/>
    <w:rsid w:val="008A25AF"/>
    <w:rsid w:val="008A2629"/>
    <w:rsid w:val="008A262B"/>
    <w:rsid w:val="008A2655"/>
    <w:rsid w:val="008A26E6"/>
    <w:rsid w:val="008A2830"/>
    <w:rsid w:val="008A2940"/>
    <w:rsid w:val="008A29E8"/>
    <w:rsid w:val="008A2A86"/>
    <w:rsid w:val="008A2B67"/>
    <w:rsid w:val="008A2B71"/>
    <w:rsid w:val="008A2B83"/>
    <w:rsid w:val="008A2B85"/>
    <w:rsid w:val="008A2BF1"/>
    <w:rsid w:val="008A2CB3"/>
    <w:rsid w:val="008A3074"/>
    <w:rsid w:val="008A3107"/>
    <w:rsid w:val="008A3121"/>
    <w:rsid w:val="008A3252"/>
    <w:rsid w:val="008A3353"/>
    <w:rsid w:val="008A33A9"/>
    <w:rsid w:val="008A33F2"/>
    <w:rsid w:val="008A362F"/>
    <w:rsid w:val="008A3675"/>
    <w:rsid w:val="008A36DA"/>
    <w:rsid w:val="008A3731"/>
    <w:rsid w:val="008A37CE"/>
    <w:rsid w:val="008A3858"/>
    <w:rsid w:val="008A38C5"/>
    <w:rsid w:val="008A3928"/>
    <w:rsid w:val="008A3BB3"/>
    <w:rsid w:val="008A3BE2"/>
    <w:rsid w:val="008A3E11"/>
    <w:rsid w:val="008A3E89"/>
    <w:rsid w:val="008A3F0B"/>
    <w:rsid w:val="008A3F21"/>
    <w:rsid w:val="008A3FC0"/>
    <w:rsid w:val="008A4011"/>
    <w:rsid w:val="008A4067"/>
    <w:rsid w:val="008A40EC"/>
    <w:rsid w:val="008A424F"/>
    <w:rsid w:val="008A4326"/>
    <w:rsid w:val="008A43CA"/>
    <w:rsid w:val="008A4409"/>
    <w:rsid w:val="008A4436"/>
    <w:rsid w:val="008A44A1"/>
    <w:rsid w:val="008A44C2"/>
    <w:rsid w:val="008A44D9"/>
    <w:rsid w:val="008A4621"/>
    <w:rsid w:val="008A46D4"/>
    <w:rsid w:val="008A471E"/>
    <w:rsid w:val="008A4731"/>
    <w:rsid w:val="008A47AA"/>
    <w:rsid w:val="008A47D6"/>
    <w:rsid w:val="008A47FA"/>
    <w:rsid w:val="008A48D2"/>
    <w:rsid w:val="008A49D6"/>
    <w:rsid w:val="008A4A57"/>
    <w:rsid w:val="008A4CB6"/>
    <w:rsid w:val="008A50A5"/>
    <w:rsid w:val="008A527F"/>
    <w:rsid w:val="008A5349"/>
    <w:rsid w:val="008A552C"/>
    <w:rsid w:val="008A5609"/>
    <w:rsid w:val="008A5680"/>
    <w:rsid w:val="008A56C3"/>
    <w:rsid w:val="008A56E3"/>
    <w:rsid w:val="008A5772"/>
    <w:rsid w:val="008A57CB"/>
    <w:rsid w:val="008A5854"/>
    <w:rsid w:val="008A5958"/>
    <w:rsid w:val="008A59CC"/>
    <w:rsid w:val="008A5A44"/>
    <w:rsid w:val="008A5AC2"/>
    <w:rsid w:val="008A5ACF"/>
    <w:rsid w:val="008A5BAA"/>
    <w:rsid w:val="008A5F2F"/>
    <w:rsid w:val="008A5FC4"/>
    <w:rsid w:val="008A5FE3"/>
    <w:rsid w:val="008A6050"/>
    <w:rsid w:val="008A611D"/>
    <w:rsid w:val="008A6127"/>
    <w:rsid w:val="008A6128"/>
    <w:rsid w:val="008A61E0"/>
    <w:rsid w:val="008A62A5"/>
    <w:rsid w:val="008A6338"/>
    <w:rsid w:val="008A64F4"/>
    <w:rsid w:val="008A6599"/>
    <w:rsid w:val="008A65E1"/>
    <w:rsid w:val="008A66B4"/>
    <w:rsid w:val="008A6747"/>
    <w:rsid w:val="008A6781"/>
    <w:rsid w:val="008A6831"/>
    <w:rsid w:val="008A6842"/>
    <w:rsid w:val="008A688C"/>
    <w:rsid w:val="008A6A62"/>
    <w:rsid w:val="008A6BA7"/>
    <w:rsid w:val="008A6BAB"/>
    <w:rsid w:val="008A6BBA"/>
    <w:rsid w:val="008A6BDE"/>
    <w:rsid w:val="008A6D60"/>
    <w:rsid w:val="008A6DFE"/>
    <w:rsid w:val="008A6E8D"/>
    <w:rsid w:val="008A6F43"/>
    <w:rsid w:val="008A6F75"/>
    <w:rsid w:val="008A6F76"/>
    <w:rsid w:val="008A6FFB"/>
    <w:rsid w:val="008A71BE"/>
    <w:rsid w:val="008A7230"/>
    <w:rsid w:val="008A7301"/>
    <w:rsid w:val="008A7359"/>
    <w:rsid w:val="008A73ED"/>
    <w:rsid w:val="008A7468"/>
    <w:rsid w:val="008A74E4"/>
    <w:rsid w:val="008A74E6"/>
    <w:rsid w:val="008A778B"/>
    <w:rsid w:val="008A77B3"/>
    <w:rsid w:val="008A77DB"/>
    <w:rsid w:val="008A784E"/>
    <w:rsid w:val="008A78F1"/>
    <w:rsid w:val="008A792E"/>
    <w:rsid w:val="008A79EA"/>
    <w:rsid w:val="008A7A52"/>
    <w:rsid w:val="008A7A8A"/>
    <w:rsid w:val="008A7AFB"/>
    <w:rsid w:val="008A7B45"/>
    <w:rsid w:val="008A7E82"/>
    <w:rsid w:val="008A7EEB"/>
    <w:rsid w:val="008A7F7C"/>
    <w:rsid w:val="008B0097"/>
    <w:rsid w:val="008B00A0"/>
    <w:rsid w:val="008B00BD"/>
    <w:rsid w:val="008B00D2"/>
    <w:rsid w:val="008B010F"/>
    <w:rsid w:val="008B0180"/>
    <w:rsid w:val="008B01A8"/>
    <w:rsid w:val="008B01A9"/>
    <w:rsid w:val="008B03A7"/>
    <w:rsid w:val="008B04F4"/>
    <w:rsid w:val="008B0548"/>
    <w:rsid w:val="008B0804"/>
    <w:rsid w:val="008B08F6"/>
    <w:rsid w:val="008B0A07"/>
    <w:rsid w:val="008B0A1F"/>
    <w:rsid w:val="008B0A5B"/>
    <w:rsid w:val="008B0A7C"/>
    <w:rsid w:val="008B0B32"/>
    <w:rsid w:val="008B0BA8"/>
    <w:rsid w:val="008B0BD4"/>
    <w:rsid w:val="008B0CE6"/>
    <w:rsid w:val="008B0E07"/>
    <w:rsid w:val="008B0E37"/>
    <w:rsid w:val="008B0E99"/>
    <w:rsid w:val="008B0F52"/>
    <w:rsid w:val="008B0F77"/>
    <w:rsid w:val="008B0FF6"/>
    <w:rsid w:val="008B0FF8"/>
    <w:rsid w:val="008B1065"/>
    <w:rsid w:val="008B112C"/>
    <w:rsid w:val="008B1158"/>
    <w:rsid w:val="008B115D"/>
    <w:rsid w:val="008B11EA"/>
    <w:rsid w:val="008B1290"/>
    <w:rsid w:val="008B1375"/>
    <w:rsid w:val="008B13B0"/>
    <w:rsid w:val="008B1455"/>
    <w:rsid w:val="008B1490"/>
    <w:rsid w:val="008B14C2"/>
    <w:rsid w:val="008B154F"/>
    <w:rsid w:val="008B1600"/>
    <w:rsid w:val="008B1665"/>
    <w:rsid w:val="008B173B"/>
    <w:rsid w:val="008B175A"/>
    <w:rsid w:val="008B1770"/>
    <w:rsid w:val="008B17A4"/>
    <w:rsid w:val="008B18AF"/>
    <w:rsid w:val="008B1A4E"/>
    <w:rsid w:val="008B1E0A"/>
    <w:rsid w:val="008B1E61"/>
    <w:rsid w:val="008B1ECA"/>
    <w:rsid w:val="008B1FF3"/>
    <w:rsid w:val="008B20CF"/>
    <w:rsid w:val="008B2190"/>
    <w:rsid w:val="008B21CC"/>
    <w:rsid w:val="008B22C7"/>
    <w:rsid w:val="008B22E9"/>
    <w:rsid w:val="008B2434"/>
    <w:rsid w:val="008B2488"/>
    <w:rsid w:val="008B24D9"/>
    <w:rsid w:val="008B2525"/>
    <w:rsid w:val="008B252E"/>
    <w:rsid w:val="008B255B"/>
    <w:rsid w:val="008B2593"/>
    <w:rsid w:val="008B26CE"/>
    <w:rsid w:val="008B270E"/>
    <w:rsid w:val="008B274D"/>
    <w:rsid w:val="008B2789"/>
    <w:rsid w:val="008B27F2"/>
    <w:rsid w:val="008B282D"/>
    <w:rsid w:val="008B2993"/>
    <w:rsid w:val="008B29E4"/>
    <w:rsid w:val="008B29ED"/>
    <w:rsid w:val="008B2A9C"/>
    <w:rsid w:val="008B2AEC"/>
    <w:rsid w:val="008B2AF4"/>
    <w:rsid w:val="008B2B42"/>
    <w:rsid w:val="008B2BF7"/>
    <w:rsid w:val="008B2C58"/>
    <w:rsid w:val="008B2CEA"/>
    <w:rsid w:val="008B2D3E"/>
    <w:rsid w:val="008B2D66"/>
    <w:rsid w:val="008B2E0A"/>
    <w:rsid w:val="008B2E93"/>
    <w:rsid w:val="008B2ECD"/>
    <w:rsid w:val="008B2F74"/>
    <w:rsid w:val="008B311F"/>
    <w:rsid w:val="008B31FA"/>
    <w:rsid w:val="008B3294"/>
    <w:rsid w:val="008B32C4"/>
    <w:rsid w:val="008B3309"/>
    <w:rsid w:val="008B3464"/>
    <w:rsid w:val="008B346B"/>
    <w:rsid w:val="008B34B2"/>
    <w:rsid w:val="008B34B6"/>
    <w:rsid w:val="008B358B"/>
    <w:rsid w:val="008B361A"/>
    <w:rsid w:val="008B37A6"/>
    <w:rsid w:val="008B3835"/>
    <w:rsid w:val="008B38CB"/>
    <w:rsid w:val="008B39F1"/>
    <w:rsid w:val="008B3A96"/>
    <w:rsid w:val="008B3B89"/>
    <w:rsid w:val="008B3BC3"/>
    <w:rsid w:val="008B3C3C"/>
    <w:rsid w:val="008B3DAA"/>
    <w:rsid w:val="008B3DDA"/>
    <w:rsid w:val="008B3E8A"/>
    <w:rsid w:val="008B3EF4"/>
    <w:rsid w:val="008B3EF9"/>
    <w:rsid w:val="008B402F"/>
    <w:rsid w:val="008B4071"/>
    <w:rsid w:val="008B40CE"/>
    <w:rsid w:val="008B40FD"/>
    <w:rsid w:val="008B4129"/>
    <w:rsid w:val="008B419E"/>
    <w:rsid w:val="008B42E3"/>
    <w:rsid w:val="008B4302"/>
    <w:rsid w:val="008B4330"/>
    <w:rsid w:val="008B4397"/>
    <w:rsid w:val="008B4403"/>
    <w:rsid w:val="008B44E1"/>
    <w:rsid w:val="008B455A"/>
    <w:rsid w:val="008B4578"/>
    <w:rsid w:val="008B4591"/>
    <w:rsid w:val="008B45F8"/>
    <w:rsid w:val="008B45FD"/>
    <w:rsid w:val="008B46E7"/>
    <w:rsid w:val="008B47E8"/>
    <w:rsid w:val="008B4835"/>
    <w:rsid w:val="008B4878"/>
    <w:rsid w:val="008B487A"/>
    <w:rsid w:val="008B4A04"/>
    <w:rsid w:val="008B4A26"/>
    <w:rsid w:val="008B4A56"/>
    <w:rsid w:val="008B4B64"/>
    <w:rsid w:val="008B4C10"/>
    <w:rsid w:val="008B4C4A"/>
    <w:rsid w:val="008B4C6F"/>
    <w:rsid w:val="008B4D4C"/>
    <w:rsid w:val="008B4E4D"/>
    <w:rsid w:val="008B4E73"/>
    <w:rsid w:val="008B4EC1"/>
    <w:rsid w:val="008B4EED"/>
    <w:rsid w:val="008B4EF7"/>
    <w:rsid w:val="008B4F01"/>
    <w:rsid w:val="008B5130"/>
    <w:rsid w:val="008B5172"/>
    <w:rsid w:val="008B5196"/>
    <w:rsid w:val="008B51B4"/>
    <w:rsid w:val="008B5247"/>
    <w:rsid w:val="008B52BC"/>
    <w:rsid w:val="008B5425"/>
    <w:rsid w:val="008B5542"/>
    <w:rsid w:val="008B55BC"/>
    <w:rsid w:val="008B55D4"/>
    <w:rsid w:val="008B5672"/>
    <w:rsid w:val="008B571E"/>
    <w:rsid w:val="008B5723"/>
    <w:rsid w:val="008B574A"/>
    <w:rsid w:val="008B5878"/>
    <w:rsid w:val="008B59BD"/>
    <w:rsid w:val="008B5A0B"/>
    <w:rsid w:val="008B5BF7"/>
    <w:rsid w:val="008B5C49"/>
    <w:rsid w:val="008B5C8B"/>
    <w:rsid w:val="008B5CCE"/>
    <w:rsid w:val="008B5EFF"/>
    <w:rsid w:val="008B5FBE"/>
    <w:rsid w:val="008B612E"/>
    <w:rsid w:val="008B616E"/>
    <w:rsid w:val="008B622C"/>
    <w:rsid w:val="008B6234"/>
    <w:rsid w:val="008B6258"/>
    <w:rsid w:val="008B6259"/>
    <w:rsid w:val="008B628A"/>
    <w:rsid w:val="008B62C0"/>
    <w:rsid w:val="008B62C2"/>
    <w:rsid w:val="008B62FD"/>
    <w:rsid w:val="008B644E"/>
    <w:rsid w:val="008B646A"/>
    <w:rsid w:val="008B64E2"/>
    <w:rsid w:val="008B653D"/>
    <w:rsid w:val="008B6600"/>
    <w:rsid w:val="008B6602"/>
    <w:rsid w:val="008B6653"/>
    <w:rsid w:val="008B667C"/>
    <w:rsid w:val="008B6689"/>
    <w:rsid w:val="008B6694"/>
    <w:rsid w:val="008B669B"/>
    <w:rsid w:val="008B66F9"/>
    <w:rsid w:val="008B6780"/>
    <w:rsid w:val="008B67D1"/>
    <w:rsid w:val="008B67D2"/>
    <w:rsid w:val="008B67F2"/>
    <w:rsid w:val="008B67F8"/>
    <w:rsid w:val="008B680F"/>
    <w:rsid w:val="008B6872"/>
    <w:rsid w:val="008B68A2"/>
    <w:rsid w:val="008B68E8"/>
    <w:rsid w:val="008B692E"/>
    <w:rsid w:val="008B6936"/>
    <w:rsid w:val="008B6A26"/>
    <w:rsid w:val="008B6A8F"/>
    <w:rsid w:val="008B6B0E"/>
    <w:rsid w:val="008B6B4A"/>
    <w:rsid w:val="008B6B8C"/>
    <w:rsid w:val="008B6B9C"/>
    <w:rsid w:val="008B6BA4"/>
    <w:rsid w:val="008B6BB8"/>
    <w:rsid w:val="008B6D4C"/>
    <w:rsid w:val="008B6D9C"/>
    <w:rsid w:val="008B6DDB"/>
    <w:rsid w:val="008B6EBD"/>
    <w:rsid w:val="008B70C7"/>
    <w:rsid w:val="008B71A8"/>
    <w:rsid w:val="008B738D"/>
    <w:rsid w:val="008B73EA"/>
    <w:rsid w:val="008B74E1"/>
    <w:rsid w:val="008B7545"/>
    <w:rsid w:val="008B756D"/>
    <w:rsid w:val="008B7572"/>
    <w:rsid w:val="008B76B3"/>
    <w:rsid w:val="008B76E5"/>
    <w:rsid w:val="008B776A"/>
    <w:rsid w:val="008B7813"/>
    <w:rsid w:val="008B78CE"/>
    <w:rsid w:val="008B7954"/>
    <w:rsid w:val="008B7965"/>
    <w:rsid w:val="008B7BE2"/>
    <w:rsid w:val="008B7C4B"/>
    <w:rsid w:val="008B7C8B"/>
    <w:rsid w:val="008B7DD8"/>
    <w:rsid w:val="008B7E4B"/>
    <w:rsid w:val="008B7E54"/>
    <w:rsid w:val="008B7ECB"/>
    <w:rsid w:val="008B7F1B"/>
    <w:rsid w:val="008C002E"/>
    <w:rsid w:val="008C0046"/>
    <w:rsid w:val="008C0592"/>
    <w:rsid w:val="008C05BD"/>
    <w:rsid w:val="008C064D"/>
    <w:rsid w:val="008C06F3"/>
    <w:rsid w:val="008C0704"/>
    <w:rsid w:val="008C0865"/>
    <w:rsid w:val="008C08AB"/>
    <w:rsid w:val="008C090D"/>
    <w:rsid w:val="008C0950"/>
    <w:rsid w:val="008C0B0A"/>
    <w:rsid w:val="008C0B85"/>
    <w:rsid w:val="008C0BB2"/>
    <w:rsid w:val="008C0CFC"/>
    <w:rsid w:val="008C0D67"/>
    <w:rsid w:val="008C0F65"/>
    <w:rsid w:val="008C1086"/>
    <w:rsid w:val="008C120B"/>
    <w:rsid w:val="008C1237"/>
    <w:rsid w:val="008C131C"/>
    <w:rsid w:val="008C143B"/>
    <w:rsid w:val="008C14AD"/>
    <w:rsid w:val="008C165A"/>
    <w:rsid w:val="008C1799"/>
    <w:rsid w:val="008C179D"/>
    <w:rsid w:val="008C17AD"/>
    <w:rsid w:val="008C17CE"/>
    <w:rsid w:val="008C187A"/>
    <w:rsid w:val="008C18A8"/>
    <w:rsid w:val="008C18AA"/>
    <w:rsid w:val="008C1960"/>
    <w:rsid w:val="008C1A20"/>
    <w:rsid w:val="008C1A70"/>
    <w:rsid w:val="008C1A72"/>
    <w:rsid w:val="008C1A86"/>
    <w:rsid w:val="008C1AA5"/>
    <w:rsid w:val="008C1BAC"/>
    <w:rsid w:val="008C1BFC"/>
    <w:rsid w:val="008C1C4C"/>
    <w:rsid w:val="008C1CDA"/>
    <w:rsid w:val="008C1D41"/>
    <w:rsid w:val="008C1D7F"/>
    <w:rsid w:val="008C1FB0"/>
    <w:rsid w:val="008C2044"/>
    <w:rsid w:val="008C21A2"/>
    <w:rsid w:val="008C2229"/>
    <w:rsid w:val="008C2277"/>
    <w:rsid w:val="008C22E2"/>
    <w:rsid w:val="008C23EA"/>
    <w:rsid w:val="008C23F8"/>
    <w:rsid w:val="008C247D"/>
    <w:rsid w:val="008C25B0"/>
    <w:rsid w:val="008C25B4"/>
    <w:rsid w:val="008C2610"/>
    <w:rsid w:val="008C2682"/>
    <w:rsid w:val="008C268A"/>
    <w:rsid w:val="008C2838"/>
    <w:rsid w:val="008C2850"/>
    <w:rsid w:val="008C2859"/>
    <w:rsid w:val="008C29CB"/>
    <w:rsid w:val="008C2A27"/>
    <w:rsid w:val="008C2B83"/>
    <w:rsid w:val="008C2B9B"/>
    <w:rsid w:val="008C2C55"/>
    <w:rsid w:val="008C2D1C"/>
    <w:rsid w:val="008C301A"/>
    <w:rsid w:val="008C312F"/>
    <w:rsid w:val="008C318B"/>
    <w:rsid w:val="008C31A0"/>
    <w:rsid w:val="008C31E1"/>
    <w:rsid w:val="008C321D"/>
    <w:rsid w:val="008C3380"/>
    <w:rsid w:val="008C33AC"/>
    <w:rsid w:val="008C3426"/>
    <w:rsid w:val="008C3441"/>
    <w:rsid w:val="008C3691"/>
    <w:rsid w:val="008C3787"/>
    <w:rsid w:val="008C388C"/>
    <w:rsid w:val="008C38D5"/>
    <w:rsid w:val="008C3940"/>
    <w:rsid w:val="008C3942"/>
    <w:rsid w:val="008C39A2"/>
    <w:rsid w:val="008C39B1"/>
    <w:rsid w:val="008C3A01"/>
    <w:rsid w:val="008C3A65"/>
    <w:rsid w:val="008C3B3C"/>
    <w:rsid w:val="008C3B82"/>
    <w:rsid w:val="008C3B89"/>
    <w:rsid w:val="008C3BCD"/>
    <w:rsid w:val="008C3C36"/>
    <w:rsid w:val="008C3C8E"/>
    <w:rsid w:val="008C3CC3"/>
    <w:rsid w:val="008C3D4B"/>
    <w:rsid w:val="008C3E97"/>
    <w:rsid w:val="008C3EEE"/>
    <w:rsid w:val="008C3F28"/>
    <w:rsid w:val="008C3F66"/>
    <w:rsid w:val="008C3F69"/>
    <w:rsid w:val="008C3F82"/>
    <w:rsid w:val="008C3F97"/>
    <w:rsid w:val="008C3FEC"/>
    <w:rsid w:val="008C4006"/>
    <w:rsid w:val="008C4028"/>
    <w:rsid w:val="008C404F"/>
    <w:rsid w:val="008C4172"/>
    <w:rsid w:val="008C41B2"/>
    <w:rsid w:val="008C4229"/>
    <w:rsid w:val="008C4258"/>
    <w:rsid w:val="008C42A4"/>
    <w:rsid w:val="008C4326"/>
    <w:rsid w:val="008C44B4"/>
    <w:rsid w:val="008C44D8"/>
    <w:rsid w:val="008C44E6"/>
    <w:rsid w:val="008C4609"/>
    <w:rsid w:val="008C4667"/>
    <w:rsid w:val="008C482B"/>
    <w:rsid w:val="008C4876"/>
    <w:rsid w:val="008C4A15"/>
    <w:rsid w:val="008C4A66"/>
    <w:rsid w:val="008C4B0A"/>
    <w:rsid w:val="008C4B2A"/>
    <w:rsid w:val="008C4BC3"/>
    <w:rsid w:val="008C4BC4"/>
    <w:rsid w:val="008C4C45"/>
    <w:rsid w:val="008C4CB7"/>
    <w:rsid w:val="008C4CBC"/>
    <w:rsid w:val="008C4DB3"/>
    <w:rsid w:val="008C4DEA"/>
    <w:rsid w:val="008C4F52"/>
    <w:rsid w:val="008C4F6E"/>
    <w:rsid w:val="008C4F71"/>
    <w:rsid w:val="008C4F90"/>
    <w:rsid w:val="008C4FFB"/>
    <w:rsid w:val="008C50CC"/>
    <w:rsid w:val="008C50CE"/>
    <w:rsid w:val="008C513F"/>
    <w:rsid w:val="008C51C6"/>
    <w:rsid w:val="008C5202"/>
    <w:rsid w:val="008C530B"/>
    <w:rsid w:val="008C5327"/>
    <w:rsid w:val="008C5355"/>
    <w:rsid w:val="008C53B4"/>
    <w:rsid w:val="008C5499"/>
    <w:rsid w:val="008C54BE"/>
    <w:rsid w:val="008C5506"/>
    <w:rsid w:val="008C55A2"/>
    <w:rsid w:val="008C55A4"/>
    <w:rsid w:val="008C55D7"/>
    <w:rsid w:val="008C564D"/>
    <w:rsid w:val="008C569A"/>
    <w:rsid w:val="008C573A"/>
    <w:rsid w:val="008C57FB"/>
    <w:rsid w:val="008C5814"/>
    <w:rsid w:val="008C591B"/>
    <w:rsid w:val="008C5922"/>
    <w:rsid w:val="008C594F"/>
    <w:rsid w:val="008C5968"/>
    <w:rsid w:val="008C59A3"/>
    <w:rsid w:val="008C5A72"/>
    <w:rsid w:val="008C5AA8"/>
    <w:rsid w:val="008C5D1E"/>
    <w:rsid w:val="008C5DB8"/>
    <w:rsid w:val="008C5EFB"/>
    <w:rsid w:val="008C5F11"/>
    <w:rsid w:val="008C5F3B"/>
    <w:rsid w:val="008C5F8C"/>
    <w:rsid w:val="008C5FFD"/>
    <w:rsid w:val="008C608D"/>
    <w:rsid w:val="008C608E"/>
    <w:rsid w:val="008C60B0"/>
    <w:rsid w:val="008C61B6"/>
    <w:rsid w:val="008C6205"/>
    <w:rsid w:val="008C6307"/>
    <w:rsid w:val="008C6397"/>
    <w:rsid w:val="008C63F1"/>
    <w:rsid w:val="008C63F5"/>
    <w:rsid w:val="008C6405"/>
    <w:rsid w:val="008C6495"/>
    <w:rsid w:val="008C6541"/>
    <w:rsid w:val="008C664D"/>
    <w:rsid w:val="008C6652"/>
    <w:rsid w:val="008C66D2"/>
    <w:rsid w:val="008C66D7"/>
    <w:rsid w:val="008C66EA"/>
    <w:rsid w:val="008C6715"/>
    <w:rsid w:val="008C6729"/>
    <w:rsid w:val="008C681E"/>
    <w:rsid w:val="008C68CE"/>
    <w:rsid w:val="008C6911"/>
    <w:rsid w:val="008C6921"/>
    <w:rsid w:val="008C692D"/>
    <w:rsid w:val="008C6984"/>
    <w:rsid w:val="008C6A05"/>
    <w:rsid w:val="008C6D65"/>
    <w:rsid w:val="008C6D95"/>
    <w:rsid w:val="008C6FAB"/>
    <w:rsid w:val="008C6FB0"/>
    <w:rsid w:val="008C70C2"/>
    <w:rsid w:val="008C7145"/>
    <w:rsid w:val="008C7216"/>
    <w:rsid w:val="008C759A"/>
    <w:rsid w:val="008C75FD"/>
    <w:rsid w:val="008C7629"/>
    <w:rsid w:val="008C76CA"/>
    <w:rsid w:val="008C77F0"/>
    <w:rsid w:val="008C7853"/>
    <w:rsid w:val="008C7879"/>
    <w:rsid w:val="008C7985"/>
    <w:rsid w:val="008C7AFA"/>
    <w:rsid w:val="008C7B2B"/>
    <w:rsid w:val="008C7B4B"/>
    <w:rsid w:val="008C7BBD"/>
    <w:rsid w:val="008C7BC2"/>
    <w:rsid w:val="008C7D30"/>
    <w:rsid w:val="008C7D40"/>
    <w:rsid w:val="008C7E24"/>
    <w:rsid w:val="008D009B"/>
    <w:rsid w:val="008D009C"/>
    <w:rsid w:val="008D01FB"/>
    <w:rsid w:val="008D020B"/>
    <w:rsid w:val="008D0284"/>
    <w:rsid w:val="008D02A2"/>
    <w:rsid w:val="008D02B9"/>
    <w:rsid w:val="008D0302"/>
    <w:rsid w:val="008D034F"/>
    <w:rsid w:val="008D0427"/>
    <w:rsid w:val="008D0436"/>
    <w:rsid w:val="008D04D2"/>
    <w:rsid w:val="008D054B"/>
    <w:rsid w:val="008D058C"/>
    <w:rsid w:val="008D05D9"/>
    <w:rsid w:val="008D0630"/>
    <w:rsid w:val="008D06D8"/>
    <w:rsid w:val="008D0717"/>
    <w:rsid w:val="008D081D"/>
    <w:rsid w:val="008D08D9"/>
    <w:rsid w:val="008D093B"/>
    <w:rsid w:val="008D0979"/>
    <w:rsid w:val="008D0A3D"/>
    <w:rsid w:val="008D0A5F"/>
    <w:rsid w:val="008D0AD0"/>
    <w:rsid w:val="008D0BF9"/>
    <w:rsid w:val="008D0C0B"/>
    <w:rsid w:val="008D0C56"/>
    <w:rsid w:val="008D0D96"/>
    <w:rsid w:val="008D0DD7"/>
    <w:rsid w:val="008D0DEB"/>
    <w:rsid w:val="008D0E4F"/>
    <w:rsid w:val="008D0ED5"/>
    <w:rsid w:val="008D0FEC"/>
    <w:rsid w:val="008D0FF5"/>
    <w:rsid w:val="008D1058"/>
    <w:rsid w:val="008D105F"/>
    <w:rsid w:val="008D1066"/>
    <w:rsid w:val="008D10AB"/>
    <w:rsid w:val="008D10FF"/>
    <w:rsid w:val="008D114E"/>
    <w:rsid w:val="008D1175"/>
    <w:rsid w:val="008D120F"/>
    <w:rsid w:val="008D1372"/>
    <w:rsid w:val="008D1426"/>
    <w:rsid w:val="008D1433"/>
    <w:rsid w:val="008D1481"/>
    <w:rsid w:val="008D14E0"/>
    <w:rsid w:val="008D14E1"/>
    <w:rsid w:val="008D16B4"/>
    <w:rsid w:val="008D1742"/>
    <w:rsid w:val="008D1838"/>
    <w:rsid w:val="008D189B"/>
    <w:rsid w:val="008D1907"/>
    <w:rsid w:val="008D1A67"/>
    <w:rsid w:val="008D1AF3"/>
    <w:rsid w:val="008D1B32"/>
    <w:rsid w:val="008D1B8C"/>
    <w:rsid w:val="008D1C9D"/>
    <w:rsid w:val="008D1CA8"/>
    <w:rsid w:val="008D1CFB"/>
    <w:rsid w:val="008D1D67"/>
    <w:rsid w:val="008D1FA2"/>
    <w:rsid w:val="008D20E8"/>
    <w:rsid w:val="008D2177"/>
    <w:rsid w:val="008D21AA"/>
    <w:rsid w:val="008D22C1"/>
    <w:rsid w:val="008D2360"/>
    <w:rsid w:val="008D236F"/>
    <w:rsid w:val="008D23FD"/>
    <w:rsid w:val="008D2509"/>
    <w:rsid w:val="008D25A0"/>
    <w:rsid w:val="008D2759"/>
    <w:rsid w:val="008D283D"/>
    <w:rsid w:val="008D2882"/>
    <w:rsid w:val="008D2AD6"/>
    <w:rsid w:val="008D2AEF"/>
    <w:rsid w:val="008D2C0A"/>
    <w:rsid w:val="008D2CA2"/>
    <w:rsid w:val="008D2D40"/>
    <w:rsid w:val="008D2D97"/>
    <w:rsid w:val="008D2E11"/>
    <w:rsid w:val="008D3015"/>
    <w:rsid w:val="008D305B"/>
    <w:rsid w:val="008D30D9"/>
    <w:rsid w:val="008D3106"/>
    <w:rsid w:val="008D339D"/>
    <w:rsid w:val="008D341D"/>
    <w:rsid w:val="008D34EE"/>
    <w:rsid w:val="008D35F9"/>
    <w:rsid w:val="008D3697"/>
    <w:rsid w:val="008D3805"/>
    <w:rsid w:val="008D3830"/>
    <w:rsid w:val="008D3850"/>
    <w:rsid w:val="008D3856"/>
    <w:rsid w:val="008D3899"/>
    <w:rsid w:val="008D38AE"/>
    <w:rsid w:val="008D3920"/>
    <w:rsid w:val="008D3B22"/>
    <w:rsid w:val="008D3C4A"/>
    <w:rsid w:val="008D3C91"/>
    <w:rsid w:val="008D3E55"/>
    <w:rsid w:val="008D3FE4"/>
    <w:rsid w:val="008D412B"/>
    <w:rsid w:val="008D4155"/>
    <w:rsid w:val="008D42A7"/>
    <w:rsid w:val="008D42F7"/>
    <w:rsid w:val="008D430C"/>
    <w:rsid w:val="008D4375"/>
    <w:rsid w:val="008D438A"/>
    <w:rsid w:val="008D43CC"/>
    <w:rsid w:val="008D4479"/>
    <w:rsid w:val="008D4498"/>
    <w:rsid w:val="008D4544"/>
    <w:rsid w:val="008D45DA"/>
    <w:rsid w:val="008D465E"/>
    <w:rsid w:val="008D470E"/>
    <w:rsid w:val="008D4719"/>
    <w:rsid w:val="008D4857"/>
    <w:rsid w:val="008D4892"/>
    <w:rsid w:val="008D489E"/>
    <w:rsid w:val="008D48EA"/>
    <w:rsid w:val="008D4A9E"/>
    <w:rsid w:val="008D4B36"/>
    <w:rsid w:val="008D4B51"/>
    <w:rsid w:val="008D4BA0"/>
    <w:rsid w:val="008D4BD8"/>
    <w:rsid w:val="008D4DDB"/>
    <w:rsid w:val="008D5043"/>
    <w:rsid w:val="008D5103"/>
    <w:rsid w:val="008D5111"/>
    <w:rsid w:val="008D5168"/>
    <w:rsid w:val="008D5190"/>
    <w:rsid w:val="008D51AD"/>
    <w:rsid w:val="008D5274"/>
    <w:rsid w:val="008D5310"/>
    <w:rsid w:val="008D5386"/>
    <w:rsid w:val="008D5399"/>
    <w:rsid w:val="008D53BE"/>
    <w:rsid w:val="008D53C4"/>
    <w:rsid w:val="008D53C9"/>
    <w:rsid w:val="008D53DA"/>
    <w:rsid w:val="008D540C"/>
    <w:rsid w:val="008D5419"/>
    <w:rsid w:val="008D5451"/>
    <w:rsid w:val="008D54F1"/>
    <w:rsid w:val="008D55DD"/>
    <w:rsid w:val="008D561E"/>
    <w:rsid w:val="008D5632"/>
    <w:rsid w:val="008D578B"/>
    <w:rsid w:val="008D5911"/>
    <w:rsid w:val="008D59C2"/>
    <w:rsid w:val="008D59DE"/>
    <w:rsid w:val="008D5B08"/>
    <w:rsid w:val="008D5B46"/>
    <w:rsid w:val="008D5C02"/>
    <w:rsid w:val="008D5D05"/>
    <w:rsid w:val="008D5D96"/>
    <w:rsid w:val="008D5E95"/>
    <w:rsid w:val="008D5F1A"/>
    <w:rsid w:val="008D5F2F"/>
    <w:rsid w:val="008D5F49"/>
    <w:rsid w:val="008D5FD1"/>
    <w:rsid w:val="008D6276"/>
    <w:rsid w:val="008D62E2"/>
    <w:rsid w:val="008D6419"/>
    <w:rsid w:val="008D658C"/>
    <w:rsid w:val="008D6591"/>
    <w:rsid w:val="008D65F4"/>
    <w:rsid w:val="008D6620"/>
    <w:rsid w:val="008D665E"/>
    <w:rsid w:val="008D6841"/>
    <w:rsid w:val="008D6848"/>
    <w:rsid w:val="008D68AA"/>
    <w:rsid w:val="008D68C5"/>
    <w:rsid w:val="008D69DA"/>
    <w:rsid w:val="008D6A09"/>
    <w:rsid w:val="008D6A2D"/>
    <w:rsid w:val="008D6D5E"/>
    <w:rsid w:val="008D6EED"/>
    <w:rsid w:val="008D6F9A"/>
    <w:rsid w:val="008D702A"/>
    <w:rsid w:val="008D70D0"/>
    <w:rsid w:val="008D714E"/>
    <w:rsid w:val="008D71AC"/>
    <w:rsid w:val="008D71C2"/>
    <w:rsid w:val="008D723F"/>
    <w:rsid w:val="008D72CA"/>
    <w:rsid w:val="008D72E4"/>
    <w:rsid w:val="008D7349"/>
    <w:rsid w:val="008D73C5"/>
    <w:rsid w:val="008D73DD"/>
    <w:rsid w:val="008D745D"/>
    <w:rsid w:val="008D74EB"/>
    <w:rsid w:val="008D7503"/>
    <w:rsid w:val="008D769A"/>
    <w:rsid w:val="008D76E5"/>
    <w:rsid w:val="008D774E"/>
    <w:rsid w:val="008D7778"/>
    <w:rsid w:val="008D77E5"/>
    <w:rsid w:val="008D785F"/>
    <w:rsid w:val="008D7883"/>
    <w:rsid w:val="008D78AE"/>
    <w:rsid w:val="008D78D0"/>
    <w:rsid w:val="008D78FF"/>
    <w:rsid w:val="008D7991"/>
    <w:rsid w:val="008D7A24"/>
    <w:rsid w:val="008D7A41"/>
    <w:rsid w:val="008D7A46"/>
    <w:rsid w:val="008D7B16"/>
    <w:rsid w:val="008D7B82"/>
    <w:rsid w:val="008D7BC6"/>
    <w:rsid w:val="008D7BCB"/>
    <w:rsid w:val="008D7BCC"/>
    <w:rsid w:val="008D7D80"/>
    <w:rsid w:val="008D7DDA"/>
    <w:rsid w:val="008D7FA2"/>
    <w:rsid w:val="008E0090"/>
    <w:rsid w:val="008E00BE"/>
    <w:rsid w:val="008E00EE"/>
    <w:rsid w:val="008E0122"/>
    <w:rsid w:val="008E01B7"/>
    <w:rsid w:val="008E0341"/>
    <w:rsid w:val="008E03DB"/>
    <w:rsid w:val="008E04AE"/>
    <w:rsid w:val="008E052A"/>
    <w:rsid w:val="008E0611"/>
    <w:rsid w:val="008E0635"/>
    <w:rsid w:val="008E06BE"/>
    <w:rsid w:val="008E07C4"/>
    <w:rsid w:val="008E07FF"/>
    <w:rsid w:val="008E0962"/>
    <w:rsid w:val="008E0A90"/>
    <w:rsid w:val="008E0B16"/>
    <w:rsid w:val="008E0B38"/>
    <w:rsid w:val="008E0BF6"/>
    <w:rsid w:val="008E0DB7"/>
    <w:rsid w:val="008E0E31"/>
    <w:rsid w:val="008E0E4E"/>
    <w:rsid w:val="008E10A3"/>
    <w:rsid w:val="008E123B"/>
    <w:rsid w:val="008E12A3"/>
    <w:rsid w:val="008E134E"/>
    <w:rsid w:val="008E1367"/>
    <w:rsid w:val="008E15BC"/>
    <w:rsid w:val="008E1693"/>
    <w:rsid w:val="008E1749"/>
    <w:rsid w:val="008E176B"/>
    <w:rsid w:val="008E18B0"/>
    <w:rsid w:val="008E192B"/>
    <w:rsid w:val="008E19C5"/>
    <w:rsid w:val="008E1A4B"/>
    <w:rsid w:val="008E1B11"/>
    <w:rsid w:val="008E1B8F"/>
    <w:rsid w:val="008E1BD6"/>
    <w:rsid w:val="008E1BF6"/>
    <w:rsid w:val="008E1C78"/>
    <w:rsid w:val="008E1CCA"/>
    <w:rsid w:val="008E1D59"/>
    <w:rsid w:val="008E1EBF"/>
    <w:rsid w:val="008E20AD"/>
    <w:rsid w:val="008E20E9"/>
    <w:rsid w:val="008E21EA"/>
    <w:rsid w:val="008E2228"/>
    <w:rsid w:val="008E226F"/>
    <w:rsid w:val="008E227E"/>
    <w:rsid w:val="008E23C0"/>
    <w:rsid w:val="008E24FD"/>
    <w:rsid w:val="008E24FE"/>
    <w:rsid w:val="008E2691"/>
    <w:rsid w:val="008E2771"/>
    <w:rsid w:val="008E278C"/>
    <w:rsid w:val="008E28CA"/>
    <w:rsid w:val="008E28FF"/>
    <w:rsid w:val="008E298B"/>
    <w:rsid w:val="008E29BB"/>
    <w:rsid w:val="008E29E3"/>
    <w:rsid w:val="008E29F9"/>
    <w:rsid w:val="008E2A39"/>
    <w:rsid w:val="008E2BA1"/>
    <w:rsid w:val="008E2BFB"/>
    <w:rsid w:val="008E2CD0"/>
    <w:rsid w:val="008E2D07"/>
    <w:rsid w:val="008E2EB3"/>
    <w:rsid w:val="008E2F2E"/>
    <w:rsid w:val="008E3015"/>
    <w:rsid w:val="008E30E9"/>
    <w:rsid w:val="008E3124"/>
    <w:rsid w:val="008E3225"/>
    <w:rsid w:val="008E33AB"/>
    <w:rsid w:val="008E344F"/>
    <w:rsid w:val="008E3635"/>
    <w:rsid w:val="008E3753"/>
    <w:rsid w:val="008E382D"/>
    <w:rsid w:val="008E3947"/>
    <w:rsid w:val="008E3978"/>
    <w:rsid w:val="008E3A06"/>
    <w:rsid w:val="008E3A43"/>
    <w:rsid w:val="008E3A87"/>
    <w:rsid w:val="008E3A9D"/>
    <w:rsid w:val="008E3AA0"/>
    <w:rsid w:val="008E3CBF"/>
    <w:rsid w:val="008E3CEB"/>
    <w:rsid w:val="008E3D1C"/>
    <w:rsid w:val="008E3D5A"/>
    <w:rsid w:val="008E3D96"/>
    <w:rsid w:val="008E3DF2"/>
    <w:rsid w:val="008E4079"/>
    <w:rsid w:val="008E411C"/>
    <w:rsid w:val="008E41D7"/>
    <w:rsid w:val="008E4237"/>
    <w:rsid w:val="008E42A5"/>
    <w:rsid w:val="008E4331"/>
    <w:rsid w:val="008E43A6"/>
    <w:rsid w:val="008E44F9"/>
    <w:rsid w:val="008E461D"/>
    <w:rsid w:val="008E4666"/>
    <w:rsid w:val="008E4688"/>
    <w:rsid w:val="008E469E"/>
    <w:rsid w:val="008E46A8"/>
    <w:rsid w:val="008E4770"/>
    <w:rsid w:val="008E48C0"/>
    <w:rsid w:val="008E48E5"/>
    <w:rsid w:val="008E490C"/>
    <w:rsid w:val="008E4D49"/>
    <w:rsid w:val="008E4D82"/>
    <w:rsid w:val="008E4D97"/>
    <w:rsid w:val="008E4E1A"/>
    <w:rsid w:val="008E4EE9"/>
    <w:rsid w:val="008E50D6"/>
    <w:rsid w:val="008E5133"/>
    <w:rsid w:val="008E5245"/>
    <w:rsid w:val="008E5278"/>
    <w:rsid w:val="008E5297"/>
    <w:rsid w:val="008E53B3"/>
    <w:rsid w:val="008E5424"/>
    <w:rsid w:val="008E558A"/>
    <w:rsid w:val="008E55AE"/>
    <w:rsid w:val="008E5603"/>
    <w:rsid w:val="008E5668"/>
    <w:rsid w:val="008E56B1"/>
    <w:rsid w:val="008E56BF"/>
    <w:rsid w:val="008E5B44"/>
    <w:rsid w:val="008E5BCB"/>
    <w:rsid w:val="008E5BD9"/>
    <w:rsid w:val="008E5C3E"/>
    <w:rsid w:val="008E5D7F"/>
    <w:rsid w:val="008E5D93"/>
    <w:rsid w:val="008E5DAF"/>
    <w:rsid w:val="008E5EA1"/>
    <w:rsid w:val="008E5F5B"/>
    <w:rsid w:val="008E5FD3"/>
    <w:rsid w:val="008E605F"/>
    <w:rsid w:val="008E6063"/>
    <w:rsid w:val="008E60DD"/>
    <w:rsid w:val="008E6130"/>
    <w:rsid w:val="008E622A"/>
    <w:rsid w:val="008E628D"/>
    <w:rsid w:val="008E62BC"/>
    <w:rsid w:val="008E62E0"/>
    <w:rsid w:val="008E6368"/>
    <w:rsid w:val="008E638A"/>
    <w:rsid w:val="008E63E3"/>
    <w:rsid w:val="008E6417"/>
    <w:rsid w:val="008E64C6"/>
    <w:rsid w:val="008E6590"/>
    <w:rsid w:val="008E67F9"/>
    <w:rsid w:val="008E6866"/>
    <w:rsid w:val="008E690C"/>
    <w:rsid w:val="008E696C"/>
    <w:rsid w:val="008E6A58"/>
    <w:rsid w:val="008E6B28"/>
    <w:rsid w:val="008E6BA4"/>
    <w:rsid w:val="008E6BB2"/>
    <w:rsid w:val="008E6BEA"/>
    <w:rsid w:val="008E6C13"/>
    <w:rsid w:val="008E6CDE"/>
    <w:rsid w:val="008E6E4B"/>
    <w:rsid w:val="008E6F70"/>
    <w:rsid w:val="008E70DE"/>
    <w:rsid w:val="008E71B3"/>
    <w:rsid w:val="008E71EE"/>
    <w:rsid w:val="008E71F8"/>
    <w:rsid w:val="008E71FA"/>
    <w:rsid w:val="008E723D"/>
    <w:rsid w:val="008E739F"/>
    <w:rsid w:val="008E742F"/>
    <w:rsid w:val="008E7460"/>
    <w:rsid w:val="008E7502"/>
    <w:rsid w:val="008E7564"/>
    <w:rsid w:val="008E7632"/>
    <w:rsid w:val="008E7678"/>
    <w:rsid w:val="008E76B0"/>
    <w:rsid w:val="008E7717"/>
    <w:rsid w:val="008E77A1"/>
    <w:rsid w:val="008E78B7"/>
    <w:rsid w:val="008E7990"/>
    <w:rsid w:val="008E799D"/>
    <w:rsid w:val="008E7A70"/>
    <w:rsid w:val="008E7B03"/>
    <w:rsid w:val="008E7B13"/>
    <w:rsid w:val="008E7B17"/>
    <w:rsid w:val="008E7B26"/>
    <w:rsid w:val="008E7BAD"/>
    <w:rsid w:val="008E7C5E"/>
    <w:rsid w:val="008E7CFA"/>
    <w:rsid w:val="008E7D61"/>
    <w:rsid w:val="008E7DF0"/>
    <w:rsid w:val="008E7E1E"/>
    <w:rsid w:val="008E7ECD"/>
    <w:rsid w:val="008E7ECF"/>
    <w:rsid w:val="008E7FDC"/>
    <w:rsid w:val="008F001C"/>
    <w:rsid w:val="008F0057"/>
    <w:rsid w:val="008F0090"/>
    <w:rsid w:val="008F00F7"/>
    <w:rsid w:val="008F0376"/>
    <w:rsid w:val="008F0446"/>
    <w:rsid w:val="008F0456"/>
    <w:rsid w:val="008F0772"/>
    <w:rsid w:val="008F08A3"/>
    <w:rsid w:val="008F08AD"/>
    <w:rsid w:val="008F08CF"/>
    <w:rsid w:val="008F093A"/>
    <w:rsid w:val="008F0943"/>
    <w:rsid w:val="008F0A22"/>
    <w:rsid w:val="008F0B8A"/>
    <w:rsid w:val="008F0BA3"/>
    <w:rsid w:val="008F0C5F"/>
    <w:rsid w:val="008F0C8F"/>
    <w:rsid w:val="008F0CE9"/>
    <w:rsid w:val="008F0E34"/>
    <w:rsid w:val="008F0E56"/>
    <w:rsid w:val="008F0F41"/>
    <w:rsid w:val="008F0F50"/>
    <w:rsid w:val="008F0FD3"/>
    <w:rsid w:val="008F1006"/>
    <w:rsid w:val="008F1110"/>
    <w:rsid w:val="008F1136"/>
    <w:rsid w:val="008F1204"/>
    <w:rsid w:val="008F1223"/>
    <w:rsid w:val="008F12A8"/>
    <w:rsid w:val="008F12BB"/>
    <w:rsid w:val="008F13BB"/>
    <w:rsid w:val="008F146C"/>
    <w:rsid w:val="008F165E"/>
    <w:rsid w:val="008F1695"/>
    <w:rsid w:val="008F1750"/>
    <w:rsid w:val="008F178D"/>
    <w:rsid w:val="008F178F"/>
    <w:rsid w:val="008F180B"/>
    <w:rsid w:val="008F18A7"/>
    <w:rsid w:val="008F18DF"/>
    <w:rsid w:val="008F195A"/>
    <w:rsid w:val="008F1968"/>
    <w:rsid w:val="008F19CB"/>
    <w:rsid w:val="008F1AA4"/>
    <w:rsid w:val="008F1B28"/>
    <w:rsid w:val="008F1B59"/>
    <w:rsid w:val="008F1BDF"/>
    <w:rsid w:val="008F1BE7"/>
    <w:rsid w:val="008F1CD9"/>
    <w:rsid w:val="008F1D87"/>
    <w:rsid w:val="008F1DD9"/>
    <w:rsid w:val="008F1DE9"/>
    <w:rsid w:val="008F1EAC"/>
    <w:rsid w:val="008F1EC3"/>
    <w:rsid w:val="008F1ED0"/>
    <w:rsid w:val="008F1ED5"/>
    <w:rsid w:val="008F2068"/>
    <w:rsid w:val="008F2096"/>
    <w:rsid w:val="008F209E"/>
    <w:rsid w:val="008F20D0"/>
    <w:rsid w:val="008F221C"/>
    <w:rsid w:val="008F2265"/>
    <w:rsid w:val="008F22CB"/>
    <w:rsid w:val="008F2439"/>
    <w:rsid w:val="008F24F6"/>
    <w:rsid w:val="008F25C7"/>
    <w:rsid w:val="008F2693"/>
    <w:rsid w:val="008F26F6"/>
    <w:rsid w:val="008F2730"/>
    <w:rsid w:val="008F2747"/>
    <w:rsid w:val="008F27F9"/>
    <w:rsid w:val="008F281D"/>
    <w:rsid w:val="008F2837"/>
    <w:rsid w:val="008F290E"/>
    <w:rsid w:val="008F2933"/>
    <w:rsid w:val="008F2A12"/>
    <w:rsid w:val="008F2A19"/>
    <w:rsid w:val="008F2A4D"/>
    <w:rsid w:val="008F2AA0"/>
    <w:rsid w:val="008F2AD3"/>
    <w:rsid w:val="008F2BA9"/>
    <w:rsid w:val="008F2BEA"/>
    <w:rsid w:val="008F2F19"/>
    <w:rsid w:val="008F2F1B"/>
    <w:rsid w:val="008F2F6B"/>
    <w:rsid w:val="008F3139"/>
    <w:rsid w:val="008F31BF"/>
    <w:rsid w:val="008F3478"/>
    <w:rsid w:val="008F3482"/>
    <w:rsid w:val="008F3574"/>
    <w:rsid w:val="008F35B3"/>
    <w:rsid w:val="008F369C"/>
    <w:rsid w:val="008F36A3"/>
    <w:rsid w:val="008F3769"/>
    <w:rsid w:val="008F38E1"/>
    <w:rsid w:val="008F3905"/>
    <w:rsid w:val="008F39B9"/>
    <w:rsid w:val="008F3B5E"/>
    <w:rsid w:val="008F3C3B"/>
    <w:rsid w:val="008F3CCD"/>
    <w:rsid w:val="008F3CDD"/>
    <w:rsid w:val="008F3CE8"/>
    <w:rsid w:val="008F3D72"/>
    <w:rsid w:val="008F3DBA"/>
    <w:rsid w:val="008F3DCC"/>
    <w:rsid w:val="008F3E51"/>
    <w:rsid w:val="008F3F2A"/>
    <w:rsid w:val="008F3F4D"/>
    <w:rsid w:val="008F415A"/>
    <w:rsid w:val="008F4183"/>
    <w:rsid w:val="008F41C0"/>
    <w:rsid w:val="008F44B4"/>
    <w:rsid w:val="008F4527"/>
    <w:rsid w:val="008F458E"/>
    <w:rsid w:val="008F45F3"/>
    <w:rsid w:val="008F4652"/>
    <w:rsid w:val="008F466F"/>
    <w:rsid w:val="008F4687"/>
    <w:rsid w:val="008F475F"/>
    <w:rsid w:val="008F47B6"/>
    <w:rsid w:val="008F491D"/>
    <w:rsid w:val="008F4971"/>
    <w:rsid w:val="008F49F1"/>
    <w:rsid w:val="008F4A51"/>
    <w:rsid w:val="008F4AC5"/>
    <w:rsid w:val="008F4B60"/>
    <w:rsid w:val="008F4BB1"/>
    <w:rsid w:val="008F4BCE"/>
    <w:rsid w:val="008F4CD7"/>
    <w:rsid w:val="008F4DB6"/>
    <w:rsid w:val="008F4EE6"/>
    <w:rsid w:val="008F51EE"/>
    <w:rsid w:val="008F5210"/>
    <w:rsid w:val="008F5230"/>
    <w:rsid w:val="008F5234"/>
    <w:rsid w:val="008F526C"/>
    <w:rsid w:val="008F52D9"/>
    <w:rsid w:val="008F5466"/>
    <w:rsid w:val="008F546C"/>
    <w:rsid w:val="008F550F"/>
    <w:rsid w:val="008F553C"/>
    <w:rsid w:val="008F5554"/>
    <w:rsid w:val="008F55F5"/>
    <w:rsid w:val="008F5696"/>
    <w:rsid w:val="008F5813"/>
    <w:rsid w:val="008F58FD"/>
    <w:rsid w:val="008F5978"/>
    <w:rsid w:val="008F5A0A"/>
    <w:rsid w:val="008F5B15"/>
    <w:rsid w:val="008F5B66"/>
    <w:rsid w:val="008F5B84"/>
    <w:rsid w:val="008F5BD1"/>
    <w:rsid w:val="008F5C23"/>
    <w:rsid w:val="008F5C5A"/>
    <w:rsid w:val="008F5C77"/>
    <w:rsid w:val="008F5C78"/>
    <w:rsid w:val="008F5D58"/>
    <w:rsid w:val="008F5DC8"/>
    <w:rsid w:val="008F5E37"/>
    <w:rsid w:val="008F5E6F"/>
    <w:rsid w:val="008F5FB7"/>
    <w:rsid w:val="008F5FB9"/>
    <w:rsid w:val="008F5FE3"/>
    <w:rsid w:val="008F601F"/>
    <w:rsid w:val="008F6188"/>
    <w:rsid w:val="008F61CB"/>
    <w:rsid w:val="008F61D6"/>
    <w:rsid w:val="008F623F"/>
    <w:rsid w:val="008F62B1"/>
    <w:rsid w:val="008F6471"/>
    <w:rsid w:val="008F6571"/>
    <w:rsid w:val="008F661B"/>
    <w:rsid w:val="008F663E"/>
    <w:rsid w:val="008F672C"/>
    <w:rsid w:val="008F6820"/>
    <w:rsid w:val="008F6863"/>
    <w:rsid w:val="008F68DF"/>
    <w:rsid w:val="008F692A"/>
    <w:rsid w:val="008F6A87"/>
    <w:rsid w:val="008F6BBE"/>
    <w:rsid w:val="008F6BFD"/>
    <w:rsid w:val="008F6C05"/>
    <w:rsid w:val="008F6C16"/>
    <w:rsid w:val="008F6C96"/>
    <w:rsid w:val="008F6D8D"/>
    <w:rsid w:val="008F6DE1"/>
    <w:rsid w:val="008F6EDF"/>
    <w:rsid w:val="008F7274"/>
    <w:rsid w:val="008F72F6"/>
    <w:rsid w:val="008F730B"/>
    <w:rsid w:val="008F731B"/>
    <w:rsid w:val="008F737F"/>
    <w:rsid w:val="008F7592"/>
    <w:rsid w:val="008F75A1"/>
    <w:rsid w:val="008F7628"/>
    <w:rsid w:val="008F7686"/>
    <w:rsid w:val="008F778E"/>
    <w:rsid w:val="008F7790"/>
    <w:rsid w:val="008F7940"/>
    <w:rsid w:val="008F7975"/>
    <w:rsid w:val="008F7984"/>
    <w:rsid w:val="008F7ADB"/>
    <w:rsid w:val="008F7D88"/>
    <w:rsid w:val="008F7DD4"/>
    <w:rsid w:val="008F7DE4"/>
    <w:rsid w:val="008F7E07"/>
    <w:rsid w:val="008F7E3A"/>
    <w:rsid w:val="008F7EF5"/>
    <w:rsid w:val="008F7F05"/>
    <w:rsid w:val="008F7FB4"/>
    <w:rsid w:val="008F7FDD"/>
    <w:rsid w:val="0090003D"/>
    <w:rsid w:val="009000E6"/>
    <w:rsid w:val="00900126"/>
    <w:rsid w:val="0090019E"/>
    <w:rsid w:val="009002B3"/>
    <w:rsid w:val="009002C0"/>
    <w:rsid w:val="009002C6"/>
    <w:rsid w:val="009002FA"/>
    <w:rsid w:val="009003D9"/>
    <w:rsid w:val="009003F2"/>
    <w:rsid w:val="009004CF"/>
    <w:rsid w:val="009006B3"/>
    <w:rsid w:val="0090070F"/>
    <w:rsid w:val="0090074D"/>
    <w:rsid w:val="009007BE"/>
    <w:rsid w:val="009007C5"/>
    <w:rsid w:val="0090080A"/>
    <w:rsid w:val="00900837"/>
    <w:rsid w:val="00900944"/>
    <w:rsid w:val="0090096B"/>
    <w:rsid w:val="009009FC"/>
    <w:rsid w:val="00900A59"/>
    <w:rsid w:val="00900B11"/>
    <w:rsid w:val="00900B9C"/>
    <w:rsid w:val="00900BCE"/>
    <w:rsid w:val="00900C49"/>
    <w:rsid w:val="00900CDF"/>
    <w:rsid w:val="00900D74"/>
    <w:rsid w:val="00900E92"/>
    <w:rsid w:val="00900F4E"/>
    <w:rsid w:val="009010EB"/>
    <w:rsid w:val="00901126"/>
    <w:rsid w:val="009012DA"/>
    <w:rsid w:val="009012E5"/>
    <w:rsid w:val="00901480"/>
    <w:rsid w:val="009014D9"/>
    <w:rsid w:val="0090157A"/>
    <w:rsid w:val="0090158F"/>
    <w:rsid w:val="009015A1"/>
    <w:rsid w:val="00901728"/>
    <w:rsid w:val="00901808"/>
    <w:rsid w:val="00901812"/>
    <w:rsid w:val="00901849"/>
    <w:rsid w:val="00901894"/>
    <w:rsid w:val="00901904"/>
    <w:rsid w:val="0090192A"/>
    <w:rsid w:val="0090198C"/>
    <w:rsid w:val="009019C3"/>
    <w:rsid w:val="00901A18"/>
    <w:rsid w:val="00901ACA"/>
    <w:rsid w:val="00901B84"/>
    <w:rsid w:val="00901C6A"/>
    <w:rsid w:val="00901C6B"/>
    <w:rsid w:val="00901C73"/>
    <w:rsid w:val="00901C7F"/>
    <w:rsid w:val="00901C95"/>
    <w:rsid w:val="00901D28"/>
    <w:rsid w:val="00901D34"/>
    <w:rsid w:val="00901E0C"/>
    <w:rsid w:val="00901E8E"/>
    <w:rsid w:val="00901F25"/>
    <w:rsid w:val="00901F88"/>
    <w:rsid w:val="00901FAA"/>
    <w:rsid w:val="00901FD1"/>
    <w:rsid w:val="009020C3"/>
    <w:rsid w:val="0090216E"/>
    <w:rsid w:val="009021F3"/>
    <w:rsid w:val="009021F9"/>
    <w:rsid w:val="009022D2"/>
    <w:rsid w:val="009022D5"/>
    <w:rsid w:val="009023C9"/>
    <w:rsid w:val="009024BC"/>
    <w:rsid w:val="009024C0"/>
    <w:rsid w:val="009025E7"/>
    <w:rsid w:val="00902639"/>
    <w:rsid w:val="00902653"/>
    <w:rsid w:val="009026FB"/>
    <w:rsid w:val="00902768"/>
    <w:rsid w:val="0090278A"/>
    <w:rsid w:val="009027F8"/>
    <w:rsid w:val="00902811"/>
    <w:rsid w:val="009029DC"/>
    <w:rsid w:val="009029F8"/>
    <w:rsid w:val="009029FA"/>
    <w:rsid w:val="00902AD9"/>
    <w:rsid w:val="00902B75"/>
    <w:rsid w:val="00902B85"/>
    <w:rsid w:val="00902C5A"/>
    <w:rsid w:val="00902C8E"/>
    <w:rsid w:val="00902D00"/>
    <w:rsid w:val="00902D97"/>
    <w:rsid w:val="00902E01"/>
    <w:rsid w:val="00902E0D"/>
    <w:rsid w:val="00902E90"/>
    <w:rsid w:val="00902EF6"/>
    <w:rsid w:val="00902FE5"/>
    <w:rsid w:val="00903136"/>
    <w:rsid w:val="00903148"/>
    <w:rsid w:val="00903164"/>
    <w:rsid w:val="00903296"/>
    <w:rsid w:val="00903409"/>
    <w:rsid w:val="0090341C"/>
    <w:rsid w:val="00903435"/>
    <w:rsid w:val="00903452"/>
    <w:rsid w:val="00903456"/>
    <w:rsid w:val="0090350B"/>
    <w:rsid w:val="0090355F"/>
    <w:rsid w:val="00903572"/>
    <w:rsid w:val="009035EE"/>
    <w:rsid w:val="0090361E"/>
    <w:rsid w:val="009036AF"/>
    <w:rsid w:val="00903758"/>
    <w:rsid w:val="0090393C"/>
    <w:rsid w:val="00903A1D"/>
    <w:rsid w:val="00903B04"/>
    <w:rsid w:val="00903CA0"/>
    <w:rsid w:val="00903CC7"/>
    <w:rsid w:val="00903D44"/>
    <w:rsid w:val="00903D73"/>
    <w:rsid w:val="00903FEB"/>
    <w:rsid w:val="009041E1"/>
    <w:rsid w:val="0090426C"/>
    <w:rsid w:val="009042D7"/>
    <w:rsid w:val="00904330"/>
    <w:rsid w:val="0090444C"/>
    <w:rsid w:val="0090461B"/>
    <w:rsid w:val="009046B7"/>
    <w:rsid w:val="00904773"/>
    <w:rsid w:val="009047C2"/>
    <w:rsid w:val="0090486F"/>
    <w:rsid w:val="0090489C"/>
    <w:rsid w:val="009048D8"/>
    <w:rsid w:val="00904937"/>
    <w:rsid w:val="009049C7"/>
    <w:rsid w:val="00904ACE"/>
    <w:rsid w:val="00904B04"/>
    <w:rsid w:val="00904B32"/>
    <w:rsid w:val="00904BEE"/>
    <w:rsid w:val="00904CD7"/>
    <w:rsid w:val="00904DAE"/>
    <w:rsid w:val="00904DEE"/>
    <w:rsid w:val="00904E1D"/>
    <w:rsid w:val="00904E3D"/>
    <w:rsid w:val="00904FBF"/>
    <w:rsid w:val="00905066"/>
    <w:rsid w:val="009050AB"/>
    <w:rsid w:val="009053DE"/>
    <w:rsid w:val="00905460"/>
    <w:rsid w:val="00905461"/>
    <w:rsid w:val="00905525"/>
    <w:rsid w:val="00905532"/>
    <w:rsid w:val="0090553F"/>
    <w:rsid w:val="00905543"/>
    <w:rsid w:val="00905781"/>
    <w:rsid w:val="009057A9"/>
    <w:rsid w:val="00905948"/>
    <w:rsid w:val="009059B0"/>
    <w:rsid w:val="009059F9"/>
    <w:rsid w:val="00905A6C"/>
    <w:rsid w:val="00905B02"/>
    <w:rsid w:val="00905BAD"/>
    <w:rsid w:val="00905BB5"/>
    <w:rsid w:val="00905BCB"/>
    <w:rsid w:val="00905C54"/>
    <w:rsid w:val="00905D45"/>
    <w:rsid w:val="00905E15"/>
    <w:rsid w:val="00905E95"/>
    <w:rsid w:val="00905EE4"/>
    <w:rsid w:val="00905FA9"/>
    <w:rsid w:val="00905FDA"/>
    <w:rsid w:val="0090605B"/>
    <w:rsid w:val="009060EA"/>
    <w:rsid w:val="009060F1"/>
    <w:rsid w:val="009061AE"/>
    <w:rsid w:val="00906243"/>
    <w:rsid w:val="0090633A"/>
    <w:rsid w:val="00906367"/>
    <w:rsid w:val="009064E6"/>
    <w:rsid w:val="009065BC"/>
    <w:rsid w:val="0090664A"/>
    <w:rsid w:val="009066F7"/>
    <w:rsid w:val="009067C9"/>
    <w:rsid w:val="009068B1"/>
    <w:rsid w:val="00906A20"/>
    <w:rsid w:val="00906ADF"/>
    <w:rsid w:val="00906AEF"/>
    <w:rsid w:val="00906B15"/>
    <w:rsid w:val="00906B9D"/>
    <w:rsid w:val="00906C24"/>
    <w:rsid w:val="00906C3C"/>
    <w:rsid w:val="00906D53"/>
    <w:rsid w:val="00906DE4"/>
    <w:rsid w:val="00906DF6"/>
    <w:rsid w:val="00906E15"/>
    <w:rsid w:val="00906E1C"/>
    <w:rsid w:val="00906E2F"/>
    <w:rsid w:val="00906E83"/>
    <w:rsid w:val="00907024"/>
    <w:rsid w:val="00907070"/>
    <w:rsid w:val="009071DB"/>
    <w:rsid w:val="0090721A"/>
    <w:rsid w:val="00907232"/>
    <w:rsid w:val="0090723B"/>
    <w:rsid w:val="009072BB"/>
    <w:rsid w:val="00907337"/>
    <w:rsid w:val="0090735C"/>
    <w:rsid w:val="0090743B"/>
    <w:rsid w:val="0090750D"/>
    <w:rsid w:val="009075B7"/>
    <w:rsid w:val="009075D5"/>
    <w:rsid w:val="009077AD"/>
    <w:rsid w:val="009077DB"/>
    <w:rsid w:val="009077E4"/>
    <w:rsid w:val="009077F1"/>
    <w:rsid w:val="00907950"/>
    <w:rsid w:val="009079C3"/>
    <w:rsid w:val="00907A5E"/>
    <w:rsid w:val="00907A80"/>
    <w:rsid w:val="00907A9E"/>
    <w:rsid w:val="00907AAE"/>
    <w:rsid w:val="00907B24"/>
    <w:rsid w:val="00907C26"/>
    <w:rsid w:val="00907C3C"/>
    <w:rsid w:val="00907C6E"/>
    <w:rsid w:val="00907CB3"/>
    <w:rsid w:val="00907D7C"/>
    <w:rsid w:val="00907E88"/>
    <w:rsid w:val="00907EA0"/>
    <w:rsid w:val="00907EE8"/>
    <w:rsid w:val="00907F3D"/>
    <w:rsid w:val="00907F9E"/>
    <w:rsid w:val="00907FBC"/>
    <w:rsid w:val="00907FC8"/>
    <w:rsid w:val="00907FD7"/>
    <w:rsid w:val="0091006B"/>
    <w:rsid w:val="009100A1"/>
    <w:rsid w:val="009100B7"/>
    <w:rsid w:val="009100C9"/>
    <w:rsid w:val="009100EC"/>
    <w:rsid w:val="0091027E"/>
    <w:rsid w:val="0091029F"/>
    <w:rsid w:val="0091037B"/>
    <w:rsid w:val="009103C6"/>
    <w:rsid w:val="009105D5"/>
    <w:rsid w:val="00910623"/>
    <w:rsid w:val="009106D9"/>
    <w:rsid w:val="00910817"/>
    <w:rsid w:val="00910887"/>
    <w:rsid w:val="009108DC"/>
    <w:rsid w:val="009108E2"/>
    <w:rsid w:val="009109A2"/>
    <w:rsid w:val="00910A47"/>
    <w:rsid w:val="00910BCA"/>
    <w:rsid w:val="00910DC0"/>
    <w:rsid w:val="00910ECE"/>
    <w:rsid w:val="00910F54"/>
    <w:rsid w:val="00911062"/>
    <w:rsid w:val="0091109B"/>
    <w:rsid w:val="00911127"/>
    <w:rsid w:val="009111BE"/>
    <w:rsid w:val="0091125F"/>
    <w:rsid w:val="00911349"/>
    <w:rsid w:val="009113C9"/>
    <w:rsid w:val="0091140B"/>
    <w:rsid w:val="009114AD"/>
    <w:rsid w:val="00911507"/>
    <w:rsid w:val="0091150F"/>
    <w:rsid w:val="00911512"/>
    <w:rsid w:val="0091154A"/>
    <w:rsid w:val="0091154E"/>
    <w:rsid w:val="0091159E"/>
    <w:rsid w:val="00911602"/>
    <w:rsid w:val="0091162C"/>
    <w:rsid w:val="00911684"/>
    <w:rsid w:val="00911804"/>
    <w:rsid w:val="00911856"/>
    <w:rsid w:val="00911879"/>
    <w:rsid w:val="0091189C"/>
    <w:rsid w:val="00911914"/>
    <w:rsid w:val="00911A41"/>
    <w:rsid w:val="00911A7D"/>
    <w:rsid w:val="00911B22"/>
    <w:rsid w:val="00911B45"/>
    <w:rsid w:val="00911B73"/>
    <w:rsid w:val="00911BBE"/>
    <w:rsid w:val="00911CD6"/>
    <w:rsid w:val="00911CEE"/>
    <w:rsid w:val="00911E37"/>
    <w:rsid w:val="00911EDA"/>
    <w:rsid w:val="00912039"/>
    <w:rsid w:val="009120C7"/>
    <w:rsid w:val="00912114"/>
    <w:rsid w:val="009121AE"/>
    <w:rsid w:val="00912207"/>
    <w:rsid w:val="00912264"/>
    <w:rsid w:val="009122A4"/>
    <w:rsid w:val="0091230E"/>
    <w:rsid w:val="009124F0"/>
    <w:rsid w:val="009124F7"/>
    <w:rsid w:val="00912560"/>
    <w:rsid w:val="00912576"/>
    <w:rsid w:val="0091258C"/>
    <w:rsid w:val="0091269F"/>
    <w:rsid w:val="009126DF"/>
    <w:rsid w:val="0091272D"/>
    <w:rsid w:val="009127BE"/>
    <w:rsid w:val="00912856"/>
    <w:rsid w:val="00912AA2"/>
    <w:rsid w:val="00912B85"/>
    <w:rsid w:val="00912BB1"/>
    <w:rsid w:val="00912BC1"/>
    <w:rsid w:val="00912D4C"/>
    <w:rsid w:val="00912F56"/>
    <w:rsid w:val="00912F89"/>
    <w:rsid w:val="00912FBF"/>
    <w:rsid w:val="009130A0"/>
    <w:rsid w:val="009130F3"/>
    <w:rsid w:val="0091316E"/>
    <w:rsid w:val="009131DF"/>
    <w:rsid w:val="0091320E"/>
    <w:rsid w:val="009133CC"/>
    <w:rsid w:val="009133E3"/>
    <w:rsid w:val="0091344B"/>
    <w:rsid w:val="0091347E"/>
    <w:rsid w:val="009135F3"/>
    <w:rsid w:val="009136F4"/>
    <w:rsid w:val="00913792"/>
    <w:rsid w:val="009137A5"/>
    <w:rsid w:val="009137E3"/>
    <w:rsid w:val="0091384E"/>
    <w:rsid w:val="00913961"/>
    <w:rsid w:val="00913AF1"/>
    <w:rsid w:val="00913B65"/>
    <w:rsid w:val="00913C54"/>
    <w:rsid w:val="00913CD8"/>
    <w:rsid w:val="00913D0E"/>
    <w:rsid w:val="00913D0F"/>
    <w:rsid w:val="00913D96"/>
    <w:rsid w:val="00913EBA"/>
    <w:rsid w:val="00913F5C"/>
    <w:rsid w:val="00914010"/>
    <w:rsid w:val="00914033"/>
    <w:rsid w:val="00914104"/>
    <w:rsid w:val="0091411D"/>
    <w:rsid w:val="0091414B"/>
    <w:rsid w:val="009141B7"/>
    <w:rsid w:val="009143DC"/>
    <w:rsid w:val="00914457"/>
    <w:rsid w:val="00914462"/>
    <w:rsid w:val="00914466"/>
    <w:rsid w:val="00914468"/>
    <w:rsid w:val="0091446D"/>
    <w:rsid w:val="00914538"/>
    <w:rsid w:val="00914547"/>
    <w:rsid w:val="0091457A"/>
    <w:rsid w:val="00914745"/>
    <w:rsid w:val="00914778"/>
    <w:rsid w:val="009148EC"/>
    <w:rsid w:val="0091496B"/>
    <w:rsid w:val="00914987"/>
    <w:rsid w:val="00914A5B"/>
    <w:rsid w:val="00914B9F"/>
    <w:rsid w:val="00914BAA"/>
    <w:rsid w:val="00914CAE"/>
    <w:rsid w:val="00914CB8"/>
    <w:rsid w:val="00914D13"/>
    <w:rsid w:val="00914D45"/>
    <w:rsid w:val="00914D5F"/>
    <w:rsid w:val="00914DD5"/>
    <w:rsid w:val="00914E65"/>
    <w:rsid w:val="00914E7C"/>
    <w:rsid w:val="00914E9D"/>
    <w:rsid w:val="0091503E"/>
    <w:rsid w:val="0091504A"/>
    <w:rsid w:val="009150CC"/>
    <w:rsid w:val="00915103"/>
    <w:rsid w:val="00915140"/>
    <w:rsid w:val="00915212"/>
    <w:rsid w:val="009152D0"/>
    <w:rsid w:val="00915303"/>
    <w:rsid w:val="00915345"/>
    <w:rsid w:val="00915431"/>
    <w:rsid w:val="009154AC"/>
    <w:rsid w:val="009154AD"/>
    <w:rsid w:val="009155D0"/>
    <w:rsid w:val="009155FF"/>
    <w:rsid w:val="0091564E"/>
    <w:rsid w:val="0091574E"/>
    <w:rsid w:val="00915777"/>
    <w:rsid w:val="009157B9"/>
    <w:rsid w:val="00915998"/>
    <w:rsid w:val="00915A52"/>
    <w:rsid w:val="00915AE3"/>
    <w:rsid w:val="00915BC7"/>
    <w:rsid w:val="00915C7C"/>
    <w:rsid w:val="00915C7E"/>
    <w:rsid w:val="00915DA1"/>
    <w:rsid w:val="00916089"/>
    <w:rsid w:val="009161F0"/>
    <w:rsid w:val="00916211"/>
    <w:rsid w:val="0091626F"/>
    <w:rsid w:val="00916347"/>
    <w:rsid w:val="00916351"/>
    <w:rsid w:val="009163C4"/>
    <w:rsid w:val="00916426"/>
    <w:rsid w:val="009164D1"/>
    <w:rsid w:val="009165C3"/>
    <w:rsid w:val="0091669C"/>
    <w:rsid w:val="009166DA"/>
    <w:rsid w:val="009168FB"/>
    <w:rsid w:val="009169FC"/>
    <w:rsid w:val="00916A36"/>
    <w:rsid w:val="00916AC4"/>
    <w:rsid w:val="00916AFA"/>
    <w:rsid w:val="00916C9D"/>
    <w:rsid w:val="00916D9C"/>
    <w:rsid w:val="00916F89"/>
    <w:rsid w:val="00916FCA"/>
    <w:rsid w:val="009170AE"/>
    <w:rsid w:val="009170BD"/>
    <w:rsid w:val="009170DC"/>
    <w:rsid w:val="0091713A"/>
    <w:rsid w:val="0091713B"/>
    <w:rsid w:val="00917309"/>
    <w:rsid w:val="0091730A"/>
    <w:rsid w:val="009173F3"/>
    <w:rsid w:val="00917495"/>
    <w:rsid w:val="0091758C"/>
    <w:rsid w:val="0091759F"/>
    <w:rsid w:val="009175F2"/>
    <w:rsid w:val="009175F7"/>
    <w:rsid w:val="00917637"/>
    <w:rsid w:val="00917644"/>
    <w:rsid w:val="00917703"/>
    <w:rsid w:val="0091772F"/>
    <w:rsid w:val="0091778C"/>
    <w:rsid w:val="00917934"/>
    <w:rsid w:val="00917945"/>
    <w:rsid w:val="0091797A"/>
    <w:rsid w:val="00917B0E"/>
    <w:rsid w:val="00917B2F"/>
    <w:rsid w:val="00917D2E"/>
    <w:rsid w:val="00917D2F"/>
    <w:rsid w:val="00917D93"/>
    <w:rsid w:val="00917DAD"/>
    <w:rsid w:val="00917DE8"/>
    <w:rsid w:val="00917E5A"/>
    <w:rsid w:val="00917F45"/>
    <w:rsid w:val="00917F47"/>
    <w:rsid w:val="00920002"/>
    <w:rsid w:val="009200A0"/>
    <w:rsid w:val="009201EE"/>
    <w:rsid w:val="00920220"/>
    <w:rsid w:val="009202FE"/>
    <w:rsid w:val="0092032C"/>
    <w:rsid w:val="0092033F"/>
    <w:rsid w:val="009205B1"/>
    <w:rsid w:val="009205C6"/>
    <w:rsid w:val="00920611"/>
    <w:rsid w:val="00920670"/>
    <w:rsid w:val="009206CB"/>
    <w:rsid w:val="00920739"/>
    <w:rsid w:val="00920741"/>
    <w:rsid w:val="00920765"/>
    <w:rsid w:val="009207F4"/>
    <w:rsid w:val="00920911"/>
    <w:rsid w:val="009209DA"/>
    <w:rsid w:val="00920A19"/>
    <w:rsid w:val="00920A51"/>
    <w:rsid w:val="00920A81"/>
    <w:rsid w:val="00920B5D"/>
    <w:rsid w:val="00920D76"/>
    <w:rsid w:val="00920E3E"/>
    <w:rsid w:val="00920E7C"/>
    <w:rsid w:val="00920F1E"/>
    <w:rsid w:val="00920FC5"/>
    <w:rsid w:val="0092103B"/>
    <w:rsid w:val="00921048"/>
    <w:rsid w:val="00921067"/>
    <w:rsid w:val="009210B7"/>
    <w:rsid w:val="00921133"/>
    <w:rsid w:val="009211AB"/>
    <w:rsid w:val="00921282"/>
    <w:rsid w:val="009212B2"/>
    <w:rsid w:val="009212F6"/>
    <w:rsid w:val="0092141E"/>
    <w:rsid w:val="0092144F"/>
    <w:rsid w:val="0092151B"/>
    <w:rsid w:val="00921574"/>
    <w:rsid w:val="009215E7"/>
    <w:rsid w:val="009215EB"/>
    <w:rsid w:val="0092160E"/>
    <w:rsid w:val="009216E4"/>
    <w:rsid w:val="009217EF"/>
    <w:rsid w:val="009218B0"/>
    <w:rsid w:val="009219AB"/>
    <w:rsid w:val="00921A75"/>
    <w:rsid w:val="00921AEC"/>
    <w:rsid w:val="00921B1B"/>
    <w:rsid w:val="00921D22"/>
    <w:rsid w:val="00921D24"/>
    <w:rsid w:val="00921E16"/>
    <w:rsid w:val="00921E46"/>
    <w:rsid w:val="00921E54"/>
    <w:rsid w:val="00921FD8"/>
    <w:rsid w:val="00922224"/>
    <w:rsid w:val="00922261"/>
    <w:rsid w:val="00922290"/>
    <w:rsid w:val="0092229A"/>
    <w:rsid w:val="009222A5"/>
    <w:rsid w:val="009222F4"/>
    <w:rsid w:val="00922316"/>
    <w:rsid w:val="009223AB"/>
    <w:rsid w:val="009223D2"/>
    <w:rsid w:val="0092240F"/>
    <w:rsid w:val="0092244D"/>
    <w:rsid w:val="0092250B"/>
    <w:rsid w:val="009225DA"/>
    <w:rsid w:val="009225F9"/>
    <w:rsid w:val="00922687"/>
    <w:rsid w:val="009227C5"/>
    <w:rsid w:val="009227DD"/>
    <w:rsid w:val="009229B6"/>
    <w:rsid w:val="00922AC6"/>
    <w:rsid w:val="00922C85"/>
    <w:rsid w:val="00922F13"/>
    <w:rsid w:val="009230E5"/>
    <w:rsid w:val="00923158"/>
    <w:rsid w:val="00923217"/>
    <w:rsid w:val="00923288"/>
    <w:rsid w:val="00923299"/>
    <w:rsid w:val="00923384"/>
    <w:rsid w:val="0092343B"/>
    <w:rsid w:val="00923484"/>
    <w:rsid w:val="009234F6"/>
    <w:rsid w:val="0092350C"/>
    <w:rsid w:val="00923588"/>
    <w:rsid w:val="0092379B"/>
    <w:rsid w:val="009237B4"/>
    <w:rsid w:val="00923885"/>
    <w:rsid w:val="009238B2"/>
    <w:rsid w:val="009239D9"/>
    <w:rsid w:val="00923A59"/>
    <w:rsid w:val="00923BAC"/>
    <w:rsid w:val="00923C2D"/>
    <w:rsid w:val="00923CEA"/>
    <w:rsid w:val="00923D36"/>
    <w:rsid w:val="00923F12"/>
    <w:rsid w:val="00923FE8"/>
    <w:rsid w:val="00924002"/>
    <w:rsid w:val="00924029"/>
    <w:rsid w:val="0092407E"/>
    <w:rsid w:val="0092429E"/>
    <w:rsid w:val="00924339"/>
    <w:rsid w:val="00924554"/>
    <w:rsid w:val="009245C3"/>
    <w:rsid w:val="0092463A"/>
    <w:rsid w:val="00924648"/>
    <w:rsid w:val="009246C0"/>
    <w:rsid w:val="00924718"/>
    <w:rsid w:val="009247AF"/>
    <w:rsid w:val="0092483D"/>
    <w:rsid w:val="0092486F"/>
    <w:rsid w:val="00924AE5"/>
    <w:rsid w:val="00924B3F"/>
    <w:rsid w:val="00924B99"/>
    <w:rsid w:val="00924BE1"/>
    <w:rsid w:val="00924D66"/>
    <w:rsid w:val="00924D91"/>
    <w:rsid w:val="00924DE2"/>
    <w:rsid w:val="00924E25"/>
    <w:rsid w:val="00924E61"/>
    <w:rsid w:val="00924E8F"/>
    <w:rsid w:val="00924F92"/>
    <w:rsid w:val="0092508D"/>
    <w:rsid w:val="00925112"/>
    <w:rsid w:val="0092521F"/>
    <w:rsid w:val="00925331"/>
    <w:rsid w:val="00925384"/>
    <w:rsid w:val="009254E9"/>
    <w:rsid w:val="009255FA"/>
    <w:rsid w:val="0092565D"/>
    <w:rsid w:val="0092573C"/>
    <w:rsid w:val="00925776"/>
    <w:rsid w:val="00925780"/>
    <w:rsid w:val="009257DE"/>
    <w:rsid w:val="0092588D"/>
    <w:rsid w:val="009258AB"/>
    <w:rsid w:val="00925B49"/>
    <w:rsid w:val="00925B99"/>
    <w:rsid w:val="00925BA1"/>
    <w:rsid w:val="00925C04"/>
    <w:rsid w:val="00925C0B"/>
    <w:rsid w:val="00925C0F"/>
    <w:rsid w:val="00925CE0"/>
    <w:rsid w:val="00925CF4"/>
    <w:rsid w:val="00925ECD"/>
    <w:rsid w:val="00925F36"/>
    <w:rsid w:val="009260E4"/>
    <w:rsid w:val="0092622C"/>
    <w:rsid w:val="009262AA"/>
    <w:rsid w:val="00926351"/>
    <w:rsid w:val="0092642B"/>
    <w:rsid w:val="0092645B"/>
    <w:rsid w:val="00926485"/>
    <w:rsid w:val="009264AA"/>
    <w:rsid w:val="0092653D"/>
    <w:rsid w:val="009265DB"/>
    <w:rsid w:val="009266F1"/>
    <w:rsid w:val="0092677D"/>
    <w:rsid w:val="00926853"/>
    <w:rsid w:val="0092695B"/>
    <w:rsid w:val="009269F9"/>
    <w:rsid w:val="00926A8A"/>
    <w:rsid w:val="00926B64"/>
    <w:rsid w:val="00926B91"/>
    <w:rsid w:val="00926CC8"/>
    <w:rsid w:val="00926D56"/>
    <w:rsid w:val="00926E07"/>
    <w:rsid w:val="00926E78"/>
    <w:rsid w:val="00926ECC"/>
    <w:rsid w:val="00926FE4"/>
    <w:rsid w:val="00926FF9"/>
    <w:rsid w:val="00927061"/>
    <w:rsid w:val="009270F8"/>
    <w:rsid w:val="00927114"/>
    <w:rsid w:val="00927132"/>
    <w:rsid w:val="00927172"/>
    <w:rsid w:val="00927203"/>
    <w:rsid w:val="00927389"/>
    <w:rsid w:val="009273E6"/>
    <w:rsid w:val="009274D8"/>
    <w:rsid w:val="009274F1"/>
    <w:rsid w:val="00927698"/>
    <w:rsid w:val="00927729"/>
    <w:rsid w:val="00927761"/>
    <w:rsid w:val="00927833"/>
    <w:rsid w:val="00927837"/>
    <w:rsid w:val="009278D7"/>
    <w:rsid w:val="00927918"/>
    <w:rsid w:val="009279F1"/>
    <w:rsid w:val="00927AEE"/>
    <w:rsid w:val="00927AF9"/>
    <w:rsid w:val="00927E0F"/>
    <w:rsid w:val="00927EC4"/>
    <w:rsid w:val="00927ECA"/>
    <w:rsid w:val="00927F11"/>
    <w:rsid w:val="00927F82"/>
    <w:rsid w:val="009300BE"/>
    <w:rsid w:val="00930101"/>
    <w:rsid w:val="00930169"/>
    <w:rsid w:val="009301DD"/>
    <w:rsid w:val="00930358"/>
    <w:rsid w:val="009303AE"/>
    <w:rsid w:val="009303B2"/>
    <w:rsid w:val="009303E0"/>
    <w:rsid w:val="00930406"/>
    <w:rsid w:val="009304F8"/>
    <w:rsid w:val="009305AB"/>
    <w:rsid w:val="00930684"/>
    <w:rsid w:val="009306E6"/>
    <w:rsid w:val="009307B4"/>
    <w:rsid w:val="009307F6"/>
    <w:rsid w:val="00930826"/>
    <w:rsid w:val="00930839"/>
    <w:rsid w:val="0093084A"/>
    <w:rsid w:val="009308AE"/>
    <w:rsid w:val="009308EC"/>
    <w:rsid w:val="00930B08"/>
    <w:rsid w:val="00930B62"/>
    <w:rsid w:val="00930C26"/>
    <w:rsid w:val="00930CAC"/>
    <w:rsid w:val="00930DA7"/>
    <w:rsid w:val="00930DB5"/>
    <w:rsid w:val="00930DF8"/>
    <w:rsid w:val="00930F0C"/>
    <w:rsid w:val="00930F47"/>
    <w:rsid w:val="00930F59"/>
    <w:rsid w:val="00930FB8"/>
    <w:rsid w:val="0093100A"/>
    <w:rsid w:val="0093116B"/>
    <w:rsid w:val="009311B9"/>
    <w:rsid w:val="009313C2"/>
    <w:rsid w:val="009314F2"/>
    <w:rsid w:val="009315D7"/>
    <w:rsid w:val="009315E8"/>
    <w:rsid w:val="00931708"/>
    <w:rsid w:val="00931870"/>
    <w:rsid w:val="00931A37"/>
    <w:rsid w:val="00931A89"/>
    <w:rsid w:val="00931BDB"/>
    <w:rsid w:val="00931C26"/>
    <w:rsid w:val="00931D3F"/>
    <w:rsid w:val="00931DEF"/>
    <w:rsid w:val="00931E93"/>
    <w:rsid w:val="00931EAA"/>
    <w:rsid w:val="00931ED1"/>
    <w:rsid w:val="00931F01"/>
    <w:rsid w:val="00931FF6"/>
    <w:rsid w:val="0093220D"/>
    <w:rsid w:val="009322A0"/>
    <w:rsid w:val="009322F2"/>
    <w:rsid w:val="00932319"/>
    <w:rsid w:val="009323B9"/>
    <w:rsid w:val="009323E9"/>
    <w:rsid w:val="009324AB"/>
    <w:rsid w:val="009324AD"/>
    <w:rsid w:val="009325C0"/>
    <w:rsid w:val="009325CD"/>
    <w:rsid w:val="00932697"/>
    <w:rsid w:val="00932709"/>
    <w:rsid w:val="00932782"/>
    <w:rsid w:val="009327EB"/>
    <w:rsid w:val="009328F2"/>
    <w:rsid w:val="00932953"/>
    <w:rsid w:val="00932A23"/>
    <w:rsid w:val="00932BE7"/>
    <w:rsid w:val="00932C14"/>
    <w:rsid w:val="00932C3A"/>
    <w:rsid w:val="00932D70"/>
    <w:rsid w:val="00932D82"/>
    <w:rsid w:val="00932D83"/>
    <w:rsid w:val="00932DC3"/>
    <w:rsid w:val="00932E92"/>
    <w:rsid w:val="00932E9A"/>
    <w:rsid w:val="00932E9C"/>
    <w:rsid w:val="00932F6A"/>
    <w:rsid w:val="00933223"/>
    <w:rsid w:val="00933278"/>
    <w:rsid w:val="009332EF"/>
    <w:rsid w:val="0093341E"/>
    <w:rsid w:val="00933524"/>
    <w:rsid w:val="00933654"/>
    <w:rsid w:val="009336D4"/>
    <w:rsid w:val="00933764"/>
    <w:rsid w:val="00933791"/>
    <w:rsid w:val="0093379B"/>
    <w:rsid w:val="00933856"/>
    <w:rsid w:val="009338ED"/>
    <w:rsid w:val="00933970"/>
    <w:rsid w:val="009339AA"/>
    <w:rsid w:val="009339BE"/>
    <w:rsid w:val="00933A41"/>
    <w:rsid w:val="00933A9B"/>
    <w:rsid w:val="00933B27"/>
    <w:rsid w:val="00933B81"/>
    <w:rsid w:val="00933B9A"/>
    <w:rsid w:val="00933BEC"/>
    <w:rsid w:val="00933C1D"/>
    <w:rsid w:val="00933C6F"/>
    <w:rsid w:val="00933D29"/>
    <w:rsid w:val="00933E4D"/>
    <w:rsid w:val="00933EC9"/>
    <w:rsid w:val="00934040"/>
    <w:rsid w:val="009340C3"/>
    <w:rsid w:val="009340D6"/>
    <w:rsid w:val="0093423B"/>
    <w:rsid w:val="0093433B"/>
    <w:rsid w:val="0093441E"/>
    <w:rsid w:val="00934465"/>
    <w:rsid w:val="00934590"/>
    <w:rsid w:val="0093463F"/>
    <w:rsid w:val="00934665"/>
    <w:rsid w:val="009346BA"/>
    <w:rsid w:val="00934786"/>
    <w:rsid w:val="009347C7"/>
    <w:rsid w:val="00934816"/>
    <w:rsid w:val="0093485C"/>
    <w:rsid w:val="00934900"/>
    <w:rsid w:val="00934A5A"/>
    <w:rsid w:val="00934AEE"/>
    <w:rsid w:val="00934C44"/>
    <w:rsid w:val="00934C50"/>
    <w:rsid w:val="00934D81"/>
    <w:rsid w:val="00934F44"/>
    <w:rsid w:val="00934F93"/>
    <w:rsid w:val="009350A9"/>
    <w:rsid w:val="0093520C"/>
    <w:rsid w:val="00935331"/>
    <w:rsid w:val="009354C4"/>
    <w:rsid w:val="0093550C"/>
    <w:rsid w:val="00935589"/>
    <w:rsid w:val="009355A7"/>
    <w:rsid w:val="0093575E"/>
    <w:rsid w:val="00935784"/>
    <w:rsid w:val="0093591B"/>
    <w:rsid w:val="00935AB1"/>
    <w:rsid w:val="00935C74"/>
    <w:rsid w:val="00935CC5"/>
    <w:rsid w:val="00935E54"/>
    <w:rsid w:val="00936065"/>
    <w:rsid w:val="0093607C"/>
    <w:rsid w:val="009360E3"/>
    <w:rsid w:val="009360F1"/>
    <w:rsid w:val="0093617B"/>
    <w:rsid w:val="009361E9"/>
    <w:rsid w:val="0093621A"/>
    <w:rsid w:val="00936284"/>
    <w:rsid w:val="009362CD"/>
    <w:rsid w:val="009362DB"/>
    <w:rsid w:val="009363C5"/>
    <w:rsid w:val="009363C8"/>
    <w:rsid w:val="0093646D"/>
    <w:rsid w:val="00936796"/>
    <w:rsid w:val="009367FE"/>
    <w:rsid w:val="009368B0"/>
    <w:rsid w:val="009368FB"/>
    <w:rsid w:val="0093695C"/>
    <w:rsid w:val="00936A3F"/>
    <w:rsid w:val="00936AFD"/>
    <w:rsid w:val="00936B2E"/>
    <w:rsid w:val="00936BC1"/>
    <w:rsid w:val="00936BFA"/>
    <w:rsid w:val="00936D4A"/>
    <w:rsid w:val="00936DC2"/>
    <w:rsid w:val="00936E21"/>
    <w:rsid w:val="00936EEF"/>
    <w:rsid w:val="00936F32"/>
    <w:rsid w:val="00936F39"/>
    <w:rsid w:val="00936F47"/>
    <w:rsid w:val="00936FB0"/>
    <w:rsid w:val="00936FB7"/>
    <w:rsid w:val="00937004"/>
    <w:rsid w:val="00937144"/>
    <w:rsid w:val="00937184"/>
    <w:rsid w:val="0093720B"/>
    <w:rsid w:val="00937371"/>
    <w:rsid w:val="0093739C"/>
    <w:rsid w:val="009373AE"/>
    <w:rsid w:val="009373C8"/>
    <w:rsid w:val="00937499"/>
    <w:rsid w:val="00937536"/>
    <w:rsid w:val="009375B0"/>
    <w:rsid w:val="00937604"/>
    <w:rsid w:val="00937619"/>
    <w:rsid w:val="00937694"/>
    <w:rsid w:val="00937696"/>
    <w:rsid w:val="00937748"/>
    <w:rsid w:val="0093780F"/>
    <w:rsid w:val="0093781E"/>
    <w:rsid w:val="009378AA"/>
    <w:rsid w:val="0093791D"/>
    <w:rsid w:val="00937A75"/>
    <w:rsid w:val="00937AF7"/>
    <w:rsid w:val="00937B46"/>
    <w:rsid w:val="00937BD6"/>
    <w:rsid w:val="00937CAB"/>
    <w:rsid w:val="00937D63"/>
    <w:rsid w:val="00937DE7"/>
    <w:rsid w:val="00937DEE"/>
    <w:rsid w:val="00937E58"/>
    <w:rsid w:val="00937F44"/>
    <w:rsid w:val="00937F7E"/>
    <w:rsid w:val="00940005"/>
    <w:rsid w:val="0094012A"/>
    <w:rsid w:val="009401B9"/>
    <w:rsid w:val="00940560"/>
    <w:rsid w:val="00940564"/>
    <w:rsid w:val="00940619"/>
    <w:rsid w:val="00940628"/>
    <w:rsid w:val="00940634"/>
    <w:rsid w:val="00940659"/>
    <w:rsid w:val="00940856"/>
    <w:rsid w:val="0094086E"/>
    <w:rsid w:val="0094089E"/>
    <w:rsid w:val="00940947"/>
    <w:rsid w:val="0094094C"/>
    <w:rsid w:val="00940955"/>
    <w:rsid w:val="00940991"/>
    <w:rsid w:val="009409F1"/>
    <w:rsid w:val="00940A1F"/>
    <w:rsid w:val="00940AA4"/>
    <w:rsid w:val="00940AA8"/>
    <w:rsid w:val="00940C21"/>
    <w:rsid w:val="00940C7B"/>
    <w:rsid w:val="00940E2F"/>
    <w:rsid w:val="00941006"/>
    <w:rsid w:val="0094104A"/>
    <w:rsid w:val="009410DE"/>
    <w:rsid w:val="0094119C"/>
    <w:rsid w:val="00941264"/>
    <w:rsid w:val="009412A1"/>
    <w:rsid w:val="00941353"/>
    <w:rsid w:val="0094141A"/>
    <w:rsid w:val="0094143E"/>
    <w:rsid w:val="00941454"/>
    <w:rsid w:val="0094178A"/>
    <w:rsid w:val="00941848"/>
    <w:rsid w:val="009418EE"/>
    <w:rsid w:val="00941929"/>
    <w:rsid w:val="009419D7"/>
    <w:rsid w:val="00941AD1"/>
    <w:rsid w:val="00941B7A"/>
    <w:rsid w:val="00941B7C"/>
    <w:rsid w:val="00941B86"/>
    <w:rsid w:val="00941D21"/>
    <w:rsid w:val="00941D36"/>
    <w:rsid w:val="00941DF2"/>
    <w:rsid w:val="00942094"/>
    <w:rsid w:val="0094223D"/>
    <w:rsid w:val="00942371"/>
    <w:rsid w:val="0094239A"/>
    <w:rsid w:val="0094254E"/>
    <w:rsid w:val="0094292C"/>
    <w:rsid w:val="00942A50"/>
    <w:rsid w:val="00942B70"/>
    <w:rsid w:val="00942C60"/>
    <w:rsid w:val="00942C89"/>
    <w:rsid w:val="00942CE2"/>
    <w:rsid w:val="00942CE9"/>
    <w:rsid w:val="00942CF5"/>
    <w:rsid w:val="00942CFB"/>
    <w:rsid w:val="00942E41"/>
    <w:rsid w:val="00942EAC"/>
    <w:rsid w:val="00942F36"/>
    <w:rsid w:val="00942F5E"/>
    <w:rsid w:val="00943034"/>
    <w:rsid w:val="009430D3"/>
    <w:rsid w:val="00943250"/>
    <w:rsid w:val="009433F3"/>
    <w:rsid w:val="00943538"/>
    <w:rsid w:val="0094353C"/>
    <w:rsid w:val="009435F5"/>
    <w:rsid w:val="00943617"/>
    <w:rsid w:val="00943647"/>
    <w:rsid w:val="0094365F"/>
    <w:rsid w:val="00943686"/>
    <w:rsid w:val="0094370A"/>
    <w:rsid w:val="009437F3"/>
    <w:rsid w:val="0094381C"/>
    <w:rsid w:val="0094381E"/>
    <w:rsid w:val="00943887"/>
    <w:rsid w:val="0094389B"/>
    <w:rsid w:val="00943918"/>
    <w:rsid w:val="0094392B"/>
    <w:rsid w:val="00943ABA"/>
    <w:rsid w:val="00943AFF"/>
    <w:rsid w:val="00943B5F"/>
    <w:rsid w:val="00943B97"/>
    <w:rsid w:val="00943BD7"/>
    <w:rsid w:val="00943BF6"/>
    <w:rsid w:val="00943DDC"/>
    <w:rsid w:val="00943FFF"/>
    <w:rsid w:val="0094407E"/>
    <w:rsid w:val="0094418F"/>
    <w:rsid w:val="00944206"/>
    <w:rsid w:val="00944208"/>
    <w:rsid w:val="009443D6"/>
    <w:rsid w:val="00944538"/>
    <w:rsid w:val="00944539"/>
    <w:rsid w:val="0094460A"/>
    <w:rsid w:val="00944643"/>
    <w:rsid w:val="0094471C"/>
    <w:rsid w:val="00944879"/>
    <w:rsid w:val="009448A9"/>
    <w:rsid w:val="009448B8"/>
    <w:rsid w:val="00944A62"/>
    <w:rsid w:val="00944C21"/>
    <w:rsid w:val="00944C75"/>
    <w:rsid w:val="00944D9E"/>
    <w:rsid w:val="00944E2D"/>
    <w:rsid w:val="00944E7C"/>
    <w:rsid w:val="00944F2B"/>
    <w:rsid w:val="00944F3C"/>
    <w:rsid w:val="00945029"/>
    <w:rsid w:val="0094509D"/>
    <w:rsid w:val="009450B2"/>
    <w:rsid w:val="0094526F"/>
    <w:rsid w:val="009455D9"/>
    <w:rsid w:val="0094572D"/>
    <w:rsid w:val="00945741"/>
    <w:rsid w:val="0094581E"/>
    <w:rsid w:val="00945859"/>
    <w:rsid w:val="00945887"/>
    <w:rsid w:val="009458E3"/>
    <w:rsid w:val="009458EB"/>
    <w:rsid w:val="00945925"/>
    <w:rsid w:val="00945949"/>
    <w:rsid w:val="00945AD6"/>
    <w:rsid w:val="00945B38"/>
    <w:rsid w:val="00945BAB"/>
    <w:rsid w:val="00945DE5"/>
    <w:rsid w:val="00945DF5"/>
    <w:rsid w:val="00945E47"/>
    <w:rsid w:val="0094602A"/>
    <w:rsid w:val="009460D5"/>
    <w:rsid w:val="00946147"/>
    <w:rsid w:val="0094617B"/>
    <w:rsid w:val="009461B4"/>
    <w:rsid w:val="009461B8"/>
    <w:rsid w:val="0094625C"/>
    <w:rsid w:val="00946278"/>
    <w:rsid w:val="009462B7"/>
    <w:rsid w:val="0094632C"/>
    <w:rsid w:val="00946359"/>
    <w:rsid w:val="009463C5"/>
    <w:rsid w:val="0094653C"/>
    <w:rsid w:val="0094654A"/>
    <w:rsid w:val="00946623"/>
    <w:rsid w:val="00946673"/>
    <w:rsid w:val="0094669D"/>
    <w:rsid w:val="009466DC"/>
    <w:rsid w:val="00946718"/>
    <w:rsid w:val="0094688D"/>
    <w:rsid w:val="009468BD"/>
    <w:rsid w:val="0094696D"/>
    <w:rsid w:val="00946B4D"/>
    <w:rsid w:val="00946BDB"/>
    <w:rsid w:val="00946E00"/>
    <w:rsid w:val="00946E41"/>
    <w:rsid w:val="00946EE6"/>
    <w:rsid w:val="00946F98"/>
    <w:rsid w:val="00947094"/>
    <w:rsid w:val="009470A5"/>
    <w:rsid w:val="009470E0"/>
    <w:rsid w:val="0094715B"/>
    <w:rsid w:val="009471EB"/>
    <w:rsid w:val="00947257"/>
    <w:rsid w:val="00947264"/>
    <w:rsid w:val="0094736C"/>
    <w:rsid w:val="0094744E"/>
    <w:rsid w:val="009474FD"/>
    <w:rsid w:val="00947680"/>
    <w:rsid w:val="009476C9"/>
    <w:rsid w:val="00947733"/>
    <w:rsid w:val="00947806"/>
    <w:rsid w:val="009478E3"/>
    <w:rsid w:val="009478FD"/>
    <w:rsid w:val="00947924"/>
    <w:rsid w:val="0094797C"/>
    <w:rsid w:val="009479B6"/>
    <w:rsid w:val="009479ED"/>
    <w:rsid w:val="00947BBE"/>
    <w:rsid w:val="00947BC8"/>
    <w:rsid w:val="00947BE4"/>
    <w:rsid w:val="00947C90"/>
    <w:rsid w:val="00947EDB"/>
    <w:rsid w:val="00947F41"/>
    <w:rsid w:val="00947FAC"/>
    <w:rsid w:val="00947FC1"/>
    <w:rsid w:val="00947FF8"/>
    <w:rsid w:val="009500D7"/>
    <w:rsid w:val="009502A9"/>
    <w:rsid w:val="00950339"/>
    <w:rsid w:val="0095033D"/>
    <w:rsid w:val="00950387"/>
    <w:rsid w:val="00950457"/>
    <w:rsid w:val="0095049F"/>
    <w:rsid w:val="009504BD"/>
    <w:rsid w:val="0095055B"/>
    <w:rsid w:val="009505EB"/>
    <w:rsid w:val="00950631"/>
    <w:rsid w:val="00950651"/>
    <w:rsid w:val="009506E2"/>
    <w:rsid w:val="00950706"/>
    <w:rsid w:val="00950718"/>
    <w:rsid w:val="00950758"/>
    <w:rsid w:val="00950765"/>
    <w:rsid w:val="009507BB"/>
    <w:rsid w:val="009508D6"/>
    <w:rsid w:val="009508DE"/>
    <w:rsid w:val="009509E5"/>
    <w:rsid w:val="00950AC5"/>
    <w:rsid w:val="00950AE5"/>
    <w:rsid w:val="00950B31"/>
    <w:rsid w:val="00950B76"/>
    <w:rsid w:val="00950B7B"/>
    <w:rsid w:val="00950BFF"/>
    <w:rsid w:val="00950D34"/>
    <w:rsid w:val="00950D35"/>
    <w:rsid w:val="00950DA7"/>
    <w:rsid w:val="00950DA8"/>
    <w:rsid w:val="00950DAD"/>
    <w:rsid w:val="00950ECE"/>
    <w:rsid w:val="009510D0"/>
    <w:rsid w:val="00951187"/>
    <w:rsid w:val="009511DD"/>
    <w:rsid w:val="009513B2"/>
    <w:rsid w:val="00951495"/>
    <w:rsid w:val="009515D0"/>
    <w:rsid w:val="0095173F"/>
    <w:rsid w:val="0095188F"/>
    <w:rsid w:val="009519BB"/>
    <w:rsid w:val="00951B53"/>
    <w:rsid w:val="00951B62"/>
    <w:rsid w:val="00951BE1"/>
    <w:rsid w:val="00951C85"/>
    <w:rsid w:val="00951D5C"/>
    <w:rsid w:val="00951D62"/>
    <w:rsid w:val="00951D8C"/>
    <w:rsid w:val="00951DD9"/>
    <w:rsid w:val="00951E66"/>
    <w:rsid w:val="00951F09"/>
    <w:rsid w:val="00951F3A"/>
    <w:rsid w:val="00951FFF"/>
    <w:rsid w:val="0095207F"/>
    <w:rsid w:val="00952252"/>
    <w:rsid w:val="00952378"/>
    <w:rsid w:val="0095239D"/>
    <w:rsid w:val="0095242C"/>
    <w:rsid w:val="00952504"/>
    <w:rsid w:val="0095255C"/>
    <w:rsid w:val="00952583"/>
    <w:rsid w:val="009525CA"/>
    <w:rsid w:val="00952611"/>
    <w:rsid w:val="009526AA"/>
    <w:rsid w:val="00952893"/>
    <w:rsid w:val="009528BF"/>
    <w:rsid w:val="009528E7"/>
    <w:rsid w:val="00952922"/>
    <w:rsid w:val="00952923"/>
    <w:rsid w:val="0095293D"/>
    <w:rsid w:val="00952A55"/>
    <w:rsid w:val="00952A71"/>
    <w:rsid w:val="00952ADE"/>
    <w:rsid w:val="00952AE8"/>
    <w:rsid w:val="00952B63"/>
    <w:rsid w:val="00952BAC"/>
    <w:rsid w:val="00952BCE"/>
    <w:rsid w:val="00952BFC"/>
    <w:rsid w:val="00952CA0"/>
    <w:rsid w:val="00952D64"/>
    <w:rsid w:val="00952E2C"/>
    <w:rsid w:val="00952E46"/>
    <w:rsid w:val="00952E7C"/>
    <w:rsid w:val="00952F08"/>
    <w:rsid w:val="00952F8C"/>
    <w:rsid w:val="00953041"/>
    <w:rsid w:val="009531F6"/>
    <w:rsid w:val="00953240"/>
    <w:rsid w:val="00953257"/>
    <w:rsid w:val="009532AF"/>
    <w:rsid w:val="00953368"/>
    <w:rsid w:val="009534E5"/>
    <w:rsid w:val="00953568"/>
    <w:rsid w:val="0095359B"/>
    <w:rsid w:val="009537F3"/>
    <w:rsid w:val="00953878"/>
    <w:rsid w:val="0095388C"/>
    <w:rsid w:val="009539B8"/>
    <w:rsid w:val="00953A5D"/>
    <w:rsid w:val="00953BCB"/>
    <w:rsid w:val="00953C3D"/>
    <w:rsid w:val="00953CB0"/>
    <w:rsid w:val="00953D22"/>
    <w:rsid w:val="00953D78"/>
    <w:rsid w:val="00953DE6"/>
    <w:rsid w:val="00953E42"/>
    <w:rsid w:val="00953ED2"/>
    <w:rsid w:val="00954100"/>
    <w:rsid w:val="00954104"/>
    <w:rsid w:val="00954124"/>
    <w:rsid w:val="00954152"/>
    <w:rsid w:val="009541AA"/>
    <w:rsid w:val="00954203"/>
    <w:rsid w:val="0095422C"/>
    <w:rsid w:val="009543AF"/>
    <w:rsid w:val="009543E5"/>
    <w:rsid w:val="00954575"/>
    <w:rsid w:val="00954751"/>
    <w:rsid w:val="0095493E"/>
    <w:rsid w:val="00954A32"/>
    <w:rsid w:val="00954B1C"/>
    <w:rsid w:val="00954B30"/>
    <w:rsid w:val="00954B9E"/>
    <w:rsid w:val="00954C2A"/>
    <w:rsid w:val="00954C30"/>
    <w:rsid w:val="00954C6F"/>
    <w:rsid w:val="00954CDC"/>
    <w:rsid w:val="00954E0E"/>
    <w:rsid w:val="00954EE7"/>
    <w:rsid w:val="00954F04"/>
    <w:rsid w:val="00954F09"/>
    <w:rsid w:val="00954F10"/>
    <w:rsid w:val="00954F38"/>
    <w:rsid w:val="00954F3D"/>
    <w:rsid w:val="0095505A"/>
    <w:rsid w:val="00955069"/>
    <w:rsid w:val="009550EB"/>
    <w:rsid w:val="00955321"/>
    <w:rsid w:val="00955381"/>
    <w:rsid w:val="00955395"/>
    <w:rsid w:val="009553B5"/>
    <w:rsid w:val="009554AF"/>
    <w:rsid w:val="009554C9"/>
    <w:rsid w:val="00955504"/>
    <w:rsid w:val="00955601"/>
    <w:rsid w:val="009557AF"/>
    <w:rsid w:val="009557C1"/>
    <w:rsid w:val="0095586E"/>
    <w:rsid w:val="009558BA"/>
    <w:rsid w:val="00955948"/>
    <w:rsid w:val="009559B4"/>
    <w:rsid w:val="009559CE"/>
    <w:rsid w:val="009559D2"/>
    <w:rsid w:val="00955C19"/>
    <w:rsid w:val="00955C1E"/>
    <w:rsid w:val="00955D50"/>
    <w:rsid w:val="00955D81"/>
    <w:rsid w:val="00955EA3"/>
    <w:rsid w:val="00955F1C"/>
    <w:rsid w:val="00955F55"/>
    <w:rsid w:val="0095607A"/>
    <w:rsid w:val="009560A7"/>
    <w:rsid w:val="009560FE"/>
    <w:rsid w:val="00956109"/>
    <w:rsid w:val="00956141"/>
    <w:rsid w:val="009561C2"/>
    <w:rsid w:val="00956209"/>
    <w:rsid w:val="0095623C"/>
    <w:rsid w:val="0095630A"/>
    <w:rsid w:val="0095635F"/>
    <w:rsid w:val="009563A0"/>
    <w:rsid w:val="0095651F"/>
    <w:rsid w:val="0095659A"/>
    <w:rsid w:val="009565E3"/>
    <w:rsid w:val="00956659"/>
    <w:rsid w:val="009567A7"/>
    <w:rsid w:val="009568E9"/>
    <w:rsid w:val="0095693A"/>
    <w:rsid w:val="009569B1"/>
    <w:rsid w:val="009569E3"/>
    <w:rsid w:val="00956C2C"/>
    <w:rsid w:val="00956C67"/>
    <w:rsid w:val="00956C93"/>
    <w:rsid w:val="00956CAA"/>
    <w:rsid w:val="00956CD1"/>
    <w:rsid w:val="00956CE7"/>
    <w:rsid w:val="00956D53"/>
    <w:rsid w:val="00956D96"/>
    <w:rsid w:val="00956E37"/>
    <w:rsid w:val="00956E90"/>
    <w:rsid w:val="00956EE6"/>
    <w:rsid w:val="00956F34"/>
    <w:rsid w:val="00957011"/>
    <w:rsid w:val="009570C3"/>
    <w:rsid w:val="009570F0"/>
    <w:rsid w:val="0095721C"/>
    <w:rsid w:val="0095721D"/>
    <w:rsid w:val="00957263"/>
    <w:rsid w:val="0095734B"/>
    <w:rsid w:val="009573DE"/>
    <w:rsid w:val="00957463"/>
    <w:rsid w:val="0095747A"/>
    <w:rsid w:val="0095780B"/>
    <w:rsid w:val="0095782E"/>
    <w:rsid w:val="009578A8"/>
    <w:rsid w:val="0095790E"/>
    <w:rsid w:val="00957950"/>
    <w:rsid w:val="0095795B"/>
    <w:rsid w:val="009579AA"/>
    <w:rsid w:val="00957A4B"/>
    <w:rsid w:val="00957B20"/>
    <w:rsid w:val="00957B83"/>
    <w:rsid w:val="00957C33"/>
    <w:rsid w:val="00957CD2"/>
    <w:rsid w:val="00957DCB"/>
    <w:rsid w:val="00957E2A"/>
    <w:rsid w:val="00957EB7"/>
    <w:rsid w:val="00957F01"/>
    <w:rsid w:val="009600CB"/>
    <w:rsid w:val="00960140"/>
    <w:rsid w:val="009601C1"/>
    <w:rsid w:val="0096026B"/>
    <w:rsid w:val="00960580"/>
    <w:rsid w:val="009605E9"/>
    <w:rsid w:val="00960690"/>
    <w:rsid w:val="009606FB"/>
    <w:rsid w:val="00960733"/>
    <w:rsid w:val="0096075F"/>
    <w:rsid w:val="00960A02"/>
    <w:rsid w:val="00960B6D"/>
    <w:rsid w:val="00960C44"/>
    <w:rsid w:val="00960DC8"/>
    <w:rsid w:val="00960DF7"/>
    <w:rsid w:val="00960E1D"/>
    <w:rsid w:val="00960E31"/>
    <w:rsid w:val="00960F2A"/>
    <w:rsid w:val="009610CE"/>
    <w:rsid w:val="0096113B"/>
    <w:rsid w:val="00961183"/>
    <w:rsid w:val="00961214"/>
    <w:rsid w:val="00961415"/>
    <w:rsid w:val="0096141F"/>
    <w:rsid w:val="00961485"/>
    <w:rsid w:val="00961515"/>
    <w:rsid w:val="009615D1"/>
    <w:rsid w:val="00961610"/>
    <w:rsid w:val="0096161A"/>
    <w:rsid w:val="009616EF"/>
    <w:rsid w:val="009617E8"/>
    <w:rsid w:val="009618E8"/>
    <w:rsid w:val="00961933"/>
    <w:rsid w:val="00961963"/>
    <w:rsid w:val="0096196B"/>
    <w:rsid w:val="00961993"/>
    <w:rsid w:val="00961A5B"/>
    <w:rsid w:val="00961A62"/>
    <w:rsid w:val="00961B16"/>
    <w:rsid w:val="00961BA8"/>
    <w:rsid w:val="00961C60"/>
    <w:rsid w:val="00961D16"/>
    <w:rsid w:val="00961D68"/>
    <w:rsid w:val="00961E30"/>
    <w:rsid w:val="00961E97"/>
    <w:rsid w:val="00961EAE"/>
    <w:rsid w:val="00961ED5"/>
    <w:rsid w:val="009620F1"/>
    <w:rsid w:val="00962218"/>
    <w:rsid w:val="0096226E"/>
    <w:rsid w:val="009622A4"/>
    <w:rsid w:val="009622BB"/>
    <w:rsid w:val="0096238B"/>
    <w:rsid w:val="00962624"/>
    <w:rsid w:val="0096268B"/>
    <w:rsid w:val="00962711"/>
    <w:rsid w:val="00962760"/>
    <w:rsid w:val="009628BD"/>
    <w:rsid w:val="009628DF"/>
    <w:rsid w:val="00962992"/>
    <w:rsid w:val="00962A01"/>
    <w:rsid w:val="00962A3F"/>
    <w:rsid w:val="00962B21"/>
    <w:rsid w:val="00962B2C"/>
    <w:rsid w:val="00962B5C"/>
    <w:rsid w:val="00962B5E"/>
    <w:rsid w:val="00962B8D"/>
    <w:rsid w:val="00962C4E"/>
    <w:rsid w:val="00962E57"/>
    <w:rsid w:val="00962E77"/>
    <w:rsid w:val="00962E84"/>
    <w:rsid w:val="00962ECC"/>
    <w:rsid w:val="00962EF3"/>
    <w:rsid w:val="00962F85"/>
    <w:rsid w:val="00962F8F"/>
    <w:rsid w:val="00962FA3"/>
    <w:rsid w:val="00963091"/>
    <w:rsid w:val="009630A4"/>
    <w:rsid w:val="009630D8"/>
    <w:rsid w:val="00963120"/>
    <w:rsid w:val="00963182"/>
    <w:rsid w:val="0096328B"/>
    <w:rsid w:val="0096330E"/>
    <w:rsid w:val="009633FD"/>
    <w:rsid w:val="009634AD"/>
    <w:rsid w:val="009634CD"/>
    <w:rsid w:val="0096367F"/>
    <w:rsid w:val="00963708"/>
    <w:rsid w:val="00963734"/>
    <w:rsid w:val="00963773"/>
    <w:rsid w:val="0096379C"/>
    <w:rsid w:val="00963817"/>
    <w:rsid w:val="0096384E"/>
    <w:rsid w:val="009638E0"/>
    <w:rsid w:val="00963966"/>
    <w:rsid w:val="009639FF"/>
    <w:rsid w:val="00963A6B"/>
    <w:rsid w:val="00963ABF"/>
    <w:rsid w:val="00963C27"/>
    <w:rsid w:val="00963C68"/>
    <w:rsid w:val="00963D14"/>
    <w:rsid w:val="00963DF3"/>
    <w:rsid w:val="00963E7C"/>
    <w:rsid w:val="00963FD2"/>
    <w:rsid w:val="00964038"/>
    <w:rsid w:val="0096403F"/>
    <w:rsid w:val="009641CC"/>
    <w:rsid w:val="0096425A"/>
    <w:rsid w:val="0096428D"/>
    <w:rsid w:val="00964323"/>
    <w:rsid w:val="00964352"/>
    <w:rsid w:val="0096453A"/>
    <w:rsid w:val="009645AB"/>
    <w:rsid w:val="009645C4"/>
    <w:rsid w:val="00964646"/>
    <w:rsid w:val="009647D5"/>
    <w:rsid w:val="00964863"/>
    <w:rsid w:val="009648E4"/>
    <w:rsid w:val="009648EB"/>
    <w:rsid w:val="00964979"/>
    <w:rsid w:val="00964A00"/>
    <w:rsid w:val="00964A92"/>
    <w:rsid w:val="00964C67"/>
    <w:rsid w:val="00964C6C"/>
    <w:rsid w:val="00964C6E"/>
    <w:rsid w:val="00964CBF"/>
    <w:rsid w:val="00964D03"/>
    <w:rsid w:val="00964D47"/>
    <w:rsid w:val="00964D61"/>
    <w:rsid w:val="00964EAD"/>
    <w:rsid w:val="00964EDA"/>
    <w:rsid w:val="00964F71"/>
    <w:rsid w:val="00965190"/>
    <w:rsid w:val="0096528E"/>
    <w:rsid w:val="0096536F"/>
    <w:rsid w:val="009653AF"/>
    <w:rsid w:val="00965561"/>
    <w:rsid w:val="0096558B"/>
    <w:rsid w:val="009655B4"/>
    <w:rsid w:val="0096562D"/>
    <w:rsid w:val="0096566B"/>
    <w:rsid w:val="00965672"/>
    <w:rsid w:val="00965793"/>
    <w:rsid w:val="009658BD"/>
    <w:rsid w:val="009658CC"/>
    <w:rsid w:val="009658CF"/>
    <w:rsid w:val="009658FA"/>
    <w:rsid w:val="009659E5"/>
    <w:rsid w:val="00965B0C"/>
    <w:rsid w:val="00965BA8"/>
    <w:rsid w:val="00965BBC"/>
    <w:rsid w:val="00965C7F"/>
    <w:rsid w:val="00965D6C"/>
    <w:rsid w:val="00965D8E"/>
    <w:rsid w:val="00965E39"/>
    <w:rsid w:val="00965EA0"/>
    <w:rsid w:val="00966021"/>
    <w:rsid w:val="009660B7"/>
    <w:rsid w:val="0096618D"/>
    <w:rsid w:val="00966259"/>
    <w:rsid w:val="009662EF"/>
    <w:rsid w:val="009663A7"/>
    <w:rsid w:val="009663BD"/>
    <w:rsid w:val="0096643C"/>
    <w:rsid w:val="009664F5"/>
    <w:rsid w:val="009664F8"/>
    <w:rsid w:val="009665CA"/>
    <w:rsid w:val="0096673E"/>
    <w:rsid w:val="00966740"/>
    <w:rsid w:val="0096674C"/>
    <w:rsid w:val="00966891"/>
    <w:rsid w:val="0096689A"/>
    <w:rsid w:val="009668A5"/>
    <w:rsid w:val="00966917"/>
    <w:rsid w:val="0096693A"/>
    <w:rsid w:val="00966944"/>
    <w:rsid w:val="0096696A"/>
    <w:rsid w:val="009669D2"/>
    <w:rsid w:val="009669E8"/>
    <w:rsid w:val="00966ADB"/>
    <w:rsid w:val="00966B8E"/>
    <w:rsid w:val="00966BC6"/>
    <w:rsid w:val="00966C6A"/>
    <w:rsid w:val="00966F06"/>
    <w:rsid w:val="00966FB6"/>
    <w:rsid w:val="0096701E"/>
    <w:rsid w:val="00967184"/>
    <w:rsid w:val="00967208"/>
    <w:rsid w:val="009672A3"/>
    <w:rsid w:val="009672AE"/>
    <w:rsid w:val="00967321"/>
    <w:rsid w:val="0096744F"/>
    <w:rsid w:val="009674B8"/>
    <w:rsid w:val="009674D0"/>
    <w:rsid w:val="0096751A"/>
    <w:rsid w:val="00967592"/>
    <w:rsid w:val="0096760A"/>
    <w:rsid w:val="0096770A"/>
    <w:rsid w:val="0096789A"/>
    <w:rsid w:val="0096796D"/>
    <w:rsid w:val="00967A1E"/>
    <w:rsid w:val="00967A35"/>
    <w:rsid w:val="00967AEE"/>
    <w:rsid w:val="00967CC1"/>
    <w:rsid w:val="00967D70"/>
    <w:rsid w:val="00967E0E"/>
    <w:rsid w:val="00967E5A"/>
    <w:rsid w:val="00968A91"/>
    <w:rsid w:val="00970042"/>
    <w:rsid w:val="0097007A"/>
    <w:rsid w:val="0097009A"/>
    <w:rsid w:val="0097013E"/>
    <w:rsid w:val="0097017B"/>
    <w:rsid w:val="0097023A"/>
    <w:rsid w:val="00970248"/>
    <w:rsid w:val="00970257"/>
    <w:rsid w:val="00970378"/>
    <w:rsid w:val="00970403"/>
    <w:rsid w:val="009704A7"/>
    <w:rsid w:val="009704AB"/>
    <w:rsid w:val="009704BD"/>
    <w:rsid w:val="009704C1"/>
    <w:rsid w:val="00970527"/>
    <w:rsid w:val="009705A7"/>
    <w:rsid w:val="00970696"/>
    <w:rsid w:val="00970832"/>
    <w:rsid w:val="00970943"/>
    <w:rsid w:val="00970A17"/>
    <w:rsid w:val="00970A33"/>
    <w:rsid w:val="00970B12"/>
    <w:rsid w:val="00970D30"/>
    <w:rsid w:val="00970DEE"/>
    <w:rsid w:val="00970E6B"/>
    <w:rsid w:val="00970EC6"/>
    <w:rsid w:val="00970F71"/>
    <w:rsid w:val="00971135"/>
    <w:rsid w:val="009711AF"/>
    <w:rsid w:val="009711CE"/>
    <w:rsid w:val="0097122F"/>
    <w:rsid w:val="00971269"/>
    <w:rsid w:val="0097131B"/>
    <w:rsid w:val="00971460"/>
    <w:rsid w:val="00971501"/>
    <w:rsid w:val="00971569"/>
    <w:rsid w:val="009715AB"/>
    <w:rsid w:val="009715E6"/>
    <w:rsid w:val="009716B2"/>
    <w:rsid w:val="00971712"/>
    <w:rsid w:val="0097172B"/>
    <w:rsid w:val="0097176A"/>
    <w:rsid w:val="00971776"/>
    <w:rsid w:val="00971802"/>
    <w:rsid w:val="009718F3"/>
    <w:rsid w:val="00971970"/>
    <w:rsid w:val="00971AB7"/>
    <w:rsid w:val="00971B42"/>
    <w:rsid w:val="00971BCC"/>
    <w:rsid w:val="00971BF5"/>
    <w:rsid w:val="00971C2A"/>
    <w:rsid w:val="00971D9F"/>
    <w:rsid w:val="00971DB5"/>
    <w:rsid w:val="00971EB9"/>
    <w:rsid w:val="00971F3A"/>
    <w:rsid w:val="00971FAD"/>
    <w:rsid w:val="00972000"/>
    <w:rsid w:val="0097206F"/>
    <w:rsid w:val="009720B9"/>
    <w:rsid w:val="009720D1"/>
    <w:rsid w:val="00972174"/>
    <w:rsid w:val="009721C9"/>
    <w:rsid w:val="009722B1"/>
    <w:rsid w:val="00972332"/>
    <w:rsid w:val="0097242A"/>
    <w:rsid w:val="00972437"/>
    <w:rsid w:val="00972584"/>
    <w:rsid w:val="009725C6"/>
    <w:rsid w:val="009726ED"/>
    <w:rsid w:val="0097274B"/>
    <w:rsid w:val="00972832"/>
    <w:rsid w:val="0097293A"/>
    <w:rsid w:val="00972970"/>
    <w:rsid w:val="00972996"/>
    <w:rsid w:val="009729AA"/>
    <w:rsid w:val="00972A92"/>
    <w:rsid w:val="00972AAF"/>
    <w:rsid w:val="00972AFB"/>
    <w:rsid w:val="00972B7D"/>
    <w:rsid w:val="00972BAE"/>
    <w:rsid w:val="00972BCE"/>
    <w:rsid w:val="00972BE3"/>
    <w:rsid w:val="00972C4D"/>
    <w:rsid w:val="00972C9C"/>
    <w:rsid w:val="00972D30"/>
    <w:rsid w:val="00972D5F"/>
    <w:rsid w:val="00972E37"/>
    <w:rsid w:val="00972F0E"/>
    <w:rsid w:val="00973078"/>
    <w:rsid w:val="00973199"/>
    <w:rsid w:val="009731FC"/>
    <w:rsid w:val="009732B4"/>
    <w:rsid w:val="0097343B"/>
    <w:rsid w:val="0097349C"/>
    <w:rsid w:val="00973533"/>
    <w:rsid w:val="00973555"/>
    <w:rsid w:val="00973581"/>
    <w:rsid w:val="00973594"/>
    <w:rsid w:val="00973722"/>
    <w:rsid w:val="00973752"/>
    <w:rsid w:val="0097375E"/>
    <w:rsid w:val="00973898"/>
    <w:rsid w:val="00973960"/>
    <w:rsid w:val="00973A33"/>
    <w:rsid w:val="00973AC1"/>
    <w:rsid w:val="00973D2A"/>
    <w:rsid w:val="00973E0B"/>
    <w:rsid w:val="00973F0B"/>
    <w:rsid w:val="00973FBD"/>
    <w:rsid w:val="009741F0"/>
    <w:rsid w:val="00974240"/>
    <w:rsid w:val="009742CB"/>
    <w:rsid w:val="009742E3"/>
    <w:rsid w:val="009742E8"/>
    <w:rsid w:val="009743AF"/>
    <w:rsid w:val="0097451A"/>
    <w:rsid w:val="00974570"/>
    <w:rsid w:val="009745D2"/>
    <w:rsid w:val="009745DA"/>
    <w:rsid w:val="00974762"/>
    <w:rsid w:val="0097487D"/>
    <w:rsid w:val="00974886"/>
    <w:rsid w:val="0097491D"/>
    <w:rsid w:val="00974A0D"/>
    <w:rsid w:val="00974C2C"/>
    <w:rsid w:val="00974C53"/>
    <w:rsid w:val="00974D58"/>
    <w:rsid w:val="00974D84"/>
    <w:rsid w:val="00974DCE"/>
    <w:rsid w:val="00974E24"/>
    <w:rsid w:val="00974FC1"/>
    <w:rsid w:val="0097512E"/>
    <w:rsid w:val="009751A5"/>
    <w:rsid w:val="009751B2"/>
    <w:rsid w:val="0097520C"/>
    <w:rsid w:val="00975217"/>
    <w:rsid w:val="00975242"/>
    <w:rsid w:val="00975381"/>
    <w:rsid w:val="009753CF"/>
    <w:rsid w:val="00975640"/>
    <w:rsid w:val="0097569F"/>
    <w:rsid w:val="00975754"/>
    <w:rsid w:val="00975780"/>
    <w:rsid w:val="009757D7"/>
    <w:rsid w:val="00975923"/>
    <w:rsid w:val="009759C0"/>
    <w:rsid w:val="009759C9"/>
    <w:rsid w:val="00975A4C"/>
    <w:rsid w:val="00975AB3"/>
    <w:rsid w:val="00975ADB"/>
    <w:rsid w:val="00975C70"/>
    <w:rsid w:val="00975D77"/>
    <w:rsid w:val="00975DBC"/>
    <w:rsid w:val="00975E3A"/>
    <w:rsid w:val="00975EA8"/>
    <w:rsid w:val="00975EF2"/>
    <w:rsid w:val="009760D2"/>
    <w:rsid w:val="00976217"/>
    <w:rsid w:val="0097621A"/>
    <w:rsid w:val="009763B7"/>
    <w:rsid w:val="00976462"/>
    <w:rsid w:val="00976475"/>
    <w:rsid w:val="00976592"/>
    <w:rsid w:val="009765C4"/>
    <w:rsid w:val="00976602"/>
    <w:rsid w:val="0097666E"/>
    <w:rsid w:val="00976748"/>
    <w:rsid w:val="00976750"/>
    <w:rsid w:val="009768F0"/>
    <w:rsid w:val="00976961"/>
    <w:rsid w:val="00976B23"/>
    <w:rsid w:val="00976C61"/>
    <w:rsid w:val="00976C69"/>
    <w:rsid w:val="00976E4C"/>
    <w:rsid w:val="00976EBA"/>
    <w:rsid w:val="00976F01"/>
    <w:rsid w:val="00976F6C"/>
    <w:rsid w:val="00977031"/>
    <w:rsid w:val="00977052"/>
    <w:rsid w:val="009770A9"/>
    <w:rsid w:val="009772B7"/>
    <w:rsid w:val="009772EE"/>
    <w:rsid w:val="0097735A"/>
    <w:rsid w:val="00977360"/>
    <w:rsid w:val="0097737D"/>
    <w:rsid w:val="009773D9"/>
    <w:rsid w:val="009774B1"/>
    <w:rsid w:val="009774FE"/>
    <w:rsid w:val="0097759D"/>
    <w:rsid w:val="0097772A"/>
    <w:rsid w:val="0097774E"/>
    <w:rsid w:val="00977761"/>
    <w:rsid w:val="009777DC"/>
    <w:rsid w:val="0097780E"/>
    <w:rsid w:val="009779E3"/>
    <w:rsid w:val="00977A72"/>
    <w:rsid w:val="00977B26"/>
    <w:rsid w:val="00977B34"/>
    <w:rsid w:val="00977B5F"/>
    <w:rsid w:val="00977C04"/>
    <w:rsid w:val="00977CB7"/>
    <w:rsid w:val="00977D47"/>
    <w:rsid w:val="00977DD6"/>
    <w:rsid w:val="00977E09"/>
    <w:rsid w:val="00977EBA"/>
    <w:rsid w:val="00977F67"/>
    <w:rsid w:val="00977FAE"/>
    <w:rsid w:val="00977FCA"/>
    <w:rsid w:val="009801F8"/>
    <w:rsid w:val="00980262"/>
    <w:rsid w:val="0098034C"/>
    <w:rsid w:val="009803D4"/>
    <w:rsid w:val="009803FE"/>
    <w:rsid w:val="00980418"/>
    <w:rsid w:val="00980440"/>
    <w:rsid w:val="00980444"/>
    <w:rsid w:val="009804F0"/>
    <w:rsid w:val="00980519"/>
    <w:rsid w:val="009806B0"/>
    <w:rsid w:val="0098078E"/>
    <w:rsid w:val="009807BD"/>
    <w:rsid w:val="009808A4"/>
    <w:rsid w:val="009808A5"/>
    <w:rsid w:val="009808F4"/>
    <w:rsid w:val="00980925"/>
    <w:rsid w:val="00980952"/>
    <w:rsid w:val="009809D0"/>
    <w:rsid w:val="00980A77"/>
    <w:rsid w:val="00980C99"/>
    <w:rsid w:val="00980CCA"/>
    <w:rsid w:val="00980DB6"/>
    <w:rsid w:val="00980DED"/>
    <w:rsid w:val="00980F96"/>
    <w:rsid w:val="00981015"/>
    <w:rsid w:val="009810E5"/>
    <w:rsid w:val="00981180"/>
    <w:rsid w:val="00981199"/>
    <w:rsid w:val="009811CB"/>
    <w:rsid w:val="00981279"/>
    <w:rsid w:val="00981290"/>
    <w:rsid w:val="009812A3"/>
    <w:rsid w:val="009812D7"/>
    <w:rsid w:val="0098138A"/>
    <w:rsid w:val="0098139A"/>
    <w:rsid w:val="00981500"/>
    <w:rsid w:val="00981547"/>
    <w:rsid w:val="00981574"/>
    <w:rsid w:val="00981595"/>
    <w:rsid w:val="009815C0"/>
    <w:rsid w:val="009817A7"/>
    <w:rsid w:val="009819A2"/>
    <w:rsid w:val="009819EB"/>
    <w:rsid w:val="00981A21"/>
    <w:rsid w:val="00981B79"/>
    <w:rsid w:val="00981BD8"/>
    <w:rsid w:val="00981C71"/>
    <w:rsid w:val="00981E3B"/>
    <w:rsid w:val="00981EA3"/>
    <w:rsid w:val="00981F0E"/>
    <w:rsid w:val="00981F9F"/>
    <w:rsid w:val="00981FA7"/>
    <w:rsid w:val="00982399"/>
    <w:rsid w:val="009823FD"/>
    <w:rsid w:val="00982458"/>
    <w:rsid w:val="009824FF"/>
    <w:rsid w:val="009825D6"/>
    <w:rsid w:val="009825F4"/>
    <w:rsid w:val="009826E9"/>
    <w:rsid w:val="00982786"/>
    <w:rsid w:val="009828C1"/>
    <w:rsid w:val="0098298B"/>
    <w:rsid w:val="00982A0D"/>
    <w:rsid w:val="00982AA1"/>
    <w:rsid w:val="00982B60"/>
    <w:rsid w:val="00982B72"/>
    <w:rsid w:val="00982EB5"/>
    <w:rsid w:val="00982EEA"/>
    <w:rsid w:val="00982EF7"/>
    <w:rsid w:val="00982F0D"/>
    <w:rsid w:val="0098300B"/>
    <w:rsid w:val="00983044"/>
    <w:rsid w:val="0098310B"/>
    <w:rsid w:val="009831BB"/>
    <w:rsid w:val="0098326C"/>
    <w:rsid w:val="00983384"/>
    <w:rsid w:val="00983404"/>
    <w:rsid w:val="0098348B"/>
    <w:rsid w:val="009834CD"/>
    <w:rsid w:val="00983515"/>
    <w:rsid w:val="0098352B"/>
    <w:rsid w:val="00983614"/>
    <w:rsid w:val="0098365D"/>
    <w:rsid w:val="0098371B"/>
    <w:rsid w:val="00983763"/>
    <w:rsid w:val="009837CC"/>
    <w:rsid w:val="009837D3"/>
    <w:rsid w:val="009837D6"/>
    <w:rsid w:val="0098386D"/>
    <w:rsid w:val="009838A7"/>
    <w:rsid w:val="0098398B"/>
    <w:rsid w:val="009839AD"/>
    <w:rsid w:val="009839EF"/>
    <w:rsid w:val="00983A26"/>
    <w:rsid w:val="00983BDA"/>
    <w:rsid w:val="00983C47"/>
    <w:rsid w:val="00983DF7"/>
    <w:rsid w:val="00983E0D"/>
    <w:rsid w:val="00983EE7"/>
    <w:rsid w:val="00983EFF"/>
    <w:rsid w:val="00983F29"/>
    <w:rsid w:val="0098404E"/>
    <w:rsid w:val="00984369"/>
    <w:rsid w:val="009843DC"/>
    <w:rsid w:val="0098441A"/>
    <w:rsid w:val="00984459"/>
    <w:rsid w:val="00984506"/>
    <w:rsid w:val="00984528"/>
    <w:rsid w:val="00984529"/>
    <w:rsid w:val="00984653"/>
    <w:rsid w:val="009847AA"/>
    <w:rsid w:val="0098482F"/>
    <w:rsid w:val="00984874"/>
    <w:rsid w:val="00984AEE"/>
    <w:rsid w:val="00984B7B"/>
    <w:rsid w:val="00984C54"/>
    <w:rsid w:val="00984C88"/>
    <w:rsid w:val="00984D57"/>
    <w:rsid w:val="00984EFA"/>
    <w:rsid w:val="00984FB0"/>
    <w:rsid w:val="009850AC"/>
    <w:rsid w:val="00985119"/>
    <w:rsid w:val="009851EF"/>
    <w:rsid w:val="009852BF"/>
    <w:rsid w:val="00985344"/>
    <w:rsid w:val="00985427"/>
    <w:rsid w:val="00985460"/>
    <w:rsid w:val="009854AD"/>
    <w:rsid w:val="009854F9"/>
    <w:rsid w:val="00985506"/>
    <w:rsid w:val="0098563A"/>
    <w:rsid w:val="00985821"/>
    <w:rsid w:val="00985969"/>
    <w:rsid w:val="00985A01"/>
    <w:rsid w:val="00985B96"/>
    <w:rsid w:val="00985CBC"/>
    <w:rsid w:val="00985D3A"/>
    <w:rsid w:val="00985D51"/>
    <w:rsid w:val="00985D9F"/>
    <w:rsid w:val="00986069"/>
    <w:rsid w:val="009860D7"/>
    <w:rsid w:val="0098628C"/>
    <w:rsid w:val="00986347"/>
    <w:rsid w:val="009863BA"/>
    <w:rsid w:val="00986433"/>
    <w:rsid w:val="009864FD"/>
    <w:rsid w:val="0098654A"/>
    <w:rsid w:val="009865AC"/>
    <w:rsid w:val="009866CD"/>
    <w:rsid w:val="009867A3"/>
    <w:rsid w:val="00986800"/>
    <w:rsid w:val="009868F9"/>
    <w:rsid w:val="00986927"/>
    <w:rsid w:val="0098695B"/>
    <w:rsid w:val="0098696C"/>
    <w:rsid w:val="00986988"/>
    <w:rsid w:val="00986A01"/>
    <w:rsid w:val="00986AAF"/>
    <w:rsid w:val="00986B8F"/>
    <w:rsid w:val="00986C31"/>
    <w:rsid w:val="00986C9F"/>
    <w:rsid w:val="00986CE1"/>
    <w:rsid w:val="00986D1C"/>
    <w:rsid w:val="00986D7E"/>
    <w:rsid w:val="00986E5F"/>
    <w:rsid w:val="00986EA3"/>
    <w:rsid w:val="00986EEF"/>
    <w:rsid w:val="00986F62"/>
    <w:rsid w:val="0098700D"/>
    <w:rsid w:val="0098701E"/>
    <w:rsid w:val="00987079"/>
    <w:rsid w:val="00987148"/>
    <w:rsid w:val="0098714E"/>
    <w:rsid w:val="00987241"/>
    <w:rsid w:val="00987251"/>
    <w:rsid w:val="009872A1"/>
    <w:rsid w:val="009872DB"/>
    <w:rsid w:val="00987312"/>
    <w:rsid w:val="009873DD"/>
    <w:rsid w:val="00987518"/>
    <w:rsid w:val="009875EF"/>
    <w:rsid w:val="0098779D"/>
    <w:rsid w:val="009877A1"/>
    <w:rsid w:val="009877F0"/>
    <w:rsid w:val="00987895"/>
    <w:rsid w:val="0098794B"/>
    <w:rsid w:val="0098795F"/>
    <w:rsid w:val="009879ED"/>
    <w:rsid w:val="00987A58"/>
    <w:rsid w:val="00987AB2"/>
    <w:rsid w:val="00987AFF"/>
    <w:rsid w:val="00987C45"/>
    <w:rsid w:val="00987C53"/>
    <w:rsid w:val="00987CA0"/>
    <w:rsid w:val="00987CD2"/>
    <w:rsid w:val="00987D70"/>
    <w:rsid w:val="00987DF0"/>
    <w:rsid w:val="00987E85"/>
    <w:rsid w:val="00987FCA"/>
    <w:rsid w:val="00990043"/>
    <w:rsid w:val="00990122"/>
    <w:rsid w:val="00990164"/>
    <w:rsid w:val="009901CC"/>
    <w:rsid w:val="009903BA"/>
    <w:rsid w:val="0099040E"/>
    <w:rsid w:val="00990496"/>
    <w:rsid w:val="00990652"/>
    <w:rsid w:val="009906A2"/>
    <w:rsid w:val="0099082A"/>
    <w:rsid w:val="009908B1"/>
    <w:rsid w:val="00990952"/>
    <w:rsid w:val="00990A37"/>
    <w:rsid w:val="00990AEB"/>
    <w:rsid w:val="00990B40"/>
    <w:rsid w:val="00990B5C"/>
    <w:rsid w:val="00990CE6"/>
    <w:rsid w:val="00990D6C"/>
    <w:rsid w:val="00990D83"/>
    <w:rsid w:val="00990D88"/>
    <w:rsid w:val="00990DF1"/>
    <w:rsid w:val="00990E21"/>
    <w:rsid w:val="00990E69"/>
    <w:rsid w:val="00990FA0"/>
    <w:rsid w:val="0099105F"/>
    <w:rsid w:val="009910A9"/>
    <w:rsid w:val="00991173"/>
    <w:rsid w:val="00991197"/>
    <w:rsid w:val="0099129F"/>
    <w:rsid w:val="00991370"/>
    <w:rsid w:val="009913AE"/>
    <w:rsid w:val="009913BA"/>
    <w:rsid w:val="00991422"/>
    <w:rsid w:val="00991449"/>
    <w:rsid w:val="00991535"/>
    <w:rsid w:val="009915D1"/>
    <w:rsid w:val="00991655"/>
    <w:rsid w:val="0099169D"/>
    <w:rsid w:val="009916EB"/>
    <w:rsid w:val="00991823"/>
    <w:rsid w:val="00991878"/>
    <w:rsid w:val="009918F5"/>
    <w:rsid w:val="0099197A"/>
    <w:rsid w:val="00991B67"/>
    <w:rsid w:val="00991C36"/>
    <w:rsid w:val="00991C43"/>
    <w:rsid w:val="00991CB6"/>
    <w:rsid w:val="00991D49"/>
    <w:rsid w:val="00991D67"/>
    <w:rsid w:val="00991DE7"/>
    <w:rsid w:val="00991E3B"/>
    <w:rsid w:val="00991ED6"/>
    <w:rsid w:val="00991EEE"/>
    <w:rsid w:val="00991F65"/>
    <w:rsid w:val="00991FD4"/>
    <w:rsid w:val="00992023"/>
    <w:rsid w:val="009920DC"/>
    <w:rsid w:val="00992371"/>
    <w:rsid w:val="009923EC"/>
    <w:rsid w:val="0099240F"/>
    <w:rsid w:val="00992413"/>
    <w:rsid w:val="0099245B"/>
    <w:rsid w:val="009924C1"/>
    <w:rsid w:val="009924C3"/>
    <w:rsid w:val="00992742"/>
    <w:rsid w:val="00992A3D"/>
    <w:rsid w:val="00992B32"/>
    <w:rsid w:val="00992B89"/>
    <w:rsid w:val="00992BBD"/>
    <w:rsid w:val="00992BC7"/>
    <w:rsid w:val="00992BC9"/>
    <w:rsid w:val="00992C4C"/>
    <w:rsid w:val="00992C84"/>
    <w:rsid w:val="00992CAF"/>
    <w:rsid w:val="00992EB7"/>
    <w:rsid w:val="00992F6C"/>
    <w:rsid w:val="00992F71"/>
    <w:rsid w:val="00992FCD"/>
    <w:rsid w:val="009930A9"/>
    <w:rsid w:val="00993116"/>
    <w:rsid w:val="00993163"/>
    <w:rsid w:val="009931B7"/>
    <w:rsid w:val="0099325C"/>
    <w:rsid w:val="00993393"/>
    <w:rsid w:val="00993410"/>
    <w:rsid w:val="00993452"/>
    <w:rsid w:val="009934DE"/>
    <w:rsid w:val="00993608"/>
    <w:rsid w:val="009936C2"/>
    <w:rsid w:val="00993877"/>
    <w:rsid w:val="009938F2"/>
    <w:rsid w:val="00993909"/>
    <w:rsid w:val="00993A1B"/>
    <w:rsid w:val="00993AFF"/>
    <w:rsid w:val="00993BE0"/>
    <w:rsid w:val="00993CE8"/>
    <w:rsid w:val="00993D14"/>
    <w:rsid w:val="00993D7D"/>
    <w:rsid w:val="00993E84"/>
    <w:rsid w:val="00993EF5"/>
    <w:rsid w:val="00993EFB"/>
    <w:rsid w:val="00994078"/>
    <w:rsid w:val="00994089"/>
    <w:rsid w:val="00994136"/>
    <w:rsid w:val="0099413B"/>
    <w:rsid w:val="00994282"/>
    <w:rsid w:val="0099439A"/>
    <w:rsid w:val="009943E3"/>
    <w:rsid w:val="009943EA"/>
    <w:rsid w:val="00994419"/>
    <w:rsid w:val="00994429"/>
    <w:rsid w:val="009944F0"/>
    <w:rsid w:val="0099453A"/>
    <w:rsid w:val="00994570"/>
    <w:rsid w:val="009945C4"/>
    <w:rsid w:val="009945EE"/>
    <w:rsid w:val="00994632"/>
    <w:rsid w:val="00994690"/>
    <w:rsid w:val="009946A2"/>
    <w:rsid w:val="009946BC"/>
    <w:rsid w:val="0099483B"/>
    <w:rsid w:val="0099485D"/>
    <w:rsid w:val="009948D5"/>
    <w:rsid w:val="00994939"/>
    <w:rsid w:val="0099499E"/>
    <w:rsid w:val="009949A4"/>
    <w:rsid w:val="00994B6F"/>
    <w:rsid w:val="00994B8E"/>
    <w:rsid w:val="00994B9B"/>
    <w:rsid w:val="00994C62"/>
    <w:rsid w:val="00994C72"/>
    <w:rsid w:val="00994E7C"/>
    <w:rsid w:val="00994EAA"/>
    <w:rsid w:val="00994EC2"/>
    <w:rsid w:val="00994EE5"/>
    <w:rsid w:val="00994F10"/>
    <w:rsid w:val="00994F96"/>
    <w:rsid w:val="00994FE5"/>
    <w:rsid w:val="0099520F"/>
    <w:rsid w:val="009952CC"/>
    <w:rsid w:val="00995350"/>
    <w:rsid w:val="00995435"/>
    <w:rsid w:val="009954F9"/>
    <w:rsid w:val="009954FA"/>
    <w:rsid w:val="00995531"/>
    <w:rsid w:val="00995553"/>
    <w:rsid w:val="0099582A"/>
    <w:rsid w:val="0099583A"/>
    <w:rsid w:val="009959D2"/>
    <w:rsid w:val="00995A73"/>
    <w:rsid w:val="00995B51"/>
    <w:rsid w:val="00995D4B"/>
    <w:rsid w:val="00995D8A"/>
    <w:rsid w:val="00995E12"/>
    <w:rsid w:val="00995E50"/>
    <w:rsid w:val="00995E6F"/>
    <w:rsid w:val="00995EB0"/>
    <w:rsid w:val="00995F04"/>
    <w:rsid w:val="00995F32"/>
    <w:rsid w:val="00995F42"/>
    <w:rsid w:val="00995FC1"/>
    <w:rsid w:val="00995FE5"/>
    <w:rsid w:val="00996082"/>
    <w:rsid w:val="00996133"/>
    <w:rsid w:val="009961FB"/>
    <w:rsid w:val="009963FD"/>
    <w:rsid w:val="009966F5"/>
    <w:rsid w:val="009966F8"/>
    <w:rsid w:val="0099672E"/>
    <w:rsid w:val="00996756"/>
    <w:rsid w:val="00996826"/>
    <w:rsid w:val="00996A08"/>
    <w:rsid w:val="00996A5E"/>
    <w:rsid w:val="00996B60"/>
    <w:rsid w:val="00996BAF"/>
    <w:rsid w:val="00996BD0"/>
    <w:rsid w:val="00996BF8"/>
    <w:rsid w:val="00996C12"/>
    <w:rsid w:val="00996C36"/>
    <w:rsid w:val="00996CA5"/>
    <w:rsid w:val="00996CF4"/>
    <w:rsid w:val="00996D53"/>
    <w:rsid w:val="00996E3D"/>
    <w:rsid w:val="00996F15"/>
    <w:rsid w:val="00996F9A"/>
    <w:rsid w:val="00997010"/>
    <w:rsid w:val="0099705A"/>
    <w:rsid w:val="009970B0"/>
    <w:rsid w:val="00997245"/>
    <w:rsid w:val="00997261"/>
    <w:rsid w:val="00997303"/>
    <w:rsid w:val="00997357"/>
    <w:rsid w:val="009973E5"/>
    <w:rsid w:val="00997424"/>
    <w:rsid w:val="0099749F"/>
    <w:rsid w:val="009974BE"/>
    <w:rsid w:val="00997516"/>
    <w:rsid w:val="00997527"/>
    <w:rsid w:val="009975E4"/>
    <w:rsid w:val="009976CA"/>
    <w:rsid w:val="00997718"/>
    <w:rsid w:val="009977B3"/>
    <w:rsid w:val="009977F8"/>
    <w:rsid w:val="00997808"/>
    <w:rsid w:val="00997874"/>
    <w:rsid w:val="0099796A"/>
    <w:rsid w:val="00997A9C"/>
    <w:rsid w:val="00997BA8"/>
    <w:rsid w:val="00997CD5"/>
    <w:rsid w:val="00997D29"/>
    <w:rsid w:val="00997DCC"/>
    <w:rsid w:val="00997E59"/>
    <w:rsid w:val="00997E80"/>
    <w:rsid w:val="009A02B8"/>
    <w:rsid w:val="009A03D9"/>
    <w:rsid w:val="009A0443"/>
    <w:rsid w:val="009A0680"/>
    <w:rsid w:val="009A06F5"/>
    <w:rsid w:val="009A0722"/>
    <w:rsid w:val="009A086B"/>
    <w:rsid w:val="009A0971"/>
    <w:rsid w:val="009A09A7"/>
    <w:rsid w:val="009A0B09"/>
    <w:rsid w:val="009A0B5A"/>
    <w:rsid w:val="009A0BF1"/>
    <w:rsid w:val="009A0C31"/>
    <w:rsid w:val="009A0C8F"/>
    <w:rsid w:val="009A0D02"/>
    <w:rsid w:val="009A0D65"/>
    <w:rsid w:val="009A0D84"/>
    <w:rsid w:val="009A0DA6"/>
    <w:rsid w:val="009A0DE3"/>
    <w:rsid w:val="009A0E15"/>
    <w:rsid w:val="009A10CA"/>
    <w:rsid w:val="009A11C4"/>
    <w:rsid w:val="009A1281"/>
    <w:rsid w:val="009A13DB"/>
    <w:rsid w:val="009A151C"/>
    <w:rsid w:val="009A1546"/>
    <w:rsid w:val="009A156E"/>
    <w:rsid w:val="009A15F6"/>
    <w:rsid w:val="009A1646"/>
    <w:rsid w:val="009A16E6"/>
    <w:rsid w:val="009A1839"/>
    <w:rsid w:val="009A18A7"/>
    <w:rsid w:val="009A18E5"/>
    <w:rsid w:val="009A1967"/>
    <w:rsid w:val="009A1984"/>
    <w:rsid w:val="009A1999"/>
    <w:rsid w:val="009A1AAC"/>
    <w:rsid w:val="009A1C6B"/>
    <w:rsid w:val="009A1D81"/>
    <w:rsid w:val="009A1EDC"/>
    <w:rsid w:val="009A1F2B"/>
    <w:rsid w:val="009A1F2D"/>
    <w:rsid w:val="009A1FE9"/>
    <w:rsid w:val="009A2072"/>
    <w:rsid w:val="009A208B"/>
    <w:rsid w:val="009A2092"/>
    <w:rsid w:val="009A2124"/>
    <w:rsid w:val="009A2246"/>
    <w:rsid w:val="009A22F6"/>
    <w:rsid w:val="009A2331"/>
    <w:rsid w:val="009A2375"/>
    <w:rsid w:val="009A2491"/>
    <w:rsid w:val="009A24C4"/>
    <w:rsid w:val="009A252D"/>
    <w:rsid w:val="009A254C"/>
    <w:rsid w:val="009A256A"/>
    <w:rsid w:val="009A2678"/>
    <w:rsid w:val="009A273E"/>
    <w:rsid w:val="009A27F6"/>
    <w:rsid w:val="009A286B"/>
    <w:rsid w:val="009A28CB"/>
    <w:rsid w:val="009A2A49"/>
    <w:rsid w:val="009A2B6C"/>
    <w:rsid w:val="009A2BA0"/>
    <w:rsid w:val="009A2BD2"/>
    <w:rsid w:val="009A2BE2"/>
    <w:rsid w:val="009A2D5A"/>
    <w:rsid w:val="009A2D89"/>
    <w:rsid w:val="009A2E23"/>
    <w:rsid w:val="009A2E43"/>
    <w:rsid w:val="009A2EDE"/>
    <w:rsid w:val="009A2FBD"/>
    <w:rsid w:val="009A2FC5"/>
    <w:rsid w:val="009A3027"/>
    <w:rsid w:val="009A3047"/>
    <w:rsid w:val="009A309A"/>
    <w:rsid w:val="009A30D8"/>
    <w:rsid w:val="009A3105"/>
    <w:rsid w:val="009A311F"/>
    <w:rsid w:val="009A32FB"/>
    <w:rsid w:val="009A337E"/>
    <w:rsid w:val="009A34A6"/>
    <w:rsid w:val="009A3502"/>
    <w:rsid w:val="009A3529"/>
    <w:rsid w:val="009A3588"/>
    <w:rsid w:val="009A35A4"/>
    <w:rsid w:val="009A3678"/>
    <w:rsid w:val="009A36D0"/>
    <w:rsid w:val="009A3738"/>
    <w:rsid w:val="009A3846"/>
    <w:rsid w:val="009A39C1"/>
    <w:rsid w:val="009A3E27"/>
    <w:rsid w:val="009A3E7E"/>
    <w:rsid w:val="009A3ECB"/>
    <w:rsid w:val="009A3F30"/>
    <w:rsid w:val="009A3F4F"/>
    <w:rsid w:val="009A3F67"/>
    <w:rsid w:val="009A4038"/>
    <w:rsid w:val="009A406F"/>
    <w:rsid w:val="009A4114"/>
    <w:rsid w:val="009A4138"/>
    <w:rsid w:val="009A41F2"/>
    <w:rsid w:val="009A41FE"/>
    <w:rsid w:val="009A4332"/>
    <w:rsid w:val="009A43DF"/>
    <w:rsid w:val="009A44E3"/>
    <w:rsid w:val="009A46A2"/>
    <w:rsid w:val="009A46C2"/>
    <w:rsid w:val="009A4716"/>
    <w:rsid w:val="009A47DD"/>
    <w:rsid w:val="009A48CB"/>
    <w:rsid w:val="009A4925"/>
    <w:rsid w:val="009A497B"/>
    <w:rsid w:val="009A499C"/>
    <w:rsid w:val="009A4AC8"/>
    <w:rsid w:val="009A4B45"/>
    <w:rsid w:val="009A4E19"/>
    <w:rsid w:val="009A4E4F"/>
    <w:rsid w:val="009A4E5A"/>
    <w:rsid w:val="009A4ECA"/>
    <w:rsid w:val="009A4F00"/>
    <w:rsid w:val="009A4FC4"/>
    <w:rsid w:val="009A5068"/>
    <w:rsid w:val="009A508C"/>
    <w:rsid w:val="009A50EC"/>
    <w:rsid w:val="009A51A0"/>
    <w:rsid w:val="009A51D1"/>
    <w:rsid w:val="009A525C"/>
    <w:rsid w:val="009A530C"/>
    <w:rsid w:val="009A5315"/>
    <w:rsid w:val="009A531B"/>
    <w:rsid w:val="009A5391"/>
    <w:rsid w:val="009A53EF"/>
    <w:rsid w:val="009A5476"/>
    <w:rsid w:val="009A552F"/>
    <w:rsid w:val="009A55C0"/>
    <w:rsid w:val="009A5645"/>
    <w:rsid w:val="009A5690"/>
    <w:rsid w:val="009A5692"/>
    <w:rsid w:val="009A56D6"/>
    <w:rsid w:val="009A577F"/>
    <w:rsid w:val="009A57B4"/>
    <w:rsid w:val="009A57C8"/>
    <w:rsid w:val="009A57FB"/>
    <w:rsid w:val="009A58F4"/>
    <w:rsid w:val="009A5A0F"/>
    <w:rsid w:val="009A5ACD"/>
    <w:rsid w:val="009A5AEE"/>
    <w:rsid w:val="009A5B59"/>
    <w:rsid w:val="009A5B70"/>
    <w:rsid w:val="009A5B73"/>
    <w:rsid w:val="009A5CBC"/>
    <w:rsid w:val="009A5D75"/>
    <w:rsid w:val="009A600E"/>
    <w:rsid w:val="009A60E0"/>
    <w:rsid w:val="009A62A0"/>
    <w:rsid w:val="009A6350"/>
    <w:rsid w:val="009A6422"/>
    <w:rsid w:val="009A6457"/>
    <w:rsid w:val="009A6481"/>
    <w:rsid w:val="009A64E6"/>
    <w:rsid w:val="009A658D"/>
    <w:rsid w:val="009A6605"/>
    <w:rsid w:val="009A6696"/>
    <w:rsid w:val="009A6763"/>
    <w:rsid w:val="009A67B3"/>
    <w:rsid w:val="009A67DF"/>
    <w:rsid w:val="009A67E0"/>
    <w:rsid w:val="009A6857"/>
    <w:rsid w:val="009A6917"/>
    <w:rsid w:val="009A691A"/>
    <w:rsid w:val="009A695E"/>
    <w:rsid w:val="009A6A12"/>
    <w:rsid w:val="009A6A6D"/>
    <w:rsid w:val="009A6A82"/>
    <w:rsid w:val="009A6B08"/>
    <w:rsid w:val="009A6B72"/>
    <w:rsid w:val="009A6BE8"/>
    <w:rsid w:val="009A6CB6"/>
    <w:rsid w:val="009A6F20"/>
    <w:rsid w:val="009A6F35"/>
    <w:rsid w:val="009A72C5"/>
    <w:rsid w:val="009A7325"/>
    <w:rsid w:val="009A7326"/>
    <w:rsid w:val="009A733A"/>
    <w:rsid w:val="009A73B4"/>
    <w:rsid w:val="009A73E1"/>
    <w:rsid w:val="009A74AC"/>
    <w:rsid w:val="009A7602"/>
    <w:rsid w:val="009A7673"/>
    <w:rsid w:val="009A7745"/>
    <w:rsid w:val="009A776C"/>
    <w:rsid w:val="009A777E"/>
    <w:rsid w:val="009A78C3"/>
    <w:rsid w:val="009A7999"/>
    <w:rsid w:val="009A7B20"/>
    <w:rsid w:val="009A7B50"/>
    <w:rsid w:val="009A7B80"/>
    <w:rsid w:val="009A7BF5"/>
    <w:rsid w:val="009A7D56"/>
    <w:rsid w:val="009A7D70"/>
    <w:rsid w:val="009A7D98"/>
    <w:rsid w:val="009A7DC0"/>
    <w:rsid w:val="009A7DE6"/>
    <w:rsid w:val="009A7EDD"/>
    <w:rsid w:val="009A7F0D"/>
    <w:rsid w:val="009A7F10"/>
    <w:rsid w:val="009A7FEC"/>
    <w:rsid w:val="009B0007"/>
    <w:rsid w:val="009B0011"/>
    <w:rsid w:val="009B004B"/>
    <w:rsid w:val="009B00A7"/>
    <w:rsid w:val="009B0291"/>
    <w:rsid w:val="009B033E"/>
    <w:rsid w:val="009B04B2"/>
    <w:rsid w:val="009B04CD"/>
    <w:rsid w:val="009B061B"/>
    <w:rsid w:val="009B0645"/>
    <w:rsid w:val="009B0721"/>
    <w:rsid w:val="009B07A2"/>
    <w:rsid w:val="009B07A7"/>
    <w:rsid w:val="009B07EF"/>
    <w:rsid w:val="009B0989"/>
    <w:rsid w:val="009B098A"/>
    <w:rsid w:val="009B0B3D"/>
    <w:rsid w:val="009B0C7F"/>
    <w:rsid w:val="009B108C"/>
    <w:rsid w:val="009B111B"/>
    <w:rsid w:val="009B1133"/>
    <w:rsid w:val="009B11D9"/>
    <w:rsid w:val="009B12E3"/>
    <w:rsid w:val="009B135E"/>
    <w:rsid w:val="009B1388"/>
    <w:rsid w:val="009B14FC"/>
    <w:rsid w:val="009B1503"/>
    <w:rsid w:val="009B160F"/>
    <w:rsid w:val="009B16AE"/>
    <w:rsid w:val="009B16BF"/>
    <w:rsid w:val="009B16C5"/>
    <w:rsid w:val="009B1719"/>
    <w:rsid w:val="009B17AC"/>
    <w:rsid w:val="009B186E"/>
    <w:rsid w:val="009B1882"/>
    <w:rsid w:val="009B1961"/>
    <w:rsid w:val="009B1AC2"/>
    <w:rsid w:val="009B1B3A"/>
    <w:rsid w:val="009B1BC7"/>
    <w:rsid w:val="009B1C24"/>
    <w:rsid w:val="009B1C51"/>
    <w:rsid w:val="009B1CFE"/>
    <w:rsid w:val="009B1D5A"/>
    <w:rsid w:val="009B1D72"/>
    <w:rsid w:val="009B1FA1"/>
    <w:rsid w:val="009B1FFD"/>
    <w:rsid w:val="009B21FE"/>
    <w:rsid w:val="009B22CA"/>
    <w:rsid w:val="009B2318"/>
    <w:rsid w:val="009B2378"/>
    <w:rsid w:val="009B23D8"/>
    <w:rsid w:val="009B2426"/>
    <w:rsid w:val="009B2467"/>
    <w:rsid w:val="009B24C6"/>
    <w:rsid w:val="009B250D"/>
    <w:rsid w:val="009B27D4"/>
    <w:rsid w:val="009B282A"/>
    <w:rsid w:val="009B283F"/>
    <w:rsid w:val="009B2A08"/>
    <w:rsid w:val="009B2A98"/>
    <w:rsid w:val="009B2A9F"/>
    <w:rsid w:val="009B2ABB"/>
    <w:rsid w:val="009B2AE9"/>
    <w:rsid w:val="009B2BA4"/>
    <w:rsid w:val="009B2C47"/>
    <w:rsid w:val="009B2CE9"/>
    <w:rsid w:val="009B2DF4"/>
    <w:rsid w:val="009B2DFD"/>
    <w:rsid w:val="009B2F04"/>
    <w:rsid w:val="009B2F3C"/>
    <w:rsid w:val="009B2FB6"/>
    <w:rsid w:val="009B2FB8"/>
    <w:rsid w:val="009B3092"/>
    <w:rsid w:val="009B30A3"/>
    <w:rsid w:val="009B30DB"/>
    <w:rsid w:val="009B3118"/>
    <w:rsid w:val="009B3210"/>
    <w:rsid w:val="009B3256"/>
    <w:rsid w:val="009B3291"/>
    <w:rsid w:val="009B33C8"/>
    <w:rsid w:val="009B33FA"/>
    <w:rsid w:val="009B3444"/>
    <w:rsid w:val="009B3454"/>
    <w:rsid w:val="009B3513"/>
    <w:rsid w:val="009B355C"/>
    <w:rsid w:val="009B3567"/>
    <w:rsid w:val="009B377C"/>
    <w:rsid w:val="009B37BE"/>
    <w:rsid w:val="009B37F5"/>
    <w:rsid w:val="009B39EA"/>
    <w:rsid w:val="009B3B12"/>
    <w:rsid w:val="009B3B5D"/>
    <w:rsid w:val="009B3CC0"/>
    <w:rsid w:val="009B3FD2"/>
    <w:rsid w:val="009B4002"/>
    <w:rsid w:val="009B4241"/>
    <w:rsid w:val="009B428B"/>
    <w:rsid w:val="009B42F5"/>
    <w:rsid w:val="009B4330"/>
    <w:rsid w:val="009B4338"/>
    <w:rsid w:val="009B43F6"/>
    <w:rsid w:val="009B44B8"/>
    <w:rsid w:val="009B44FF"/>
    <w:rsid w:val="009B4536"/>
    <w:rsid w:val="009B4617"/>
    <w:rsid w:val="009B4619"/>
    <w:rsid w:val="009B4702"/>
    <w:rsid w:val="009B4862"/>
    <w:rsid w:val="009B4872"/>
    <w:rsid w:val="009B48AF"/>
    <w:rsid w:val="009B48C4"/>
    <w:rsid w:val="009B4986"/>
    <w:rsid w:val="009B49F4"/>
    <w:rsid w:val="009B4C0C"/>
    <w:rsid w:val="009B4CA3"/>
    <w:rsid w:val="009B4E5C"/>
    <w:rsid w:val="009B4E5E"/>
    <w:rsid w:val="009B4E80"/>
    <w:rsid w:val="009B5003"/>
    <w:rsid w:val="009B5062"/>
    <w:rsid w:val="009B5094"/>
    <w:rsid w:val="009B50AD"/>
    <w:rsid w:val="009B5112"/>
    <w:rsid w:val="009B512A"/>
    <w:rsid w:val="009B513D"/>
    <w:rsid w:val="009B536C"/>
    <w:rsid w:val="009B5427"/>
    <w:rsid w:val="009B545D"/>
    <w:rsid w:val="009B54D4"/>
    <w:rsid w:val="009B54FC"/>
    <w:rsid w:val="009B55A6"/>
    <w:rsid w:val="009B55FF"/>
    <w:rsid w:val="009B565D"/>
    <w:rsid w:val="009B5679"/>
    <w:rsid w:val="009B579F"/>
    <w:rsid w:val="009B596C"/>
    <w:rsid w:val="009B5A0E"/>
    <w:rsid w:val="009B5A4A"/>
    <w:rsid w:val="009B5A5F"/>
    <w:rsid w:val="009B5B5C"/>
    <w:rsid w:val="009B5BC6"/>
    <w:rsid w:val="009B5C37"/>
    <w:rsid w:val="009B5C47"/>
    <w:rsid w:val="009B5E22"/>
    <w:rsid w:val="009B5EDE"/>
    <w:rsid w:val="009B5EFE"/>
    <w:rsid w:val="009B5F18"/>
    <w:rsid w:val="009B5F5E"/>
    <w:rsid w:val="009B60C4"/>
    <w:rsid w:val="009B611A"/>
    <w:rsid w:val="009B6226"/>
    <w:rsid w:val="009B624D"/>
    <w:rsid w:val="009B6305"/>
    <w:rsid w:val="009B6440"/>
    <w:rsid w:val="009B64C5"/>
    <w:rsid w:val="009B6548"/>
    <w:rsid w:val="009B6555"/>
    <w:rsid w:val="009B65D2"/>
    <w:rsid w:val="009B6677"/>
    <w:rsid w:val="009B6698"/>
    <w:rsid w:val="009B6831"/>
    <w:rsid w:val="009B688C"/>
    <w:rsid w:val="009B6904"/>
    <w:rsid w:val="009B6AA9"/>
    <w:rsid w:val="009B6CB1"/>
    <w:rsid w:val="009B6D6D"/>
    <w:rsid w:val="009B6D87"/>
    <w:rsid w:val="009B6F0C"/>
    <w:rsid w:val="009B7101"/>
    <w:rsid w:val="009B7134"/>
    <w:rsid w:val="009B72D6"/>
    <w:rsid w:val="009B730A"/>
    <w:rsid w:val="009B7370"/>
    <w:rsid w:val="009B7464"/>
    <w:rsid w:val="009B74A0"/>
    <w:rsid w:val="009B7545"/>
    <w:rsid w:val="009B7573"/>
    <w:rsid w:val="009B7631"/>
    <w:rsid w:val="009B768B"/>
    <w:rsid w:val="009B76F0"/>
    <w:rsid w:val="009B76F3"/>
    <w:rsid w:val="009B77B8"/>
    <w:rsid w:val="009B797D"/>
    <w:rsid w:val="009B79E3"/>
    <w:rsid w:val="009B7A4F"/>
    <w:rsid w:val="009B7AC2"/>
    <w:rsid w:val="009B7AFB"/>
    <w:rsid w:val="009B7B85"/>
    <w:rsid w:val="009B7CE7"/>
    <w:rsid w:val="009B7E36"/>
    <w:rsid w:val="009B7E9D"/>
    <w:rsid w:val="009B7EC3"/>
    <w:rsid w:val="009B7F2B"/>
    <w:rsid w:val="009B7F7A"/>
    <w:rsid w:val="009B7FA6"/>
    <w:rsid w:val="009C0035"/>
    <w:rsid w:val="009C017E"/>
    <w:rsid w:val="009C0210"/>
    <w:rsid w:val="009C022D"/>
    <w:rsid w:val="009C0250"/>
    <w:rsid w:val="009C0307"/>
    <w:rsid w:val="009C034A"/>
    <w:rsid w:val="009C0462"/>
    <w:rsid w:val="009C04AF"/>
    <w:rsid w:val="009C052C"/>
    <w:rsid w:val="009C0580"/>
    <w:rsid w:val="009C059D"/>
    <w:rsid w:val="009C0601"/>
    <w:rsid w:val="009C061B"/>
    <w:rsid w:val="009C06C8"/>
    <w:rsid w:val="009C0737"/>
    <w:rsid w:val="009C0793"/>
    <w:rsid w:val="009C07DD"/>
    <w:rsid w:val="009C0A72"/>
    <w:rsid w:val="009C0AAD"/>
    <w:rsid w:val="009C0AB8"/>
    <w:rsid w:val="009C0B61"/>
    <w:rsid w:val="009C0C04"/>
    <w:rsid w:val="009C0C5D"/>
    <w:rsid w:val="009C0CB1"/>
    <w:rsid w:val="009C0CDD"/>
    <w:rsid w:val="009C0D53"/>
    <w:rsid w:val="009C0D7B"/>
    <w:rsid w:val="009C0F8F"/>
    <w:rsid w:val="009C0FEE"/>
    <w:rsid w:val="009C10D8"/>
    <w:rsid w:val="009C10EA"/>
    <w:rsid w:val="009C1100"/>
    <w:rsid w:val="009C1211"/>
    <w:rsid w:val="009C122F"/>
    <w:rsid w:val="009C131F"/>
    <w:rsid w:val="009C1356"/>
    <w:rsid w:val="009C136E"/>
    <w:rsid w:val="009C13C3"/>
    <w:rsid w:val="009C13ED"/>
    <w:rsid w:val="009C13F0"/>
    <w:rsid w:val="009C14CD"/>
    <w:rsid w:val="009C156F"/>
    <w:rsid w:val="009C15F2"/>
    <w:rsid w:val="009C1755"/>
    <w:rsid w:val="009C17AC"/>
    <w:rsid w:val="009C184D"/>
    <w:rsid w:val="009C18F4"/>
    <w:rsid w:val="009C1900"/>
    <w:rsid w:val="009C199C"/>
    <w:rsid w:val="009C19B1"/>
    <w:rsid w:val="009C19DB"/>
    <w:rsid w:val="009C1B6D"/>
    <w:rsid w:val="009C1BA9"/>
    <w:rsid w:val="009C1C4C"/>
    <w:rsid w:val="009C1CB2"/>
    <w:rsid w:val="009C1CB3"/>
    <w:rsid w:val="009C1D02"/>
    <w:rsid w:val="009C1D45"/>
    <w:rsid w:val="009C1E17"/>
    <w:rsid w:val="009C1E47"/>
    <w:rsid w:val="009C1EF2"/>
    <w:rsid w:val="009C1F83"/>
    <w:rsid w:val="009C1FB8"/>
    <w:rsid w:val="009C2035"/>
    <w:rsid w:val="009C21E2"/>
    <w:rsid w:val="009C22E1"/>
    <w:rsid w:val="009C22F8"/>
    <w:rsid w:val="009C238F"/>
    <w:rsid w:val="009C24B3"/>
    <w:rsid w:val="009C2611"/>
    <w:rsid w:val="009C2634"/>
    <w:rsid w:val="009C26EA"/>
    <w:rsid w:val="009C273D"/>
    <w:rsid w:val="009C275B"/>
    <w:rsid w:val="009C2806"/>
    <w:rsid w:val="009C2837"/>
    <w:rsid w:val="009C28B9"/>
    <w:rsid w:val="009C28BA"/>
    <w:rsid w:val="009C2910"/>
    <w:rsid w:val="009C29E5"/>
    <w:rsid w:val="009C2A9B"/>
    <w:rsid w:val="009C2B04"/>
    <w:rsid w:val="009C2BDF"/>
    <w:rsid w:val="009C2BE9"/>
    <w:rsid w:val="009C2D24"/>
    <w:rsid w:val="009C2D9C"/>
    <w:rsid w:val="009C2E04"/>
    <w:rsid w:val="009C2E6B"/>
    <w:rsid w:val="009C2E8F"/>
    <w:rsid w:val="009C2F4A"/>
    <w:rsid w:val="009C2F4E"/>
    <w:rsid w:val="009C306C"/>
    <w:rsid w:val="009C3161"/>
    <w:rsid w:val="009C3198"/>
    <w:rsid w:val="009C3395"/>
    <w:rsid w:val="009C34BD"/>
    <w:rsid w:val="009C3642"/>
    <w:rsid w:val="009C3725"/>
    <w:rsid w:val="009C3961"/>
    <w:rsid w:val="009C3A10"/>
    <w:rsid w:val="009C3A46"/>
    <w:rsid w:val="009C3A90"/>
    <w:rsid w:val="009C3AD9"/>
    <w:rsid w:val="009C3B1D"/>
    <w:rsid w:val="009C3B48"/>
    <w:rsid w:val="009C3B51"/>
    <w:rsid w:val="009C3CBE"/>
    <w:rsid w:val="009C3E0F"/>
    <w:rsid w:val="009C3E77"/>
    <w:rsid w:val="009C3FAD"/>
    <w:rsid w:val="009C4020"/>
    <w:rsid w:val="009C409E"/>
    <w:rsid w:val="009C41C7"/>
    <w:rsid w:val="009C423D"/>
    <w:rsid w:val="009C433D"/>
    <w:rsid w:val="009C4364"/>
    <w:rsid w:val="009C43BE"/>
    <w:rsid w:val="009C440F"/>
    <w:rsid w:val="009C4496"/>
    <w:rsid w:val="009C4575"/>
    <w:rsid w:val="009C4684"/>
    <w:rsid w:val="009C4785"/>
    <w:rsid w:val="009C47EC"/>
    <w:rsid w:val="009C48B0"/>
    <w:rsid w:val="009C497D"/>
    <w:rsid w:val="009C4A0F"/>
    <w:rsid w:val="009C4B84"/>
    <w:rsid w:val="009C4BB1"/>
    <w:rsid w:val="009C4CB6"/>
    <w:rsid w:val="009C4CC8"/>
    <w:rsid w:val="009C4CCB"/>
    <w:rsid w:val="009C4CE4"/>
    <w:rsid w:val="009C4D52"/>
    <w:rsid w:val="009C4E28"/>
    <w:rsid w:val="009C4E86"/>
    <w:rsid w:val="009C4EDA"/>
    <w:rsid w:val="009C4EDE"/>
    <w:rsid w:val="009C4F47"/>
    <w:rsid w:val="009C4FB8"/>
    <w:rsid w:val="009C5038"/>
    <w:rsid w:val="009C50BE"/>
    <w:rsid w:val="009C50E9"/>
    <w:rsid w:val="009C50F3"/>
    <w:rsid w:val="009C51B6"/>
    <w:rsid w:val="009C51E1"/>
    <w:rsid w:val="009C51E4"/>
    <w:rsid w:val="009C52A0"/>
    <w:rsid w:val="009C52E6"/>
    <w:rsid w:val="009C5319"/>
    <w:rsid w:val="009C53B8"/>
    <w:rsid w:val="009C53B9"/>
    <w:rsid w:val="009C54B0"/>
    <w:rsid w:val="009C553E"/>
    <w:rsid w:val="009C5632"/>
    <w:rsid w:val="009C56DB"/>
    <w:rsid w:val="009C5734"/>
    <w:rsid w:val="009C57EB"/>
    <w:rsid w:val="009C5905"/>
    <w:rsid w:val="009C5960"/>
    <w:rsid w:val="009C5973"/>
    <w:rsid w:val="009C5A01"/>
    <w:rsid w:val="009C5BF2"/>
    <w:rsid w:val="009C5BF8"/>
    <w:rsid w:val="009C5CBB"/>
    <w:rsid w:val="009C5D8A"/>
    <w:rsid w:val="009C5E39"/>
    <w:rsid w:val="009C5E66"/>
    <w:rsid w:val="009C5F58"/>
    <w:rsid w:val="009C5FBD"/>
    <w:rsid w:val="009C5FD4"/>
    <w:rsid w:val="009C60C6"/>
    <w:rsid w:val="009C611C"/>
    <w:rsid w:val="009C61D9"/>
    <w:rsid w:val="009C62FA"/>
    <w:rsid w:val="009C62FD"/>
    <w:rsid w:val="009C643C"/>
    <w:rsid w:val="009C644E"/>
    <w:rsid w:val="009C64FC"/>
    <w:rsid w:val="009C6501"/>
    <w:rsid w:val="009C6585"/>
    <w:rsid w:val="009C66B9"/>
    <w:rsid w:val="009C66EA"/>
    <w:rsid w:val="009C6741"/>
    <w:rsid w:val="009C6747"/>
    <w:rsid w:val="009C679C"/>
    <w:rsid w:val="009C67AB"/>
    <w:rsid w:val="009C6870"/>
    <w:rsid w:val="009C6888"/>
    <w:rsid w:val="009C6A2A"/>
    <w:rsid w:val="009C6C43"/>
    <w:rsid w:val="009C6CA2"/>
    <w:rsid w:val="009C6CF0"/>
    <w:rsid w:val="009C6D65"/>
    <w:rsid w:val="009C6E0F"/>
    <w:rsid w:val="009C6F2C"/>
    <w:rsid w:val="009C7034"/>
    <w:rsid w:val="009C70BE"/>
    <w:rsid w:val="009C70F3"/>
    <w:rsid w:val="009C71FC"/>
    <w:rsid w:val="009C722E"/>
    <w:rsid w:val="009C7230"/>
    <w:rsid w:val="009C74B5"/>
    <w:rsid w:val="009C7521"/>
    <w:rsid w:val="009C757D"/>
    <w:rsid w:val="009C76C3"/>
    <w:rsid w:val="009C7789"/>
    <w:rsid w:val="009C7836"/>
    <w:rsid w:val="009C794A"/>
    <w:rsid w:val="009C79D7"/>
    <w:rsid w:val="009C7A2E"/>
    <w:rsid w:val="009C7B78"/>
    <w:rsid w:val="009C7C09"/>
    <w:rsid w:val="009C7D89"/>
    <w:rsid w:val="009C7DDB"/>
    <w:rsid w:val="009C7EAD"/>
    <w:rsid w:val="009C7F6B"/>
    <w:rsid w:val="009C7F78"/>
    <w:rsid w:val="009D000F"/>
    <w:rsid w:val="009D0037"/>
    <w:rsid w:val="009D0229"/>
    <w:rsid w:val="009D02BE"/>
    <w:rsid w:val="009D0351"/>
    <w:rsid w:val="009D04C1"/>
    <w:rsid w:val="009D04DB"/>
    <w:rsid w:val="009D0518"/>
    <w:rsid w:val="009D0550"/>
    <w:rsid w:val="009D059D"/>
    <w:rsid w:val="009D05C7"/>
    <w:rsid w:val="009D0748"/>
    <w:rsid w:val="009D0879"/>
    <w:rsid w:val="009D0924"/>
    <w:rsid w:val="009D09B3"/>
    <w:rsid w:val="009D09CF"/>
    <w:rsid w:val="009D0ACB"/>
    <w:rsid w:val="009D0AE9"/>
    <w:rsid w:val="009D0B11"/>
    <w:rsid w:val="009D0B43"/>
    <w:rsid w:val="009D0B6F"/>
    <w:rsid w:val="009D0BAB"/>
    <w:rsid w:val="009D0BC8"/>
    <w:rsid w:val="009D0CA4"/>
    <w:rsid w:val="009D0D0C"/>
    <w:rsid w:val="009D0DBF"/>
    <w:rsid w:val="009D0DCA"/>
    <w:rsid w:val="009D0E09"/>
    <w:rsid w:val="009D0E0E"/>
    <w:rsid w:val="009D0F3A"/>
    <w:rsid w:val="009D0F9C"/>
    <w:rsid w:val="009D104A"/>
    <w:rsid w:val="009D111F"/>
    <w:rsid w:val="009D1130"/>
    <w:rsid w:val="009D1180"/>
    <w:rsid w:val="009D12E8"/>
    <w:rsid w:val="009D12EF"/>
    <w:rsid w:val="009D1451"/>
    <w:rsid w:val="009D1501"/>
    <w:rsid w:val="009D15BD"/>
    <w:rsid w:val="009D173A"/>
    <w:rsid w:val="009D17D3"/>
    <w:rsid w:val="009D181A"/>
    <w:rsid w:val="009D188E"/>
    <w:rsid w:val="009D18FB"/>
    <w:rsid w:val="009D1965"/>
    <w:rsid w:val="009D1978"/>
    <w:rsid w:val="009D1A87"/>
    <w:rsid w:val="009D1AB7"/>
    <w:rsid w:val="009D1B5F"/>
    <w:rsid w:val="009D1E1E"/>
    <w:rsid w:val="009D1E3B"/>
    <w:rsid w:val="009D1F4B"/>
    <w:rsid w:val="009D1F4C"/>
    <w:rsid w:val="009D1FFD"/>
    <w:rsid w:val="009D2016"/>
    <w:rsid w:val="009D20ED"/>
    <w:rsid w:val="009D20FB"/>
    <w:rsid w:val="009D2103"/>
    <w:rsid w:val="009D215E"/>
    <w:rsid w:val="009D21B3"/>
    <w:rsid w:val="009D2258"/>
    <w:rsid w:val="009D2282"/>
    <w:rsid w:val="009D2395"/>
    <w:rsid w:val="009D2492"/>
    <w:rsid w:val="009D24B2"/>
    <w:rsid w:val="009D2710"/>
    <w:rsid w:val="009D27BB"/>
    <w:rsid w:val="009D27D5"/>
    <w:rsid w:val="009D2854"/>
    <w:rsid w:val="009D2864"/>
    <w:rsid w:val="009D2933"/>
    <w:rsid w:val="009D2AAB"/>
    <w:rsid w:val="009D2AD9"/>
    <w:rsid w:val="009D2C1E"/>
    <w:rsid w:val="009D2D33"/>
    <w:rsid w:val="009D2D54"/>
    <w:rsid w:val="009D2DC2"/>
    <w:rsid w:val="009D2E01"/>
    <w:rsid w:val="009D2EF1"/>
    <w:rsid w:val="009D2F33"/>
    <w:rsid w:val="009D2F3B"/>
    <w:rsid w:val="009D31A7"/>
    <w:rsid w:val="009D325E"/>
    <w:rsid w:val="009D333D"/>
    <w:rsid w:val="009D33FE"/>
    <w:rsid w:val="009D350D"/>
    <w:rsid w:val="009D35DC"/>
    <w:rsid w:val="009D3684"/>
    <w:rsid w:val="009D369F"/>
    <w:rsid w:val="009D36A1"/>
    <w:rsid w:val="009D36CC"/>
    <w:rsid w:val="009D3769"/>
    <w:rsid w:val="009D3821"/>
    <w:rsid w:val="009D3833"/>
    <w:rsid w:val="009D387D"/>
    <w:rsid w:val="009D3910"/>
    <w:rsid w:val="009D3940"/>
    <w:rsid w:val="009D3A46"/>
    <w:rsid w:val="009D3A88"/>
    <w:rsid w:val="009D3AE1"/>
    <w:rsid w:val="009D3B08"/>
    <w:rsid w:val="009D3BC0"/>
    <w:rsid w:val="009D3BC2"/>
    <w:rsid w:val="009D3BCC"/>
    <w:rsid w:val="009D3BCE"/>
    <w:rsid w:val="009D3C22"/>
    <w:rsid w:val="009D3C3F"/>
    <w:rsid w:val="009D3C6B"/>
    <w:rsid w:val="009D3E38"/>
    <w:rsid w:val="009D3F73"/>
    <w:rsid w:val="009D400D"/>
    <w:rsid w:val="009D4104"/>
    <w:rsid w:val="009D4172"/>
    <w:rsid w:val="009D41AB"/>
    <w:rsid w:val="009D4232"/>
    <w:rsid w:val="009D4274"/>
    <w:rsid w:val="009D4303"/>
    <w:rsid w:val="009D4375"/>
    <w:rsid w:val="009D452F"/>
    <w:rsid w:val="009D4587"/>
    <w:rsid w:val="009D4894"/>
    <w:rsid w:val="009D4954"/>
    <w:rsid w:val="009D49F2"/>
    <w:rsid w:val="009D4A1B"/>
    <w:rsid w:val="009D4A30"/>
    <w:rsid w:val="009D4B34"/>
    <w:rsid w:val="009D4B64"/>
    <w:rsid w:val="009D4C15"/>
    <w:rsid w:val="009D4C21"/>
    <w:rsid w:val="009D4C2B"/>
    <w:rsid w:val="009D4C90"/>
    <w:rsid w:val="009D4CA4"/>
    <w:rsid w:val="009D4D61"/>
    <w:rsid w:val="009D4DB9"/>
    <w:rsid w:val="009D4EF0"/>
    <w:rsid w:val="009D4F11"/>
    <w:rsid w:val="009D4F1D"/>
    <w:rsid w:val="009D4F6C"/>
    <w:rsid w:val="009D5079"/>
    <w:rsid w:val="009D509C"/>
    <w:rsid w:val="009D51D1"/>
    <w:rsid w:val="009D531F"/>
    <w:rsid w:val="009D5401"/>
    <w:rsid w:val="009D542D"/>
    <w:rsid w:val="009D5432"/>
    <w:rsid w:val="009D5470"/>
    <w:rsid w:val="009D5493"/>
    <w:rsid w:val="009D5545"/>
    <w:rsid w:val="009D5664"/>
    <w:rsid w:val="009D57CC"/>
    <w:rsid w:val="009D57F5"/>
    <w:rsid w:val="009D585F"/>
    <w:rsid w:val="009D586B"/>
    <w:rsid w:val="009D58D2"/>
    <w:rsid w:val="009D58DD"/>
    <w:rsid w:val="009D5BA3"/>
    <w:rsid w:val="009D5D1D"/>
    <w:rsid w:val="009D5D9D"/>
    <w:rsid w:val="009D5DE8"/>
    <w:rsid w:val="009D5E23"/>
    <w:rsid w:val="009D5F02"/>
    <w:rsid w:val="009D5FF8"/>
    <w:rsid w:val="009D602C"/>
    <w:rsid w:val="009D60B7"/>
    <w:rsid w:val="009D610D"/>
    <w:rsid w:val="009D6147"/>
    <w:rsid w:val="009D61A4"/>
    <w:rsid w:val="009D62DB"/>
    <w:rsid w:val="009D6360"/>
    <w:rsid w:val="009D6400"/>
    <w:rsid w:val="009D641A"/>
    <w:rsid w:val="009D642C"/>
    <w:rsid w:val="009D64F3"/>
    <w:rsid w:val="009D65A7"/>
    <w:rsid w:val="009D679D"/>
    <w:rsid w:val="009D67A2"/>
    <w:rsid w:val="009D67F9"/>
    <w:rsid w:val="009D6801"/>
    <w:rsid w:val="009D6875"/>
    <w:rsid w:val="009D68E2"/>
    <w:rsid w:val="009D68F3"/>
    <w:rsid w:val="009D69DD"/>
    <w:rsid w:val="009D6A1C"/>
    <w:rsid w:val="009D6B13"/>
    <w:rsid w:val="009D6BB1"/>
    <w:rsid w:val="009D6C02"/>
    <w:rsid w:val="009D6D31"/>
    <w:rsid w:val="009D6E0B"/>
    <w:rsid w:val="009D6F3E"/>
    <w:rsid w:val="009D7044"/>
    <w:rsid w:val="009D7080"/>
    <w:rsid w:val="009D70A3"/>
    <w:rsid w:val="009D70D0"/>
    <w:rsid w:val="009D7141"/>
    <w:rsid w:val="009D71B8"/>
    <w:rsid w:val="009D721C"/>
    <w:rsid w:val="009D73A7"/>
    <w:rsid w:val="009D73CE"/>
    <w:rsid w:val="009D746C"/>
    <w:rsid w:val="009D7472"/>
    <w:rsid w:val="009D7537"/>
    <w:rsid w:val="009D759B"/>
    <w:rsid w:val="009D75E6"/>
    <w:rsid w:val="009D7642"/>
    <w:rsid w:val="009D76B9"/>
    <w:rsid w:val="009D7803"/>
    <w:rsid w:val="009D789E"/>
    <w:rsid w:val="009D791D"/>
    <w:rsid w:val="009D799A"/>
    <w:rsid w:val="009D7A37"/>
    <w:rsid w:val="009D7A4A"/>
    <w:rsid w:val="009D7C8B"/>
    <w:rsid w:val="009D7DD5"/>
    <w:rsid w:val="009D7DE6"/>
    <w:rsid w:val="009D7E6F"/>
    <w:rsid w:val="009D7EE2"/>
    <w:rsid w:val="009D7F04"/>
    <w:rsid w:val="009D7F2B"/>
    <w:rsid w:val="009E00A4"/>
    <w:rsid w:val="009E00C0"/>
    <w:rsid w:val="009E01A8"/>
    <w:rsid w:val="009E0219"/>
    <w:rsid w:val="009E0300"/>
    <w:rsid w:val="009E034B"/>
    <w:rsid w:val="009E0471"/>
    <w:rsid w:val="009E04AD"/>
    <w:rsid w:val="009E0509"/>
    <w:rsid w:val="009E0515"/>
    <w:rsid w:val="009E059E"/>
    <w:rsid w:val="009E05FA"/>
    <w:rsid w:val="009E066F"/>
    <w:rsid w:val="009E0806"/>
    <w:rsid w:val="009E080D"/>
    <w:rsid w:val="009E08A1"/>
    <w:rsid w:val="009E091A"/>
    <w:rsid w:val="009E09B0"/>
    <w:rsid w:val="009E09E5"/>
    <w:rsid w:val="009E0A65"/>
    <w:rsid w:val="009E0B4C"/>
    <w:rsid w:val="009E0BCE"/>
    <w:rsid w:val="009E0C73"/>
    <w:rsid w:val="009E0D6F"/>
    <w:rsid w:val="009E0F04"/>
    <w:rsid w:val="009E0F30"/>
    <w:rsid w:val="009E0F32"/>
    <w:rsid w:val="009E0F54"/>
    <w:rsid w:val="009E0F5F"/>
    <w:rsid w:val="009E0F8D"/>
    <w:rsid w:val="009E1018"/>
    <w:rsid w:val="009E1034"/>
    <w:rsid w:val="009E11BA"/>
    <w:rsid w:val="009E1214"/>
    <w:rsid w:val="009E1305"/>
    <w:rsid w:val="009E1325"/>
    <w:rsid w:val="009E1428"/>
    <w:rsid w:val="009E14E2"/>
    <w:rsid w:val="009E14FA"/>
    <w:rsid w:val="009E15B7"/>
    <w:rsid w:val="009E168F"/>
    <w:rsid w:val="009E1693"/>
    <w:rsid w:val="009E1780"/>
    <w:rsid w:val="009E1814"/>
    <w:rsid w:val="009E188C"/>
    <w:rsid w:val="009E18A5"/>
    <w:rsid w:val="009E18CA"/>
    <w:rsid w:val="009E18FD"/>
    <w:rsid w:val="009E19A0"/>
    <w:rsid w:val="009E1A9B"/>
    <w:rsid w:val="009E1B3A"/>
    <w:rsid w:val="009E1CC9"/>
    <w:rsid w:val="009E1F99"/>
    <w:rsid w:val="009E1FC3"/>
    <w:rsid w:val="009E2081"/>
    <w:rsid w:val="009E212B"/>
    <w:rsid w:val="009E21CB"/>
    <w:rsid w:val="009E21E3"/>
    <w:rsid w:val="009E2292"/>
    <w:rsid w:val="009E22A9"/>
    <w:rsid w:val="009E242E"/>
    <w:rsid w:val="009E247F"/>
    <w:rsid w:val="009E2509"/>
    <w:rsid w:val="009E2542"/>
    <w:rsid w:val="009E2567"/>
    <w:rsid w:val="009E2612"/>
    <w:rsid w:val="009E26B6"/>
    <w:rsid w:val="009E27F2"/>
    <w:rsid w:val="009E280A"/>
    <w:rsid w:val="009E282B"/>
    <w:rsid w:val="009E2832"/>
    <w:rsid w:val="009E286F"/>
    <w:rsid w:val="009E2992"/>
    <w:rsid w:val="009E2A47"/>
    <w:rsid w:val="009E2C14"/>
    <w:rsid w:val="009E2C77"/>
    <w:rsid w:val="009E2CFA"/>
    <w:rsid w:val="009E2D06"/>
    <w:rsid w:val="009E2DD3"/>
    <w:rsid w:val="009E2E47"/>
    <w:rsid w:val="009E2E6C"/>
    <w:rsid w:val="009E2FC3"/>
    <w:rsid w:val="009E3004"/>
    <w:rsid w:val="009E300A"/>
    <w:rsid w:val="009E306D"/>
    <w:rsid w:val="009E30BA"/>
    <w:rsid w:val="009E3186"/>
    <w:rsid w:val="009E3189"/>
    <w:rsid w:val="009E31AE"/>
    <w:rsid w:val="009E31D4"/>
    <w:rsid w:val="009E32A7"/>
    <w:rsid w:val="009E32D3"/>
    <w:rsid w:val="009E32E2"/>
    <w:rsid w:val="009E333E"/>
    <w:rsid w:val="009E338E"/>
    <w:rsid w:val="009E33B3"/>
    <w:rsid w:val="009E3579"/>
    <w:rsid w:val="009E35BA"/>
    <w:rsid w:val="009E35D8"/>
    <w:rsid w:val="009E35F6"/>
    <w:rsid w:val="009E3625"/>
    <w:rsid w:val="009E3793"/>
    <w:rsid w:val="009E3807"/>
    <w:rsid w:val="009E3820"/>
    <w:rsid w:val="009E3864"/>
    <w:rsid w:val="009E38EB"/>
    <w:rsid w:val="009E39E9"/>
    <w:rsid w:val="009E3A31"/>
    <w:rsid w:val="009E3A66"/>
    <w:rsid w:val="009E3A8C"/>
    <w:rsid w:val="009E3B0E"/>
    <w:rsid w:val="009E3B92"/>
    <w:rsid w:val="009E3C1A"/>
    <w:rsid w:val="009E3E0D"/>
    <w:rsid w:val="009E3E10"/>
    <w:rsid w:val="009E3E65"/>
    <w:rsid w:val="009E3FBB"/>
    <w:rsid w:val="009E3FCE"/>
    <w:rsid w:val="009E4049"/>
    <w:rsid w:val="009E40A5"/>
    <w:rsid w:val="009E40E3"/>
    <w:rsid w:val="009E4112"/>
    <w:rsid w:val="009E41F4"/>
    <w:rsid w:val="009E42E6"/>
    <w:rsid w:val="009E4356"/>
    <w:rsid w:val="009E435C"/>
    <w:rsid w:val="009E43E2"/>
    <w:rsid w:val="009E44E3"/>
    <w:rsid w:val="009E44F1"/>
    <w:rsid w:val="009E4597"/>
    <w:rsid w:val="009E45D1"/>
    <w:rsid w:val="009E469E"/>
    <w:rsid w:val="009E47AD"/>
    <w:rsid w:val="009E47F0"/>
    <w:rsid w:val="009E486A"/>
    <w:rsid w:val="009E48CA"/>
    <w:rsid w:val="009E4A76"/>
    <w:rsid w:val="009E4AA7"/>
    <w:rsid w:val="009E4B0A"/>
    <w:rsid w:val="009E4B0D"/>
    <w:rsid w:val="009E4B1A"/>
    <w:rsid w:val="009E4C22"/>
    <w:rsid w:val="009E4C8F"/>
    <w:rsid w:val="009E4CFF"/>
    <w:rsid w:val="009E4D32"/>
    <w:rsid w:val="009E4E4C"/>
    <w:rsid w:val="009E4E7A"/>
    <w:rsid w:val="009E4FBE"/>
    <w:rsid w:val="009E4FCD"/>
    <w:rsid w:val="009E50A9"/>
    <w:rsid w:val="009E5120"/>
    <w:rsid w:val="009E5217"/>
    <w:rsid w:val="009E5302"/>
    <w:rsid w:val="009E538A"/>
    <w:rsid w:val="009E53BD"/>
    <w:rsid w:val="009E53EE"/>
    <w:rsid w:val="009E5515"/>
    <w:rsid w:val="009E559E"/>
    <w:rsid w:val="009E56A1"/>
    <w:rsid w:val="009E56C1"/>
    <w:rsid w:val="009E573E"/>
    <w:rsid w:val="009E5742"/>
    <w:rsid w:val="009E57B1"/>
    <w:rsid w:val="009E585C"/>
    <w:rsid w:val="009E585E"/>
    <w:rsid w:val="009E5936"/>
    <w:rsid w:val="009E59F7"/>
    <w:rsid w:val="009E5A79"/>
    <w:rsid w:val="009E5AB0"/>
    <w:rsid w:val="009E5B97"/>
    <w:rsid w:val="009E5CD6"/>
    <w:rsid w:val="009E5CF0"/>
    <w:rsid w:val="009E5D03"/>
    <w:rsid w:val="009E5E95"/>
    <w:rsid w:val="009E5EA9"/>
    <w:rsid w:val="009E5F28"/>
    <w:rsid w:val="009E5F4C"/>
    <w:rsid w:val="009E5F87"/>
    <w:rsid w:val="009E5FBF"/>
    <w:rsid w:val="009E60AD"/>
    <w:rsid w:val="009E60AF"/>
    <w:rsid w:val="009E60FA"/>
    <w:rsid w:val="009E6176"/>
    <w:rsid w:val="009E6298"/>
    <w:rsid w:val="009E62A0"/>
    <w:rsid w:val="009E62B1"/>
    <w:rsid w:val="009E63C2"/>
    <w:rsid w:val="009E6464"/>
    <w:rsid w:val="009E647F"/>
    <w:rsid w:val="009E648C"/>
    <w:rsid w:val="009E64A3"/>
    <w:rsid w:val="009E6569"/>
    <w:rsid w:val="009E656A"/>
    <w:rsid w:val="009E6660"/>
    <w:rsid w:val="009E670A"/>
    <w:rsid w:val="009E6734"/>
    <w:rsid w:val="009E67C9"/>
    <w:rsid w:val="009E6928"/>
    <w:rsid w:val="009E6942"/>
    <w:rsid w:val="009E6C74"/>
    <w:rsid w:val="009E6D15"/>
    <w:rsid w:val="009E6DBC"/>
    <w:rsid w:val="009E6DCF"/>
    <w:rsid w:val="009E7074"/>
    <w:rsid w:val="009E7153"/>
    <w:rsid w:val="009E717B"/>
    <w:rsid w:val="009E732A"/>
    <w:rsid w:val="009E7335"/>
    <w:rsid w:val="009E7365"/>
    <w:rsid w:val="009E740A"/>
    <w:rsid w:val="009E74BF"/>
    <w:rsid w:val="009E76E0"/>
    <w:rsid w:val="009E7790"/>
    <w:rsid w:val="009E78E1"/>
    <w:rsid w:val="009E7988"/>
    <w:rsid w:val="009E7AC2"/>
    <w:rsid w:val="009E7BFB"/>
    <w:rsid w:val="009E7CF6"/>
    <w:rsid w:val="009E7E46"/>
    <w:rsid w:val="009E7EA1"/>
    <w:rsid w:val="009E7F22"/>
    <w:rsid w:val="009E7FD2"/>
    <w:rsid w:val="009F00D5"/>
    <w:rsid w:val="009F0102"/>
    <w:rsid w:val="009F010D"/>
    <w:rsid w:val="009F01FF"/>
    <w:rsid w:val="009F022D"/>
    <w:rsid w:val="009F023D"/>
    <w:rsid w:val="009F0319"/>
    <w:rsid w:val="009F03B1"/>
    <w:rsid w:val="009F0467"/>
    <w:rsid w:val="009F04F8"/>
    <w:rsid w:val="009F0567"/>
    <w:rsid w:val="009F056A"/>
    <w:rsid w:val="009F0627"/>
    <w:rsid w:val="009F06BE"/>
    <w:rsid w:val="009F0722"/>
    <w:rsid w:val="009F0746"/>
    <w:rsid w:val="009F075D"/>
    <w:rsid w:val="009F0958"/>
    <w:rsid w:val="009F098A"/>
    <w:rsid w:val="009F09C7"/>
    <w:rsid w:val="009F09EE"/>
    <w:rsid w:val="009F0A60"/>
    <w:rsid w:val="009F0AD2"/>
    <w:rsid w:val="009F0B26"/>
    <w:rsid w:val="009F0B74"/>
    <w:rsid w:val="009F0D18"/>
    <w:rsid w:val="009F0EF1"/>
    <w:rsid w:val="009F0FDA"/>
    <w:rsid w:val="009F103C"/>
    <w:rsid w:val="009F10E4"/>
    <w:rsid w:val="009F1203"/>
    <w:rsid w:val="009F123E"/>
    <w:rsid w:val="009F1296"/>
    <w:rsid w:val="009F1331"/>
    <w:rsid w:val="009F136A"/>
    <w:rsid w:val="009F1379"/>
    <w:rsid w:val="009F14B2"/>
    <w:rsid w:val="009F15C6"/>
    <w:rsid w:val="009F160C"/>
    <w:rsid w:val="009F16FA"/>
    <w:rsid w:val="009F1782"/>
    <w:rsid w:val="009F1786"/>
    <w:rsid w:val="009F181C"/>
    <w:rsid w:val="009F1994"/>
    <w:rsid w:val="009F1A56"/>
    <w:rsid w:val="009F1A83"/>
    <w:rsid w:val="009F1B23"/>
    <w:rsid w:val="009F1B35"/>
    <w:rsid w:val="009F1BCA"/>
    <w:rsid w:val="009F1C0C"/>
    <w:rsid w:val="009F1C1A"/>
    <w:rsid w:val="009F1DFA"/>
    <w:rsid w:val="009F1E09"/>
    <w:rsid w:val="009F1E93"/>
    <w:rsid w:val="009F1E94"/>
    <w:rsid w:val="009F1EE7"/>
    <w:rsid w:val="009F1F3A"/>
    <w:rsid w:val="009F1F6E"/>
    <w:rsid w:val="009F1F78"/>
    <w:rsid w:val="009F1F87"/>
    <w:rsid w:val="009F1FD4"/>
    <w:rsid w:val="009F21DA"/>
    <w:rsid w:val="009F2245"/>
    <w:rsid w:val="009F2377"/>
    <w:rsid w:val="009F23BA"/>
    <w:rsid w:val="009F2447"/>
    <w:rsid w:val="009F2458"/>
    <w:rsid w:val="009F24D0"/>
    <w:rsid w:val="009F2569"/>
    <w:rsid w:val="009F2611"/>
    <w:rsid w:val="009F2746"/>
    <w:rsid w:val="009F2795"/>
    <w:rsid w:val="009F27D7"/>
    <w:rsid w:val="009F282C"/>
    <w:rsid w:val="009F286F"/>
    <w:rsid w:val="009F29C8"/>
    <w:rsid w:val="009F29D6"/>
    <w:rsid w:val="009F2A2D"/>
    <w:rsid w:val="009F2A49"/>
    <w:rsid w:val="009F2AE5"/>
    <w:rsid w:val="009F2AFF"/>
    <w:rsid w:val="009F2BF1"/>
    <w:rsid w:val="009F2C23"/>
    <w:rsid w:val="009F2CE2"/>
    <w:rsid w:val="009F2E8B"/>
    <w:rsid w:val="009F2F2C"/>
    <w:rsid w:val="009F2FD2"/>
    <w:rsid w:val="009F31F5"/>
    <w:rsid w:val="009F34F2"/>
    <w:rsid w:val="009F3501"/>
    <w:rsid w:val="009F356E"/>
    <w:rsid w:val="009F36C6"/>
    <w:rsid w:val="009F3782"/>
    <w:rsid w:val="009F37D7"/>
    <w:rsid w:val="009F37EC"/>
    <w:rsid w:val="009F3823"/>
    <w:rsid w:val="009F3839"/>
    <w:rsid w:val="009F38AE"/>
    <w:rsid w:val="009F39E7"/>
    <w:rsid w:val="009F3A21"/>
    <w:rsid w:val="009F3BF2"/>
    <w:rsid w:val="009F3C03"/>
    <w:rsid w:val="009F3C20"/>
    <w:rsid w:val="009F3C46"/>
    <w:rsid w:val="009F3C8E"/>
    <w:rsid w:val="009F3CD5"/>
    <w:rsid w:val="009F3E68"/>
    <w:rsid w:val="009F3F7A"/>
    <w:rsid w:val="009F416A"/>
    <w:rsid w:val="009F416F"/>
    <w:rsid w:val="009F4171"/>
    <w:rsid w:val="009F42B5"/>
    <w:rsid w:val="009F42FC"/>
    <w:rsid w:val="009F441E"/>
    <w:rsid w:val="009F443A"/>
    <w:rsid w:val="009F44AF"/>
    <w:rsid w:val="009F4546"/>
    <w:rsid w:val="009F45A5"/>
    <w:rsid w:val="009F4621"/>
    <w:rsid w:val="009F46F6"/>
    <w:rsid w:val="009F49CF"/>
    <w:rsid w:val="009F4A9D"/>
    <w:rsid w:val="009F4B1B"/>
    <w:rsid w:val="009F4B80"/>
    <w:rsid w:val="009F4CCD"/>
    <w:rsid w:val="009F4D58"/>
    <w:rsid w:val="009F4E19"/>
    <w:rsid w:val="009F4E7B"/>
    <w:rsid w:val="009F4EBB"/>
    <w:rsid w:val="009F4F25"/>
    <w:rsid w:val="009F4F9B"/>
    <w:rsid w:val="009F4FBB"/>
    <w:rsid w:val="009F4FC7"/>
    <w:rsid w:val="009F4FFF"/>
    <w:rsid w:val="009F5154"/>
    <w:rsid w:val="009F5224"/>
    <w:rsid w:val="009F52EE"/>
    <w:rsid w:val="009F538A"/>
    <w:rsid w:val="009F5390"/>
    <w:rsid w:val="009F54BA"/>
    <w:rsid w:val="009F5512"/>
    <w:rsid w:val="009F5591"/>
    <w:rsid w:val="009F55AF"/>
    <w:rsid w:val="009F55DB"/>
    <w:rsid w:val="009F5625"/>
    <w:rsid w:val="009F5659"/>
    <w:rsid w:val="009F5714"/>
    <w:rsid w:val="009F5728"/>
    <w:rsid w:val="009F5749"/>
    <w:rsid w:val="009F58F2"/>
    <w:rsid w:val="009F58F5"/>
    <w:rsid w:val="009F5999"/>
    <w:rsid w:val="009F5A1E"/>
    <w:rsid w:val="009F5A54"/>
    <w:rsid w:val="009F5AC6"/>
    <w:rsid w:val="009F5AD4"/>
    <w:rsid w:val="009F5B0F"/>
    <w:rsid w:val="009F5C34"/>
    <w:rsid w:val="009F5C71"/>
    <w:rsid w:val="009F5CB6"/>
    <w:rsid w:val="009F5CD8"/>
    <w:rsid w:val="009F5E13"/>
    <w:rsid w:val="009F5F07"/>
    <w:rsid w:val="009F5F88"/>
    <w:rsid w:val="009F615C"/>
    <w:rsid w:val="009F6289"/>
    <w:rsid w:val="009F62E3"/>
    <w:rsid w:val="009F636D"/>
    <w:rsid w:val="009F64C3"/>
    <w:rsid w:val="009F64E3"/>
    <w:rsid w:val="009F6557"/>
    <w:rsid w:val="009F65F4"/>
    <w:rsid w:val="009F66D1"/>
    <w:rsid w:val="009F67B6"/>
    <w:rsid w:val="009F6827"/>
    <w:rsid w:val="009F69E6"/>
    <w:rsid w:val="009F6B8E"/>
    <w:rsid w:val="009F6BC6"/>
    <w:rsid w:val="009F6C93"/>
    <w:rsid w:val="009F6CFF"/>
    <w:rsid w:val="009F6DBB"/>
    <w:rsid w:val="009F6E06"/>
    <w:rsid w:val="009F6E33"/>
    <w:rsid w:val="009F6F09"/>
    <w:rsid w:val="009F6F42"/>
    <w:rsid w:val="009F6F57"/>
    <w:rsid w:val="009F7023"/>
    <w:rsid w:val="009F7029"/>
    <w:rsid w:val="009F70C8"/>
    <w:rsid w:val="009F723A"/>
    <w:rsid w:val="009F72BF"/>
    <w:rsid w:val="009F73A2"/>
    <w:rsid w:val="009F7467"/>
    <w:rsid w:val="009F74CF"/>
    <w:rsid w:val="009F7563"/>
    <w:rsid w:val="009F76A1"/>
    <w:rsid w:val="009F76A2"/>
    <w:rsid w:val="009F76BB"/>
    <w:rsid w:val="009F76E7"/>
    <w:rsid w:val="009F76F5"/>
    <w:rsid w:val="009F7747"/>
    <w:rsid w:val="009F77FD"/>
    <w:rsid w:val="009F782D"/>
    <w:rsid w:val="009F798C"/>
    <w:rsid w:val="009F7998"/>
    <w:rsid w:val="009F79A6"/>
    <w:rsid w:val="009F7A00"/>
    <w:rsid w:val="009F7ABA"/>
    <w:rsid w:val="009F7ACC"/>
    <w:rsid w:val="009F7B3B"/>
    <w:rsid w:val="009F7B70"/>
    <w:rsid w:val="009F7C4E"/>
    <w:rsid w:val="009F7C61"/>
    <w:rsid w:val="009F7C6E"/>
    <w:rsid w:val="009F7D28"/>
    <w:rsid w:val="009F7DC6"/>
    <w:rsid w:val="009F7E9E"/>
    <w:rsid w:val="009F7F09"/>
    <w:rsid w:val="00A00092"/>
    <w:rsid w:val="00A000DC"/>
    <w:rsid w:val="00A00177"/>
    <w:rsid w:val="00A001E4"/>
    <w:rsid w:val="00A001F4"/>
    <w:rsid w:val="00A002E2"/>
    <w:rsid w:val="00A0030B"/>
    <w:rsid w:val="00A00311"/>
    <w:rsid w:val="00A00472"/>
    <w:rsid w:val="00A00553"/>
    <w:rsid w:val="00A0057C"/>
    <w:rsid w:val="00A00638"/>
    <w:rsid w:val="00A00671"/>
    <w:rsid w:val="00A00786"/>
    <w:rsid w:val="00A00860"/>
    <w:rsid w:val="00A00873"/>
    <w:rsid w:val="00A0088F"/>
    <w:rsid w:val="00A009BC"/>
    <w:rsid w:val="00A00A17"/>
    <w:rsid w:val="00A00B89"/>
    <w:rsid w:val="00A00B94"/>
    <w:rsid w:val="00A00C17"/>
    <w:rsid w:val="00A00D2D"/>
    <w:rsid w:val="00A00D59"/>
    <w:rsid w:val="00A00F9A"/>
    <w:rsid w:val="00A011A0"/>
    <w:rsid w:val="00A0123B"/>
    <w:rsid w:val="00A01328"/>
    <w:rsid w:val="00A01387"/>
    <w:rsid w:val="00A01462"/>
    <w:rsid w:val="00A014DB"/>
    <w:rsid w:val="00A015B0"/>
    <w:rsid w:val="00A01617"/>
    <w:rsid w:val="00A016B8"/>
    <w:rsid w:val="00A016D9"/>
    <w:rsid w:val="00A0174A"/>
    <w:rsid w:val="00A01756"/>
    <w:rsid w:val="00A017B8"/>
    <w:rsid w:val="00A017E5"/>
    <w:rsid w:val="00A018C6"/>
    <w:rsid w:val="00A019E2"/>
    <w:rsid w:val="00A01B09"/>
    <w:rsid w:val="00A01B5D"/>
    <w:rsid w:val="00A01B62"/>
    <w:rsid w:val="00A01CBE"/>
    <w:rsid w:val="00A01CCE"/>
    <w:rsid w:val="00A01CCF"/>
    <w:rsid w:val="00A01CFC"/>
    <w:rsid w:val="00A01DF5"/>
    <w:rsid w:val="00A01E0D"/>
    <w:rsid w:val="00A01E5A"/>
    <w:rsid w:val="00A01F08"/>
    <w:rsid w:val="00A01F4E"/>
    <w:rsid w:val="00A02056"/>
    <w:rsid w:val="00A02074"/>
    <w:rsid w:val="00A020CD"/>
    <w:rsid w:val="00A02178"/>
    <w:rsid w:val="00A021C7"/>
    <w:rsid w:val="00A02222"/>
    <w:rsid w:val="00A0226E"/>
    <w:rsid w:val="00A022D7"/>
    <w:rsid w:val="00A0236A"/>
    <w:rsid w:val="00A023F1"/>
    <w:rsid w:val="00A023F8"/>
    <w:rsid w:val="00A024B0"/>
    <w:rsid w:val="00A02534"/>
    <w:rsid w:val="00A02732"/>
    <w:rsid w:val="00A02AEE"/>
    <w:rsid w:val="00A02B04"/>
    <w:rsid w:val="00A02B1A"/>
    <w:rsid w:val="00A02BEB"/>
    <w:rsid w:val="00A02C44"/>
    <w:rsid w:val="00A02C77"/>
    <w:rsid w:val="00A02CFF"/>
    <w:rsid w:val="00A02D05"/>
    <w:rsid w:val="00A02D0C"/>
    <w:rsid w:val="00A02D11"/>
    <w:rsid w:val="00A02D3F"/>
    <w:rsid w:val="00A02DBB"/>
    <w:rsid w:val="00A02DC4"/>
    <w:rsid w:val="00A02DCB"/>
    <w:rsid w:val="00A02E24"/>
    <w:rsid w:val="00A02F8B"/>
    <w:rsid w:val="00A0325B"/>
    <w:rsid w:val="00A032FB"/>
    <w:rsid w:val="00A032FC"/>
    <w:rsid w:val="00A03325"/>
    <w:rsid w:val="00A03348"/>
    <w:rsid w:val="00A03390"/>
    <w:rsid w:val="00A033D2"/>
    <w:rsid w:val="00A034DB"/>
    <w:rsid w:val="00A035D0"/>
    <w:rsid w:val="00A03692"/>
    <w:rsid w:val="00A0369F"/>
    <w:rsid w:val="00A036BD"/>
    <w:rsid w:val="00A03705"/>
    <w:rsid w:val="00A03756"/>
    <w:rsid w:val="00A03789"/>
    <w:rsid w:val="00A0394C"/>
    <w:rsid w:val="00A039D5"/>
    <w:rsid w:val="00A039F1"/>
    <w:rsid w:val="00A03A1B"/>
    <w:rsid w:val="00A03A44"/>
    <w:rsid w:val="00A03A4B"/>
    <w:rsid w:val="00A03ACF"/>
    <w:rsid w:val="00A03B72"/>
    <w:rsid w:val="00A03C0E"/>
    <w:rsid w:val="00A03C88"/>
    <w:rsid w:val="00A03D73"/>
    <w:rsid w:val="00A03F03"/>
    <w:rsid w:val="00A03F75"/>
    <w:rsid w:val="00A04030"/>
    <w:rsid w:val="00A04047"/>
    <w:rsid w:val="00A04064"/>
    <w:rsid w:val="00A041B8"/>
    <w:rsid w:val="00A041D3"/>
    <w:rsid w:val="00A0422B"/>
    <w:rsid w:val="00A04295"/>
    <w:rsid w:val="00A042A8"/>
    <w:rsid w:val="00A0431D"/>
    <w:rsid w:val="00A04338"/>
    <w:rsid w:val="00A0437C"/>
    <w:rsid w:val="00A043E0"/>
    <w:rsid w:val="00A043EA"/>
    <w:rsid w:val="00A0447C"/>
    <w:rsid w:val="00A0463E"/>
    <w:rsid w:val="00A046EC"/>
    <w:rsid w:val="00A04928"/>
    <w:rsid w:val="00A04AAB"/>
    <w:rsid w:val="00A04AD5"/>
    <w:rsid w:val="00A04ADF"/>
    <w:rsid w:val="00A04B83"/>
    <w:rsid w:val="00A04D2B"/>
    <w:rsid w:val="00A04DB5"/>
    <w:rsid w:val="00A04EDE"/>
    <w:rsid w:val="00A04F5F"/>
    <w:rsid w:val="00A04FE0"/>
    <w:rsid w:val="00A0515B"/>
    <w:rsid w:val="00A051A5"/>
    <w:rsid w:val="00A0526D"/>
    <w:rsid w:val="00A0531C"/>
    <w:rsid w:val="00A056FF"/>
    <w:rsid w:val="00A05775"/>
    <w:rsid w:val="00A05856"/>
    <w:rsid w:val="00A058DB"/>
    <w:rsid w:val="00A0594B"/>
    <w:rsid w:val="00A05AAF"/>
    <w:rsid w:val="00A05ACE"/>
    <w:rsid w:val="00A05BAC"/>
    <w:rsid w:val="00A05BBD"/>
    <w:rsid w:val="00A05BEC"/>
    <w:rsid w:val="00A05C60"/>
    <w:rsid w:val="00A05CF5"/>
    <w:rsid w:val="00A05E7F"/>
    <w:rsid w:val="00A06070"/>
    <w:rsid w:val="00A06073"/>
    <w:rsid w:val="00A0608B"/>
    <w:rsid w:val="00A060C4"/>
    <w:rsid w:val="00A0620D"/>
    <w:rsid w:val="00A062A3"/>
    <w:rsid w:val="00A067F4"/>
    <w:rsid w:val="00A067FD"/>
    <w:rsid w:val="00A06808"/>
    <w:rsid w:val="00A06830"/>
    <w:rsid w:val="00A06861"/>
    <w:rsid w:val="00A06916"/>
    <w:rsid w:val="00A06980"/>
    <w:rsid w:val="00A069F6"/>
    <w:rsid w:val="00A06A3E"/>
    <w:rsid w:val="00A06A41"/>
    <w:rsid w:val="00A06A76"/>
    <w:rsid w:val="00A06BAB"/>
    <w:rsid w:val="00A06BCD"/>
    <w:rsid w:val="00A06C25"/>
    <w:rsid w:val="00A06CB8"/>
    <w:rsid w:val="00A06CD3"/>
    <w:rsid w:val="00A06CF5"/>
    <w:rsid w:val="00A06D91"/>
    <w:rsid w:val="00A06DDA"/>
    <w:rsid w:val="00A06DEC"/>
    <w:rsid w:val="00A06E75"/>
    <w:rsid w:val="00A06F96"/>
    <w:rsid w:val="00A06FC7"/>
    <w:rsid w:val="00A07006"/>
    <w:rsid w:val="00A07013"/>
    <w:rsid w:val="00A07056"/>
    <w:rsid w:val="00A07064"/>
    <w:rsid w:val="00A070A3"/>
    <w:rsid w:val="00A071C6"/>
    <w:rsid w:val="00A07269"/>
    <w:rsid w:val="00A07409"/>
    <w:rsid w:val="00A0744E"/>
    <w:rsid w:val="00A07450"/>
    <w:rsid w:val="00A07598"/>
    <w:rsid w:val="00A075E9"/>
    <w:rsid w:val="00A07607"/>
    <w:rsid w:val="00A07633"/>
    <w:rsid w:val="00A076F7"/>
    <w:rsid w:val="00A07726"/>
    <w:rsid w:val="00A07771"/>
    <w:rsid w:val="00A079FC"/>
    <w:rsid w:val="00A07A36"/>
    <w:rsid w:val="00A07F30"/>
    <w:rsid w:val="00A07F98"/>
    <w:rsid w:val="00A07FAA"/>
    <w:rsid w:val="00A0E545"/>
    <w:rsid w:val="00A1000B"/>
    <w:rsid w:val="00A1003E"/>
    <w:rsid w:val="00A100A0"/>
    <w:rsid w:val="00A100E8"/>
    <w:rsid w:val="00A101F8"/>
    <w:rsid w:val="00A10445"/>
    <w:rsid w:val="00A10530"/>
    <w:rsid w:val="00A10535"/>
    <w:rsid w:val="00A10632"/>
    <w:rsid w:val="00A10664"/>
    <w:rsid w:val="00A1068B"/>
    <w:rsid w:val="00A1089B"/>
    <w:rsid w:val="00A108A3"/>
    <w:rsid w:val="00A1093B"/>
    <w:rsid w:val="00A10AB2"/>
    <w:rsid w:val="00A10B85"/>
    <w:rsid w:val="00A10CA8"/>
    <w:rsid w:val="00A10D2F"/>
    <w:rsid w:val="00A10DB3"/>
    <w:rsid w:val="00A10DEC"/>
    <w:rsid w:val="00A10E3C"/>
    <w:rsid w:val="00A10F41"/>
    <w:rsid w:val="00A10F63"/>
    <w:rsid w:val="00A1103A"/>
    <w:rsid w:val="00A1104F"/>
    <w:rsid w:val="00A110F1"/>
    <w:rsid w:val="00A1113B"/>
    <w:rsid w:val="00A11156"/>
    <w:rsid w:val="00A111DF"/>
    <w:rsid w:val="00A1127F"/>
    <w:rsid w:val="00A1138E"/>
    <w:rsid w:val="00A1156B"/>
    <w:rsid w:val="00A115E5"/>
    <w:rsid w:val="00A11686"/>
    <w:rsid w:val="00A116E4"/>
    <w:rsid w:val="00A116ED"/>
    <w:rsid w:val="00A1172B"/>
    <w:rsid w:val="00A1191A"/>
    <w:rsid w:val="00A11927"/>
    <w:rsid w:val="00A11C50"/>
    <w:rsid w:val="00A11E0A"/>
    <w:rsid w:val="00A11E0C"/>
    <w:rsid w:val="00A11E55"/>
    <w:rsid w:val="00A11E58"/>
    <w:rsid w:val="00A11EA1"/>
    <w:rsid w:val="00A11F24"/>
    <w:rsid w:val="00A11F51"/>
    <w:rsid w:val="00A120D2"/>
    <w:rsid w:val="00A12108"/>
    <w:rsid w:val="00A123C2"/>
    <w:rsid w:val="00A12485"/>
    <w:rsid w:val="00A12595"/>
    <w:rsid w:val="00A126AA"/>
    <w:rsid w:val="00A12799"/>
    <w:rsid w:val="00A128FA"/>
    <w:rsid w:val="00A12932"/>
    <w:rsid w:val="00A12933"/>
    <w:rsid w:val="00A12988"/>
    <w:rsid w:val="00A1299E"/>
    <w:rsid w:val="00A12A3C"/>
    <w:rsid w:val="00A12B86"/>
    <w:rsid w:val="00A12C5A"/>
    <w:rsid w:val="00A12E4A"/>
    <w:rsid w:val="00A12EC9"/>
    <w:rsid w:val="00A12F6F"/>
    <w:rsid w:val="00A1301D"/>
    <w:rsid w:val="00A1309D"/>
    <w:rsid w:val="00A13140"/>
    <w:rsid w:val="00A13142"/>
    <w:rsid w:val="00A13171"/>
    <w:rsid w:val="00A131BF"/>
    <w:rsid w:val="00A131E3"/>
    <w:rsid w:val="00A1327B"/>
    <w:rsid w:val="00A132E6"/>
    <w:rsid w:val="00A1335D"/>
    <w:rsid w:val="00A1358F"/>
    <w:rsid w:val="00A136AC"/>
    <w:rsid w:val="00A137E3"/>
    <w:rsid w:val="00A137E6"/>
    <w:rsid w:val="00A13822"/>
    <w:rsid w:val="00A13953"/>
    <w:rsid w:val="00A139C7"/>
    <w:rsid w:val="00A13A09"/>
    <w:rsid w:val="00A13A28"/>
    <w:rsid w:val="00A13AE7"/>
    <w:rsid w:val="00A13B33"/>
    <w:rsid w:val="00A13C61"/>
    <w:rsid w:val="00A13D0A"/>
    <w:rsid w:val="00A13DA8"/>
    <w:rsid w:val="00A13DB1"/>
    <w:rsid w:val="00A13DCF"/>
    <w:rsid w:val="00A13EB4"/>
    <w:rsid w:val="00A13EC6"/>
    <w:rsid w:val="00A14005"/>
    <w:rsid w:val="00A14152"/>
    <w:rsid w:val="00A14190"/>
    <w:rsid w:val="00A14299"/>
    <w:rsid w:val="00A14344"/>
    <w:rsid w:val="00A143E4"/>
    <w:rsid w:val="00A144B0"/>
    <w:rsid w:val="00A14578"/>
    <w:rsid w:val="00A14589"/>
    <w:rsid w:val="00A1459F"/>
    <w:rsid w:val="00A145D7"/>
    <w:rsid w:val="00A145FE"/>
    <w:rsid w:val="00A146A7"/>
    <w:rsid w:val="00A14773"/>
    <w:rsid w:val="00A1479E"/>
    <w:rsid w:val="00A147B3"/>
    <w:rsid w:val="00A1481E"/>
    <w:rsid w:val="00A14826"/>
    <w:rsid w:val="00A14891"/>
    <w:rsid w:val="00A149BE"/>
    <w:rsid w:val="00A149E8"/>
    <w:rsid w:val="00A14A30"/>
    <w:rsid w:val="00A14AA0"/>
    <w:rsid w:val="00A14C1B"/>
    <w:rsid w:val="00A14CA5"/>
    <w:rsid w:val="00A14CF8"/>
    <w:rsid w:val="00A14D4E"/>
    <w:rsid w:val="00A14D7B"/>
    <w:rsid w:val="00A14E12"/>
    <w:rsid w:val="00A14F20"/>
    <w:rsid w:val="00A14F8F"/>
    <w:rsid w:val="00A1503D"/>
    <w:rsid w:val="00A150A4"/>
    <w:rsid w:val="00A150AB"/>
    <w:rsid w:val="00A150E9"/>
    <w:rsid w:val="00A15199"/>
    <w:rsid w:val="00A15251"/>
    <w:rsid w:val="00A15288"/>
    <w:rsid w:val="00A152B7"/>
    <w:rsid w:val="00A1540E"/>
    <w:rsid w:val="00A1546F"/>
    <w:rsid w:val="00A15509"/>
    <w:rsid w:val="00A155C7"/>
    <w:rsid w:val="00A15607"/>
    <w:rsid w:val="00A156AB"/>
    <w:rsid w:val="00A156EC"/>
    <w:rsid w:val="00A15707"/>
    <w:rsid w:val="00A15779"/>
    <w:rsid w:val="00A1579B"/>
    <w:rsid w:val="00A15861"/>
    <w:rsid w:val="00A15929"/>
    <w:rsid w:val="00A15BFE"/>
    <w:rsid w:val="00A15C3D"/>
    <w:rsid w:val="00A15C48"/>
    <w:rsid w:val="00A15C73"/>
    <w:rsid w:val="00A15CDC"/>
    <w:rsid w:val="00A15D59"/>
    <w:rsid w:val="00A15DFA"/>
    <w:rsid w:val="00A15ED2"/>
    <w:rsid w:val="00A15F01"/>
    <w:rsid w:val="00A1607F"/>
    <w:rsid w:val="00A160CC"/>
    <w:rsid w:val="00A160EB"/>
    <w:rsid w:val="00A16119"/>
    <w:rsid w:val="00A16171"/>
    <w:rsid w:val="00A161C0"/>
    <w:rsid w:val="00A16314"/>
    <w:rsid w:val="00A16315"/>
    <w:rsid w:val="00A16435"/>
    <w:rsid w:val="00A16485"/>
    <w:rsid w:val="00A164E3"/>
    <w:rsid w:val="00A16586"/>
    <w:rsid w:val="00A165BE"/>
    <w:rsid w:val="00A16607"/>
    <w:rsid w:val="00A166A4"/>
    <w:rsid w:val="00A16886"/>
    <w:rsid w:val="00A168FD"/>
    <w:rsid w:val="00A16A90"/>
    <w:rsid w:val="00A16B03"/>
    <w:rsid w:val="00A16B24"/>
    <w:rsid w:val="00A16B7E"/>
    <w:rsid w:val="00A16C14"/>
    <w:rsid w:val="00A16C51"/>
    <w:rsid w:val="00A16CAD"/>
    <w:rsid w:val="00A16D61"/>
    <w:rsid w:val="00A16D9D"/>
    <w:rsid w:val="00A16E40"/>
    <w:rsid w:val="00A16F53"/>
    <w:rsid w:val="00A16F7E"/>
    <w:rsid w:val="00A17020"/>
    <w:rsid w:val="00A170BC"/>
    <w:rsid w:val="00A1710E"/>
    <w:rsid w:val="00A17119"/>
    <w:rsid w:val="00A171A4"/>
    <w:rsid w:val="00A17261"/>
    <w:rsid w:val="00A17357"/>
    <w:rsid w:val="00A17439"/>
    <w:rsid w:val="00A1747A"/>
    <w:rsid w:val="00A1753C"/>
    <w:rsid w:val="00A1755D"/>
    <w:rsid w:val="00A17659"/>
    <w:rsid w:val="00A176B5"/>
    <w:rsid w:val="00A176F7"/>
    <w:rsid w:val="00A1773D"/>
    <w:rsid w:val="00A177B4"/>
    <w:rsid w:val="00A17833"/>
    <w:rsid w:val="00A178B1"/>
    <w:rsid w:val="00A17A66"/>
    <w:rsid w:val="00A17B0B"/>
    <w:rsid w:val="00A17BDD"/>
    <w:rsid w:val="00A17C0C"/>
    <w:rsid w:val="00A17CC4"/>
    <w:rsid w:val="00A17D42"/>
    <w:rsid w:val="00A17EBA"/>
    <w:rsid w:val="00A17EDF"/>
    <w:rsid w:val="00A2005B"/>
    <w:rsid w:val="00A2015F"/>
    <w:rsid w:val="00A20321"/>
    <w:rsid w:val="00A20385"/>
    <w:rsid w:val="00A203B1"/>
    <w:rsid w:val="00A2047C"/>
    <w:rsid w:val="00A204FA"/>
    <w:rsid w:val="00A2050E"/>
    <w:rsid w:val="00A20653"/>
    <w:rsid w:val="00A2065F"/>
    <w:rsid w:val="00A20672"/>
    <w:rsid w:val="00A20768"/>
    <w:rsid w:val="00A20797"/>
    <w:rsid w:val="00A20813"/>
    <w:rsid w:val="00A208D3"/>
    <w:rsid w:val="00A2096F"/>
    <w:rsid w:val="00A20999"/>
    <w:rsid w:val="00A2099E"/>
    <w:rsid w:val="00A20A33"/>
    <w:rsid w:val="00A20AD7"/>
    <w:rsid w:val="00A20BB9"/>
    <w:rsid w:val="00A20C54"/>
    <w:rsid w:val="00A20D31"/>
    <w:rsid w:val="00A20D73"/>
    <w:rsid w:val="00A20D9F"/>
    <w:rsid w:val="00A20E09"/>
    <w:rsid w:val="00A20EB8"/>
    <w:rsid w:val="00A20F49"/>
    <w:rsid w:val="00A20F85"/>
    <w:rsid w:val="00A21039"/>
    <w:rsid w:val="00A21055"/>
    <w:rsid w:val="00A210B9"/>
    <w:rsid w:val="00A210F2"/>
    <w:rsid w:val="00A21249"/>
    <w:rsid w:val="00A21291"/>
    <w:rsid w:val="00A21404"/>
    <w:rsid w:val="00A21425"/>
    <w:rsid w:val="00A2144E"/>
    <w:rsid w:val="00A214BA"/>
    <w:rsid w:val="00A214ED"/>
    <w:rsid w:val="00A214F3"/>
    <w:rsid w:val="00A21542"/>
    <w:rsid w:val="00A21662"/>
    <w:rsid w:val="00A21757"/>
    <w:rsid w:val="00A2177D"/>
    <w:rsid w:val="00A21877"/>
    <w:rsid w:val="00A21892"/>
    <w:rsid w:val="00A218B9"/>
    <w:rsid w:val="00A218BD"/>
    <w:rsid w:val="00A218E0"/>
    <w:rsid w:val="00A2190E"/>
    <w:rsid w:val="00A219E8"/>
    <w:rsid w:val="00A21ACB"/>
    <w:rsid w:val="00A21BE2"/>
    <w:rsid w:val="00A21CA9"/>
    <w:rsid w:val="00A21D58"/>
    <w:rsid w:val="00A21D63"/>
    <w:rsid w:val="00A21DC5"/>
    <w:rsid w:val="00A21E6D"/>
    <w:rsid w:val="00A21E90"/>
    <w:rsid w:val="00A21FE1"/>
    <w:rsid w:val="00A220AE"/>
    <w:rsid w:val="00A22175"/>
    <w:rsid w:val="00A22207"/>
    <w:rsid w:val="00A222DD"/>
    <w:rsid w:val="00A2248C"/>
    <w:rsid w:val="00A22495"/>
    <w:rsid w:val="00A224ED"/>
    <w:rsid w:val="00A2264F"/>
    <w:rsid w:val="00A2269B"/>
    <w:rsid w:val="00A22728"/>
    <w:rsid w:val="00A22823"/>
    <w:rsid w:val="00A22838"/>
    <w:rsid w:val="00A2297B"/>
    <w:rsid w:val="00A229A2"/>
    <w:rsid w:val="00A22B37"/>
    <w:rsid w:val="00A22B74"/>
    <w:rsid w:val="00A22BA5"/>
    <w:rsid w:val="00A22BD2"/>
    <w:rsid w:val="00A22C0F"/>
    <w:rsid w:val="00A22CCF"/>
    <w:rsid w:val="00A22F65"/>
    <w:rsid w:val="00A22FC9"/>
    <w:rsid w:val="00A22FF4"/>
    <w:rsid w:val="00A230C1"/>
    <w:rsid w:val="00A230DC"/>
    <w:rsid w:val="00A2315B"/>
    <w:rsid w:val="00A2317C"/>
    <w:rsid w:val="00A23184"/>
    <w:rsid w:val="00A232C4"/>
    <w:rsid w:val="00A23541"/>
    <w:rsid w:val="00A236C0"/>
    <w:rsid w:val="00A2374D"/>
    <w:rsid w:val="00A23752"/>
    <w:rsid w:val="00A2379C"/>
    <w:rsid w:val="00A23833"/>
    <w:rsid w:val="00A23846"/>
    <w:rsid w:val="00A23858"/>
    <w:rsid w:val="00A23872"/>
    <w:rsid w:val="00A23880"/>
    <w:rsid w:val="00A238A7"/>
    <w:rsid w:val="00A23931"/>
    <w:rsid w:val="00A23979"/>
    <w:rsid w:val="00A2399A"/>
    <w:rsid w:val="00A239FD"/>
    <w:rsid w:val="00A23B21"/>
    <w:rsid w:val="00A23C51"/>
    <w:rsid w:val="00A23C6F"/>
    <w:rsid w:val="00A23CFA"/>
    <w:rsid w:val="00A23D3C"/>
    <w:rsid w:val="00A23FE2"/>
    <w:rsid w:val="00A24000"/>
    <w:rsid w:val="00A240F6"/>
    <w:rsid w:val="00A24114"/>
    <w:rsid w:val="00A2417C"/>
    <w:rsid w:val="00A241DB"/>
    <w:rsid w:val="00A24251"/>
    <w:rsid w:val="00A2435A"/>
    <w:rsid w:val="00A2443F"/>
    <w:rsid w:val="00A2444C"/>
    <w:rsid w:val="00A244BA"/>
    <w:rsid w:val="00A24513"/>
    <w:rsid w:val="00A24550"/>
    <w:rsid w:val="00A245A8"/>
    <w:rsid w:val="00A246DC"/>
    <w:rsid w:val="00A24768"/>
    <w:rsid w:val="00A247D3"/>
    <w:rsid w:val="00A24861"/>
    <w:rsid w:val="00A2492A"/>
    <w:rsid w:val="00A249B7"/>
    <w:rsid w:val="00A24A4A"/>
    <w:rsid w:val="00A24B12"/>
    <w:rsid w:val="00A24B2C"/>
    <w:rsid w:val="00A24B3C"/>
    <w:rsid w:val="00A24C0D"/>
    <w:rsid w:val="00A24C43"/>
    <w:rsid w:val="00A24CA0"/>
    <w:rsid w:val="00A24D41"/>
    <w:rsid w:val="00A24D88"/>
    <w:rsid w:val="00A24DA3"/>
    <w:rsid w:val="00A24F1F"/>
    <w:rsid w:val="00A25137"/>
    <w:rsid w:val="00A2518D"/>
    <w:rsid w:val="00A251D8"/>
    <w:rsid w:val="00A2523B"/>
    <w:rsid w:val="00A252B0"/>
    <w:rsid w:val="00A25436"/>
    <w:rsid w:val="00A25557"/>
    <w:rsid w:val="00A25558"/>
    <w:rsid w:val="00A255A2"/>
    <w:rsid w:val="00A255C1"/>
    <w:rsid w:val="00A2564D"/>
    <w:rsid w:val="00A2564E"/>
    <w:rsid w:val="00A25699"/>
    <w:rsid w:val="00A2575C"/>
    <w:rsid w:val="00A25833"/>
    <w:rsid w:val="00A2589C"/>
    <w:rsid w:val="00A25929"/>
    <w:rsid w:val="00A25ADC"/>
    <w:rsid w:val="00A25CFF"/>
    <w:rsid w:val="00A25D87"/>
    <w:rsid w:val="00A25E43"/>
    <w:rsid w:val="00A25E47"/>
    <w:rsid w:val="00A25E57"/>
    <w:rsid w:val="00A25EA1"/>
    <w:rsid w:val="00A2602E"/>
    <w:rsid w:val="00A26072"/>
    <w:rsid w:val="00A26082"/>
    <w:rsid w:val="00A260FA"/>
    <w:rsid w:val="00A260FB"/>
    <w:rsid w:val="00A26121"/>
    <w:rsid w:val="00A26132"/>
    <w:rsid w:val="00A261BE"/>
    <w:rsid w:val="00A26354"/>
    <w:rsid w:val="00A2646F"/>
    <w:rsid w:val="00A264D9"/>
    <w:rsid w:val="00A26509"/>
    <w:rsid w:val="00A2655F"/>
    <w:rsid w:val="00A2668E"/>
    <w:rsid w:val="00A2670B"/>
    <w:rsid w:val="00A267D2"/>
    <w:rsid w:val="00A26904"/>
    <w:rsid w:val="00A269B9"/>
    <w:rsid w:val="00A26AD9"/>
    <w:rsid w:val="00A26ADD"/>
    <w:rsid w:val="00A26ADF"/>
    <w:rsid w:val="00A26BC7"/>
    <w:rsid w:val="00A26C18"/>
    <w:rsid w:val="00A26CBD"/>
    <w:rsid w:val="00A26DDF"/>
    <w:rsid w:val="00A26DF5"/>
    <w:rsid w:val="00A26EB7"/>
    <w:rsid w:val="00A26EFB"/>
    <w:rsid w:val="00A26F15"/>
    <w:rsid w:val="00A27023"/>
    <w:rsid w:val="00A270A6"/>
    <w:rsid w:val="00A27237"/>
    <w:rsid w:val="00A272B5"/>
    <w:rsid w:val="00A273A8"/>
    <w:rsid w:val="00A273F7"/>
    <w:rsid w:val="00A27473"/>
    <w:rsid w:val="00A274D0"/>
    <w:rsid w:val="00A275D4"/>
    <w:rsid w:val="00A27644"/>
    <w:rsid w:val="00A27734"/>
    <w:rsid w:val="00A277D7"/>
    <w:rsid w:val="00A277DF"/>
    <w:rsid w:val="00A277E5"/>
    <w:rsid w:val="00A27B82"/>
    <w:rsid w:val="00A27BAB"/>
    <w:rsid w:val="00A27C20"/>
    <w:rsid w:val="00A27C4C"/>
    <w:rsid w:val="00A27CFF"/>
    <w:rsid w:val="00A27DF4"/>
    <w:rsid w:val="00A27E8D"/>
    <w:rsid w:val="00A27FA0"/>
    <w:rsid w:val="00A27FEF"/>
    <w:rsid w:val="00A30086"/>
    <w:rsid w:val="00A3016D"/>
    <w:rsid w:val="00A3020B"/>
    <w:rsid w:val="00A30278"/>
    <w:rsid w:val="00A302D2"/>
    <w:rsid w:val="00A303B8"/>
    <w:rsid w:val="00A303C4"/>
    <w:rsid w:val="00A304A6"/>
    <w:rsid w:val="00A30501"/>
    <w:rsid w:val="00A30568"/>
    <w:rsid w:val="00A30634"/>
    <w:rsid w:val="00A3065F"/>
    <w:rsid w:val="00A306D7"/>
    <w:rsid w:val="00A3070C"/>
    <w:rsid w:val="00A30769"/>
    <w:rsid w:val="00A307AC"/>
    <w:rsid w:val="00A308EF"/>
    <w:rsid w:val="00A3096A"/>
    <w:rsid w:val="00A309A5"/>
    <w:rsid w:val="00A309B1"/>
    <w:rsid w:val="00A30A3A"/>
    <w:rsid w:val="00A30AAE"/>
    <w:rsid w:val="00A30B88"/>
    <w:rsid w:val="00A30DAA"/>
    <w:rsid w:val="00A30DE1"/>
    <w:rsid w:val="00A30E37"/>
    <w:rsid w:val="00A30EA5"/>
    <w:rsid w:val="00A30FC9"/>
    <w:rsid w:val="00A30FD2"/>
    <w:rsid w:val="00A30FE3"/>
    <w:rsid w:val="00A31010"/>
    <w:rsid w:val="00A31062"/>
    <w:rsid w:val="00A310F0"/>
    <w:rsid w:val="00A3127A"/>
    <w:rsid w:val="00A313AF"/>
    <w:rsid w:val="00A31443"/>
    <w:rsid w:val="00A314C9"/>
    <w:rsid w:val="00A314EA"/>
    <w:rsid w:val="00A3157C"/>
    <w:rsid w:val="00A316D4"/>
    <w:rsid w:val="00A3183A"/>
    <w:rsid w:val="00A31917"/>
    <w:rsid w:val="00A31987"/>
    <w:rsid w:val="00A319D8"/>
    <w:rsid w:val="00A319FF"/>
    <w:rsid w:val="00A31A97"/>
    <w:rsid w:val="00A31CEB"/>
    <w:rsid w:val="00A31D3D"/>
    <w:rsid w:val="00A31EA2"/>
    <w:rsid w:val="00A31EF2"/>
    <w:rsid w:val="00A320A8"/>
    <w:rsid w:val="00A32174"/>
    <w:rsid w:val="00A321DB"/>
    <w:rsid w:val="00A32269"/>
    <w:rsid w:val="00A3227A"/>
    <w:rsid w:val="00A32380"/>
    <w:rsid w:val="00A32457"/>
    <w:rsid w:val="00A32475"/>
    <w:rsid w:val="00A324A4"/>
    <w:rsid w:val="00A326FE"/>
    <w:rsid w:val="00A327CB"/>
    <w:rsid w:val="00A327EB"/>
    <w:rsid w:val="00A32848"/>
    <w:rsid w:val="00A32977"/>
    <w:rsid w:val="00A329A8"/>
    <w:rsid w:val="00A32A0F"/>
    <w:rsid w:val="00A32A1B"/>
    <w:rsid w:val="00A32A77"/>
    <w:rsid w:val="00A32B1C"/>
    <w:rsid w:val="00A32B33"/>
    <w:rsid w:val="00A32BD3"/>
    <w:rsid w:val="00A32D33"/>
    <w:rsid w:val="00A32D76"/>
    <w:rsid w:val="00A32DE3"/>
    <w:rsid w:val="00A32DFC"/>
    <w:rsid w:val="00A32E03"/>
    <w:rsid w:val="00A32F1D"/>
    <w:rsid w:val="00A33036"/>
    <w:rsid w:val="00A330EE"/>
    <w:rsid w:val="00A331BC"/>
    <w:rsid w:val="00A332F7"/>
    <w:rsid w:val="00A33306"/>
    <w:rsid w:val="00A33377"/>
    <w:rsid w:val="00A333AC"/>
    <w:rsid w:val="00A333BF"/>
    <w:rsid w:val="00A335DC"/>
    <w:rsid w:val="00A33602"/>
    <w:rsid w:val="00A336C1"/>
    <w:rsid w:val="00A336CB"/>
    <w:rsid w:val="00A33752"/>
    <w:rsid w:val="00A33759"/>
    <w:rsid w:val="00A33760"/>
    <w:rsid w:val="00A337A3"/>
    <w:rsid w:val="00A3384C"/>
    <w:rsid w:val="00A33862"/>
    <w:rsid w:val="00A33B87"/>
    <w:rsid w:val="00A33BCB"/>
    <w:rsid w:val="00A33D05"/>
    <w:rsid w:val="00A33E0B"/>
    <w:rsid w:val="00A33EFE"/>
    <w:rsid w:val="00A3412B"/>
    <w:rsid w:val="00A34135"/>
    <w:rsid w:val="00A3418A"/>
    <w:rsid w:val="00A3423E"/>
    <w:rsid w:val="00A34248"/>
    <w:rsid w:val="00A3428E"/>
    <w:rsid w:val="00A342F2"/>
    <w:rsid w:val="00A3435F"/>
    <w:rsid w:val="00A3450B"/>
    <w:rsid w:val="00A34527"/>
    <w:rsid w:val="00A3457A"/>
    <w:rsid w:val="00A3460C"/>
    <w:rsid w:val="00A3464F"/>
    <w:rsid w:val="00A34671"/>
    <w:rsid w:val="00A346C5"/>
    <w:rsid w:val="00A34811"/>
    <w:rsid w:val="00A34A10"/>
    <w:rsid w:val="00A34A27"/>
    <w:rsid w:val="00A34B86"/>
    <w:rsid w:val="00A34BE8"/>
    <w:rsid w:val="00A34C61"/>
    <w:rsid w:val="00A34D48"/>
    <w:rsid w:val="00A34E6C"/>
    <w:rsid w:val="00A34FE1"/>
    <w:rsid w:val="00A34FFC"/>
    <w:rsid w:val="00A35023"/>
    <w:rsid w:val="00A3506E"/>
    <w:rsid w:val="00A35151"/>
    <w:rsid w:val="00A35187"/>
    <w:rsid w:val="00A35188"/>
    <w:rsid w:val="00A35230"/>
    <w:rsid w:val="00A35242"/>
    <w:rsid w:val="00A352B2"/>
    <w:rsid w:val="00A3553B"/>
    <w:rsid w:val="00A3557B"/>
    <w:rsid w:val="00A355C9"/>
    <w:rsid w:val="00A355E5"/>
    <w:rsid w:val="00A3562E"/>
    <w:rsid w:val="00A35638"/>
    <w:rsid w:val="00A35709"/>
    <w:rsid w:val="00A35735"/>
    <w:rsid w:val="00A357A8"/>
    <w:rsid w:val="00A357DA"/>
    <w:rsid w:val="00A3594F"/>
    <w:rsid w:val="00A359E3"/>
    <w:rsid w:val="00A35A53"/>
    <w:rsid w:val="00A35BBB"/>
    <w:rsid w:val="00A35BEA"/>
    <w:rsid w:val="00A35BF4"/>
    <w:rsid w:val="00A35CAA"/>
    <w:rsid w:val="00A35D0B"/>
    <w:rsid w:val="00A35D0D"/>
    <w:rsid w:val="00A35E01"/>
    <w:rsid w:val="00A35E19"/>
    <w:rsid w:val="00A35E5A"/>
    <w:rsid w:val="00A35FAC"/>
    <w:rsid w:val="00A36024"/>
    <w:rsid w:val="00A360BC"/>
    <w:rsid w:val="00A360BD"/>
    <w:rsid w:val="00A360C3"/>
    <w:rsid w:val="00A360DF"/>
    <w:rsid w:val="00A360FB"/>
    <w:rsid w:val="00A361EE"/>
    <w:rsid w:val="00A3620D"/>
    <w:rsid w:val="00A362C3"/>
    <w:rsid w:val="00A3637D"/>
    <w:rsid w:val="00A364C6"/>
    <w:rsid w:val="00A3658D"/>
    <w:rsid w:val="00A365AB"/>
    <w:rsid w:val="00A365B5"/>
    <w:rsid w:val="00A366D7"/>
    <w:rsid w:val="00A3670A"/>
    <w:rsid w:val="00A36744"/>
    <w:rsid w:val="00A36765"/>
    <w:rsid w:val="00A3686E"/>
    <w:rsid w:val="00A36A6E"/>
    <w:rsid w:val="00A36BD7"/>
    <w:rsid w:val="00A36C3B"/>
    <w:rsid w:val="00A36C56"/>
    <w:rsid w:val="00A36EA4"/>
    <w:rsid w:val="00A36ED6"/>
    <w:rsid w:val="00A36EF9"/>
    <w:rsid w:val="00A36F70"/>
    <w:rsid w:val="00A36F76"/>
    <w:rsid w:val="00A36F8B"/>
    <w:rsid w:val="00A36FA2"/>
    <w:rsid w:val="00A3703B"/>
    <w:rsid w:val="00A3704F"/>
    <w:rsid w:val="00A37095"/>
    <w:rsid w:val="00A370D4"/>
    <w:rsid w:val="00A37190"/>
    <w:rsid w:val="00A3720D"/>
    <w:rsid w:val="00A37311"/>
    <w:rsid w:val="00A3733C"/>
    <w:rsid w:val="00A373A2"/>
    <w:rsid w:val="00A373A4"/>
    <w:rsid w:val="00A373E5"/>
    <w:rsid w:val="00A37401"/>
    <w:rsid w:val="00A37479"/>
    <w:rsid w:val="00A37507"/>
    <w:rsid w:val="00A37526"/>
    <w:rsid w:val="00A378E6"/>
    <w:rsid w:val="00A37916"/>
    <w:rsid w:val="00A37936"/>
    <w:rsid w:val="00A37AC1"/>
    <w:rsid w:val="00A37AF1"/>
    <w:rsid w:val="00A37AFE"/>
    <w:rsid w:val="00A37B25"/>
    <w:rsid w:val="00A37C36"/>
    <w:rsid w:val="00A37D41"/>
    <w:rsid w:val="00A37E07"/>
    <w:rsid w:val="00A37EEF"/>
    <w:rsid w:val="00A400A0"/>
    <w:rsid w:val="00A400BA"/>
    <w:rsid w:val="00A401B1"/>
    <w:rsid w:val="00A401C3"/>
    <w:rsid w:val="00A402DC"/>
    <w:rsid w:val="00A402DF"/>
    <w:rsid w:val="00A403FD"/>
    <w:rsid w:val="00A40416"/>
    <w:rsid w:val="00A4044C"/>
    <w:rsid w:val="00A40555"/>
    <w:rsid w:val="00A405A2"/>
    <w:rsid w:val="00A40619"/>
    <w:rsid w:val="00A4079C"/>
    <w:rsid w:val="00A407DA"/>
    <w:rsid w:val="00A40856"/>
    <w:rsid w:val="00A40950"/>
    <w:rsid w:val="00A409DE"/>
    <w:rsid w:val="00A409E4"/>
    <w:rsid w:val="00A40D1B"/>
    <w:rsid w:val="00A40E3E"/>
    <w:rsid w:val="00A40FD0"/>
    <w:rsid w:val="00A41041"/>
    <w:rsid w:val="00A410E6"/>
    <w:rsid w:val="00A41105"/>
    <w:rsid w:val="00A41181"/>
    <w:rsid w:val="00A411DE"/>
    <w:rsid w:val="00A41265"/>
    <w:rsid w:val="00A412E7"/>
    <w:rsid w:val="00A41378"/>
    <w:rsid w:val="00A4137D"/>
    <w:rsid w:val="00A41451"/>
    <w:rsid w:val="00A4145B"/>
    <w:rsid w:val="00A414B9"/>
    <w:rsid w:val="00A4159B"/>
    <w:rsid w:val="00A415CB"/>
    <w:rsid w:val="00A41668"/>
    <w:rsid w:val="00A41681"/>
    <w:rsid w:val="00A416BF"/>
    <w:rsid w:val="00A416F2"/>
    <w:rsid w:val="00A416F7"/>
    <w:rsid w:val="00A41780"/>
    <w:rsid w:val="00A41947"/>
    <w:rsid w:val="00A4196F"/>
    <w:rsid w:val="00A41A15"/>
    <w:rsid w:val="00A41BAF"/>
    <w:rsid w:val="00A41BB9"/>
    <w:rsid w:val="00A41CA1"/>
    <w:rsid w:val="00A41CBB"/>
    <w:rsid w:val="00A41D06"/>
    <w:rsid w:val="00A41D11"/>
    <w:rsid w:val="00A41E7D"/>
    <w:rsid w:val="00A41EDF"/>
    <w:rsid w:val="00A41F98"/>
    <w:rsid w:val="00A42002"/>
    <w:rsid w:val="00A4207A"/>
    <w:rsid w:val="00A42094"/>
    <w:rsid w:val="00A420A2"/>
    <w:rsid w:val="00A4215E"/>
    <w:rsid w:val="00A421AD"/>
    <w:rsid w:val="00A421ED"/>
    <w:rsid w:val="00A42215"/>
    <w:rsid w:val="00A4224B"/>
    <w:rsid w:val="00A422AF"/>
    <w:rsid w:val="00A422E3"/>
    <w:rsid w:val="00A424D7"/>
    <w:rsid w:val="00A424E7"/>
    <w:rsid w:val="00A424E8"/>
    <w:rsid w:val="00A424F6"/>
    <w:rsid w:val="00A42561"/>
    <w:rsid w:val="00A426E7"/>
    <w:rsid w:val="00A4272F"/>
    <w:rsid w:val="00A427D6"/>
    <w:rsid w:val="00A428ED"/>
    <w:rsid w:val="00A428FC"/>
    <w:rsid w:val="00A4290D"/>
    <w:rsid w:val="00A42919"/>
    <w:rsid w:val="00A42998"/>
    <w:rsid w:val="00A42A5A"/>
    <w:rsid w:val="00A42C37"/>
    <w:rsid w:val="00A42C7F"/>
    <w:rsid w:val="00A42DB8"/>
    <w:rsid w:val="00A42E19"/>
    <w:rsid w:val="00A42E9C"/>
    <w:rsid w:val="00A42EA0"/>
    <w:rsid w:val="00A42ECC"/>
    <w:rsid w:val="00A42EEE"/>
    <w:rsid w:val="00A42F0E"/>
    <w:rsid w:val="00A43066"/>
    <w:rsid w:val="00A430DD"/>
    <w:rsid w:val="00A43140"/>
    <w:rsid w:val="00A43287"/>
    <w:rsid w:val="00A43441"/>
    <w:rsid w:val="00A43448"/>
    <w:rsid w:val="00A434E5"/>
    <w:rsid w:val="00A43506"/>
    <w:rsid w:val="00A435AC"/>
    <w:rsid w:val="00A43682"/>
    <w:rsid w:val="00A43692"/>
    <w:rsid w:val="00A43729"/>
    <w:rsid w:val="00A437DB"/>
    <w:rsid w:val="00A43839"/>
    <w:rsid w:val="00A43922"/>
    <w:rsid w:val="00A43ADF"/>
    <w:rsid w:val="00A43B71"/>
    <w:rsid w:val="00A43C39"/>
    <w:rsid w:val="00A43C7E"/>
    <w:rsid w:val="00A43CCD"/>
    <w:rsid w:val="00A43CEE"/>
    <w:rsid w:val="00A43D5D"/>
    <w:rsid w:val="00A43DC8"/>
    <w:rsid w:val="00A43E34"/>
    <w:rsid w:val="00A43EEE"/>
    <w:rsid w:val="00A43F1A"/>
    <w:rsid w:val="00A43F6E"/>
    <w:rsid w:val="00A44128"/>
    <w:rsid w:val="00A44134"/>
    <w:rsid w:val="00A44180"/>
    <w:rsid w:val="00A441FA"/>
    <w:rsid w:val="00A4430E"/>
    <w:rsid w:val="00A4433A"/>
    <w:rsid w:val="00A443C3"/>
    <w:rsid w:val="00A443D6"/>
    <w:rsid w:val="00A44620"/>
    <w:rsid w:val="00A4464A"/>
    <w:rsid w:val="00A447D5"/>
    <w:rsid w:val="00A448C2"/>
    <w:rsid w:val="00A449D4"/>
    <w:rsid w:val="00A44B5A"/>
    <w:rsid w:val="00A44C16"/>
    <w:rsid w:val="00A44C1C"/>
    <w:rsid w:val="00A44C25"/>
    <w:rsid w:val="00A44C67"/>
    <w:rsid w:val="00A44D41"/>
    <w:rsid w:val="00A44D6F"/>
    <w:rsid w:val="00A44DE4"/>
    <w:rsid w:val="00A44F06"/>
    <w:rsid w:val="00A44F5F"/>
    <w:rsid w:val="00A44FE7"/>
    <w:rsid w:val="00A4504A"/>
    <w:rsid w:val="00A450A1"/>
    <w:rsid w:val="00A451AB"/>
    <w:rsid w:val="00A45245"/>
    <w:rsid w:val="00A4529B"/>
    <w:rsid w:val="00A45316"/>
    <w:rsid w:val="00A4537A"/>
    <w:rsid w:val="00A453DF"/>
    <w:rsid w:val="00A45425"/>
    <w:rsid w:val="00A45485"/>
    <w:rsid w:val="00A455C7"/>
    <w:rsid w:val="00A45767"/>
    <w:rsid w:val="00A4578D"/>
    <w:rsid w:val="00A457D3"/>
    <w:rsid w:val="00A457F4"/>
    <w:rsid w:val="00A4589E"/>
    <w:rsid w:val="00A45A2B"/>
    <w:rsid w:val="00A45A2F"/>
    <w:rsid w:val="00A45B67"/>
    <w:rsid w:val="00A45B71"/>
    <w:rsid w:val="00A45C97"/>
    <w:rsid w:val="00A45EAB"/>
    <w:rsid w:val="00A45EB5"/>
    <w:rsid w:val="00A45F2B"/>
    <w:rsid w:val="00A45F7B"/>
    <w:rsid w:val="00A46277"/>
    <w:rsid w:val="00A46283"/>
    <w:rsid w:val="00A462BA"/>
    <w:rsid w:val="00A462DF"/>
    <w:rsid w:val="00A46343"/>
    <w:rsid w:val="00A463D0"/>
    <w:rsid w:val="00A463EE"/>
    <w:rsid w:val="00A464CF"/>
    <w:rsid w:val="00A464E5"/>
    <w:rsid w:val="00A46507"/>
    <w:rsid w:val="00A46517"/>
    <w:rsid w:val="00A465D2"/>
    <w:rsid w:val="00A46623"/>
    <w:rsid w:val="00A466C1"/>
    <w:rsid w:val="00A467D4"/>
    <w:rsid w:val="00A46803"/>
    <w:rsid w:val="00A46958"/>
    <w:rsid w:val="00A46975"/>
    <w:rsid w:val="00A46A0E"/>
    <w:rsid w:val="00A46AA2"/>
    <w:rsid w:val="00A46D9B"/>
    <w:rsid w:val="00A46DD6"/>
    <w:rsid w:val="00A46DFD"/>
    <w:rsid w:val="00A46E1C"/>
    <w:rsid w:val="00A46E79"/>
    <w:rsid w:val="00A4703C"/>
    <w:rsid w:val="00A47098"/>
    <w:rsid w:val="00A4716E"/>
    <w:rsid w:val="00A471E0"/>
    <w:rsid w:val="00A47208"/>
    <w:rsid w:val="00A4720D"/>
    <w:rsid w:val="00A47283"/>
    <w:rsid w:val="00A47326"/>
    <w:rsid w:val="00A47424"/>
    <w:rsid w:val="00A47528"/>
    <w:rsid w:val="00A4767F"/>
    <w:rsid w:val="00A476BC"/>
    <w:rsid w:val="00A47706"/>
    <w:rsid w:val="00A47721"/>
    <w:rsid w:val="00A47764"/>
    <w:rsid w:val="00A477DA"/>
    <w:rsid w:val="00A4788D"/>
    <w:rsid w:val="00A478CC"/>
    <w:rsid w:val="00A47904"/>
    <w:rsid w:val="00A47920"/>
    <w:rsid w:val="00A479A5"/>
    <w:rsid w:val="00A47A96"/>
    <w:rsid w:val="00A47AA4"/>
    <w:rsid w:val="00A47BA8"/>
    <w:rsid w:val="00A47C94"/>
    <w:rsid w:val="00A47D11"/>
    <w:rsid w:val="00A47DC8"/>
    <w:rsid w:val="00A47E28"/>
    <w:rsid w:val="00A5002D"/>
    <w:rsid w:val="00A500F1"/>
    <w:rsid w:val="00A50145"/>
    <w:rsid w:val="00A50196"/>
    <w:rsid w:val="00A503A1"/>
    <w:rsid w:val="00A503DF"/>
    <w:rsid w:val="00A503E6"/>
    <w:rsid w:val="00A505FD"/>
    <w:rsid w:val="00A506E7"/>
    <w:rsid w:val="00A50704"/>
    <w:rsid w:val="00A508AB"/>
    <w:rsid w:val="00A509E2"/>
    <w:rsid w:val="00A50A40"/>
    <w:rsid w:val="00A50BF1"/>
    <w:rsid w:val="00A50C3D"/>
    <w:rsid w:val="00A50E8C"/>
    <w:rsid w:val="00A50ED8"/>
    <w:rsid w:val="00A50FDD"/>
    <w:rsid w:val="00A51107"/>
    <w:rsid w:val="00A5111E"/>
    <w:rsid w:val="00A51182"/>
    <w:rsid w:val="00A51197"/>
    <w:rsid w:val="00A512D9"/>
    <w:rsid w:val="00A5135B"/>
    <w:rsid w:val="00A51397"/>
    <w:rsid w:val="00A513C6"/>
    <w:rsid w:val="00A51424"/>
    <w:rsid w:val="00A5143A"/>
    <w:rsid w:val="00A5150B"/>
    <w:rsid w:val="00A5166B"/>
    <w:rsid w:val="00A51856"/>
    <w:rsid w:val="00A51858"/>
    <w:rsid w:val="00A5187E"/>
    <w:rsid w:val="00A518F0"/>
    <w:rsid w:val="00A519AD"/>
    <w:rsid w:val="00A519FD"/>
    <w:rsid w:val="00A51B2A"/>
    <w:rsid w:val="00A51C73"/>
    <w:rsid w:val="00A51DAC"/>
    <w:rsid w:val="00A51DB4"/>
    <w:rsid w:val="00A51E93"/>
    <w:rsid w:val="00A51F64"/>
    <w:rsid w:val="00A521D1"/>
    <w:rsid w:val="00A52225"/>
    <w:rsid w:val="00A5223E"/>
    <w:rsid w:val="00A522F1"/>
    <w:rsid w:val="00A52346"/>
    <w:rsid w:val="00A52399"/>
    <w:rsid w:val="00A52437"/>
    <w:rsid w:val="00A5259D"/>
    <w:rsid w:val="00A526BF"/>
    <w:rsid w:val="00A526CD"/>
    <w:rsid w:val="00A526D7"/>
    <w:rsid w:val="00A526EE"/>
    <w:rsid w:val="00A52937"/>
    <w:rsid w:val="00A52939"/>
    <w:rsid w:val="00A52A0D"/>
    <w:rsid w:val="00A52A87"/>
    <w:rsid w:val="00A52AFE"/>
    <w:rsid w:val="00A52C8C"/>
    <w:rsid w:val="00A52D53"/>
    <w:rsid w:val="00A52DC0"/>
    <w:rsid w:val="00A53180"/>
    <w:rsid w:val="00A53281"/>
    <w:rsid w:val="00A5328A"/>
    <w:rsid w:val="00A532A7"/>
    <w:rsid w:val="00A53311"/>
    <w:rsid w:val="00A53414"/>
    <w:rsid w:val="00A534A6"/>
    <w:rsid w:val="00A534F0"/>
    <w:rsid w:val="00A53552"/>
    <w:rsid w:val="00A535D1"/>
    <w:rsid w:val="00A53652"/>
    <w:rsid w:val="00A53735"/>
    <w:rsid w:val="00A537A2"/>
    <w:rsid w:val="00A537EE"/>
    <w:rsid w:val="00A53847"/>
    <w:rsid w:val="00A5387C"/>
    <w:rsid w:val="00A53884"/>
    <w:rsid w:val="00A5394A"/>
    <w:rsid w:val="00A539A3"/>
    <w:rsid w:val="00A539D5"/>
    <w:rsid w:val="00A539E5"/>
    <w:rsid w:val="00A53A09"/>
    <w:rsid w:val="00A53A46"/>
    <w:rsid w:val="00A53B24"/>
    <w:rsid w:val="00A53B3B"/>
    <w:rsid w:val="00A53B41"/>
    <w:rsid w:val="00A53C00"/>
    <w:rsid w:val="00A53C51"/>
    <w:rsid w:val="00A53C76"/>
    <w:rsid w:val="00A53CE3"/>
    <w:rsid w:val="00A53D4B"/>
    <w:rsid w:val="00A53DD8"/>
    <w:rsid w:val="00A53E36"/>
    <w:rsid w:val="00A53E50"/>
    <w:rsid w:val="00A53E78"/>
    <w:rsid w:val="00A53F40"/>
    <w:rsid w:val="00A53F52"/>
    <w:rsid w:val="00A53F7C"/>
    <w:rsid w:val="00A54047"/>
    <w:rsid w:val="00A5426D"/>
    <w:rsid w:val="00A54278"/>
    <w:rsid w:val="00A542A3"/>
    <w:rsid w:val="00A543D4"/>
    <w:rsid w:val="00A54444"/>
    <w:rsid w:val="00A54448"/>
    <w:rsid w:val="00A544E0"/>
    <w:rsid w:val="00A54581"/>
    <w:rsid w:val="00A5459F"/>
    <w:rsid w:val="00A5461A"/>
    <w:rsid w:val="00A548B8"/>
    <w:rsid w:val="00A548D7"/>
    <w:rsid w:val="00A548DA"/>
    <w:rsid w:val="00A54937"/>
    <w:rsid w:val="00A549CB"/>
    <w:rsid w:val="00A54A4E"/>
    <w:rsid w:val="00A54A9D"/>
    <w:rsid w:val="00A54AD0"/>
    <w:rsid w:val="00A54B1E"/>
    <w:rsid w:val="00A54B82"/>
    <w:rsid w:val="00A54C41"/>
    <w:rsid w:val="00A54DAD"/>
    <w:rsid w:val="00A54F99"/>
    <w:rsid w:val="00A54FC2"/>
    <w:rsid w:val="00A5505E"/>
    <w:rsid w:val="00A550CD"/>
    <w:rsid w:val="00A5510E"/>
    <w:rsid w:val="00A551C7"/>
    <w:rsid w:val="00A551D2"/>
    <w:rsid w:val="00A55206"/>
    <w:rsid w:val="00A55230"/>
    <w:rsid w:val="00A55461"/>
    <w:rsid w:val="00A5546F"/>
    <w:rsid w:val="00A555C8"/>
    <w:rsid w:val="00A55690"/>
    <w:rsid w:val="00A55713"/>
    <w:rsid w:val="00A55784"/>
    <w:rsid w:val="00A55805"/>
    <w:rsid w:val="00A5589D"/>
    <w:rsid w:val="00A5594B"/>
    <w:rsid w:val="00A559A7"/>
    <w:rsid w:val="00A559AF"/>
    <w:rsid w:val="00A55A8B"/>
    <w:rsid w:val="00A55A99"/>
    <w:rsid w:val="00A55B19"/>
    <w:rsid w:val="00A55C1E"/>
    <w:rsid w:val="00A55CC0"/>
    <w:rsid w:val="00A55CEF"/>
    <w:rsid w:val="00A55D34"/>
    <w:rsid w:val="00A55DD3"/>
    <w:rsid w:val="00A55E81"/>
    <w:rsid w:val="00A55E98"/>
    <w:rsid w:val="00A55EA8"/>
    <w:rsid w:val="00A55EC9"/>
    <w:rsid w:val="00A55F3C"/>
    <w:rsid w:val="00A5612A"/>
    <w:rsid w:val="00A561D5"/>
    <w:rsid w:val="00A56213"/>
    <w:rsid w:val="00A5627C"/>
    <w:rsid w:val="00A56288"/>
    <w:rsid w:val="00A5630B"/>
    <w:rsid w:val="00A56359"/>
    <w:rsid w:val="00A5649A"/>
    <w:rsid w:val="00A5656A"/>
    <w:rsid w:val="00A56613"/>
    <w:rsid w:val="00A5667A"/>
    <w:rsid w:val="00A56686"/>
    <w:rsid w:val="00A566E0"/>
    <w:rsid w:val="00A566F3"/>
    <w:rsid w:val="00A567E8"/>
    <w:rsid w:val="00A56886"/>
    <w:rsid w:val="00A569F4"/>
    <w:rsid w:val="00A56A18"/>
    <w:rsid w:val="00A56B33"/>
    <w:rsid w:val="00A56BA9"/>
    <w:rsid w:val="00A56D7F"/>
    <w:rsid w:val="00A56EA8"/>
    <w:rsid w:val="00A56F25"/>
    <w:rsid w:val="00A57051"/>
    <w:rsid w:val="00A57104"/>
    <w:rsid w:val="00A572AC"/>
    <w:rsid w:val="00A57308"/>
    <w:rsid w:val="00A57342"/>
    <w:rsid w:val="00A573A1"/>
    <w:rsid w:val="00A574DC"/>
    <w:rsid w:val="00A5757B"/>
    <w:rsid w:val="00A57637"/>
    <w:rsid w:val="00A57712"/>
    <w:rsid w:val="00A57722"/>
    <w:rsid w:val="00A5780E"/>
    <w:rsid w:val="00A57886"/>
    <w:rsid w:val="00A579A6"/>
    <w:rsid w:val="00A57A0D"/>
    <w:rsid w:val="00A57A3A"/>
    <w:rsid w:val="00A57BAE"/>
    <w:rsid w:val="00A57C1F"/>
    <w:rsid w:val="00A57CD1"/>
    <w:rsid w:val="00A57D30"/>
    <w:rsid w:val="00A57DA0"/>
    <w:rsid w:val="00A57DA7"/>
    <w:rsid w:val="00A57DEA"/>
    <w:rsid w:val="00A57E1C"/>
    <w:rsid w:val="00A57F03"/>
    <w:rsid w:val="00A57FC4"/>
    <w:rsid w:val="00A57FF6"/>
    <w:rsid w:val="00A60198"/>
    <w:rsid w:val="00A6019E"/>
    <w:rsid w:val="00A601A9"/>
    <w:rsid w:val="00A6023F"/>
    <w:rsid w:val="00A60250"/>
    <w:rsid w:val="00A604E8"/>
    <w:rsid w:val="00A604EB"/>
    <w:rsid w:val="00A6060B"/>
    <w:rsid w:val="00A6062C"/>
    <w:rsid w:val="00A60663"/>
    <w:rsid w:val="00A606E1"/>
    <w:rsid w:val="00A60736"/>
    <w:rsid w:val="00A60774"/>
    <w:rsid w:val="00A607B9"/>
    <w:rsid w:val="00A60852"/>
    <w:rsid w:val="00A60881"/>
    <w:rsid w:val="00A608BE"/>
    <w:rsid w:val="00A60903"/>
    <w:rsid w:val="00A60940"/>
    <w:rsid w:val="00A60949"/>
    <w:rsid w:val="00A609CF"/>
    <w:rsid w:val="00A60A10"/>
    <w:rsid w:val="00A60A28"/>
    <w:rsid w:val="00A60A9C"/>
    <w:rsid w:val="00A60B40"/>
    <w:rsid w:val="00A60CA2"/>
    <w:rsid w:val="00A60CCA"/>
    <w:rsid w:val="00A60D1F"/>
    <w:rsid w:val="00A60E06"/>
    <w:rsid w:val="00A60F1C"/>
    <w:rsid w:val="00A61077"/>
    <w:rsid w:val="00A61121"/>
    <w:rsid w:val="00A61257"/>
    <w:rsid w:val="00A61303"/>
    <w:rsid w:val="00A61315"/>
    <w:rsid w:val="00A6138A"/>
    <w:rsid w:val="00A613EC"/>
    <w:rsid w:val="00A613F6"/>
    <w:rsid w:val="00A61480"/>
    <w:rsid w:val="00A614B4"/>
    <w:rsid w:val="00A61607"/>
    <w:rsid w:val="00A61694"/>
    <w:rsid w:val="00A61744"/>
    <w:rsid w:val="00A617CE"/>
    <w:rsid w:val="00A61873"/>
    <w:rsid w:val="00A618A0"/>
    <w:rsid w:val="00A618B2"/>
    <w:rsid w:val="00A61930"/>
    <w:rsid w:val="00A61AC2"/>
    <w:rsid w:val="00A61C27"/>
    <w:rsid w:val="00A61C53"/>
    <w:rsid w:val="00A61D02"/>
    <w:rsid w:val="00A61D4F"/>
    <w:rsid w:val="00A61D5E"/>
    <w:rsid w:val="00A61DB9"/>
    <w:rsid w:val="00A61DC7"/>
    <w:rsid w:val="00A61F74"/>
    <w:rsid w:val="00A61F99"/>
    <w:rsid w:val="00A61FB0"/>
    <w:rsid w:val="00A62012"/>
    <w:rsid w:val="00A621C6"/>
    <w:rsid w:val="00A6220A"/>
    <w:rsid w:val="00A62252"/>
    <w:rsid w:val="00A62354"/>
    <w:rsid w:val="00A62669"/>
    <w:rsid w:val="00A6268F"/>
    <w:rsid w:val="00A626C7"/>
    <w:rsid w:val="00A627B1"/>
    <w:rsid w:val="00A62814"/>
    <w:rsid w:val="00A62843"/>
    <w:rsid w:val="00A62B9F"/>
    <w:rsid w:val="00A62BFD"/>
    <w:rsid w:val="00A62C20"/>
    <w:rsid w:val="00A62CF6"/>
    <w:rsid w:val="00A62EF5"/>
    <w:rsid w:val="00A6304D"/>
    <w:rsid w:val="00A630A9"/>
    <w:rsid w:val="00A630FD"/>
    <w:rsid w:val="00A6319A"/>
    <w:rsid w:val="00A63236"/>
    <w:rsid w:val="00A6330B"/>
    <w:rsid w:val="00A63337"/>
    <w:rsid w:val="00A63455"/>
    <w:rsid w:val="00A636E6"/>
    <w:rsid w:val="00A638BF"/>
    <w:rsid w:val="00A638DC"/>
    <w:rsid w:val="00A63A02"/>
    <w:rsid w:val="00A63A8C"/>
    <w:rsid w:val="00A63BE3"/>
    <w:rsid w:val="00A63C66"/>
    <w:rsid w:val="00A63C90"/>
    <w:rsid w:val="00A63D35"/>
    <w:rsid w:val="00A63D87"/>
    <w:rsid w:val="00A63DAD"/>
    <w:rsid w:val="00A63FC3"/>
    <w:rsid w:val="00A6403C"/>
    <w:rsid w:val="00A64047"/>
    <w:rsid w:val="00A64076"/>
    <w:rsid w:val="00A6408D"/>
    <w:rsid w:val="00A641F7"/>
    <w:rsid w:val="00A6422A"/>
    <w:rsid w:val="00A64281"/>
    <w:rsid w:val="00A64312"/>
    <w:rsid w:val="00A64384"/>
    <w:rsid w:val="00A64387"/>
    <w:rsid w:val="00A64388"/>
    <w:rsid w:val="00A64549"/>
    <w:rsid w:val="00A64555"/>
    <w:rsid w:val="00A645D3"/>
    <w:rsid w:val="00A6468B"/>
    <w:rsid w:val="00A64691"/>
    <w:rsid w:val="00A6470D"/>
    <w:rsid w:val="00A64715"/>
    <w:rsid w:val="00A648CA"/>
    <w:rsid w:val="00A648D2"/>
    <w:rsid w:val="00A64A72"/>
    <w:rsid w:val="00A64C9A"/>
    <w:rsid w:val="00A64CE5"/>
    <w:rsid w:val="00A64D7C"/>
    <w:rsid w:val="00A64DFA"/>
    <w:rsid w:val="00A64E2A"/>
    <w:rsid w:val="00A64E4C"/>
    <w:rsid w:val="00A64F84"/>
    <w:rsid w:val="00A65150"/>
    <w:rsid w:val="00A65250"/>
    <w:rsid w:val="00A6525D"/>
    <w:rsid w:val="00A6535D"/>
    <w:rsid w:val="00A6536B"/>
    <w:rsid w:val="00A65398"/>
    <w:rsid w:val="00A65413"/>
    <w:rsid w:val="00A654D3"/>
    <w:rsid w:val="00A6551C"/>
    <w:rsid w:val="00A655CE"/>
    <w:rsid w:val="00A655E2"/>
    <w:rsid w:val="00A65626"/>
    <w:rsid w:val="00A65688"/>
    <w:rsid w:val="00A656DB"/>
    <w:rsid w:val="00A657A0"/>
    <w:rsid w:val="00A6587E"/>
    <w:rsid w:val="00A6590D"/>
    <w:rsid w:val="00A65949"/>
    <w:rsid w:val="00A6599D"/>
    <w:rsid w:val="00A65A3C"/>
    <w:rsid w:val="00A65A96"/>
    <w:rsid w:val="00A65B43"/>
    <w:rsid w:val="00A65C23"/>
    <w:rsid w:val="00A65E4B"/>
    <w:rsid w:val="00A65E5E"/>
    <w:rsid w:val="00A65E8B"/>
    <w:rsid w:val="00A65EBB"/>
    <w:rsid w:val="00A65FBC"/>
    <w:rsid w:val="00A65FF3"/>
    <w:rsid w:val="00A660A4"/>
    <w:rsid w:val="00A6613C"/>
    <w:rsid w:val="00A66274"/>
    <w:rsid w:val="00A66395"/>
    <w:rsid w:val="00A663CF"/>
    <w:rsid w:val="00A663F4"/>
    <w:rsid w:val="00A66450"/>
    <w:rsid w:val="00A66537"/>
    <w:rsid w:val="00A6654D"/>
    <w:rsid w:val="00A66594"/>
    <w:rsid w:val="00A66606"/>
    <w:rsid w:val="00A66621"/>
    <w:rsid w:val="00A666AA"/>
    <w:rsid w:val="00A666FE"/>
    <w:rsid w:val="00A6675D"/>
    <w:rsid w:val="00A667C8"/>
    <w:rsid w:val="00A667F8"/>
    <w:rsid w:val="00A66874"/>
    <w:rsid w:val="00A66895"/>
    <w:rsid w:val="00A669C0"/>
    <w:rsid w:val="00A669FE"/>
    <w:rsid w:val="00A66ABD"/>
    <w:rsid w:val="00A66AFB"/>
    <w:rsid w:val="00A66B2B"/>
    <w:rsid w:val="00A66BD7"/>
    <w:rsid w:val="00A66D1E"/>
    <w:rsid w:val="00A66E0E"/>
    <w:rsid w:val="00A66E5F"/>
    <w:rsid w:val="00A66E85"/>
    <w:rsid w:val="00A66E8E"/>
    <w:rsid w:val="00A66F48"/>
    <w:rsid w:val="00A66F7E"/>
    <w:rsid w:val="00A67041"/>
    <w:rsid w:val="00A670F2"/>
    <w:rsid w:val="00A67259"/>
    <w:rsid w:val="00A67268"/>
    <w:rsid w:val="00A67273"/>
    <w:rsid w:val="00A67280"/>
    <w:rsid w:val="00A672C1"/>
    <w:rsid w:val="00A67311"/>
    <w:rsid w:val="00A6731B"/>
    <w:rsid w:val="00A67322"/>
    <w:rsid w:val="00A67360"/>
    <w:rsid w:val="00A67563"/>
    <w:rsid w:val="00A675AD"/>
    <w:rsid w:val="00A6765A"/>
    <w:rsid w:val="00A676BD"/>
    <w:rsid w:val="00A676FD"/>
    <w:rsid w:val="00A67753"/>
    <w:rsid w:val="00A67776"/>
    <w:rsid w:val="00A6777D"/>
    <w:rsid w:val="00A677C1"/>
    <w:rsid w:val="00A6781D"/>
    <w:rsid w:val="00A678B7"/>
    <w:rsid w:val="00A6791F"/>
    <w:rsid w:val="00A6793E"/>
    <w:rsid w:val="00A67AFB"/>
    <w:rsid w:val="00A67D83"/>
    <w:rsid w:val="00A67E62"/>
    <w:rsid w:val="00A67E64"/>
    <w:rsid w:val="00A67E67"/>
    <w:rsid w:val="00A67F90"/>
    <w:rsid w:val="00A67FB7"/>
    <w:rsid w:val="00A67FEB"/>
    <w:rsid w:val="00A702B5"/>
    <w:rsid w:val="00A702DF"/>
    <w:rsid w:val="00A70422"/>
    <w:rsid w:val="00A70515"/>
    <w:rsid w:val="00A70602"/>
    <w:rsid w:val="00A7061E"/>
    <w:rsid w:val="00A707D6"/>
    <w:rsid w:val="00A7088E"/>
    <w:rsid w:val="00A70898"/>
    <w:rsid w:val="00A709F6"/>
    <w:rsid w:val="00A70B18"/>
    <w:rsid w:val="00A70B8F"/>
    <w:rsid w:val="00A70BB7"/>
    <w:rsid w:val="00A70BEB"/>
    <w:rsid w:val="00A70C15"/>
    <w:rsid w:val="00A70D31"/>
    <w:rsid w:val="00A70F34"/>
    <w:rsid w:val="00A70FEA"/>
    <w:rsid w:val="00A7108A"/>
    <w:rsid w:val="00A71234"/>
    <w:rsid w:val="00A7127D"/>
    <w:rsid w:val="00A71291"/>
    <w:rsid w:val="00A712EA"/>
    <w:rsid w:val="00A712F2"/>
    <w:rsid w:val="00A7133A"/>
    <w:rsid w:val="00A71356"/>
    <w:rsid w:val="00A71374"/>
    <w:rsid w:val="00A716DC"/>
    <w:rsid w:val="00A71700"/>
    <w:rsid w:val="00A71825"/>
    <w:rsid w:val="00A71915"/>
    <w:rsid w:val="00A719D3"/>
    <w:rsid w:val="00A71A61"/>
    <w:rsid w:val="00A71A8D"/>
    <w:rsid w:val="00A71AB9"/>
    <w:rsid w:val="00A71B33"/>
    <w:rsid w:val="00A71B42"/>
    <w:rsid w:val="00A71B71"/>
    <w:rsid w:val="00A71C2B"/>
    <w:rsid w:val="00A71C41"/>
    <w:rsid w:val="00A71F08"/>
    <w:rsid w:val="00A71F0F"/>
    <w:rsid w:val="00A71F22"/>
    <w:rsid w:val="00A72084"/>
    <w:rsid w:val="00A720FB"/>
    <w:rsid w:val="00A72208"/>
    <w:rsid w:val="00A7221F"/>
    <w:rsid w:val="00A7222D"/>
    <w:rsid w:val="00A72344"/>
    <w:rsid w:val="00A72515"/>
    <w:rsid w:val="00A7254A"/>
    <w:rsid w:val="00A7267F"/>
    <w:rsid w:val="00A72732"/>
    <w:rsid w:val="00A727F4"/>
    <w:rsid w:val="00A72841"/>
    <w:rsid w:val="00A72978"/>
    <w:rsid w:val="00A7298F"/>
    <w:rsid w:val="00A72A04"/>
    <w:rsid w:val="00A72B5B"/>
    <w:rsid w:val="00A72B71"/>
    <w:rsid w:val="00A72C01"/>
    <w:rsid w:val="00A72CAE"/>
    <w:rsid w:val="00A72D14"/>
    <w:rsid w:val="00A72E0E"/>
    <w:rsid w:val="00A72E6F"/>
    <w:rsid w:val="00A72E8C"/>
    <w:rsid w:val="00A72ED6"/>
    <w:rsid w:val="00A73169"/>
    <w:rsid w:val="00A73185"/>
    <w:rsid w:val="00A7319E"/>
    <w:rsid w:val="00A731F2"/>
    <w:rsid w:val="00A73265"/>
    <w:rsid w:val="00A73295"/>
    <w:rsid w:val="00A7336B"/>
    <w:rsid w:val="00A733C6"/>
    <w:rsid w:val="00A733FF"/>
    <w:rsid w:val="00A734B1"/>
    <w:rsid w:val="00A734E2"/>
    <w:rsid w:val="00A73600"/>
    <w:rsid w:val="00A736BB"/>
    <w:rsid w:val="00A73700"/>
    <w:rsid w:val="00A738E2"/>
    <w:rsid w:val="00A7390D"/>
    <w:rsid w:val="00A73938"/>
    <w:rsid w:val="00A73A9F"/>
    <w:rsid w:val="00A73AC5"/>
    <w:rsid w:val="00A73B1E"/>
    <w:rsid w:val="00A73B65"/>
    <w:rsid w:val="00A73BE9"/>
    <w:rsid w:val="00A73BF5"/>
    <w:rsid w:val="00A73C32"/>
    <w:rsid w:val="00A73C7D"/>
    <w:rsid w:val="00A73D29"/>
    <w:rsid w:val="00A73DA1"/>
    <w:rsid w:val="00A73DA7"/>
    <w:rsid w:val="00A73E29"/>
    <w:rsid w:val="00A73FF4"/>
    <w:rsid w:val="00A740C7"/>
    <w:rsid w:val="00A74141"/>
    <w:rsid w:val="00A74188"/>
    <w:rsid w:val="00A741FF"/>
    <w:rsid w:val="00A743EB"/>
    <w:rsid w:val="00A74407"/>
    <w:rsid w:val="00A74506"/>
    <w:rsid w:val="00A74544"/>
    <w:rsid w:val="00A7454C"/>
    <w:rsid w:val="00A745A4"/>
    <w:rsid w:val="00A74696"/>
    <w:rsid w:val="00A746CF"/>
    <w:rsid w:val="00A74732"/>
    <w:rsid w:val="00A7474E"/>
    <w:rsid w:val="00A747AD"/>
    <w:rsid w:val="00A748A5"/>
    <w:rsid w:val="00A748D2"/>
    <w:rsid w:val="00A748D7"/>
    <w:rsid w:val="00A74937"/>
    <w:rsid w:val="00A74972"/>
    <w:rsid w:val="00A74995"/>
    <w:rsid w:val="00A74A0B"/>
    <w:rsid w:val="00A74A44"/>
    <w:rsid w:val="00A74A8E"/>
    <w:rsid w:val="00A74BAB"/>
    <w:rsid w:val="00A74BFE"/>
    <w:rsid w:val="00A74CF3"/>
    <w:rsid w:val="00A74D14"/>
    <w:rsid w:val="00A74D75"/>
    <w:rsid w:val="00A74E08"/>
    <w:rsid w:val="00A74E9D"/>
    <w:rsid w:val="00A7500E"/>
    <w:rsid w:val="00A75015"/>
    <w:rsid w:val="00A75044"/>
    <w:rsid w:val="00A7507D"/>
    <w:rsid w:val="00A7509D"/>
    <w:rsid w:val="00A750B6"/>
    <w:rsid w:val="00A751B8"/>
    <w:rsid w:val="00A7520E"/>
    <w:rsid w:val="00A752BA"/>
    <w:rsid w:val="00A75358"/>
    <w:rsid w:val="00A75476"/>
    <w:rsid w:val="00A754A0"/>
    <w:rsid w:val="00A754D0"/>
    <w:rsid w:val="00A755F5"/>
    <w:rsid w:val="00A7582A"/>
    <w:rsid w:val="00A75885"/>
    <w:rsid w:val="00A758E1"/>
    <w:rsid w:val="00A75990"/>
    <w:rsid w:val="00A759D9"/>
    <w:rsid w:val="00A75A47"/>
    <w:rsid w:val="00A75A66"/>
    <w:rsid w:val="00A75AF2"/>
    <w:rsid w:val="00A75B15"/>
    <w:rsid w:val="00A75BB6"/>
    <w:rsid w:val="00A75BD8"/>
    <w:rsid w:val="00A75C1C"/>
    <w:rsid w:val="00A75D77"/>
    <w:rsid w:val="00A75D97"/>
    <w:rsid w:val="00A75E41"/>
    <w:rsid w:val="00A75E90"/>
    <w:rsid w:val="00A75FAC"/>
    <w:rsid w:val="00A76057"/>
    <w:rsid w:val="00A760D5"/>
    <w:rsid w:val="00A7611B"/>
    <w:rsid w:val="00A76181"/>
    <w:rsid w:val="00A761E4"/>
    <w:rsid w:val="00A76241"/>
    <w:rsid w:val="00A762C1"/>
    <w:rsid w:val="00A76370"/>
    <w:rsid w:val="00A763D7"/>
    <w:rsid w:val="00A76477"/>
    <w:rsid w:val="00A76646"/>
    <w:rsid w:val="00A766AF"/>
    <w:rsid w:val="00A7676C"/>
    <w:rsid w:val="00A7697B"/>
    <w:rsid w:val="00A769AA"/>
    <w:rsid w:val="00A76A0F"/>
    <w:rsid w:val="00A76A91"/>
    <w:rsid w:val="00A76AF9"/>
    <w:rsid w:val="00A76C5D"/>
    <w:rsid w:val="00A76DC3"/>
    <w:rsid w:val="00A76E96"/>
    <w:rsid w:val="00A76EB7"/>
    <w:rsid w:val="00A76FB3"/>
    <w:rsid w:val="00A77053"/>
    <w:rsid w:val="00A770BF"/>
    <w:rsid w:val="00A7719D"/>
    <w:rsid w:val="00A771B8"/>
    <w:rsid w:val="00A77273"/>
    <w:rsid w:val="00A77414"/>
    <w:rsid w:val="00A7742A"/>
    <w:rsid w:val="00A775B9"/>
    <w:rsid w:val="00A775C5"/>
    <w:rsid w:val="00A7765B"/>
    <w:rsid w:val="00A77660"/>
    <w:rsid w:val="00A77757"/>
    <w:rsid w:val="00A778DB"/>
    <w:rsid w:val="00A77913"/>
    <w:rsid w:val="00A77951"/>
    <w:rsid w:val="00A7798E"/>
    <w:rsid w:val="00A77A20"/>
    <w:rsid w:val="00A77AAF"/>
    <w:rsid w:val="00A77AC6"/>
    <w:rsid w:val="00A77BF9"/>
    <w:rsid w:val="00A77C8E"/>
    <w:rsid w:val="00A77CDB"/>
    <w:rsid w:val="00A77D43"/>
    <w:rsid w:val="00A77D9A"/>
    <w:rsid w:val="00A77DA9"/>
    <w:rsid w:val="00A77E2A"/>
    <w:rsid w:val="00A77E34"/>
    <w:rsid w:val="00A77F01"/>
    <w:rsid w:val="00A77FDD"/>
    <w:rsid w:val="00A77FF7"/>
    <w:rsid w:val="00A80131"/>
    <w:rsid w:val="00A801E1"/>
    <w:rsid w:val="00A801F0"/>
    <w:rsid w:val="00A8023E"/>
    <w:rsid w:val="00A8036A"/>
    <w:rsid w:val="00A8046C"/>
    <w:rsid w:val="00A80508"/>
    <w:rsid w:val="00A805CB"/>
    <w:rsid w:val="00A805F7"/>
    <w:rsid w:val="00A80601"/>
    <w:rsid w:val="00A80669"/>
    <w:rsid w:val="00A8077D"/>
    <w:rsid w:val="00A80813"/>
    <w:rsid w:val="00A80823"/>
    <w:rsid w:val="00A808B8"/>
    <w:rsid w:val="00A8095F"/>
    <w:rsid w:val="00A809E3"/>
    <w:rsid w:val="00A80AAC"/>
    <w:rsid w:val="00A80ACD"/>
    <w:rsid w:val="00A80B3A"/>
    <w:rsid w:val="00A80BE9"/>
    <w:rsid w:val="00A80C24"/>
    <w:rsid w:val="00A80C69"/>
    <w:rsid w:val="00A80E3A"/>
    <w:rsid w:val="00A80E49"/>
    <w:rsid w:val="00A80F1B"/>
    <w:rsid w:val="00A80F5E"/>
    <w:rsid w:val="00A8100E"/>
    <w:rsid w:val="00A8107A"/>
    <w:rsid w:val="00A8122E"/>
    <w:rsid w:val="00A81350"/>
    <w:rsid w:val="00A81374"/>
    <w:rsid w:val="00A81385"/>
    <w:rsid w:val="00A813BD"/>
    <w:rsid w:val="00A814E1"/>
    <w:rsid w:val="00A814E5"/>
    <w:rsid w:val="00A81578"/>
    <w:rsid w:val="00A815FA"/>
    <w:rsid w:val="00A81603"/>
    <w:rsid w:val="00A81664"/>
    <w:rsid w:val="00A816AC"/>
    <w:rsid w:val="00A81758"/>
    <w:rsid w:val="00A817B8"/>
    <w:rsid w:val="00A817E7"/>
    <w:rsid w:val="00A81934"/>
    <w:rsid w:val="00A81A6F"/>
    <w:rsid w:val="00A81AA6"/>
    <w:rsid w:val="00A81B66"/>
    <w:rsid w:val="00A81BD4"/>
    <w:rsid w:val="00A81CE0"/>
    <w:rsid w:val="00A81D27"/>
    <w:rsid w:val="00A81DA7"/>
    <w:rsid w:val="00A81DE0"/>
    <w:rsid w:val="00A81E31"/>
    <w:rsid w:val="00A81EC3"/>
    <w:rsid w:val="00A81ED2"/>
    <w:rsid w:val="00A81EFE"/>
    <w:rsid w:val="00A81FB4"/>
    <w:rsid w:val="00A81FDA"/>
    <w:rsid w:val="00A82028"/>
    <w:rsid w:val="00A820FE"/>
    <w:rsid w:val="00A82136"/>
    <w:rsid w:val="00A821E3"/>
    <w:rsid w:val="00A82231"/>
    <w:rsid w:val="00A82372"/>
    <w:rsid w:val="00A82411"/>
    <w:rsid w:val="00A82482"/>
    <w:rsid w:val="00A824BB"/>
    <w:rsid w:val="00A82548"/>
    <w:rsid w:val="00A82701"/>
    <w:rsid w:val="00A82729"/>
    <w:rsid w:val="00A82792"/>
    <w:rsid w:val="00A827BA"/>
    <w:rsid w:val="00A827E6"/>
    <w:rsid w:val="00A8284C"/>
    <w:rsid w:val="00A82878"/>
    <w:rsid w:val="00A829E9"/>
    <w:rsid w:val="00A82A4D"/>
    <w:rsid w:val="00A82C8D"/>
    <w:rsid w:val="00A82D3D"/>
    <w:rsid w:val="00A82D7B"/>
    <w:rsid w:val="00A82D9C"/>
    <w:rsid w:val="00A82EEE"/>
    <w:rsid w:val="00A82F5A"/>
    <w:rsid w:val="00A82F9B"/>
    <w:rsid w:val="00A82FEC"/>
    <w:rsid w:val="00A83020"/>
    <w:rsid w:val="00A83066"/>
    <w:rsid w:val="00A831D7"/>
    <w:rsid w:val="00A83347"/>
    <w:rsid w:val="00A83411"/>
    <w:rsid w:val="00A8356C"/>
    <w:rsid w:val="00A835E1"/>
    <w:rsid w:val="00A8363F"/>
    <w:rsid w:val="00A836D3"/>
    <w:rsid w:val="00A83796"/>
    <w:rsid w:val="00A83928"/>
    <w:rsid w:val="00A83955"/>
    <w:rsid w:val="00A83A67"/>
    <w:rsid w:val="00A83B12"/>
    <w:rsid w:val="00A83BA1"/>
    <w:rsid w:val="00A83BFE"/>
    <w:rsid w:val="00A83C70"/>
    <w:rsid w:val="00A83CE4"/>
    <w:rsid w:val="00A83DA6"/>
    <w:rsid w:val="00A83E8C"/>
    <w:rsid w:val="00A83EC9"/>
    <w:rsid w:val="00A83F86"/>
    <w:rsid w:val="00A840A3"/>
    <w:rsid w:val="00A840C9"/>
    <w:rsid w:val="00A84125"/>
    <w:rsid w:val="00A841CD"/>
    <w:rsid w:val="00A843CD"/>
    <w:rsid w:val="00A8442A"/>
    <w:rsid w:val="00A8444F"/>
    <w:rsid w:val="00A84451"/>
    <w:rsid w:val="00A84471"/>
    <w:rsid w:val="00A84497"/>
    <w:rsid w:val="00A844E2"/>
    <w:rsid w:val="00A8455B"/>
    <w:rsid w:val="00A8460E"/>
    <w:rsid w:val="00A8482D"/>
    <w:rsid w:val="00A84853"/>
    <w:rsid w:val="00A8486D"/>
    <w:rsid w:val="00A84913"/>
    <w:rsid w:val="00A84A4A"/>
    <w:rsid w:val="00A84A61"/>
    <w:rsid w:val="00A84BAA"/>
    <w:rsid w:val="00A84C76"/>
    <w:rsid w:val="00A84DE3"/>
    <w:rsid w:val="00A84F34"/>
    <w:rsid w:val="00A84FB6"/>
    <w:rsid w:val="00A84FEB"/>
    <w:rsid w:val="00A850B4"/>
    <w:rsid w:val="00A85141"/>
    <w:rsid w:val="00A85161"/>
    <w:rsid w:val="00A851F7"/>
    <w:rsid w:val="00A8529B"/>
    <w:rsid w:val="00A852CB"/>
    <w:rsid w:val="00A85343"/>
    <w:rsid w:val="00A853ED"/>
    <w:rsid w:val="00A8547A"/>
    <w:rsid w:val="00A85494"/>
    <w:rsid w:val="00A854C8"/>
    <w:rsid w:val="00A85552"/>
    <w:rsid w:val="00A85584"/>
    <w:rsid w:val="00A855EE"/>
    <w:rsid w:val="00A85671"/>
    <w:rsid w:val="00A856E8"/>
    <w:rsid w:val="00A857A3"/>
    <w:rsid w:val="00A85937"/>
    <w:rsid w:val="00A859D4"/>
    <w:rsid w:val="00A85A2B"/>
    <w:rsid w:val="00A85AAC"/>
    <w:rsid w:val="00A85B60"/>
    <w:rsid w:val="00A85BC3"/>
    <w:rsid w:val="00A85C14"/>
    <w:rsid w:val="00A85C66"/>
    <w:rsid w:val="00A85C8C"/>
    <w:rsid w:val="00A85D21"/>
    <w:rsid w:val="00A85D53"/>
    <w:rsid w:val="00A85DAF"/>
    <w:rsid w:val="00A85DEE"/>
    <w:rsid w:val="00A85E5A"/>
    <w:rsid w:val="00A8600F"/>
    <w:rsid w:val="00A86034"/>
    <w:rsid w:val="00A86096"/>
    <w:rsid w:val="00A860F2"/>
    <w:rsid w:val="00A860FF"/>
    <w:rsid w:val="00A86109"/>
    <w:rsid w:val="00A8610A"/>
    <w:rsid w:val="00A86152"/>
    <w:rsid w:val="00A8616D"/>
    <w:rsid w:val="00A86212"/>
    <w:rsid w:val="00A86288"/>
    <w:rsid w:val="00A8634A"/>
    <w:rsid w:val="00A86441"/>
    <w:rsid w:val="00A86477"/>
    <w:rsid w:val="00A864A1"/>
    <w:rsid w:val="00A864C0"/>
    <w:rsid w:val="00A865DA"/>
    <w:rsid w:val="00A866EA"/>
    <w:rsid w:val="00A867C9"/>
    <w:rsid w:val="00A867EA"/>
    <w:rsid w:val="00A868AD"/>
    <w:rsid w:val="00A86AB4"/>
    <w:rsid w:val="00A86B1C"/>
    <w:rsid w:val="00A86DCC"/>
    <w:rsid w:val="00A86E73"/>
    <w:rsid w:val="00A87070"/>
    <w:rsid w:val="00A87096"/>
    <w:rsid w:val="00A870A9"/>
    <w:rsid w:val="00A870E4"/>
    <w:rsid w:val="00A8740E"/>
    <w:rsid w:val="00A8754B"/>
    <w:rsid w:val="00A8764F"/>
    <w:rsid w:val="00A8768C"/>
    <w:rsid w:val="00A8774F"/>
    <w:rsid w:val="00A8776A"/>
    <w:rsid w:val="00A877A6"/>
    <w:rsid w:val="00A87877"/>
    <w:rsid w:val="00A87887"/>
    <w:rsid w:val="00A87888"/>
    <w:rsid w:val="00A878D3"/>
    <w:rsid w:val="00A87A2D"/>
    <w:rsid w:val="00A87A88"/>
    <w:rsid w:val="00A87BDA"/>
    <w:rsid w:val="00A87F4E"/>
    <w:rsid w:val="00A87FA0"/>
    <w:rsid w:val="00A90008"/>
    <w:rsid w:val="00A90010"/>
    <w:rsid w:val="00A9011A"/>
    <w:rsid w:val="00A9014B"/>
    <w:rsid w:val="00A90278"/>
    <w:rsid w:val="00A902DD"/>
    <w:rsid w:val="00A9038E"/>
    <w:rsid w:val="00A903B0"/>
    <w:rsid w:val="00A90445"/>
    <w:rsid w:val="00A9045F"/>
    <w:rsid w:val="00A9047C"/>
    <w:rsid w:val="00A904B1"/>
    <w:rsid w:val="00A90500"/>
    <w:rsid w:val="00A90579"/>
    <w:rsid w:val="00A905B8"/>
    <w:rsid w:val="00A905C1"/>
    <w:rsid w:val="00A90712"/>
    <w:rsid w:val="00A90914"/>
    <w:rsid w:val="00A90956"/>
    <w:rsid w:val="00A909F5"/>
    <w:rsid w:val="00A90AFA"/>
    <w:rsid w:val="00A90BB6"/>
    <w:rsid w:val="00A90C5F"/>
    <w:rsid w:val="00A90C9E"/>
    <w:rsid w:val="00A90D09"/>
    <w:rsid w:val="00A90D15"/>
    <w:rsid w:val="00A91096"/>
    <w:rsid w:val="00A9111D"/>
    <w:rsid w:val="00A91168"/>
    <w:rsid w:val="00A91196"/>
    <w:rsid w:val="00A91210"/>
    <w:rsid w:val="00A912BF"/>
    <w:rsid w:val="00A913EB"/>
    <w:rsid w:val="00A91505"/>
    <w:rsid w:val="00A91651"/>
    <w:rsid w:val="00A91679"/>
    <w:rsid w:val="00A9168E"/>
    <w:rsid w:val="00A91697"/>
    <w:rsid w:val="00A916F6"/>
    <w:rsid w:val="00A91724"/>
    <w:rsid w:val="00A91788"/>
    <w:rsid w:val="00A919A8"/>
    <w:rsid w:val="00A91A0A"/>
    <w:rsid w:val="00A91A78"/>
    <w:rsid w:val="00A91AB3"/>
    <w:rsid w:val="00A91AEA"/>
    <w:rsid w:val="00A91C1A"/>
    <w:rsid w:val="00A91C24"/>
    <w:rsid w:val="00A91CAD"/>
    <w:rsid w:val="00A91DEC"/>
    <w:rsid w:val="00A91EC8"/>
    <w:rsid w:val="00A91FD5"/>
    <w:rsid w:val="00A9205A"/>
    <w:rsid w:val="00A920D9"/>
    <w:rsid w:val="00A920F6"/>
    <w:rsid w:val="00A9216E"/>
    <w:rsid w:val="00A921BA"/>
    <w:rsid w:val="00A9225A"/>
    <w:rsid w:val="00A92354"/>
    <w:rsid w:val="00A92482"/>
    <w:rsid w:val="00A9248E"/>
    <w:rsid w:val="00A92571"/>
    <w:rsid w:val="00A92573"/>
    <w:rsid w:val="00A925A0"/>
    <w:rsid w:val="00A92658"/>
    <w:rsid w:val="00A92667"/>
    <w:rsid w:val="00A926A3"/>
    <w:rsid w:val="00A926D2"/>
    <w:rsid w:val="00A9275D"/>
    <w:rsid w:val="00A92907"/>
    <w:rsid w:val="00A9290A"/>
    <w:rsid w:val="00A92A89"/>
    <w:rsid w:val="00A92AB0"/>
    <w:rsid w:val="00A92CAF"/>
    <w:rsid w:val="00A92D0E"/>
    <w:rsid w:val="00A92D15"/>
    <w:rsid w:val="00A92DAC"/>
    <w:rsid w:val="00A92E86"/>
    <w:rsid w:val="00A92EEA"/>
    <w:rsid w:val="00A92F37"/>
    <w:rsid w:val="00A93033"/>
    <w:rsid w:val="00A93129"/>
    <w:rsid w:val="00A931A2"/>
    <w:rsid w:val="00A93276"/>
    <w:rsid w:val="00A9328B"/>
    <w:rsid w:val="00A932C7"/>
    <w:rsid w:val="00A93302"/>
    <w:rsid w:val="00A93303"/>
    <w:rsid w:val="00A93381"/>
    <w:rsid w:val="00A933ED"/>
    <w:rsid w:val="00A934E5"/>
    <w:rsid w:val="00A935AF"/>
    <w:rsid w:val="00A935E9"/>
    <w:rsid w:val="00A93627"/>
    <w:rsid w:val="00A936AD"/>
    <w:rsid w:val="00A9374F"/>
    <w:rsid w:val="00A937C1"/>
    <w:rsid w:val="00A93863"/>
    <w:rsid w:val="00A938C9"/>
    <w:rsid w:val="00A93958"/>
    <w:rsid w:val="00A93A17"/>
    <w:rsid w:val="00A93ABC"/>
    <w:rsid w:val="00A93AE5"/>
    <w:rsid w:val="00A93B88"/>
    <w:rsid w:val="00A93BCB"/>
    <w:rsid w:val="00A93C45"/>
    <w:rsid w:val="00A93C75"/>
    <w:rsid w:val="00A93C98"/>
    <w:rsid w:val="00A93DD8"/>
    <w:rsid w:val="00A93E32"/>
    <w:rsid w:val="00A94462"/>
    <w:rsid w:val="00A94500"/>
    <w:rsid w:val="00A94554"/>
    <w:rsid w:val="00A945D4"/>
    <w:rsid w:val="00A945ED"/>
    <w:rsid w:val="00A9480C"/>
    <w:rsid w:val="00A94883"/>
    <w:rsid w:val="00A94895"/>
    <w:rsid w:val="00A94953"/>
    <w:rsid w:val="00A94961"/>
    <w:rsid w:val="00A94A4E"/>
    <w:rsid w:val="00A94AB5"/>
    <w:rsid w:val="00A94AD6"/>
    <w:rsid w:val="00A94AFA"/>
    <w:rsid w:val="00A94B05"/>
    <w:rsid w:val="00A94B7C"/>
    <w:rsid w:val="00A94B80"/>
    <w:rsid w:val="00A94D08"/>
    <w:rsid w:val="00A94D17"/>
    <w:rsid w:val="00A94DFC"/>
    <w:rsid w:val="00A94E61"/>
    <w:rsid w:val="00A94EE1"/>
    <w:rsid w:val="00A94FED"/>
    <w:rsid w:val="00A95064"/>
    <w:rsid w:val="00A95091"/>
    <w:rsid w:val="00A95200"/>
    <w:rsid w:val="00A95298"/>
    <w:rsid w:val="00A952C3"/>
    <w:rsid w:val="00A952E3"/>
    <w:rsid w:val="00A9532C"/>
    <w:rsid w:val="00A953BF"/>
    <w:rsid w:val="00A953EE"/>
    <w:rsid w:val="00A955AE"/>
    <w:rsid w:val="00A95643"/>
    <w:rsid w:val="00A956E6"/>
    <w:rsid w:val="00A957D5"/>
    <w:rsid w:val="00A958BC"/>
    <w:rsid w:val="00A958C5"/>
    <w:rsid w:val="00A958F8"/>
    <w:rsid w:val="00A959E9"/>
    <w:rsid w:val="00A95B07"/>
    <w:rsid w:val="00A95B25"/>
    <w:rsid w:val="00A95B9D"/>
    <w:rsid w:val="00A95BB6"/>
    <w:rsid w:val="00A95BC0"/>
    <w:rsid w:val="00A95C34"/>
    <w:rsid w:val="00A95CF7"/>
    <w:rsid w:val="00A95F29"/>
    <w:rsid w:val="00A95FFA"/>
    <w:rsid w:val="00A96035"/>
    <w:rsid w:val="00A96059"/>
    <w:rsid w:val="00A962A0"/>
    <w:rsid w:val="00A962C1"/>
    <w:rsid w:val="00A9631C"/>
    <w:rsid w:val="00A96345"/>
    <w:rsid w:val="00A96359"/>
    <w:rsid w:val="00A9638E"/>
    <w:rsid w:val="00A963D5"/>
    <w:rsid w:val="00A963F1"/>
    <w:rsid w:val="00A96478"/>
    <w:rsid w:val="00A964DC"/>
    <w:rsid w:val="00A96691"/>
    <w:rsid w:val="00A966CE"/>
    <w:rsid w:val="00A96929"/>
    <w:rsid w:val="00A96A58"/>
    <w:rsid w:val="00A96AB0"/>
    <w:rsid w:val="00A96B1B"/>
    <w:rsid w:val="00A96C5F"/>
    <w:rsid w:val="00A96CC5"/>
    <w:rsid w:val="00A96D20"/>
    <w:rsid w:val="00A96DAF"/>
    <w:rsid w:val="00A96DD6"/>
    <w:rsid w:val="00A96E29"/>
    <w:rsid w:val="00A96EF2"/>
    <w:rsid w:val="00A96F78"/>
    <w:rsid w:val="00A97002"/>
    <w:rsid w:val="00A9723D"/>
    <w:rsid w:val="00A97348"/>
    <w:rsid w:val="00A973A7"/>
    <w:rsid w:val="00A973AD"/>
    <w:rsid w:val="00A97456"/>
    <w:rsid w:val="00A974B4"/>
    <w:rsid w:val="00A974CA"/>
    <w:rsid w:val="00A97570"/>
    <w:rsid w:val="00A975E1"/>
    <w:rsid w:val="00A97610"/>
    <w:rsid w:val="00A9764C"/>
    <w:rsid w:val="00A97731"/>
    <w:rsid w:val="00A977DD"/>
    <w:rsid w:val="00A97826"/>
    <w:rsid w:val="00A9784A"/>
    <w:rsid w:val="00A9785D"/>
    <w:rsid w:val="00A97885"/>
    <w:rsid w:val="00A978BE"/>
    <w:rsid w:val="00A978DA"/>
    <w:rsid w:val="00A97923"/>
    <w:rsid w:val="00A97A3B"/>
    <w:rsid w:val="00A97A9B"/>
    <w:rsid w:val="00A97B30"/>
    <w:rsid w:val="00A97CEE"/>
    <w:rsid w:val="00A97EC6"/>
    <w:rsid w:val="00AA0124"/>
    <w:rsid w:val="00AA0162"/>
    <w:rsid w:val="00AA0194"/>
    <w:rsid w:val="00AA01D5"/>
    <w:rsid w:val="00AA0219"/>
    <w:rsid w:val="00AA028C"/>
    <w:rsid w:val="00AA02E6"/>
    <w:rsid w:val="00AA0352"/>
    <w:rsid w:val="00AA0457"/>
    <w:rsid w:val="00AA048A"/>
    <w:rsid w:val="00AA0499"/>
    <w:rsid w:val="00AA05CE"/>
    <w:rsid w:val="00AA05F3"/>
    <w:rsid w:val="00AA05FD"/>
    <w:rsid w:val="00AA05FF"/>
    <w:rsid w:val="00AA0812"/>
    <w:rsid w:val="00AA0851"/>
    <w:rsid w:val="00AA0963"/>
    <w:rsid w:val="00AA0967"/>
    <w:rsid w:val="00AA098E"/>
    <w:rsid w:val="00AA09A6"/>
    <w:rsid w:val="00AA0A20"/>
    <w:rsid w:val="00AA0A30"/>
    <w:rsid w:val="00AA0A71"/>
    <w:rsid w:val="00AA0AB2"/>
    <w:rsid w:val="00AA0B77"/>
    <w:rsid w:val="00AA0C08"/>
    <w:rsid w:val="00AA0CA1"/>
    <w:rsid w:val="00AA0D22"/>
    <w:rsid w:val="00AA0D6D"/>
    <w:rsid w:val="00AA0DB4"/>
    <w:rsid w:val="00AA0DDD"/>
    <w:rsid w:val="00AA1022"/>
    <w:rsid w:val="00AA11F4"/>
    <w:rsid w:val="00AA1202"/>
    <w:rsid w:val="00AA1320"/>
    <w:rsid w:val="00AA1412"/>
    <w:rsid w:val="00AA1454"/>
    <w:rsid w:val="00AA1496"/>
    <w:rsid w:val="00AA15C3"/>
    <w:rsid w:val="00AA16E7"/>
    <w:rsid w:val="00AA174C"/>
    <w:rsid w:val="00AA18E6"/>
    <w:rsid w:val="00AA18EB"/>
    <w:rsid w:val="00AA1951"/>
    <w:rsid w:val="00AA1963"/>
    <w:rsid w:val="00AA19B0"/>
    <w:rsid w:val="00AA1A58"/>
    <w:rsid w:val="00AA1B0B"/>
    <w:rsid w:val="00AA1B6F"/>
    <w:rsid w:val="00AA1BE8"/>
    <w:rsid w:val="00AA1C04"/>
    <w:rsid w:val="00AA1D55"/>
    <w:rsid w:val="00AA1DA8"/>
    <w:rsid w:val="00AA1DCF"/>
    <w:rsid w:val="00AA1E43"/>
    <w:rsid w:val="00AA1E9B"/>
    <w:rsid w:val="00AA1F1F"/>
    <w:rsid w:val="00AA1F7C"/>
    <w:rsid w:val="00AA1F80"/>
    <w:rsid w:val="00AA1F90"/>
    <w:rsid w:val="00AA2029"/>
    <w:rsid w:val="00AA20EA"/>
    <w:rsid w:val="00AA2132"/>
    <w:rsid w:val="00AA2219"/>
    <w:rsid w:val="00AA2289"/>
    <w:rsid w:val="00AA22B4"/>
    <w:rsid w:val="00AA22BC"/>
    <w:rsid w:val="00AA22EA"/>
    <w:rsid w:val="00AA23B2"/>
    <w:rsid w:val="00AA2426"/>
    <w:rsid w:val="00AA24A3"/>
    <w:rsid w:val="00AA24DB"/>
    <w:rsid w:val="00AA2542"/>
    <w:rsid w:val="00AA258C"/>
    <w:rsid w:val="00AA25C3"/>
    <w:rsid w:val="00AA26BA"/>
    <w:rsid w:val="00AA27EA"/>
    <w:rsid w:val="00AA28F1"/>
    <w:rsid w:val="00AA29D9"/>
    <w:rsid w:val="00AA29F2"/>
    <w:rsid w:val="00AA2A62"/>
    <w:rsid w:val="00AA2B7F"/>
    <w:rsid w:val="00AA2BD9"/>
    <w:rsid w:val="00AA2CE4"/>
    <w:rsid w:val="00AA2CFC"/>
    <w:rsid w:val="00AA2D34"/>
    <w:rsid w:val="00AA2E40"/>
    <w:rsid w:val="00AA2E64"/>
    <w:rsid w:val="00AA2EB0"/>
    <w:rsid w:val="00AA2F2C"/>
    <w:rsid w:val="00AA2F50"/>
    <w:rsid w:val="00AA2F5C"/>
    <w:rsid w:val="00AA2F74"/>
    <w:rsid w:val="00AA3047"/>
    <w:rsid w:val="00AA3119"/>
    <w:rsid w:val="00AA3143"/>
    <w:rsid w:val="00AA31C0"/>
    <w:rsid w:val="00AA3243"/>
    <w:rsid w:val="00AA3260"/>
    <w:rsid w:val="00AA3339"/>
    <w:rsid w:val="00AA335D"/>
    <w:rsid w:val="00AA3375"/>
    <w:rsid w:val="00AA3526"/>
    <w:rsid w:val="00AA35E7"/>
    <w:rsid w:val="00AA3615"/>
    <w:rsid w:val="00AA369B"/>
    <w:rsid w:val="00AA36DC"/>
    <w:rsid w:val="00AA3707"/>
    <w:rsid w:val="00AA3721"/>
    <w:rsid w:val="00AA37CF"/>
    <w:rsid w:val="00AA394B"/>
    <w:rsid w:val="00AA3A38"/>
    <w:rsid w:val="00AA3A83"/>
    <w:rsid w:val="00AA3AA1"/>
    <w:rsid w:val="00AA3B67"/>
    <w:rsid w:val="00AA3B82"/>
    <w:rsid w:val="00AA3B9A"/>
    <w:rsid w:val="00AA3F07"/>
    <w:rsid w:val="00AA3F90"/>
    <w:rsid w:val="00AA3FDD"/>
    <w:rsid w:val="00AA4130"/>
    <w:rsid w:val="00AA41C5"/>
    <w:rsid w:val="00AA42FA"/>
    <w:rsid w:val="00AA4342"/>
    <w:rsid w:val="00AA43AF"/>
    <w:rsid w:val="00AA4446"/>
    <w:rsid w:val="00AA462F"/>
    <w:rsid w:val="00AA466A"/>
    <w:rsid w:val="00AA4719"/>
    <w:rsid w:val="00AA4720"/>
    <w:rsid w:val="00AA4733"/>
    <w:rsid w:val="00AA4783"/>
    <w:rsid w:val="00AA480E"/>
    <w:rsid w:val="00AA4860"/>
    <w:rsid w:val="00AA4909"/>
    <w:rsid w:val="00AA490C"/>
    <w:rsid w:val="00AA4A09"/>
    <w:rsid w:val="00AA4A3E"/>
    <w:rsid w:val="00AA4AB2"/>
    <w:rsid w:val="00AA4BCD"/>
    <w:rsid w:val="00AA4D2A"/>
    <w:rsid w:val="00AA4D68"/>
    <w:rsid w:val="00AA4E19"/>
    <w:rsid w:val="00AA50BD"/>
    <w:rsid w:val="00AA5171"/>
    <w:rsid w:val="00AA52AC"/>
    <w:rsid w:val="00AA52D0"/>
    <w:rsid w:val="00AA5327"/>
    <w:rsid w:val="00AA5381"/>
    <w:rsid w:val="00AA53A2"/>
    <w:rsid w:val="00AA5482"/>
    <w:rsid w:val="00AA5493"/>
    <w:rsid w:val="00AA5495"/>
    <w:rsid w:val="00AA55FB"/>
    <w:rsid w:val="00AA57A2"/>
    <w:rsid w:val="00AA5829"/>
    <w:rsid w:val="00AA58AF"/>
    <w:rsid w:val="00AA5A78"/>
    <w:rsid w:val="00AA5B83"/>
    <w:rsid w:val="00AA5BBB"/>
    <w:rsid w:val="00AA5C69"/>
    <w:rsid w:val="00AA5C9A"/>
    <w:rsid w:val="00AA5CED"/>
    <w:rsid w:val="00AA5DB3"/>
    <w:rsid w:val="00AA5DC7"/>
    <w:rsid w:val="00AA5EAE"/>
    <w:rsid w:val="00AA5EC9"/>
    <w:rsid w:val="00AA5EF4"/>
    <w:rsid w:val="00AA5F5C"/>
    <w:rsid w:val="00AA5F8C"/>
    <w:rsid w:val="00AA5FFD"/>
    <w:rsid w:val="00AA6012"/>
    <w:rsid w:val="00AA6023"/>
    <w:rsid w:val="00AA604D"/>
    <w:rsid w:val="00AA60C7"/>
    <w:rsid w:val="00AA60DA"/>
    <w:rsid w:val="00AA6110"/>
    <w:rsid w:val="00AA613F"/>
    <w:rsid w:val="00AA6156"/>
    <w:rsid w:val="00AA622A"/>
    <w:rsid w:val="00AA6363"/>
    <w:rsid w:val="00AA63E9"/>
    <w:rsid w:val="00AA63EA"/>
    <w:rsid w:val="00AA64C5"/>
    <w:rsid w:val="00AA655E"/>
    <w:rsid w:val="00AA65F3"/>
    <w:rsid w:val="00AA66CB"/>
    <w:rsid w:val="00AA66DD"/>
    <w:rsid w:val="00AA6724"/>
    <w:rsid w:val="00AA6869"/>
    <w:rsid w:val="00AA68BE"/>
    <w:rsid w:val="00AA6999"/>
    <w:rsid w:val="00AA6A76"/>
    <w:rsid w:val="00AA6AB6"/>
    <w:rsid w:val="00AA6BFF"/>
    <w:rsid w:val="00AA6C15"/>
    <w:rsid w:val="00AA6D39"/>
    <w:rsid w:val="00AA6D52"/>
    <w:rsid w:val="00AA6D87"/>
    <w:rsid w:val="00AA6DF7"/>
    <w:rsid w:val="00AA6E41"/>
    <w:rsid w:val="00AA6EB4"/>
    <w:rsid w:val="00AA6EF9"/>
    <w:rsid w:val="00AA6F53"/>
    <w:rsid w:val="00AA7085"/>
    <w:rsid w:val="00AA7215"/>
    <w:rsid w:val="00AA72BD"/>
    <w:rsid w:val="00AA7379"/>
    <w:rsid w:val="00AA7395"/>
    <w:rsid w:val="00AA73F3"/>
    <w:rsid w:val="00AA740B"/>
    <w:rsid w:val="00AA7483"/>
    <w:rsid w:val="00AA7504"/>
    <w:rsid w:val="00AA75BC"/>
    <w:rsid w:val="00AA7629"/>
    <w:rsid w:val="00AA7652"/>
    <w:rsid w:val="00AA767F"/>
    <w:rsid w:val="00AA768D"/>
    <w:rsid w:val="00AA76BC"/>
    <w:rsid w:val="00AA7723"/>
    <w:rsid w:val="00AA7796"/>
    <w:rsid w:val="00AA7798"/>
    <w:rsid w:val="00AA77BD"/>
    <w:rsid w:val="00AA7B00"/>
    <w:rsid w:val="00AA7B16"/>
    <w:rsid w:val="00AA7B8F"/>
    <w:rsid w:val="00AA7D00"/>
    <w:rsid w:val="00AA7DE4"/>
    <w:rsid w:val="00AA7EFD"/>
    <w:rsid w:val="00AA7F69"/>
    <w:rsid w:val="00AA7FED"/>
    <w:rsid w:val="00AB0017"/>
    <w:rsid w:val="00AB0041"/>
    <w:rsid w:val="00AB011E"/>
    <w:rsid w:val="00AB0169"/>
    <w:rsid w:val="00AB0194"/>
    <w:rsid w:val="00AB01DD"/>
    <w:rsid w:val="00AB0206"/>
    <w:rsid w:val="00AB0373"/>
    <w:rsid w:val="00AB03AA"/>
    <w:rsid w:val="00AB03DB"/>
    <w:rsid w:val="00AB047C"/>
    <w:rsid w:val="00AB0578"/>
    <w:rsid w:val="00AB058A"/>
    <w:rsid w:val="00AB05BE"/>
    <w:rsid w:val="00AB0620"/>
    <w:rsid w:val="00AB06D9"/>
    <w:rsid w:val="00AB06E2"/>
    <w:rsid w:val="00AB06ED"/>
    <w:rsid w:val="00AB0708"/>
    <w:rsid w:val="00AB0836"/>
    <w:rsid w:val="00AB0949"/>
    <w:rsid w:val="00AB096E"/>
    <w:rsid w:val="00AB0A98"/>
    <w:rsid w:val="00AB0B02"/>
    <w:rsid w:val="00AB0B08"/>
    <w:rsid w:val="00AB0B23"/>
    <w:rsid w:val="00AB0BE5"/>
    <w:rsid w:val="00AB0D1A"/>
    <w:rsid w:val="00AB0D20"/>
    <w:rsid w:val="00AB0DE8"/>
    <w:rsid w:val="00AB0E5B"/>
    <w:rsid w:val="00AB0E9C"/>
    <w:rsid w:val="00AB0F51"/>
    <w:rsid w:val="00AB10DF"/>
    <w:rsid w:val="00AB10FF"/>
    <w:rsid w:val="00AB1355"/>
    <w:rsid w:val="00AB1412"/>
    <w:rsid w:val="00AB1531"/>
    <w:rsid w:val="00AB154B"/>
    <w:rsid w:val="00AB1579"/>
    <w:rsid w:val="00AB1627"/>
    <w:rsid w:val="00AB162E"/>
    <w:rsid w:val="00AB16DE"/>
    <w:rsid w:val="00AB180B"/>
    <w:rsid w:val="00AB185C"/>
    <w:rsid w:val="00AB186C"/>
    <w:rsid w:val="00AB1874"/>
    <w:rsid w:val="00AB194C"/>
    <w:rsid w:val="00AB1980"/>
    <w:rsid w:val="00AB1A1B"/>
    <w:rsid w:val="00AB1A55"/>
    <w:rsid w:val="00AB1AA4"/>
    <w:rsid w:val="00AB1AD5"/>
    <w:rsid w:val="00AB1AFB"/>
    <w:rsid w:val="00AB1B26"/>
    <w:rsid w:val="00AB1BC0"/>
    <w:rsid w:val="00AB1C23"/>
    <w:rsid w:val="00AB1D4D"/>
    <w:rsid w:val="00AB1D92"/>
    <w:rsid w:val="00AB1DCF"/>
    <w:rsid w:val="00AB1DE5"/>
    <w:rsid w:val="00AB1E3B"/>
    <w:rsid w:val="00AB1EEF"/>
    <w:rsid w:val="00AB1FF3"/>
    <w:rsid w:val="00AB200B"/>
    <w:rsid w:val="00AB200C"/>
    <w:rsid w:val="00AB2084"/>
    <w:rsid w:val="00AB21D0"/>
    <w:rsid w:val="00AB21D9"/>
    <w:rsid w:val="00AB220E"/>
    <w:rsid w:val="00AB2235"/>
    <w:rsid w:val="00AB23EE"/>
    <w:rsid w:val="00AB23F0"/>
    <w:rsid w:val="00AB24D5"/>
    <w:rsid w:val="00AB2592"/>
    <w:rsid w:val="00AB25A3"/>
    <w:rsid w:val="00AB2623"/>
    <w:rsid w:val="00AB2642"/>
    <w:rsid w:val="00AB2653"/>
    <w:rsid w:val="00AB2697"/>
    <w:rsid w:val="00AB26AC"/>
    <w:rsid w:val="00AB2792"/>
    <w:rsid w:val="00AB27A6"/>
    <w:rsid w:val="00AB28FD"/>
    <w:rsid w:val="00AB292E"/>
    <w:rsid w:val="00AB2AE6"/>
    <w:rsid w:val="00AB2B4F"/>
    <w:rsid w:val="00AB2C1F"/>
    <w:rsid w:val="00AB2C3E"/>
    <w:rsid w:val="00AB2CA2"/>
    <w:rsid w:val="00AB2CB2"/>
    <w:rsid w:val="00AB2CC6"/>
    <w:rsid w:val="00AB2D01"/>
    <w:rsid w:val="00AB2DAF"/>
    <w:rsid w:val="00AB2DCC"/>
    <w:rsid w:val="00AB2DF5"/>
    <w:rsid w:val="00AB2E6B"/>
    <w:rsid w:val="00AB2EB0"/>
    <w:rsid w:val="00AB2EB3"/>
    <w:rsid w:val="00AB2FA8"/>
    <w:rsid w:val="00AB30DF"/>
    <w:rsid w:val="00AB30F3"/>
    <w:rsid w:val="00AB3155"/>
    <w:rsid w:val="00AB31F0"/>
    <w:rsid w:val="00AB327E"/>
    <w:rsid w:val="00AB32CB"/>
    <w:rsid w:val="00AB32F7"/>
    <w:rsid w:val="00AB33FF"/>
    <w:rsid w:val="00AB3410"/>
    <w:rsid w:val="00AB34AD"/>
    <w:rsid w:val="00AB34AE"/>
    <w:rsid w:val="00AB34B7"/>
    <w:rsid w:val="00AB34C9"/>
    <w:rsid w:val="00AB3559"/>
    <w:rsid w:val="00AB359F"/>
    <w:rsid w:val="00AB360B"/>
    <w:rsid w:val="00AB366F"/>
    <w:rsid w:val="00AB37A0"/>
    <w:rsid w:val="00AB37C1"/>
    <w:rsid w:val="00AB3819"/>
    <w:rsid w:val="00AB386E"/>
    <w:rsid w:val="00AB3985"/>
    <w:rsid w:val="00AB39F5"/>
    <w:rsid w:val="00AB3A13"/>
    <w:rsid w:val="00AB3A8A"/>
    <w:rsid w:val="00AB3AE8"/>
    <w:rsid w:val="00AB3C90"/>
    <w:rsid w:val="00AB3DD7"/>
    <w:rsid w:val="00AB3E3B"/>
    <w:rsid w:val="00AB3EBC"/>
    <w:rsid w:val="00AB3F09"/>
    <w:rsid w:val="00AB3F18"/>
    <w:rsid w:val="00AB3F36"/>
    <w:rsid w:val="00AB3F8A"/>
    <w:rsid w:val="00AB3F90"/>
    <w:rsid w:val="00AB4113"/>
    <w:rsid w:val="00AB414B"/>
    <w:rsid w:val="00AB4173"/>
    <w:rsid w:val="00AB41AB"/>
    <w:rsid w:val="00AB41FE"/>
    <w:rsid w:val="00AB4217"/>
    <w:rsid w:val="00AB42B9"/>
    <w:rsid w:val="00AB4394"/>
    <w:rsid w:val="00AB444F"/>
    <w:rsid w:val="00AB4538"/>
    <w:rsid w:val="00AB4550"/>
    <w:rsid w:val="00AB464B"/>
    <w:rsid w:val="00AB4735"/>
    <w:rsid w:val="00AB473E"/>
    <w:rsid w:val="00AB478F"/>
    <w:rsid w:val="00AB4894"/>
    <w:rsid w:val="00AB48DA"/>
    <w:rsid w:val="00AB490A"/>
    <w:rsid w:val="00AB4948"/>
    <w:rsid w:val="00AB4967"/>
    <w:rsid w:val="00AB4983"/>
    <w:rsid w:val="00AB49C0"/>
    <w:rsid w:val="00AB49DE"/>
    <w:rsid w:val="00AB4B9D"/>
    <w:rsid w:val="00AB4C08"/>
    <w:rsid w:val="00AB4C87"/>
    <w:rsid w:val="00AB4C8F"/>
    <w:rsid w:val="00AB4D41"/>
    <w:rsid w:val="00AB4D65"/>
    <w:rsid w:val="00AB4D90"/>
    <w:rsid w:val="00AB4DDB"/>
    <w:rsid w:val="00AB4E44"/>
    <w:rsid w:val="00AB4ED5"/>
    <w:rsid w:val="00AB4F44"/>
    <w:rsid w:val="00AB4F61"/>
    <w:rsid w:val="00AB4FCD"/>
    <w:rsid w:val="00AB500C"/>
    <w:rsid w:val="00AB50E5"/>
    <w:rsid w:val="00AB5152"/>
    <w:rsid w:val="00AB516C"/>
    <w:rsid w:val="00AB51F8"/>
    <w:rsid w:val="00AB53E5"/>
    <w:rsid w:val="00AB5432"/>
    <w:rsid w:val="00AB5610"/>
    <w:rsid w:val="00AB565F"/>
    <w:rsid w:val="00AB5735"/>
    <w:rsid w:val="00AB57A2"/>
    <w:rsid w:val="00AB5829"/>
    <w:rsid w:val="00AB5842"/>
    <w:rsid w:val="00AB5893"/>
    <w:rsid w:val="00AB58F9"/>
    <w:rsid w:val="00AB5A00"/>
    <w:rsid w:val="00AB5ABF"/>
    <w:rsid w:val="00AB5AFD"/>
    <w:rsid w:val="00AB5C30"/>
    <w:rsid w:val="00AB5C64"/>
    <w:rsid w:val="00AB5CB4"/>
    <w:rsid w:val="00AB5EEC"/>
    <w:rsid w:val="00AB60A7"/>
    <w:rsid w:val="00AB614D"/>
    <w:rsid w:val="00AB6185"/>
    <w:rsid w:val="00AB6193"/>
    <w:rsid w:val="00AB61C5"/>
    <w:rsid w:val="00AB627D"/>
    <w:rsid w:val="00AB6297"/>
    <w:rsid w:val="00AB6311"/>
    <w:rsid w:val="00AB63A9"/>
    <w:rsid w:val="00AB643F"/>
    <w:rsid w:val="00AB6581"/>
    <w:rsid w:val="00AB6596"/>
    <w:rsid w:val="00AB666B"/>
    <w:rsid w:val="00AB66DC"/>
    <w:rsid w:val="00AB66FB"/>
    <w:rsid w:val="00AB6725"/>
    <w:rsid w:val="00AB6999"/>
    <w:rsid w:val="00AB699B"/>
    <w:rsid w:val="00AB6AF7"/>
    <w:rsid w:val="00AB6B0A"/>
    <w:rsid w:val="00AB6BC8"/>
    <w:rsid w:val="00AB6BF1"/>
    <w:rsid w:val="00AB6C30"/>
    <w:rsid w:val="00AB6C4D"/>
    <w:rsid w:val="00AB6CF2"/>
    <w:rsid w:val="00AB6D04"/>
    <w:rsid w:val="00AB6D20"/>
    <w:rsid w:val="00AB6D86"/>
    <w:rsid w:val="00AB6E63"/>
    <w:rsid w:val="00AB7047"/>
    <w:rsid w:val="00AB70C5"/>
    <w:rsid w:val="00AB71A7"/>
    <w:rsid w:val="00AB71EF"/>
    <w:rsid w:val="00AB729A"/>
    <w:rsid w:val="00AB7450"/>
    <w:rsid w:val="00AB74BC"/>
    <w:rsid w:val="00AB769D"/>
    <w:rsid w:val="00AB76DF"/>
    <w:rsid w:val="00AB7748"/>
    <w:rsid w:val="00AB7776"/>
    <w:rsid w:val="00AB7943"/>
    <w:rsid w:val="00AB7951"/>
    <w:rsid w:val="00AB7AAA"/>
    <w:rsid w:val="00AB7C08"/>
    <w:rsid w:val="00AB7C9C"/>
    <w:rsid w:val="00AB7CDA"/>
    <w:rsid w:val="00AB7D02"/>
    <w:rsid w:val="00AB7EE4"/>
    <w:rsid w:val="00AC0070"/>
    <w:rsid w:val="00AC0280"/>
    <w:rsid w:val="00AC02A5"/>
    <w:rsid w:val="00AC02F1"/>
    <w:rsid w:val="00AC03BF"/>
    <w:rsid w:val="00AC040F"/>
    <w:rsid w:val="00AC043C"/>
    <w:rsid w:val="00AC0517"/>
    <w:rsid w:val="00AC0551"/>
    <w:rsid w:val="00AC0684"/>
    <w:rsid w:val="00AC0686"/>
    <w:rsid w:val="00AC06E1"/>
    <w:rsid w:val="00AC075D"/>
    <w:rsid w:val="00AC0764"/>
    <w:rsid w:val="00AC0786"/>
    <w:rsid w:val="00AC078D"/>
    <w:rsid w:val="00AC09C9"/>
    <w:rsid w:val="00AC0AE6"/>
    <w:rsid w:val="00AC0B70"/>
    <w:rsid w:val="00AC0C4D"/>
    <w:rsid w:val="00AC0C7A"/>
    <w:rsid w:val="00AC0CA3"/>
    <w:rsid w:val="00AC0D51"/>
    <w:rsid w:val="00AC0EE5"/>
    <w:rsid w:val="00AC0EF3"/>
    <w:rsid w:val="00AC0F5C"/>
    <w:rsid w:val="00AC11DD"/>
    <w:rsid w:val="00AC11FF"/>
    <w:rsid w:val="00AC1249"/>
    <w:rsid w:val="00AC1295"/>
    <w:rsid w:val="00AC12D0"/>
    <w:rsid w:val="00AC12F9"/>
    <w:rsid w:val="00AC13B4"/>
    <w:rsid w:val="00AC1437"/>
    <w:rsid w:val="00AC14AA"/>
    <w:rsid w:val="00AC1522"/>
    <w:rsid w:val="00AC156B"/>
    <w:rsid w:val="00AC174E"/>
    <w:rsid w:val="00AC1767"/>
    <w:rsid w:val="00AC1777"/>
    <w:rsid w:val="00AC1814"/>
    <w:rsid w:val="00AC18D9"/>
    <w:rsid w:val="00AC19D1"/>
    <w:rsid w:val="00AC19FD"/>
    <w:rsid w:val="00AC1A4F"/>
    <w:rsid w:val="00AC1B81"/>
    <w:rsid w:val="00AC1BC5"/>
    <w:rsid w:val="00AC1C28"/>
    <w:rsid w:val="00AC1C59"/>
    <w:rsid w:val="00AC1CB5"/>
    <w:rsid w:val="00AC1CC7"/>
    <w:rsid w:val="00AC1D55"/>
    <w:rsid w:val="00AC1D84"/>
    <w:rsid w:val="00AC1DD0"/>
    <w:rsid w:val="00AC1DE9"/>
    <w:rsid w:val="00AC1E3A"/>
    <w:rsid w:val="00AC1E5A"/>
    <w:rsid w:val="00AC1F4D"/>
    <w:rsid w:val="00AC2013"/>
    <w:rsid w:val="00AC2062"/>
    <w:rsid w:val="00AC213B"/>
    <w:rsid w:val="00AC22BF"/>
    <w:rsid w:val="00AC2363"/>
    <w:rsid w:val="00AC23C9"/>
    <w:rsid w:val="00AC23D5"/>
    <w:rsid w:val="00AC23EA"/>
    <w:rsid w:val="00AC245B"/>
    <w:rsid w:val="00AC2508"/>
    <w:rsid w:val="00AC2543"/>
    <w:rsid w:val="00AC2587"/>
    <w:rsid w:val="00AC2603"/>
    <w:rsid w:val="00AC2671"/>
    <w:rsid w:val="00AC268B"/>
    <w:rsid w:val="00AC26AF"/>
    <w:rsid w:val="00AC26BA"/>
    <w:rsid w:val="00AC274D"/>
    <w:rsid w:val="00AC27E5"/>
    <w:rsid w:val="00AC27F3"/>
    <w:rsid w:val="00AC28BD"/>
    <w:rsid w:val="00AC2910"/>
    <w:rsid w:val="00AC294C"/>
    <w:rsid w:val="00AC2A5F"/>
    <w:rsid w:val="00AC2D47"/>
    <w:rsid w:val="00AC2D4F"/>
    <w:rsid w:val="00AC2E91"/>
    <w:rsid w:val="00AC2EE3"/>
    <w:rsid w:val="00AC2FD8"/>
    <w:rsid w:val="00AC308D"/>
    <w:rsid w:val="00AC320A"/>
    <w:rsid w:val="00AC32B8"/>
    <w:rsid w:val="00AC3376"/>
    <w:rsid w:val="00AC33DD"/>
    <w:rsid w:val="00AC33DF"/>
    <w:rsid w:val="00AC3481"/>
    <w:rsid w:val="00AC3549"/>
    <w:rsid w:val="00AC3551"/>
    <w:rsid w:val="00AC35B9"/>
    <w:rsid w:val="00AC362D"/>
    <w:rsid w:val="00AC3632"/>
    <w:rsid w:val="00AC3709"/>
    <w:rsid w:val="00AC3751"/>
    <w:rsid w:val="00AC3804"/>
    <w:rsid w:val="00AC38CB"/>
    <w:rsid w:val="00AC3956"/>
    <w:rsid w:val="00AC39BF"/>
    <w:rsid w:val="00AC39CC"/>
    <w:rsid w:val="00AC3B67"/>
    <w:rsid w:val="00AC3B87"/>
    <w:rsid w:val="00AC3F41"/>
    <w:rsid w:val="00AC3F6C"/>
    <w:rsid w:val="00AC3F84"/>
    <w:rsid w:val="00AC3FD7"/>
    <w:rsid w:val="00AC4034"/>
    <w:rsid w:val="00AC405A"/>
    <w:rsid w:val="00AC4250"/>
    <w:rsid w:val="00AC429D"/>
    <w:rsid w:val="00AC4367"/>
    <w:rsid w:val="00AC4461"/>
    <w:rsid w:val="00AC4465"/>
    <w:rsid w:val="00AC4605"/>
    <w:rsid w:val="00AC46F2"/>
    <w:rsid w:val="00AC47CC"/>
    <w:rsid w:val="00AC4931"/>
    <w:rsid w:val="00AC4A0E"/>
    <w:rsid w:val="00AC4B2B"/>
    <w:rsid w:val="00AC4B30"/>
    <w:rsid w:val="00AC4B4C"/>
    <w:rsid w:val="00AC4C0B"/>
    <w:rsid w:val="00AC4D54"/>
    <w:rsid w:val="00AC4D92"/>
    <w:rsid w:val="00AC4E76"/>
    <w:rsid w:val="00AC4EA5"/>
    <w:rsid w:val="00AC4EE2"/>
    <w:rsid w:val="00AC4EF2"/>
    <w:rsid w:val="00AC4F8F"/>
    <w:rsid w:val="00AC50AC"/>
    <w:rsid w:val="00AC5130"/>
    <w:rsid w:val="00AC517C"/>
    <w:rsid w:val="00AC51C6"/>
    <w:rsid w:val="00AC51C9"/>
    <w:rsid w:val="00AC52AE"/>
    <w:rsid w:val="00AC53F4"/>
    <w:rsid w:val="00AC5420"/>
    <w:rsid w:val="00AC5461"/>
    <w:rsid w:val="00AC5473"/>
    <w:rsid w:val="00AC551C"/>
    <w:rsid w:val="00AC554A"/>
    <w:rsid w:val="00AC5769"/>
    <w:rsid w:val="00AC57A9"/>
    <w:rsid w:val="00AC581B"/>
    <w:rsid w:val="00AC583C"/>
    <w:rsid w:val="00AC5849"/>
    <w:rsid w:val="00AC58CC"/>
    <w:rsid w:val="00AC59D6"/>
    <w:rsid w:val="00AC5A39"/>
    <w:rsid w:val="00AC5B40"/>
    <w:rsid w:val="00AC5C29"/>
    <w:rsid w:val="00AC5C83"/>
    <w:rsid w:val="00AC5C90"/>
    <w:rsid w:val="00AC5D2E"/>
    <w:rsid w:val="00AC5FA9"/>
    <w:rsid w:val="00AC5FE0"/>
    <w:rsid w:val="00AC6068"/>
    <w:rsid w:val="00AC6079"/>
    <w:rsid w:val="00AC616F"/>
    <w:rsid w:val="00AC6173"/>
    <w:rsid w:val="00AC61B5"/>
    <w:rsid w:val="00AC628F"/>
    <w:rsid w:val="00AC6306"/>
    <w:rsid w:val="00AC63D5"/>
    <w:rsid w:val="00AC63E5"/>
    <w:rsid w:val="00AC63F1"/>
    <w:rsid w:val="00AC6548"/>
    <w:rsid w:val="00AC6589"/>
    <w:rsid w:val="00AC65CC"/>
    <w:rsid w:val="00AC6643"/>
    <w:rsid w:val="00AC676E"/>
    <w:rsid w:val="00AC679D"/>
    <w:rsid w:val="00AC6AB8"/>
    <w:rsid w:val="00AC6B2C"/>
    <w:rsid w:val="00AC6B4F"/>
    <w:rsid w:val="00AC6C71"/>
    <w:rsid w:val="00AC6CBB"/>
    <w:rsid w:val="00AC6DAA"/>
    <w:rsid w:val="00AC6EA6"/>
    <w:rsid w:val="00AC6F05"/>
    <w:rsid w:val="00AC7060"/>
    <w:rsid w:val="00AC721F"/>
    <w:rsid w:val="00AC7220"/>
    <w:rsid w:val="00AC72BC"/>
    <w:rsid w:val="00AC72CC"/>
    <w:rsid w:val="00AC72E4"/>
    <w:rsid w:val="00AC7303"/>
    <w:rsid w:val="00AC74B4"/>
    <w:rsid w:val="00AC74CB"/>
    <w:rsid w:val="00AC74E9"/>
    <w:rsid w:val="00AC74ED"/>
    <w:rsid w:val="00AC75B2"/>
    <w:rsid w:val="00AC7673"/>
    <w:rsid w:val="00AC7868"/>
    <w:rsid w:val="00AC7983"/>
    <w:rsid w:val="00AC79B8"/>
    <w:rsid w:val="00AC7AC6"/>
    <w:rsid w:val="00AC7AEC"/>
    <w:rsid w:val="00AC7BA1"/>
    <w:rsid w:val="00AC7D0C"/>
    <w:rsid w:val="00AC7D88"/>
    <w:rsid w:val="00AC7EA5"/>
    <w:rsid w:val="00AC7F40"/>
    <w:rsid w:val="00AC7F6A"/>
    <w:rsid w:val="00AC7FB4"/>
    <w:rsid w:val="00AD00A3"/>
    <w:rsid w:val="00AD0276"/>
    <w:rsid w:val="00AD02AD"/>
    <w:rsid w:val="00AD0335"/>
    <w:rsid w:val="00AD03B5"/>
    <w:rsid w:val="00AD0429"/>
    <w:rsid w:val="00AD04A4"/>
    <w:rsid w:val="00AD04E0"/>
    <w:rsid w:val="00AD064E"/>
    <w:rsid w:val="00AD0657"/>
    <w:rsid w:val="00AD0699"/>
    <w:rsid w:val="00AD06BA"/>
    <w:rsid w:val="00AD06CD"/>
    <w:rsid w:val="00AD06EF"/>
    <w:rsid w:val="00AD074F"/>
    <w:rsid w:val="00AD0781"/>
    <w:rsid w:val="00AD07CA"/>
    <w:rsid w:val="00AD084A"/>
    <w:rsid w:val="00AD08A9"/>
    <w:rsid w:val="00AD08B4"/>
    <w:rsid w:val="00AD095E"/>
    <w:rsid w:val="00AD0ACE"/>
    <w:rsid w:val="00AD0B1A"/>
    <w:rsid w:val="00AD0B24"/>
    <w:rsid w:val="00AD0C3A"/>
    <w:rsid w:val="00AD0C55"/>
    <w:rsid w:val="00AD0DD8"/>
    <w:rsid w:val="00AD0E2C"/>
    <w:rsid w:val="00AD0E33"/>
    <w:rsid w:val="00AD0EEF"/>
    <w:rsid w:val="00AD0F35"/>
    <w:rsid w:val="00AD0FC5"/>
    <w:rsid w:val="00AD1136"/>
    <w:rsid w:val="00AD11D9"/>
    <w:rsid w:val="00AD11E8"/>
    <w:rsid w:val="00AD11EA"/>
    <w:rsid w:val="00AD126B"/>
    <w:rsid w:val="00AD135E"/>
    <w:rsid w:val="00AD1398"/>
    <w:rsid w:val="00AD14BF"/>
    <w:rsid w:val="00AD1517"/>
    <w:rsid w:val="00AD1585"/>
    <w:rsid w:val="00AD15E3"/>
    <w:rsid w:val="00AD1630"/>
    <w:rsid w:val="00AD1641"/>
    <w:rsid w:val="00AD1657"/>
    <w:rsid w:val="00AD1666"/>
    <w:rsid w:val="00AD16C4"/>
    <w:rsid w:val="00AD16F6"/>
    <w:rsid w:val="00AD172B"/>
    <w:rsid w:val="00AD17DB"/>
    <w:rsid w:val="00AD17E3"/>
    <w:rsid w:val="00AD18FC"/>
    <w:rsid w:val="00AD1940"/>
    <w:rsid w:val="00AD1C9C"/>
    <w:rsid w:val="00AD1D54"/>
    <w:rsid w:val="00AD1D61"/>
    <w:rsid w:val="00AD1EE5"/>
    <w:rsid w:val="00AD2039"/>
    <w:rsid w:val="00AD2092"/>
    <w:rsid w:val="00AD20DD"/>
    <w:rsid w:val="00AD2177"/>
    <w:rsid w:val="00AD217D"/>
    <w:rsid w:val="00AD218E"/>
    <w:rsid w:val="00AD2211"/>
    <w:rsid w:val="00AD22A8"/>
    <w:rsid w:val="00AD2345"/>
    <w:rsid w:val="00AD234E"/>
    <w:rsid w:val="00AD2522"/>
    <w:rsid w:val="00AD25FA"/>
    <w:rsid w:val="00AD25FE"/>
    <w:rsid w:val="00AD260F"/>
    <w:rsid w:val="00AD26D4"/>
    <w:rsid w:val="00AD270A"/>
    <w:rsid w:val="00AD2A45"/>
    <w:rsid w:val="00AD2B63"/>
    <w:rsid w:val="00AD2B75"/>
    <w:rsid w:val="00AD2C60"/>
    <w:rsid w:val="00AD2D68"/>
    <w:rsid w:val="00AD302D"/>
    <w:rsid w:val="00AD30FE"/>
    <w:rsid w:val="00AD3116"/>
    <w:rsid w:val="00AD312D"/>
    <w:rsid w:val="00AD3148"/>
    <w:rsid w:val="00AD31EF"/>
    <w:rsid w:val="00AD31F8"/>
    <w:rsid w:val="00AD3273"/>
    <w:rsid w:val="00AD3391"/>
    <w:rsid w:val="00AD33B8"/>
    <w:rsid w:val="00AD342C"/>
    <w:rsid w:val="00AD34D7"/>
    <w:rsid w:val="00AD3506"/>
    <w:rsid w:val="00AD368E"/>
    <w:rsid w:val="00AD36DB"/>
    <w:rsid w:val="00AD377F"/>
    <w:rsid w:val="00AD3974"/>
    <w:rsid w:val="00AD3A5B"/>
    <w:rsid w:val="00AD3AF2"/>
    <w:rsid w:val="00AD3B4E"/>
    <w:rsid w:val="00AD3BC8"/>
    <w:rsid w:val="00AD3C41"/>
    <w:rsid w:val="00AD3DB2"/>
    <w:rsid w:val="00AD3E46"/>
    <w:rsid w:val="00AD3F84"/>
    <w:rsid w:val="00AD3FD7"/>
    <w:rsid w:val="00AD4093"/>
    <w:rsid w:val="00AD40FA"/>
    <w:rsid w:val="00AD4146"/>
    <w:rsid w:val="00AD41E9"/>
    <w:rsid w:val="00AD42A9"/>
    <w:rsid w:val="00AD430C"/>
    <w:rsid w:val="00AD4331"/>
    <w:rsid w:val="00AD43C9"/>
    <w:rsid w:val="00AD43E8"/>
    <w:rsid w:val="00AD43FC"/>
    <w:rsid w:val="00AD44CA"/>
    <w:rsid w:val="00AD4529"/>
    <w:rsid w:val="00AD45C2"/>
    <w:rsid w:val="00AD47C2"/>
    <w:rsid w:val="00AD4941"/>
    <w:rsid w:val="00AD4974"/>
    <w:rsid w:val="00AD4B31"/>
    <w:rsid w:val="00AD4B84"/>
    <w:rsid w:val="00AD4CA9"/>
    <w:rsid w:val="00AD4E65"/>
    <w:rsid w:val="00AD4F4C"/>
    <w:rsid w:val="00AD4FE0"/>
    <w:rsid w:val="00AD4FF7"/>
    <w:rsid w:val="00AD5050"/>
    <w:rsid w:val="00AD519F"/>
    <w:rsid w:val="00AD5299"/>
    <w:rsid w:val="00AD52C9"/>
    <w:rsid w:val="00AD5322"/>
    <w:rsid w:val="00AD53B1"/>
    <w:rsid w:val="00AD53BB"/>
    <w:rsid w:val="00AD5456"/>
    <w:rsid w:val="00AD546F"/>
    <w:rsid w:val="00AD56A7"/>
    <w:rsid w:val="00AD56B4"/>
    <w:rsid w:val="00AD56FB"/>
    <w:rsid w:val="00AD570C"/>
    <w:rsid w:val="00AD5830"/>
    <w:rsid w:val="00AD58D7"/>
    <w:rsid w:val="00AD596C"/>
    <w:rsid w:val="00AD5ACE"/>
    <w:rsid w:val="00AD5AF3"/>
    <w:rsid w:val="00AD5B91"/>
    <w:rsid w:val="00AD5C5E"/>
    <w:rsid w:val="00AD5CB8"/>
    <w:rsid w:val="00AD5CCD"/>
    <w:rsid w:val="00AD5CF0"/>
    <w:rsid w:val="00AD5E76"/>
    <w:rsid w:val="00AD5EB4"/>
    <w:rsid w:val="00AD5FD7"/>
    <w:rsid w:val="00AD5FF8"/>
    <w:rsid w:val="00AD603A"/>
    <w:rsid w:val="00AD603B"/>
    <w:rsid w:val="00AD605E"/>
    <w:rsid w:val="00AD613D"/>
    <w:rsid w:val="00AD6148"/>
    <w:rsid w:val="00AD616C"/>
    <w:rsid w:val="00AD61B7"/>
    <w:rsid w:val="00AD61E7"/>
    <w:rsid w:val="00AD61F1"/>
    <w:rsid w:val="00AD61F8"/>
    <w:rsid w:val="00AD63AD"/>
    <w:rsid w:val="00AD6459"/>
    <w:rsid w:val="00AD654D"/>
    <w:rsid w:val="00AD6574"/>
    <w:rsid w:val="00AD65B1"/>
    <w:rsid w:val="00AD6676"/>
    <w:rsid w:val="00AD66FF"/>
    <w:rsid w:val="00AD675D"/>
    <w:rsid w:val="00AD6787"/>
    <w:rsid w:val="00AD687F"/>
    <w:rsid w:val="00AD690D"/>
    <w:rsid w:val="00AD694A"/>
    <w:rsid w:val="00AD6B0B"/>
    <w:rsid w:val="00AD6B16"/>
    <w:rsid w:val="00AD6B23"/>
    <w:rsid w:val="00AD6B6B"/>
    <w:rsid w:val="00AD6D0C"/>
    <w:rsid w:val="00AD6D28"/>
    <w:rsid w:val="00AD6D66"/>
    <w:rsid w:val="00AD6D6A"/>
    <w:rsid w:val="00AD6D72"/>
    <w:rsid w:val="00AD6DB7"/>
    <w:rsid w:val="00AD6E26"/>
    <w:rsid w:val="00AD6E4A"/>
    <w:rsid w:val="00AD6E52"/>
    <w:rsid w:val="00AD6EA0"/>
    <w:rsid w:val="00AD6EA8"/>
    <w:rsid w:val="00AD6EE8"/>
    <w:rsid w:val="00AD6F4E"/>
    <w:rsid w:val="00AD7087"/>
    <w:rsid w:val="00AD7089"/>
    <w:rsid w:val="00AD71EA"/>
    <w:rsid w:val="00AD724A"/>
    <w:rsid w:val="00AD728E"/>
    <w:rsid w:val="00AD7366"/>
    <w:rsid w:val="00AD737E"/>
    <w:rsid w:val="00AD7401"/>
    <w:rsid w:val="00AD7452"/>
    <w:rsid w:val="00AD7454"/>
    <w:rsid w:val="00AD74D3"/>
    <w:rsid w:val="00AD77BE"/>
    <w:rsid w:val="00AD783D"/>
    <w:rsid w:val="00AD7956"/>
    <w:rsid w:val="00AD7A01"/>
    <w:rsid w:val="00AD7A4D"/>
    <w:rsid w:val="00AD7A6A"/>
    <w:rsid w:val="00AD7A98"/>
    <w:rsid w:val="00AD7ADA"/>
    <w:rsid w:val="00AD7BEE"/>
    <w:rsid w:val="00AD7E3D"/>
    <w:rsid w:val="00AD7EAC"/>
    <w:rsid w:val="00AD7F83"/>
    <w:rsid w:val="00AE0028"/>
    <w:rsid w:val="00AE004F"/>
    <w:rsid w:val="00AE019F"/>
    <w:rsid w:val="00AE0212"/>
    <w:rsid w:val="00AE02CF"/>
    <w:rsid w:val="00AE0361"/>
    <w:rsid w:val="00AE0380"/>
    <w:rsid w:val="00AE0390"/>
    <w:rsid w:val="00AE03DF"/>
    <w:rsid w:val="00AE0451"/>
    <w:rsid w:val="00AE0535"/>
    <w:rsid w:val="00AE0570"/>
    <w:rsid w:val="00AE0591"/>
    <w:rsid w:val="00AE06D6"/>
    <w:rsid w:val="00AE0867"/>
    <w:rsid w:val="00AE086F"/>
    <w:rsid w:val="00AE08D0"/>
    <w:rsid w:val="00AE093B"/>
    <w:rsid w:val="00AE09C4"/>
    <w:rsid w:val="00AE09C9"/>
    <w:rsid w:val="00AE09F8"/>
    <w:rsid w:val="00AE0BA2"/>
    <w:rsid w:val="00AE0C73"/>
    <w:rsid w:val="00AE0E0A"/>
    <w:rsid w:val="00AE1054"/>
    <w:rsid w:val="00AE10B1"/>
    <w:rsid w:val="00AE10D2"/>
    <w:rsid w:val="00AE114E"/>
    <w:rsid w:val="00AE118B"/>
    <w:rsid w:val="00AE11CB"/>
    <w:rsid w:val="00AE12DE"/>
    <w:rsid w:val="00AE12FB"/>
    <w:rsid w:val="00AE139F"/>
    <w:rsid w:val="00AE1454"/>
    <w:rsid w:val="00AE147B"/>
    <w:rsid w:val="00AE166B"/>
    <w:rsid w:val="00AE16A0"/>
    <w:rsid w:val="00AE18B7"/>
    <w:rsid w:val="00AE1967"/>
    <w:rsid w:val="00AE19DF"/>
    <w:rsid w:val="00AE1A7E"/>
    <w:rsid w:val="00AE1AD4"/>
    <w:rsid w:val="00AE1B34"/>
    <w:rsid w:val="00AE1B62"/>
    <w:rsid w:val="00AE1E70"/>
    <w:rsid w:val="00AE1E7A"/>
    <w:rsid w:val="00AE1EE7"/>
    <w:rsid w:val="00AE1F72"/>
    <w:rsid w:val="00AE20FB"/>
    <w:rsid w:val="00AE2280"/>
    <w:rsid w:val="00AE228A"/>
    <w:rsid w:val="00AE2480"/>
    <w:rsid w:val="00AE2490"/>
    <w:rsid w:val="00AE24A0"/>
    <w:rsid w:val="00AE24EA"/>
    <w:rsid w:val="00AE2534"/>
    <w:rsid w:val="00AE2595"/>
    <w:rsid w:val="00AE25E7"/>
    <w:rsid w:val="00AE26E2"/>
    <w:rsid w:val="00AE271E"/>
    <w:rsid w:val="00AE2720"/>
    <w:rsid w:val="00AE280B"/>
    <w:rsid w:val="00AE283E"/>
    <w:rsid w:val="00AE28D9"/>
    <w:rsid w:val="00AE2967"/>
    <w:rsid w:val="00AE2A1F"/>
    <w:rsid w:val="00AE2AE7"/>
    <w:rsid w:val="00AE2B32"/>
    <w:rsid w:val="00AE2B4F"/>
    <w:rsid w:val="00AE2C28"/>
    <w:rsid w:val="00AE2CD1"/>
    <w:rsid w:val="00AE2CF5"/>
    <w:rsid w:val="00AE2ED1"/>
    <w:rsid w:val="00AE2F34"/>
    <w:rsid w:val="00AE2F3E"/>
    <w:rsid w:val="00AE2F4A"/>
    <w:rsid w:val="00AE2FB8"/>
    <w:rsid w:val="00AE30B5"/>
    <w:rsid w:val="00AE3148"/>
    <w:rsid w:val="00AE31F7"/>
    <w:rsid w:val="00AE3356"/>
    <w:rsid w:val="00AE33DD"/>
    <w:rsid w:val="00AE34CB"/>
    <w:rsid w:val="00AE351B"/>
    <w:rsid w:val="00AE365B"/>
    <w:rsid w:val="00AE369D"/>
    <w:rsid w:val="00AE38BE"/>
    <w:rsid w:val="00AE3926"/>
    <w:rsid w:val="00AE3959"/>
    <w:rsid w:val="00AE3C15"/>
    <w:rsid w:val="00AE3C74"/>
    <w:rsid w:val="00AE3CA2"/>
    <w:rsid w:val="00AE3CB4"/>
    <w:rsid w:val="00AE3CB9"/>
    <w:rsid w:val="00AE3CEC"/>
    <w:rsid w:val="00AE3DC6"/>
    <w:rsid w:val="00AE3DD8"/>
    <w:rsid w:val="00AE3E46"/>
    <w:rsid w:val="00AE3E7D"/>
    <w:rsid w:val="00AE3E9E"/>
    <w:rsid w:val="00AE3ED1"/>
    <w:rsid w:val="00AE3ED2"/>
    <w:rsid w:val="00AE3EDC"/>
    <w:rsid w:val="00AE404C"/>
    <w:rsid w:val="00AE406E"/>
    <w:rsid w:val="00AE418A"/>
    <w:rsid w:val="00AE42AD"/>
    <w:rsid w:val="00AE4314"/>
    <w:rsid w:val="00AE439D"/>
    <w:rsid w:val="00AE4530"/>
    <w:rsid w:val="00AE4570"/>
    <w:rsid w:val="00AE4577"/>
    <w:rsid w:val="00AE45A6"/>
    <w:rsid w:val="00AE4687"/>
    <w:rsid w:val="00AE4694"/>
    <w:rsid w:val="00AE46CC"/>
    <w:rsid w:val="00AE47BD"/>
    <w:rsid w:val="00AE497F"/>
    <w:rsid w:val="00AE49E4"/>
    <w:rsid w:val="00AE4BB6"/>
    <w:rsid w:val="00AE4BB9"/>
    <w:rsid w:val="00AE4CAE"/>
    <w:rsid w:val="00AE4D17"/>
    <w:rsid w:val="00AE4D1D"/>
    <w:rsid w:val="00AE4D55"/>
    <w:rsid w:val="00AE52BF"/>
    <w:rsid w:val="00AE52C5"/>
    <w:rsid w:val="00AE52DE"/>
    <w:rsid w:val="00AE5356"/>
    <w:rsid w:val="00AE5375"/>
    <w:rsid w:val="00AE5479"/>
    <w:rsid w:val="00AE54BD"/>
    <w:rsid w:val="00AE55A3"/>
    <w:rsid w:val="00AE55E2"/>
    <w:rsid w:val="00AE577C"/>
    <w:rsid w:val="00AE5932"/>
    <w:rsid w:val="00AE59AB"/>
    <w:rsid w:val="00AE59D1"/>
    <w:rsid w:val="00AE59D6"/>
    <w:rsid w:val="00AE5A4F"/>
    <w:rsid w:val="00AE5A55"/>
    <w:rsid w:val="00AE5A96"/>
    <w:rsid w:val="00AE5AAF"/>
    <w:rsid w:val="00AE5ABD"/>
    <w:rsid w:val="00AE5AD3"/>
    <w:rsid w:val="00AE5B7D"/>
    <w:rsid w:val="00AE5BD6"/>
    <w:rsid w:val="00AE5C1B"/>
    <w:rsid w:val="00AE5CA9"/>
    <w:rsid w:val="00AE5CC7"/>
    <w:rsid w:val="00AE5CCE"/>
    <w:rsid w:val="00AE5D10"/>
    <w:rsid w:val="00AE5D5F"/>
    <w:rsid w:val="00AE5DC0"/>
    <w:rsid w:val="00AE5DCC"/>
    <w:rsid w:val="00AE5E1A"/>
    <w:rsid w:val="00AE5E52"/>
    <w:rsid w:val="00AE60FE"/>
    <w:rsid w:val="00AE6108"/>
    <w:rsid w:val="00AE6291"/>
    <w:rsid w:val="00AE6317"/>
    <w:rsid w:val="00AE6336"/>
    <w:rsid w:val="00AE639A"/>
    <w:rsid w:val="00AE6573"/>
    <w:rsid w:val="00AE65E0"/>
    <w:rsid w:val="00AE685C"/>
    <w:rsid w:val="00AE686B"/>
    <w:rsid w:val="00AE6AD0"/>
    <w:rsid w:val="00AE6B23"/>
    <w:rsid w:val="00AE6B2D"/>
    <w:rsid w:val="00AE6B3E"/>
    <w:rsid w:val="00AE6B60"/>
    <w:rsid w:val="00AE6BE5"/>
    <w:rsid w:val="00AE6D0D"/>
    <w:rsid w:val="00AE6D77"/>
    <w:rsid w:val="00AE6D8F"/>
    <w:rsid w:val="00AE6DAB"/>
    <w:rsid w:val="00AE6DCF"/>
    <w:rsid w:val="00AE6EE5"/>
    <w:rsid w:val="00AE6FF7"/>
    <w:rsid w:val="00AE7021"/>
    <w:rsid w:val="00AE704B"/>
    <w:rsid w:val="00AE71FE"/>
    <w:rsid w:val="00AE724F"/>
    <w:rsid w:val="00AE73B6"/>
    <w:rsid w:val="00AE744C"/>
    <w:rsid w:val="00AE74D5"/>
    <w:rsid w:val="00AE74E2"/>
    <w:rsid w:val="00AE75A5"/>
    <w:rsid w:val="00AE7797"/>
    <w:rsid w:val="00AE794D"/>
    <w:rsid w:val="00AE7994"/>
    <w:rsid w:val="00AE7AAF"/>
    <w:rsid w:val="00AE7B80"/>
    <w:rsid w:val="00AE7BBA"/>
    <w:rsid w:val="00AE7C17"/>
    <w:rsid w:val="00AE7C9B"/>
    <w:rsid w:val="00AE7D5F"/>
    <w:rsid w:val="00AE7D76"/>
    <w:rsid w:val="00AE7DC8"/>
    <w:rsid w:val="00AE7EE2"/>
    <w:rsid w:val="00AE7EE5"/>
    <w:rsid w:val="00AE7EEF"/>
    <w:rsid w:val="00AE7F4A"/>
    <w:rsid w:val="00AE7F6E"/>
    <w:rsid w:val="00AE7FA7"/>
    <w:rsid w:val="00AE7FBC"/>
    <w:rsid w:val="00AF01A8"/>
    <w:rsid w:val="00AF02B8"/>
    <w:rsid w:val="00AF0395"/>
    <w:rsid w:val="00AF03A2"/>
    <w:rsid w:val="00AF03E9"/>
    <w:rsid w:val="00AF03F6"/>
    <w:rsid w:val="00AF03F9"/>
    <w:rsid w:val="00AF0471"/>
    <w:rsid w:val="00AF04B1"/>
    <w:rsid w:val="00AF05BA"/>
    <w:rsid w:val="00AF074B"/>
    <w:rsid w:val="00AF078D"/>
    <w:rsid w:val="00AF084A"/>
    <w:rsid w:val="00AF08E2"/>
    <w:rsid w:val="00AF0939"/>
    <w:rsid w:val="00AF094C"/>
    <w:rsid w:val="00AF095D"/>
    <w:rsid w:val="00AF0ACC"/>
    <w:rsid w:val="00AF0AD2"/>
    <w:rsid w:val="00AF0BE1"/>
    <w:rsid w:val="00AF0C3A"/>
    <w:rsid w:val="00AF0C81"/>
    <w:rsid w:val="00AF0CAE"/>
    <w:rsid w:val="00AF0D25"/>
    <w:rsid w:val="00AF0DA7"/>
    <w:rsid w:val="00AF0EF3"/>
    <w:rsid w:val="00AF0EF4"/>
    <w:rsid w:val="00AF0F8A"/>
    <w:rsid w:val="00AF1078"/>
    <w:rsid w:val="00AF10A1"/>
    <w:rsid w:val="00AF10C6"/>
    <w:rsid w:val="00AF10CD"/>
    <w:rsid w:val="00AF110B"/>
    <w:rsid w:val="00AF111D"/>
    <w:rsid w:val="00AF12C9"/>
    <w:rsid w:val="00AF144D"/>
    <w:rsid w:val="00AF150A"/>
    <w:rsid w:val="00AF150B"/>
    <w:rsid w:val="00AF1580"/>
    <w:rsid w:val="00AF15F2"/>
    <w:rsid w:val="00AF1603"/>
    <w:rsid w:val="00AF185B"/>
    <w:rsid w:val="00AF1868"/>
    <w:rsid w:val="00AF1B0A"/>
    <w:rsid w:val="00AF1B34"/>
    <w:rsid w:val="00AF1CA7"/>
    <w:rsid w:val="00AF1CE2"/>
    <w:rsid w:val="00AF1D7A"/>
    <w:rsid w:val="00AF1D8F"/>
    <w:rsid w:val="00AF1DF9"/>
    <w:rsid w:val="00AF1E11"/>
    <w:rsid w:val="00AF1E39"/>
    <w:rsid w:val="00AF1E8F"/>
    <w:rsid w:val="00AF1EA8"/>
    <w:rsid w:val="00AF1F92"/>
    <w:rsid w:val="00AF20ED"/>
    <w:rsid w:val="00AF2137"/>
    <w:rsid w:val="00AF21D3"/>
    <w:rsid w:val="00AF228F"/>
    <w:rsid w:val="00AF22A6"/>
    <w:rsid w:val="00AF22AF"/>
    <w:rsid w:val="00AF22ED"/>
    <w:rsid w:val="00AF230F"/>
    <w:rsid w:val="00AF2321"/>
    <w:rsid w:val="00AF24BB"/>
    <w:rsid w:val="00AF2585"/>
    <w:rsid w:val="00AF26B6"/>
    <w:rsid w:val="00AF26D4"/>
    <w:rsid w:val="00AF27FD"/>
    <w:rsid w:val="00AF2869"/>
    <w:rsid w:val="00AF2A06"/>
    <w:rsid w:val="00AF2A33"/>
    <w:rsid w:val="00AF2A73"/>
    <w:rsid w:val="00AF2B26"/>
    <w:rsid w:val="00AF2B5F"/>
    <w:rsid w:val="00AF2B91"/>
    <w:rsid w:val="00AF2C2E"/>
    <w:rsid w:val="00AF2C83"/>
    <w:rsid w:val="00AF2CAA"/>
    <w:rsid w:val="00AF2D18"/>
    <w:rsid w:val="00AF2DC5"/>
    <w:rsid w:val="00AF2EB7"/>
    <w:rsid w:val="00AF2FC1"/>
    <w:rsid w:val="00AF30E3"/>
    <w:rsid w:val="00AF3110"/>
    <w:rsid w:val="00AF3132"/>
    <w:rsid w:val="00AF3147"/>
    <w:rsid w:val="00AF31E8"/>
    <w:rsid w:val="00AF3245"/>
    <w:rsid w:val="00AF32B7"/>
    <w:rsid w:val="00AF33A1"/>
    <w:rsid w:val="00AF34B3"/>
    <w:rsid w:val="00AF34BE"/>
    <w:rsid w:val="00AF35BC"/>
    <w:rsid w:val="00AF35D3"/>
    <w:rsid w:val="00AF3638"/>
    <w:rsid w:val="00AF3676"/>
    <w:rsid w:val="00AF3682"/>
    <w:rsid w:val="00AF368C"/>
    <w:rsid w:val="00AF36CE"/>
    <w:rsid w:val="00AF3767"/>
    <w:rsid w:val="00AF37B5"/>
    <w:rsid w:val="00AF37D9"/>
    <w:rsid w:val="00AF383E"/>
    <w:rsid w:val="00AF3866"/>
    <w:rsid w:val="00AF38DA"/>
    <w:rsid w:val="00AF38FB"/>
    <w:rsid w:val="00AF3961"/>
    <w:rsid w:val="00AF3989"/>
    <w:rsid w:val="00AF39D4"/>
    <w:rsid w:val="00AF39F2"/>
    <w:rsid w:val="00AF3AD7"/>
    <w:rsid w:val="00AF3B11"/>
    <w:rsid w:val="00AF3B25"/>
    <w:rsid w:val="00AF3B45"/>
    <w:rsid w:val="00AF3E59"/>
    <w:rsid w:val="00AF3F7D"/>
    <w:rsid w:val="00AF41C9"/>
    <w:rsid w:val="00AF425A"/>
    <w:rsid w:val="00AF429A"/>
    <w:rsid w:val="00AF42C2"/>
    <w:rsid w:val="00AF43A8"/>
    <w:rsid w:val="00AF4401"/>
    <w:rsid w:val="00AF443B"/>
    <w:rsid w:val="00AF44A3"/>
    <w:rsid w:val="00AF44D8"/>
    <w:rsid w:val="00AF4514"/>
    <w:rsid w:val="00AF45F2"/>
    <w:rsid w:val="00AF4685"/>
    <w:rsid w:val="00AF46C8"/>
    <w:rsid w:val="00AF4707"/>
    <w:rsid w:val="00AF4729"/>
    <w:rsid w:val="00AF47C5"/>
    <w:rsid w:val="00AF4831"/>
    <w:rsid w:val="00AF48F4"/>
    <w:rsid w:val="00AF4952"/>
    <w:rsid w:val="00AF4AA6"/>
    <w:rsid w:val="00AF4AC9"/>
    <w:rsid w:val="00AF4CB0"/>
    <w:rsid w:val="00AF4CB1"/>
    <w:rsid w:val="00AF4CB5"/>
    <w:rsid w:val="00AF4E9B"/>
    <w:rsid w:val="00AF4EA8"/>
    <w:rsid w:val="00AF4F98"/>
    <w:rsid w:val="00AF4FE4"/>
    <w:rsid w:val="00AF516C"/>
    <w:rsid w:val="00AF51B3"/>
    <w:rsid w:val="00AF51FB"/>
    <w:rsid w:val="00AF5203"/>
    <w:rsid w:val="00AF5212"/>
    <w:rsid w:val="00AF53FB"/>
    <w:rsid w:val="00AF5474"/>
    <w:rsid w:val="00AF54C3"/>
    <w:rsid w:val="00AF54F6"/>
    <w:rsid w:val="00AF55FC"/>
    <w:rsid w:val="00AF5648"/>
    <w:rsid w:val="00AF58B8"/>
    <w:rsid w:val="00AF5929"/>
    <w:rsid w:val="00AF5943"/>
    <w:rsid w:val="00AF595D"/>
    <w:rsid w:val="00AF59C0"/>
    <w:rsid w:val="00AF59C1"/>
    <w:rsid w:val="00AF5A9F"/>
    <w:rsid w:val="00AF5B13"/>
    <w:rsid w:val="00AF5B53"/>
    <w:rsid w:val="00AF5BCE"/>
    <w:rsid w:val="00AF5CBD"/>
    <w:rsid w:val="00AF5E0C"/>
    <w:rsid w:val="00AF5E55"/>
    <w:rsid w:val="00AF5FC1"/>
    <w:rsid w:val="00AF6016"/>
    <w:rsid w:val="00AF60C7"/>
    <w:rsid w:val="00AF6118"/>
    <w:rsid w:val="00AF61B8"/>
    <w:rsid w:val="00AF6210"/>
    <w:rsid w:val="00AF629D"/>
    <w:rsid w:val="00AF62B4"/>
    <w:rsid w:val="00AF62CC"/>
    <w:rsid w:val="00AF62F2"/>
    <w:rsid w:val="00AF6386"/>
    <w:rsid w:val="00AF63BA"/>
    <w:rsid w:val="00AF647B"/>
    <w:rsid w:val="00AF64A3"/>
    <w:rsid w:val="00AF651C"/>
    <w:rsid w:val="00AF6529"/>
    <w:rsid w:val="00AF656C"/>
    <w:rsid w:val="00AF6696"/>
    <w:rsid w:val="00AF6745"/>
    <w:rsid w:val="00AF681D"/>
    <w:rsid w:val="00AF6958"/>
    <w:rsid w:val="00AF698F"/>
    <w:rsid w:val="00AF69AB"/>
    <w:rsid w:val="00AF6ACB"/>
    <w:rsid w:val="00AF6AD3"/>
    <w:rsid w:val="00AF6B6E"/>
    <w:rsid w:val="00AF6C2C"/>
    <w:rsid w:val="00AF6C45"/>
    <w:rsid w:val="00AF6E28"/>
    <w:rsid w:val="00AF6E8F"/>
    <w:rsid w:val="00AF6EC0"/>
    <w:rsid w:val="00AF6EF2"/>
    <w:rsid w:val="00AF6F05"/>
    <w:rsid w:val="00AF7025"/>
    <w:rsid w:val="00AF7046"/>
    <w:rsid w:val="00AF7226"/>
    <w:rsid w:val="00AF72B3"/>
    <w:rsid w:val="00AF72C7"/>
    <w:rsid w:val="00AF72CD"/>
    <w:rsid w:val="00AF7329"/>
    <w:rsid w:val="00AF7378"/>
    <w:rsid w:val="00AF746F"/>
    <w:rsid w:val="00AF7517"/>
    <w:rsid w:val="00AF7545"/>
    <w:rsid w:val="00AF754D"/>
    <w:rsid w:val="00AF75CF"/>
    <w:rsid w:val="00AF769A"/>
    <w:rsid w:val="00AF7779"/>
    <w:rsid w:val="00AF786A"/>
    <w:rsid w:val="00AF7ABD"/>
    <w:rsid w:val="00AF7AF4"/>
    <w:rsid w:val="00AF7B5C"/>
    <w:rsid w:val="00AF7DCD"/>
    <w:rsid w:val="00AF7EE3"/>
    <w:rsid w:val="00AF7EF1"/>
    <w:rsid w:val="00AF7F0A"/>
    <w:rsid w:val="00AF7FB7"/>
    <w:rsid w:val="00B0001D"/>
    <w:rsid w:val="00B000BF"/>
    <w:rsid w:val="00B0024F"/>
    <w:rsid w:val="00B0030A"/>
    <w:rsid w:val="00B00349"/>
    <w:rsid w:val="00B0035D"/>
    <w:rsid w:val="00B003B3"/>
    <w:rsid w:val="00B00482"/>
    <w:rsid w:val="00B00483"/>
    <w:rsid w:val="00B0064B"/>
    <w:rsid w:val="00B00744"/>
    <w:rsid w:val="00B00801"/>
    <w:rsid w:val="00B00971"/>
    <w:rsid w:val="00B00A0A"/>
    <w:rsid w:val="00B00BB1"/>
    <w:rsid w:val="00B00C75"/>
    <w:rsid w:val="00B00D8D"/>
    <w:rsid w:val="00B00DF4"/>
    <w:rsid w:val="00B00E09"/>
    <w:rsid w:val="00B010C9"/>
    <w:rsid w:val="00B012CC"/>
    <w:rsid w:val="00B013A3"/>
    <w:rsid w:val="00B0150F"/>
    <w:rsid w:val="00B0170B"/>
    <w:rsid w:val="00B01741"/>
    <w:rsid w:val="00B0176E"/>
    <w:rsid w:val="00B01816"/>
    <w:rsid w:val="00B01828"/>
    <w:rsid w:val="00B01ACE"/>
    <w:rsid w:val="00B01AEF"/>
    <w:rsid w:val="00B01BDF"/>
    <w:rsid w:val="00B01BEA"/>
    <w:rsid w:val="00B01C37"/>
    <w:rsid w:val="00B01C66"/>
    <w:rsid w:val="00B01D1E"/>
    <w:rsid w:val="00B01D42"/>
    <w:rsid w:val="00B01D46"/>
    <w:rsid w:val="00B01DB3"/>
    <w:rsid w:val="00B01E0A"/>
    <w:rsid w:val="00B01E4A"/>
    <w:rsid w:val="00B01E4F"/>
    <w:rsid w:val="00B01E53"/>
    <w:rsid w:val="00B02061"/>
    <w:rsid w:val="00B0213F"/>
    <w:rsid w:val="00B021A0"/>
    <w:rsid w:val="00B0222A"/>
    <w:rsid w:val="00B0231B"/>
    <w:rsid w:val="00B02353"/>
    <w:rsid w:val="00B023EB"/>
    <w:rsid w:val="00B024A8"/>
    <w:rsid w:val="00B02543"/>
    <w:rsid w:val="00B02555"/>
    <w:rsid w:val="00B025E0"/>
    <w:rsid w:val="00B025E6"/>
    <w:rsid w:val="00B02724"/>
    <w:rsid w:val="00B02921"/>
    <w:rsid w:val="00B02A04"/>
    <w:rsid w:val="00B02A08"/>
    <w:rsid w:val="00B02A78"/>
    <w:rsid w:val="00B02B45"/>
    <w:rsid w:val="00B02C9D"/>
    <w:rsid w:val="00B02CB3"/>
    <w:rsid w:val="00B02CD5"/>
    <w:rsid w:val="00B02E31"/>
    <w:rsid w:val="00B02F8E"/>
    <w:rsid w:val="00B03136"/>
    <w:rsid w:val="00B0315E"/>
    <w:rsid w:val="00B03289"/>
    <w:rsid w:val="00B032DA"/>
    <w:rsid w:val="00B032E5"/>
    <w:rsid w:val="00B032EB"/>
    <w:rsid w:val="00B03337"/>
    <w:rsid w:val="00B03374"/>
    <w:rsid w:val="00B033E6"/>
    <w:rsid w:val="00B0348A"/>
    <w:rsid w:val="00B03497"/>
    <w:rsid w:val="00B034D9"/>
    <w:rsid w:val="00B0352D"/>
    <w:rsid w:val="00B038D1"/>
    <w:rsid w:val="00B0396C"/>
    <w:rsid w:val="00B039A3"/>
    <w:rsid w:val="00B039C1"/>
    <w:rsid w:val="00B03A12"/>
    <w:rsid w:val="00B03AA3"/>
    <w:rsid w:val="00B03AA4"/>
    <w:rsid w:val="00B03B27"/>
    <w:rsid w:val="00B03B7C"/>
    <w:rsid w:val="00B03CA0"/>
    <w:rsid w:val="00B03D2C"/>
    <w:rsid w:val="00B03D71"/>
    <w:rsid w:val="00B03DDD"/>
    <w:rsid w:val="00B03EA7"/>
    <w:rsid w:val="00B03ED2"/>
    <w:rsid w:val="00B04259"/>
    <w:rsid w:val="00B04273"/>
    <w:rsid w:val="00B04280"/>
    <w:rsid w:val="00B04362"/>
    <w:rsid w:val="00B043B1"/>
    <w:rsid w:val="00B04459"/>
    <w:rsid w:val="00B045EB"/>
    <w:rsid w:val="00B0469B"/>
    <w:rsid w:val="00B046D9"/>
    <w:rsid w:val="00B04700"/>
    <w:rsid w:val="00B0475F"/>
    <w:rsid w:val="00B0486F"/>
    <w:rsid w:val="00B04882"/>
    <w:rsid w:val="00B04887"/>
    <w:rsid w:val="00B04994"/>
    <w:rsid w:val="00B049AE"/>
    <w:rsid w:val="00B04A3F"/>
    <w:rsid w:val="00B04AF0"/>
    <w:rsid w:val="00B04B8F"/>
    <w:rsid w:val="00B04BB9"/>
    <w:rsid w:val="00B04BC2"/>
    <w:rsid w:val="00B04BF0"/>
    <w:rsid w:val="00B04C35"/>
    <w:rsid w:val="00B04C48"/>
    <w:rsid w:val="00B04C79"/>
    <w:rsid w:val="00B04C87"/>
    <w:rsid w:val="00B04CAA"/>
    <w:rsid w:val="00B04D40"/>
    <w:rsid w:val="00B04D49"/>
    <w:rsid w:val="00B04DAE"/>
    <w:rsid w:val="00B04E1D"/>
    <w:rsid w:val="00B04E62"/>
    <w:rsid w:val="00B04F58"/>
    <w:rsid w:val="00B04FF9"/>
    <w:rsid w:val="00B05033"/>
    <w:rsid w:val="00B050FA"/>
    <w:rsid w:val="00B05382"/>
    <w:rsid w:val="00B05433"/>
    <w:rsid w:val="00B0545C"/>
    <w:rsid w:val="00B054E2"/>
    <w:rsid w:val="00B054E3"/>
    <w:rsid w:val="00B0550C"/>
    <w:rsid w:val="00B0554E"/>
    <w:rsid w:val="00B0554F"/>
    <w:rsid w:val="00B05560"/>
    <w:rsid w:val="00B05569"/>
    <w:rsid w:val="00B055E0"/>
    <w:rsid w:val="00B0563C"/>
    <w:rsid w:val="00B05648"/>
    <w:rsid w:val="00B0594C"/>
    <w:rsid w:val="00B05954"/>
    <w:rsid w:val="00B05992"/>
    <w:rsid w:val="00B05A6F"/>
    <w:rsid w:val="00B05B62"/>
    <w:rsid w:val="00B05C1C"/>
    <w:rsid w:val="00B05F1C"/>
    <w:rsid w:val="00B05FBC"/>
    <w:rsid w:val="00B0600F"/>
    <w:rsid w:val="00B06315"/>
    <w:rsid w:val="00B06385"/>
    <w:rsid w:val="00B06489"/>
    <w:rsid w:val="00B06635"/>
    <w:rsid w:val="00B06691"/>
    <w:rsid w:val="00B06730"/>
    <w:rsid w:val="00B0675C"/>
    <w:rsid w:val="00B06802"/>
    <w:rsid w:val="00B0689D"/>
    <w:rsid w:val="00B06956"/>
    <w:rsid w:val="00B069AC"/>
    <w:rsid w:val="00B069F0"/>
    <w:rsid w:val="00B06A02"/>
    <w:rsid w:val="00B06A29"/>
    <w:rsid w:val="00B06B36"/>
    <w:rsid w:val="00B06B71"/>
    <w:rsid w:val="00B06B9C"/>
    <w:rsid w:val="00B06BA7"/>
    <w:rsid w:val="00B06BF9"/>
    <w:rsid w:val="00B06D4B"/>
    <w:rsid w:val="00B06D74"/>
    <w:rsid w:val="00B06D7E"/>
    <w:rsid w:val="00B06DA5"/>
    <w:rsid w:val="00B06DD8"/>
    <w:rsid w:val="00B06DFD"/>
    <w:rsid w:val="00B06E00"/>
    <w:rsid w:val="00B06E27"/>
    <w:rsid w:val="00B06F5B"/>
    <w:rsid w:val="00B070C1"/>
    <w:rsid w:val="00B071C4"/>
    <w:rsid w:val="00B072FD"/>
    <w:rsid w:val="00B0737C"/>
    <w:rsid w:val="00B07399"/>
    <w:rsid w:val="00B0740C"/>
    <w:rsid w:val="00B07504"/>
    <w:rsid w:val="00B075C9"/>
    <w:rsid w:val="00B0769B"/>
    <w:rsid w:val="00B0776C"/>
    <w:rsid w:val="00B077FE"/>
    <w:rsid w:val="00B0780C"/>
    <w:rsid w:val="00B078FC"/>
    <w:rsid w:val="00B07AA4"/>
    <w:rsid w:val="00B07AED"/>
    <w:rsid w:val="00B07B13"/>
    <w:rsid w:val="00B07B51"/>
    <w:rsid w:val="00B07B71"/>
    <w:rsid w:val="00B07DCA"/>
    <w:rsid w:val="00B07E2A"/>
    <w:rsid w:val="00B07E6E"/>
    <w:rsid w:val="00B07F18"/>
    <w:rsid w:val="00B07F93"/>
    <w:rsid w:val="00B10042"/>
    <w:rsid w:val="00B100C1"/>
    <w:rsid w:val="00B10103"/>
    <w:rsid w:val="00B102F6"/>
    <w:rsid w:val="00B10314"/>
    <w:rsid w:val="00B1040C"/>
    <w:rsid w:val="00B10492"/>
    <w:rsid w:val="00B104D5"/>
    <w:rsid w:val="00B1053D"/>
    <w:rsid w:val="00B10571"/>
    <w:rsid w:val="00B105B1"/>
    <w:rsid w:val="00B1079A"/>
    <w:rsid w:val="00B1084A"/>
    <w:rsid w:val="00B1088C"/>
    <w:rsid w:val="00B108E8"/>
    <w:rsid w:val="00B10A11"/>
    <w:rsid w:val="00B10A4A"/>
    <w:rsid w:val="00B10B3A"/>
    <w:rsid w:val="00B10BEB"/>
    <w:rsid w:val="00B10E75"/>
    <w:rsid w:val="00B1103B"/>
    <w:rsid w:val="00B11218"/>
    <w:rsid w:val="00B11260"/>
    <w:rsid w:val="00B11275"/>
    <w:rsid w:val="00B1127C"/>
    <w:rsid w:val="00B113D7"/>
    <w:rsid w:val="00B11413"/>
    <w:rsid w:val="00B1145A"/>
    <w:rsid w:val="00B1147D"/>
    <w:rsid w:val="00B1155E"/>
    <w:rsid w:val="00B1166A"/>
    <w:rsid w:val="00B11720"/>
    <w:rsid w:val="00B11844"/>
    <w:rsid w:val="00B11969"/>
    <w:rsid w:val="00B11A4B"/>
    <w:rsid w:val="00B11ABB"/>
    <w:rsid w:val="00B11B1D"/>
    <w:rsid w:val="00B11B89"/>
    <w:rsid w:val="00B11B9C"/>
    <w:rsid w:val="00B11BB0"/>
    <w:rsid w:val="00B11C07"/>
    <w:rsid w:val="00B11C4A"/>
    <w:rsid w:val="00B11D1B"/>
    <w:rsid w:val="00B11DEC"/>
    <w:rsid w:val="00B11E0C"/>
    <w:rsid w:val="00B11F10"/>
    <w:rsid w:val="00B11FBE"/>
    <w:rsid w:val="00B11FE1"/>
    <w:rsid w:val="00B12024"/>
    <w:rsid w:val="00B12359"/>
    <w:rsid w:val="00B12362"/>
    <w:rsid w:val="00B12403"/>
    <w:rsid w:val="00B12423"/>
    <w:rsid w:val="00B1247B"/>
    <w:rsid w:val="00B12501"/>
    <w:rsid w:val="00B1250B"/>
    <w:rsid w:val="00B12593"/>
    <w:rsid w:val="00B125DA"/>
    <w:rsid w:val="00B126CD"/>
    <w:rsid w:val="00B126ED"/>
    <w:rsid w:val="00B1294C"/>
    <w:rsid w:val="00B1295C"/>
    <w:rsid w:val="00B129C6"/>
    <w:rsid w:val="00B129EF"/>
    <w:rsid w:val="00B12C24"/>
    <w:rsid w:val="00B12C29"/>
    <w:rsid w:val="00B12C45"/>
    <w:rsid w:val="00B12C50"/>
    <w:rsid w:val="00B12D38"/>
    <w:rsid w:val="00B12D98"/>
    <w:rsid w:val="00B12D9A"/>
    <w:rsid w:val="00B12E89"/>
    <w:rsid w:val="00B12E8B"/>
    <w:rsid w:val="00B12FEC"/>
    <w:rsid w:val="00B13059"/>
    <w:rsid w:val="00B1306F"/>
    <w:rsid w:val="00B130EE"/>
    <w:rsid w:val="00B13144"/>
    <w:rsid w:val="00B131C9"/>
    <w:rsid w:val="00B13337"/>
    <w:rsid w:val="00B133D5"/>
    <w:rsid w:val="00B133DA"/>
    <w:rsid w:val="00B133DC"/>
    <w:rsid w:val="00B13533"/>
    <w:rsid w:val="00B135CE"/>
    <w:rsid w:val="00B135E2"/>
    <w:rsid w:val="00B137A9"/>
    <w:rsid w:val="00B137B8"/>
    <w:rsid w:val="00B1383B"/>
    <w:rsid w:val="00B13873"/>
    <w:rsid w:val="00B138C4"/>
    <w:rsid w:val="00B138D3"/>
    <w:rsid w:val="00B139B6"/>
    <w:rsid w:val="00B13A0F"/>
    <w:rsid w:val="00B13A84"/>
    <w:rsid w:val="00B13ACE"/>
    <w:rsid w:val="00B13B56"/>
    <w:rsid w:val="00B13B63"/>
    <w:rsid w:val="00B13B7F"/>
    <w:rsid w:val="00B13BE6"/>
    <w:rsid w:val="00B13C4E"/>
    <w:rsid w:val="00B13C4F"/>
    <w:rsid w:val="00B13C80"/>
    <w:rsid w:val="00B13CAD"/>
    <w:rsid w:val="00B13CD6"/>
    <w:rsid w:val="00B13D73"/>
    <w:rsid w:val="00B13E3E"/>
    <w:rsid w:val="00B140FE"/>
    <w:rsid w:val="00B142D3"/>
    <w:rsid w:val="00B142DF"/>
    <w:rsid w:val="00B14300"/>
    <w:rsid w:val="00B14323"/>
    <w:rsid w:val="00B1442A"/>
    <w:rsid w:val="00B144CC"/>
    <w:rsid w:val="00B144D4"/>
    <w:rsid w:val="00B14514"/>
    <w:rsid w:val="00B14585"/>
    <w:rsid w:val="00B1458F"/>
    <w:rsid w:val="00B14672"/>
    <w:rsid w:val="00B1469C"/>
    <w:rsid w:val="00B14793"/>
    <w:rsid w:val="00B1479C"/>
    <w:rsid w:val="00B148DC"/>
    <w:rsid w:val="00B14909"/>
    <w:rsid w:val="00B149B5"/>
    <w:rsid w:val="00B14AA1"/>
    <w:rsid w:val="00B14BA0"/>
    <w:rsid w:val="00B14C57"/>
    <w:rsid w:val="00B14CD7"/>
    <w:rsid w:val="00B14E18"/>
    <w:rsid w:val="00B14E1E"/>
    <w:rsid w:val="00B14E44"/>
    <w:rsid w:val="00B14ED1"/>
    <w:rsid w:val="00B14F60"/>
    <w:rsid w:val="00B15003"/>
    <w:rsid w:val="00B15152"/>
    <w:rsid w:val="00B151A8"/>
    <w:rsid w:val="00B151FA"/>
    <w:rsid w:val="00B15289"/>
    <w:rsid w:val="00B152DB"/>
    <w:rsid w:val="00B1532D"/>
    <w:rsid w:val="00B154C9"/>
    <w:rsid w:val="00B154EB"/>
    <w:rsid w:val="00B155F8"/>
    <w:rsid w:val="00B15885"/>
    <w:rsid w:val="00B158FD"/>
    <w:rsid w:val="00B15944"/>
    <w:rsid w:val="00B1596A"/>
    <w:rsid w:val="00B15A99"/>
    <w:rsid w:val="00B15C4B"/>
    <w:rsid w:val="00B15CA6"/>
    <w:rsid w:val="00B15CF8"/>
    <w:rsid w:val="00B15D5B"/>
    <w:rsid w:val="00B15E28"/>
    <w:rsid w:val="00B15F02"/>
    <w:rsid w:val="00B15FB8"/>
    <w:rsid w:val="00B160CE"/>
    <w:rsid w:val="00B16211"/>
    <w:rsid w:val="00B162C0"/>
    <w:rsid w:val="00B162C5"/>
    <w:rsid w:val="00B16323"/>
    <w:rsid w:val="00B16361"/>
    <w:rsid w:val="00B1636B"/>
    <w:rsid w:val="00B16391"/>
    <w:rsid w:val="00B163A8"/>
    <w:rsid w:val="00B163AF"/>
    <w:rsid w:val="00B16462"/>
    <w:rsid w:val="00B164AC"/>
    <w:rsid w:val="00B16509"/>
    <w:rsid w:val="00B16522"/>
    <w:rsid w:val="00B165F9"/>
    <w:rsid w:val="00B1661F"/>
    <w:rsid w:val="00B16676"/>
    <w:rsid w:val="00B16745"/>
    <w:rsid w:val="00B167E9"/>
    <w:rsid w:val="00B16812"/>
    <w:rsid w:val="00B16A8D"/>
    <w:rsid w:val="00B16B84"/>
    <w:rsid w:val="00B16C69"/>
    <w:rsid w:val="00B16C86"/>
    <w:rsid w:val="00B16C9C"/>
    <w:rsid w:val="00B16D11"/>
    <w:rsid w:val="00B16D5F"/>
    <w:rsid w:val="00B16D7C"/>
    <w:rsid w:val="00B16E4E"/>
    <w:rsid w:val="00B16EE4"/>
    <w:rsid w:val="00B16EFE"/>
    <w:rsid w:val="00B16F6A"/>
    <w:rsid w:val="00B16F6D"/>
    <w:rsid w:val="00B16FA1"/>
    <w:rsid w:val="00B16FA8"/>
    <w:rsid w:val="00B16FB0"/>
    <w:rsid w:val="00B170AB"/>
    <w:rsid w:val="00B171F2"/>
    <w:rsid w:val="00B1723F"/>
    <w:rsid w:val="00B17315"/>
    <w:rsid w:val="00B173D9"/>
    <w:rsid w:val="00B174C1"/>
    <w:rsid w:val="00B174D5"/>
    <w:rsid w:val="00B17581"/>
    <w:rsid w:val="00B1763B"/>
    <w:rsid w:val="00B1766D"/>
    <w:rsid w:val="00B17679"/>
    <w:rsid w:val="00B176C8"/>
    <w:rsid w:val="00B177CC"/>
    <w:rsid w:val="00B1781E"/>
    <w:rsid w:val="00B1783E"/>
    <w:rsid w:val="00B1789B"/>
    <w:rsid w:val="00B179FE"/>
    <w:rsid w:val="00B17AD2"/>
    <w:rsid w:val="00B17AF9"/>
    <w:rsid w:val="00B17BC9"/>
    <w:rsid w:val="00B17BDA"/>
    <w:rsid w:val="00B17BE3"/>
    <w:rsid w:val="00B17E92"/>
    <w:rsid w:val="00B20083"/>
    <w:rsid w:val="00B200DB"/>
    <w:rsid w:val="00B2016C"/>
    <w:rsid w:val="00B201FB"/>
    <w:rsid w:val="00B20217"/>
    <w:rsid w:val="00B20380"/>
    <w:rsid w:val="00B204C4"/>
    <w:rsid w:val="00B2054A"/>
    <w:rsid w:val="00B2059E"/>
    <w:rsid w:val="00B20746"/>
    <w:rsid w:val="00B2080F"/>
    <w:rsid w:val="00B2098E"/>
    <w:rsid w:val="00B20B1D"/>
    <w:rsid w:val="00B20B2C"/>
    <w:rsid w:val="00B20B56"/>
    <w:rsid w:val="00B20D28"/>
    <w:rsid w:val="00B20DAF"/>
    <w:rsid w:val="00B20DB3"/>
    <w:rsid w:val="00B20E10"/>
    <w:rsid w:val="00B20F2F"/>
    <w:rsid w:val="00B2100D"/>
    <w:rsid w:val="00B210E5"/>
    <w:rsid w:val="00B2126D"/>
    <w:rsid w:val="00B21274"/>
    <w:rsid w:val="00B212A1"/>
    <w:rsid w:val="00B2137E"/>
    <w:rsid w:val="00B21387"/>
    <w:rsid w:val="00B21405"/>
    <w:rsid w:val="00B2142A"/>
    <w:rsid w:val="00B2145E"/>
    <w:rsid w:val="00B214D9"/>
    <w:rsid w:val="00B2150A"/>
    <w:rsid w:val="00B215F6"/>
    <w:rsid w:val="00B2167B"/>
    <w:rsid w:val="00B21682"/>
    <w:rsid w:val="00B217B8"/>
    <w:rsid w:val="00B21926"/>
    <w:rsid w:val="00B219AA"/>
    <w:rsid w:val="00B21A35"/>
    <w:rsid w:val="00B21CC0"/>
    <w:rsid w:val="00B21DA5"/>
    <w:rsid w:val="00B21DF7"/>
    <w:rsid w:val="00B21EC0"/>
    <w:rsid w:val="00B21EC7"/>
    <w:rsid w:val="00B21F06"/>
    <w:rsid w:val="00B220B4"/>
    <w:rsid w:val="00B2213F"/>
    <w:rsid w:val="00B221F2"/>
    <w:rsid w:val="00B22270"/>
    <w:rsid w:val="00B2229E"/>
    <w:rsid w:val="00B222F0"/>
    <w:rsid w:val="00B2236A"/>
    <w:rsid w:val="00B22434"/>
    <w:rsid w:val="00B224C4"/>
    <w:rsid w:val="00B2287E"/>
    <w:rsid w:val="00B22888"/>
    <w:rsid w:val="00B22A19"/>
    <w:rsid w:val="00B22ACB"/>
    <w:rsid w:val="00B22ACD"/>
    <w:rsid w:val="00B22AF4"/>
    <w:rsid w:val="00B22B4C"/>
    <w:rsid w:val="00B22BA5"/>
    <w:rsid w:val="00B22C19"/>
    <w:rsid w:val="00B22C91"/>
    <w:rsid w:val="00B22CB5"/>
    <w:rsid w:val="00B22CC7"/>
    <w:rsid w:val="00B22CC9"/>
    <w:rsid w:val="00B22D0A"/>
    <w:rsid w:val="00B22DA0"/>
    <w:rsid w:val="00B22DC2"/>
    <w:rsid w:val="00B22E3A"/>
    <w:rsid w:val="00B22EC2"/>
    <w:rsid w:val="00B22EF4"/>
    <w:rsid w:val="00B22FB1"/>
    <w:rsid w:val="00B22FB2"/>
    <w:rsid w:val="00B22FD4"/>
    <w:rsid w:val="00B2308B"/>
    <w:rsid w:val="00B230E6"/>
    <w:rsid w:val="00B23198"/>
    <w:rsid w:val="00B2319B"/>
    <w:rsid w:val="00B2323C"/>
    <w:rsid w:val="00B23246"/>
    <w:rsid w:val="00B2329D"/>
    <w:rsid w:val="00B232B8"/>
    <w:rsid w:val="00B23363"/>
    <w:rsid w:val="00B23670"/>
    <w:rsid w:val="00B236DE"/>
    <w:rsid w:val="00B23744"/>
    <w:rsid w:val="00B23766"/>
    <w:rsid w:val="00B23957"/>
    <w:rsid w:val="00B239C1"/>
    <w:rsid w:val="00B23A29"/>
    <w:rsid w:val="00B23A93"/>
    <w:rsid w:val="00B23A95"/>
    <w:rsid w:val="00B23AF4"/>
    <w:rsid w:val="00B23B04"/>
    <w:rsid w:val="00B23BC7"/>
    <w:rsid w:val="00B23C66"/>
    <w:rsid w:val="00B23C69"/>
    <w:rsid w:val="00B23C9F"/>
    <w:rsid w:val="00B23D6B"/>
    <w:rsid w:val="00B23F59"/>
    <w:rsid w:val="00B23FF4"/>
    <w:rsid w:val="00B2400A"/>
    <w:rsid w:val="00B2405D"/>
    <w:rsid w:val="00B24131"/>
    <w:rsid w:val="00B241C8"/>
    <w:rsid w:val="00B24201"/>
    <w:rsid w:val="00B24213"/>
    <w:rsid w:val="00B242B4"/>
    <w:rsid w:val="00B242C5"/>
    <w:rsid w:val="00B244F7"/>
    <w:rsid w:val="00B24510"/>
    <w:rsid w:val="00B2453A"/>
    <w:rsid w:val="00B24574"/>
    <w:rsid w:val="00B245B3"/>
    <w:rsid w:val="00B245CB"/>
    <w:rsid w:val="00B2466F"/>
    <w:rsid w:val="00B247F7"/>
    <w:rsid w:val="00B24846"/>
    <w:rsid w:val="00B24864"/>
    <w:rsid w:val="00B24A4E"/>
    <w:rsid w:val="00B24A80"/>
    <w:rsid w:val="00B24C3F"/>
    <w:rsid w:val="00B24C70"/>
    <w:rsid w:val="00B24CE7"/>
    <w:rsid w:val="00B24D77"/>
    <w:rsid w:val="00B24E18"/>
    <w:rsid w:val="00B24F32"/>
    <w:rsid w:val="00B24F60"/>
    <w:rsid w:val="00B24F7D"/>
    <w:rsid w:val="00B25143"/>
    <w:rsid w:val="00B251EB"/>
    <w:rsid w:val="00B25323"/>
    <w:rsid w:val="00B253F0"/>
    <w:rsid w:val="00B25400"/>
    <w:rsid w:val="00B25489"/>
    <w:rsid w:val="00B255AD"/>
    <w:rsid w:val="00B255D9"/>
    <w:rsid w:val="00B25621"/>
    <w:rsid w:val="00B2585B"/>
    <w:rsid w:val="00B2589C"/>
    <w:rsid w:val="00B258C0"/>
    <w:rsid w:val="00B259A9"/>
    <w:rsid w:val="00B25A97"/>
    <w:rsid w:val="00B25B63"/>
    <w:rsid w:val="00B25BCD"/>
    <w:rsid w:val="00B25CD6"/>
    <w:rsid w:val="00B25D43"/>
    <w:rsid w:val="00B25D93"/>
    <w:rsid w:val="00B25E46"/>
    <w:rsid w:val="00B25EBC"/>
    <w:rsid w:val="00B25F0D"/>
    <w:rsid w:val="00B2603D"/>
    <w:rsid w:val="00B260E3"/>
    <w:rsid w:val="00B2613B"/>
    <w:rsid w:val="00B261BF"/>
    <w:rsid w:val="00B2622E"/>
    <w:rsid w:val="00B262C7"/>
    <w:rsid w:val="00B262E9"/>
    <w:rsid w:val="00B262F5"/>
    <w:rsid w:val="00B26339"/>
    <w:rsid w:val="00B2635C"/>
    <w:rsid w:val="00B2645D"/>
    <w:rsid w:val="00B26530"/>
    <w:rsid w:val="00B26791"/>
    <w:rsid w:val="00B268EA"/>
    <w:rsid w:val="00B26948"/>
    <w:rsid w:val="00B26A66"/>
    <w:rsid w:val="00B26A76"/>
    <w:rsid w:val="00B26AEB"/>
    <w:rsid w:val="00B26B3B"/>
    <w:rsid w:val="00B26CA4"/>
    <w:rsid w:val="00B26CDE"/>
    <w:rsid w:val="00B26CFE"/>
    <w:rsid w:val="00B26DA3"/>
    <w:rsid w:val="00B26E15"/>
    <w:rsid w:val="00B26EEF"/>
    <w:rsid w:val="00B27179"/>
    <w:rsid w:val="00B27194"/>
    <w:rsid w:val="00B271D7"/>
    <w:rsid w:val="00B27263"/>
    <w:rsid w:val="00B27280"/>
    <w:rsid w:val="00B272C3"/>
    <w:rsid w:val="00B27484"/>
    <w:rsid w:val="00B2749F"/>
    <w:rsid w:val="00B27505"/>
    <w:rsid w:val="00B275D2"/>
    <w:rsid w:val="00B275F8"/>
    <w:rsid w:val="00B276EC"/>
    <w:rsid w:val="00B277F5"/>
    <w:rsid w:val="00B27887"/>
    <w:rsid w:val="00B278A2"/>
    <w:rsid w:val="00B2792E"/>
    <w:rsid w:val="00B27938"/>
    <w:rsid w:val="00B279D6"/>
    <w:rsid w:val="00B27AD1"/>
    <w:rsid w:val="00B27C44"/>
    <w:rsid w:val="00B27C46"/>
    <w:rsid w:val="00B27C7C"/>
    <w:rsid w:val="00B27D50"/>
    <w:rsid w:val="00B27ED1"/>
    <w:rsid w:val="00B27F57"/>
    <w:rsid w:val="00B27F66"/>
    <w:rsid w:val="00B27FC1"/>
    <w:rsid w:val="00B27FDB"/>
    <w:rsid w:val="00B2AE5A"/>
    <w:rsid w:val="00B30074"/>
    <w:rsid w:val="00B300CC"/>
    <w:rsid w:val="00B30138"/>
    <w:rsid w:val="00B30165"/>
    <w:rsid w:val="00B301C2"/>
    <w:rsid w:val="00B30247"/>
    <w:rsid w:val="00B302D4"/>
    <w:rsid w:val="00B3039D"/>
    <w:rsid w:val="00B30509"/>
    <w:rsid w:val="00B30572"/>
    <w:rsid w:val="00B30575"/>
    <w:rsid w:val="00B30627"/>
    <w:rsid w:val="00B306F5"/>
    <w:rsid w:val="00B30717"/>
    <w:rsid w:val="00B30733"/>
    <w:rsid w:val="00B30739"/>
    <w:rsid w:val="00B3073E"/>
    <w:rsid w:val="00B30821"/>
    <w:rsid w:val="00B30841"/>
    <w:rsid w:val="00B3097D"/>
    <w:rsid w:val="00B309BF"/>
    <w:rsid w:val="00B30A38"/>
    <w:rsid w:val="00B30B35"/>
    <w:rsid w:val="00B30BE3"/>
    <w:rsid w:val="00B30BEB"/>
    <w:rsid w:val="00B30D03"/>
    <w:rsid w:val="00B30D69"/>
    <w:rsid w:val="00B30D79"/>
    <w:rsid w:val="00B30EF4"/>
    <w:rsid w:val="00B30F2C"/>
    <w:rsid w:val="00B30F83"/>
    <w:rsid w:val="00B30FC0"/>
    <w:rsid w:val="00B30FF8"/>
    <w:rsid w:val="00B31011"/>
    <w:rsid w:val="00B31142"/>
    <w:rsid w:val="00B3116D"/>
    <w:rsid w:val="00B311CA"/>
    <w:rsid w:val="00B3135E"/>
    <w:rsid w:val="00B31403"/>
    <w:rsid w:val="00B31427"/>
    <w:rsid w:val="00B31445"/>
    <w:rsid w:val="00B314B0"/>
    <w:rsid w:val="00B314B2"/>
    <w:rsid w:val="00B3151B"/>
    <w:rsid w:val="00B315A5"/>
    <w:rsid w:val="00B315EE"/>
    <w:rsid w:val="00B31643"/>
    <w:rsid w:val="00B316A9"/>
    <w:rsid w:val="00B316CB"/>
    <w:rsid w:val="00B317EF"/>
    <w:rsid w:val="00B31970"/>
    <w:rsid w:val="00B319A5"/>
    <w:rsid w:val="00B319F7"/>
    <w:rsid w:val="00B31AC4"/>
    <w:rsid w:val="00B31ADD"/>
    <w:rsid w:val="00B31C6E"/>
    <w:rsid w:val="00B31CC3"/>
    <w:rsid w:val="00B31D4E"/>
    <w:rsid w:val="00B31E5A"/>
    <w:rsid w:val="00B31E8C"/>
    <w:rsid w:val="00B31EB7"/>
    <w:rsid w:val="00B31F53"/>
    <w:rsid w:val="00B31F74"/>
    <w:rsid w:val="00B32028"/>
    <w:rsid w:val="00B3208E"/>
    <w:rsid w:val="00B321F4"/>
    <w:rsid w:val="00B32216"/>
    <w:rsid w:val="00B3222C"/>
    <w:rsid w:val="00B322C5"/>
    <w:rsid w:val="00B3232D"/>
    <w:rsid w:val="00B32443"/>
    <w:rsid w:val="00B324C4"/>
    <w:rsid w:val="00B32523"/>
    <w:rsid w:val="00B327E3"/>
    <w:rsid w:val="00B32804"/>
    <w:rsid w:val="00B32858"/>
    <w:rsid w:val="00B328A0"/>
    <w:rsid w:val="00B32950"/>
    <w:rsid w:val="00B329C4"/>
    <w:rsid w:val="00B329F6"/>
    <w:rsid w:val="00B32A16"/>
    <w:rsid w:val="00B32AA0"/>
    <w:rsid w:val="00B32BB9"/>
    <w:rsid w:val="00B32C4C"/>
    <w:rsid w:val="00B32CB9"/>
    <w:rsid w:val="00B32D39"/>
    <w:rsid w:val="00B32D3A"/>
    <w:rsid w:val="00B32D73"/>
    <w:rsid w:val="00B32DF8"/>
    <w:rsid w:val="00B32ED3"/>
    <w:rsid w:val="00B32F85"/>
    <w:rsid w:val="00B32F8B"/>
    <w:rsid w:val="00B32FE6"/>
    <w:rsid w:val="00B32FF2"/>
    <w:rsid w:val="00B33002"/>
    <w:rsid w:val="00B33147"/>
    <w:rsid w:val="00B3316D"/>
    <w:rsid w:val="00B3318A"/>
    <w:rsid w:val="00B3320F"/>
    <w:rsid w:val="00B3325B"/>
    <w:rsid w:val="00B333D0"/>
    <w:rsid w:val="00B33488"/>
    <w:rsid w:val="00B33633"/>
    <w:rsid w:val="00B3371D"/>
    <w:rsid w:val="00B3376B"/>
    <w:rsid w:val="00B337BA"/>
    <w:rsid w:val="00B3381B"/>
    <w:rsid w:val="00B3385E"/>
    <w:rsid w:val="00B3386C"/>
    <w:rsid w:val="00B33A9D"/>
    <w:rsid w:val="00B33B21"/>
    <w:rsid w:val="00B33B49"/>
    <w:rsid w:val="00B33B90"/>
    <w:rsid w:val="00B33BA4"/>
    <w:rsid w:val="00B33C59"/>
    <w:rsid w:val="00B33E02"/>
    <w:rsid w:val="00B33E0A"/>
    <w:rsid w:val="00B33E32"/>
    <w:rsid w:val="00B3401E"/>
    <w:rsid w:val="00B3402A"/>
    <w:rsid w:val="00B3404C"/>
    <w:rsid w:val="00B34136"/>
    <w:rsid w:val="00B34290"/>
    <w:rsid w:val="00B34294"/>
    <w:rsid w:val="00B342B3"/>
    <w:rsid w:val="00B3432C"/>
    <w:rsid w:val="00B344BB"/>
    <w:rsid w:val="00B34502"/>
    <w:rsid w:val="00B34524"/>
    <w:rsid w:val="00B34548"/>
    <w:rsid w:val="00B3459F"/>
    <w:rsid w:val="00B3460D"/>
    <w:rsid w:val="00B3478F"/>
    <w:rsid w:val="00B347EB"/>
    <w:rsid w:val="00B347F4"/>
    <w:rsid w:val="00B3484A"/>
    <w:rsid w:val="00B348B3"/>
    <w:rsid w:val="00B348CA"/>
    <w:rsid w:val="00B3491E"/>
    <w:rsid w:val="00B34945"/>
    <w:rsid w:val="00B34962"/>
    <w:rsid w:val="00B3497E"/>
    <w:rsid w:val="00B349E2"/>
    <w:rsid w:val="00B34A05"/>
    <w:rsid w:val="00B34A46"/>
    <w:rsid w:val="00B34AC0"/>
    <w:rsid w:val="00B34B11"/>
    <w:rsid w:val="00B34BE7"/>
    <w:rsid w:val="00B34C01"/>
    <w:rsid w:val="00B34C6D"/>
    <w:rsid w:val="00B34C7C"/>
    <w:rsid w:val="00B34E6C"/>
    <w:rsid w:val="00B34EF1"/>
    <w:rsid w:val="00B350AE"/>
    <w:rsid w:val="00B350D3"/>
    <w:rsid w:val="00B350D9"/>
    <w:rsid w:val="00B35175"/>
    <w:rsid w:val="00B35192"/>
    <w:rsid w:val="00B35347"/>
    <w:rsid w:val="00B3536D"/>
    <w:rsid w:val="00B353BE"/>
    <w:rsid w:val="00B353F9"/>
    <w:rsid w:val="00B355B7"/>
    <w:rsid w:val="00B35631"/>
    <w:rsid w:val="00B356CD"/>
    <w:rsid w:val="00B3570F"/>
    <w:rsid w:val="00B3572A"/>
    <w:rsid w:val="00B357DF"/>
    <w:rsid w:val="00B357E9"/>
    <w:rsid w:val="00B3584C"/>
    <w:rsid w:val="00B35B53"/>
    <w:rsid w:val="00B35B68"/>
    <w:rsid w:val="00B35CA1"/>
    <w:rsid w:val="00B35D33"/>
    <w:rsid w:val="00B35E37"/>
    <w:rsid w:val="00B35E70"/>
    <w:rsid w:val="00B35E91"/>
    <w:rsid w:val="00B35F05"/>
    <w:rsid w:val="00B35FD3"/>
    <w:rsid w:val="00B36012"/>
    <w:rsid w:val="00B3605C"/>
    <w:rsid w:val="00B360B0"/>
    <w:rsid w:val="00B36168"/>
    <w:rsid w:val="00B36349"/>
    <w:rsid w:val="00B3636B"/>
    <w:rsid w:val="00B364C3"/>
    <w:rsid w:val="00B36614"/>
    <w:rsid w:val="00B3666B"/>
    <w:rsid w:val="00B3668C"/>
    <w:rsid w:val="00B366D2"/>
    <w:rsid w:val="00B366E2"/>
    <w:rsid w:val="00B366F3"/>
    <w:rsid w:val="00B3679E"/>
    <w:rsid w:val="00B36970"/>
    <w:rsid w:val="00B3697F"/>
    <w:rsid w:val="00B36A7B"/>
    <w:rsid w:val="00B36A84"/>
    <w:rsid w:val="00B36B8A"/>
    <w:rsid w:val="00B36BE9"/>
    <w:rsid w:val="00B36C81"/>
    <w:rsid w:val="00B36C98"/>
    <w:rsid w:val="00B36CB6"/>
    <w:rsid w:val="00B36D37"/>
    <w:rsid w:val="00B36D3B"/>
    <w:rsid w:val="00B36D4D"/>
    <w:rsid w:val="00B36F33"/>
    <w:rsid w:val="00B36F69"/>
    <w:rsid w:val="00B36FFA"/>
    <w:rsid w:val="00B37099"/>
    <w:rsid w:val="00B37108"/>
    <w:rsid w:val="00B3716F"/>
    <w:rsid w:val="00B37248"/>
    <w:rsid w:val="00B37360"/>
    <w:rsid w:val="00B37398"/>
    <w:rsid w:val="00B373B8"/>
    <w:rsid w:val="00B375FA"/>
    <w:rsid w:val="00B37660"/>
    <w:rsid w:val="00B376A2"/>
    <w:rsid w:val="00B37794"/>
    <w:rsid w:val="00B37802"/>
    <w:rsid w:val="00B37840"/>
    <w:rsid w:val="00B378A1"/>
    <w:rsid w:val="00B379F0"/>
    <w:rsid w:val="00B37B81"/>
    <w:rsid w:val="00B37C4F"/>
    <w:rsid w:val="00B37C5E"/>
    <w:rsid w:val="00B37C82"/>
    <w:rsid w:val="00B37C8B"/>
    <w:rsid w:val="00B37C90"/>
    <w:rsid w:val="00B37CED"/>
    <w:rsid w:val="00B37D29"/>
    <w:rsid w:val="00B37D3B"/>
    <w:rsid w:val="00B37D61"/>
    <w:rsid w:val="00B37DA9"/>
    <w:rsid w:val="00B37DD6"/>
    <w:rsid w:val="00B37DDA"/>
    <w:rsid w:val="00B37E93"/>
    <w:rsid w:val="00B37E9D"/>
    <w:rsid w:val="00B37EE9"/>
    <w:rsid w:val="00B37F6C"/>
    <w:rsid w:val="00B40057"/>
    <w:rsid w:val="00B4007C"/>
    <w:rsid w:val="00B400A0"/>
    <w:rsid w:val="00B400BE"/>
    <w:rsid w:val="00B401F9"/>
    <w:rsid w:val="00B40311"/>
    <w:rsid w:val="00B40372"/>
    <w:rsid w:val="00B403E0"/>
    <w:rsid w:val="00B40476"/>
    <w:rsid w:val="00B40555"/>
    <w:rsid w:val="00B405FF"/>
    <w:rsid w:val="00B40608"/>
    <w:rsid w:val="00B40725"/>
    <w:rsid w:val="00B40793"/>
    <w:rsid w:val="00B407BC"/>
    <w:rsid w:val="00B4080C"/>
    <w:rsid w:val="00B40864"/>
    <w:rsid w:val="00B40971"/>
    <w:rsid w:val="00B40A38"/>
    <w:rsid w:val="00B40A50"/>
    <w:rsid w:val="00B40A6E"/>
    <w:rsid w:val="00B40BC5"/>
    <w:rsid w:val="00B40BE4"/>
    <w:rsid w:val="00B40C76"/>
    <w:rsid w:val="00B40D3B"/>
    <w:rsid w:val="00B40D84"/>
    <w:rsid w:val="00B40E2E"/>
    <w:rsid w:val="00B41011"/>
    <w:rsid w:val="00B41047"/>
    <w:rsid w:val="00B41144"/>
    <w:rsid w:val="00B4120D"/>
    <w:rsid w:val="00B41235"/>
    <w:rsid w:val="00B41272"/>
    <w:rsid w:val="00B41294"/>
    <w:rsid w:val="00B41296"/>
    <w:rsid w:val="00B412F4"/>
    <w:rsid w:val="00B4130A"/>
    <w:rsid w:val="00B4137B"/>
    <w:rsid w:val="00B413E6"/>
    <w:rsid w:val="00B413F2"/>
    <w:rsid w:val="00B41453"/>
    <w:rsid w:val="00B4147E"/>
    <w:rsid w:val="00B414DE"/>
    <w:rsid w:val="00B4164D"/>
    <w:rsid w:val="00B416D1"/>
    <w:rsid w:val="00B41851"/>
    <w:rsid w:val="00B41855"/>
    <w:rsid w:val="00B418BD"/>
    <w:rsid w:val="00B418C1"/>
    <w:rsid w:val="00B41953"/>
    <w:rsid w:val="00B4196E"/>
    <w:rsid w:val="00B419B2"/>
    <w:rsid w:val="00B41A0B"/>
    <w:rsid w:val="00B41A14"/>
    <w:rsid w:val="00B41BD9"/>
    <w:rsid w:val="00B41C4C"/>
    <w:rsid w:val="00B41C94"/>
    <w:rsid w:val="00B41D04"/>
    <w:rsid w:val="00B41D36"/>
    <w:rsid w:val="00B41D7C"/>
    <w:rsid w:val="00B41E5E"/>
    <w:rsid w:val="00B41F08"/>
    <w:rsid w:val="00B41F14"/>
    <w:rsid w:val="00B41FD7"/>
    <w:rsid w:val="00B4205D"/>
    <w:rsid w:val="00B42166"/>
    <w:rsid w:val="00B4216B"/>
    <w:rsid w:val="00B421FF"/>
    <w:rsid w:val="00B42241"/>
    <w:rsid w:val="00B4226D"/>
    <w:rsid w:val="00B423A7"/>
    <w:rsid w:val="00B42475"/>
    <w:rsid w:val="00B42487"/>
    <w:rsid w:val="00B4260A"/>
    <w:rsid w:val="00B4269D"/>
    <w:rsid w:val="00B42705"/>
    <w:rsid w:val="00B427A2"/>
    <w:rsid w:val="00B427FF"/>
    <w:rsid w:val="00B42A41"/>
    <w:rsid w:val="00B42B12"/>
    <w:rsid w:val="00B42B9D"/>
    <w:rsid w:val="00B42BAC"/>
    <w:rsid w:val="00B42BE0"/>
    <w:rsid w:val="00B42C4A"/>
    <w:rsid w:val="00B42DE2"/>
    <w:rsid w:val="00B42DFC"/>
    <w:rsid w:val="00B42E5E"/>
    <w:rsid w:val="00B42EB5"/>
    <w:rsid w:val="00B42FB7"/>
    <w:rsid w:val="00B430DA"/>
    <w:rsid w:val="00B43147"/>
    <w:rsid w:val="00B4318C"/>
    <w:rsid w:val="00B431DA"/>
    <w:rsid w:val="00B432B3"/>
    <w:rsid w:val="00B434F1"/>
    <w:rsid w:val="00B43519"/>
    <w:rsid w:val="00B43599"/>
    <w:rsid w:val="00B43641"/>
    <w:rsid w:val="00B43730"/>
    <w:rsid w:val="00B437B5"/>
    <w:rsid w:val="00B43945"/>
    <w:rsid w:val="00B439CD"/>
    <w:rsid w:val="00B43A9A"/>
    <w:rsid w:val="00B43C31"/>
    <w:rsid w:val="00B43C55"/>
    <w:rsid w:val="00B43CA7"/>
    <w:rsid w:val="00B43CB7"/>
    <w:rsid w:val="00B43DCC"/>
    <w:rsid w:val="00B43DD7"/>
    <w:rsid w:val="00B43DDF"/>
    <w:rsid w:val="00B43EBA"/>
    <w:rsid w:val="00B44008"/>
    <w:rsid w:val="00B44102"/>
    <w:rsid w:val="00B441F0"/>
    <w:rsid w:val="00B443A5"/>
    <w:rsid w:val="00B4446A"/>
    <w:rsid w:val="00B4448B"/>
    <w:rsid w:val="00B445EA"/>
    <w:rsid w:val="00B445F5"/>
    <w:rsid w:val="00B4462F"/>
    <w:rsid w:val="00B4473E"/>
    <w:rsid w:val="00B4476F"/>
    <w:rsid w:val="00B44995"/>
    <w:rsid w:val="00B44A3B"/>
    <w:rsid w:val="00B44B0E"/>
    <w:rsid w:val="00B44B67"/>
    <w:rsid w:val="00B44BAF"/>
    <w:rsid w:val="00B44BF3"/>
    <w:rsid w:val="00B44C13"/>
    <w:rsid w:val="00B44D84"/>
    <w:rsid w:val="00B44DCC"/>
    <w:rsid w:val="00B44DFC"/>
    <w:rsid w:val="00B44E15"/>
    <w:rsid w:val="00B451C9"/>
    <w:rsid w:val="00B4525E"/>
    <w:rsid w:val="00B4536C"/>
    <w:rsid w:val="00B4543B"/>
    <w:rsid w:val="00B454E3"/>
    <w:rsid w:val="00B457B8"/>
    <w:rsid w:val="00B45A41"/>
    <w:rsid w:val="00B45F9C"/>
    <w:rsid w:val="00B4601F"/>
    <w:rsid w:val="00B460C8"/>
    <w:rsid w:val="00B460C9"/>
    <w:rsid w:val="00B462CB"/>
    <w:rsid w:val="00B4631D"/>
    <w:rsid w:val="00B46364"/>
    <w:rsid w:val="00B4640B"/>
    <w:rsid w:val="00B46412"/>
    <w:rsid w:val="00B4648A"/>
    <w:rsid w:val="00B46669"/>
    <w:rsid w:val="00B46674"/>
    <w:rsid w:val="00B4670D"/>
    <w:rsid w:val="00B4674B"/>
    <w:rsid w:val="00B46801"/>
    <w:rsid w:val="00B46869"/>
    <w:rsid w:val="00B46A5E"/>
    <w:rsid w:val="00B46A9F"/>
    <w:rsid w:val="00B46BAB"/>
    <w:rsid w:val="00B46BCA"/>
    <w:rsid w:val="00B46BF3"/>
    <w:rsid w:val="00B46CED"/>
    <w:rsid w:val="00B46D21"/>
    <w:rsid w:val="00B46DD6"/>
    <w:rsid w:val="00B46E68"/>
    <w:rsid w:val="00B46E9C"/>
    <w:rsid w:val="00B46EC1"/>
    <w:rsid w:val="00B46F30"/>
    <w:rsid w:val="00B46F46"/>
    <w:rsid w:val="00B46F84"/>
    <w:rsid w:val="00B47063"/>
    <w:rsid w:val="00B471ED"/>
    <w:rsid w:val="00B47228"/>
    <w:rsid w:val="00B47319"/>
    <w:rsid w:val="00B47384"/>
    <w:rsid w:val="00B473D6"/>
    <w:rsid w:val="00B47458"/>
    <w:rsid w:val="00B474A5"/>
    <w:rsid w:val="00B4750A"/>
    <w:rsid w:val="00B475A0"/>
    <w:rsid w:val="00B476CD"/>
    <w:rsid w:val="00B4793E"/>
    <w:rsid w:val="00B47A15"/>
    <w:rsid w:val="00B47A4B"/>
    <w:rsid w:val="00B47B1D"/>
    <w:rsid w:val="00B47B8F"/>
    <w:rsid w:val="00B47C3B"/>
    <w:rsid w:val="00B47C71"/>
    <w:rsid w:val="00B47C84"/>
    <w:rsid w:val="00B47CF4"/>
    <w:rsid w:val="00B47CFA"/>
    <w:rsid w:val="00B47D65"/>
    <w:rsid w:val="00B47DC9"/>
    <w:rsid w:val="00B47DD4"/>
    <w:rsid w:val="00B47DF4"/>
    <w:rsid w:val="00B47E19"/>
    <w:rsid w:val="00B47EB3"/>
    <w:rsid w:val="00B50057"/>
    <w:rsid w:val="00B502A0"/>
    <w:rsid w:val="00B50314"/>
    <w:rsid w:val="00B50322"/>
    <w:rsid w:val="00B5041A"/>
    <w:rsid w:val="00B50425"/>
    <w:rsid w:val="00B50564"/>
    <w:rsid w:val="00B50601"/>
    <w:rsid w:val="00B50666"/>
    <w:rsid w:val="00B50802"/>
    <w:rsid w:val="00B50850"/>
    <w:rsid w:val="00B508CD"/>
    <w:rsid w:val="00B508FF"/>
    <w:rsid w:val="00B5097E"/>
    <w:rsid w:val="00B509D5"/>
    <w:rsid w:val="00B50ACD"/>
    <w:rsid w:val="00B50AD9"/>
    <w:rsid w:val="00B50C2B"/>
    <w:rsid w:val="00B50C8B"/>
    <w:rsid w:val="00B50D6D"/>
    <w:rsid w:val="00B50D7F"/>
    <w:rsid w:val="00B50EBC"/>
    <w:rsid w:val="00B51050"/>
    <w:rsid w:val="00B5107F"/>
    <w:rsid w:val="00B51179"/>
    <w:rsid w:val="00B51211"/>
    <w:rsid w:val="00B512C2"/>
    <w:rsid w:val="00B5131E"/>
    <w:rsid w:val="00B513F0"/>
    <w:rsid w:val="00B5141A"/>
    <w:rsid w:val="00B51431"/>
    <w:rsid w:val="00B5143F"/>
    <w:rsid w:val="00B514E8"/>
    <w:rsid w:val="00B5157A"/>
    <w:rsid w:val="00B51734"/>
    <w:rsid w:val="00B517D1"/>
    <w:rsid w:val="00B517E4"/>
    <w:rsid w:val="00B519AD"/>
    <w:rsid w:val="00B51AFD"/>
    <w:rsid w:val="00B51B18"/>
    <w:rsid w:val="00B51B2C"/>
    <w:rsid w:val="00B51B97"/>
    <w:rsid w:val="00B51C27"/>
    <w:rsid w:val="00B51C7B"/>
    <w:rsid w:val="00B51C98"/>
    <w:rsid w:val="00B51CD4"/>
    <w:rsid w:val="00B51D13"/>
    <w:rsid w:val="00B51D59"/>
    <w:rsid w:val="00B51E1A"/>
    <w:rsid w:val="00B51E8C"/>
    <w:rsid w:val="00B5203F"/>
    <w:rsid w:val="00B52089"/>
    <w:rsid w:val="00B521D5"/>
    <w:rsid w:val="00B521F0"/>
    <w:rsid w:val="00B52207"/>
    <w:rsid w:val="00B522C6"/>
    <w:rsid w:val="00B523D8"/>
    <w:rsid w:val="00B523E8"/>
    <w:rsid w:val="00B524FD"/>
    <w:rsid w:val="00B5264E"/>
    <w:rsid w:val="00B52700"/>
    <w:rsid w:val="00B5292A"/>
    <w:rsid w:val="00B52A89"/>
    <w:rsid w:val="00B52AA2"/>
    <w:rsid w:val="00B52BFC"/>
    <w:rsid w:val="00B52C4C"/>
    <w:rsid w:val="00B52D0B"/>
    <w:rsid w:val="00B52DCE"/>
    <w:rsid w:val="00B52E70"/>
    <w:rsid w:val="00B52E7C"/>
    <w:rsid w:val="00B52E8F"/>
    <w:rsid w:val="00B52FF4"/>
    <w:rsid w:val="00B52FF9"/>
    <w:rsid w:val="00B53077"/>
    <w:rsid w:val="00B531CB"/>
    <w:rsid w:val="00B532EB"/>
    <w:rsid w:val="00B532F6"/>
    <w:rsid w:val="00B5331A"/>
    <w:rsid w:val="00B534C7"/>
    <w:rsid w:val="00B53605"/>
    <w:rsid w:val="00B5365D"/>
    <w:rsid w:val="00B5375F"/>
    <w:rsid w:val="00B53839"/>
    <w:rsid w:val="00B53883"/>
    <w:rsid w:val="00B5391B"/>
    <w:rsid w:val="00B53967"/>
    <w:rsid w:val="00B53970"/>
    <w:rsid w:val="00B53A17"/>
    <w:rsid w:val="00B53A45"/>
    <w:rsid w:val="00B53A4F"/>
    <w:rsid w:val="00B53A92"/>
    <w:rsid w:val="00B53B15"/>
    <w:rsid w:val="00B53BE0"/>
    <w:rsid w:val="00B53C03"/>
    <w:rsid w:val="00B53C52"/>
    <w:rsid w:val="00B53C97"/>
    <w:rsid w:val="00B53D37"/>
    <w:rsid w:val="00B53E22"/>
    <w:rsid w:val="00B53F3F"/>
    <w:rsid w:val="00B53F87"/>
    <w:rsid w:val="00B53FFD"/>
    <w:rsid w:val="00B54121"/>
    <w:rsid w:val="00B54313"/>
    <w:rsid w:val="00B5432B"/>
    <w:rsid w:val="00B543C3"/>
    <w:rsid w:val="00B5449B"/>
    <w:rsid w:val="00B5449C"/>
    <w:rsid w:val="00B54557"/>
    <w:rsid w:val="00B545C1"/>
    <w:rsid w:val="00B54628"/>
    <w:rsid w:val="00B54732"/>
    <w:rsid w:val="00B54742"/>
    <w:rsid w:val="00B54796"/>
    <w:rsid w:val="00B54915"/>
    <w:rsid w:val="00B54919"/>
    <w:rsid w:val="00B5494A"/>
    <w:rsid w:val="00B54A6D"/>
    <w:rsid w:val="00B54B12"/>
    <w:rsid w:val="00B54B16"/>
    <w:rsid w:val="00B54C53"/>
    <w:rsid w:val="00B54CA2"/>
    <w:rsid w:val="00B54D85"/>
    <w:rsid w:val="00B54FCE"/>
    <w:rsid w:val="00B55000"/>
    <w:rsid w:val="00B5504C"/>
    <w:rsid w:val="00B550B8"/>
    <w:rsid w:val="00B551B3"/>
    <w:rsid w:val="00B5534E"/>
    <w:rsid w:val="00B55355"/>
    <w:rsid w:val="00B55363"/>
    <w:rsid w:val="00B55368"/>
    <w:rsid w:val="00B5537B"/>
    <w:rsid w:val="00B55395"/>
    <w:rsid w:val="00B5549B"/>
    <w:rsid w:val="00B55515"/>
    <w:rsid w:val="00B5555F"/>
    <w:rsid w:val="00B55587"/>
    <w:rsid w:val="00B556C1"/>
    <w:rsid w:val="00B55867"/>
    <w:rsid w:val="00B558A5"/>
    <w:rsid w:val="00B55902"/>
    <w:rsid w:val="00B559FD"/>
    <w:rsid w:val="00B55AC2"/>
    <w:rsid w:val="00B55ACB"/>
    <w:rsid w:val="00B55B5D"/>
    <w:rsid w:val="00B55B8D"/>
    <w:rsid w:val="00B55C69"/>
    <w:rsid w:val="00B55C9A"/>
    <w:rsid w:val="00B55DA5"/>
    <w:rsid w:val="00B55DC3"/>
    <w:rsid w:val="00B55DF8"/>
    <w:rsid w:val="00B55E00"/>
    <w:rsid w:val="00B55E40"/>
    <w:rsid w:val="00B55F29"/>
    <w:rsid w:val="00B55F78"/>
    <w:rsid w:val="00B56079"/>
    <w:rsid w:val="00B5637C"/>
    <w:rsid w:val="00B5641C"/>
    <w:rsid w:val="00B56429"/>
    <w:rsid w:val="00B564D8"/>
    <w:rsid w:val="00B5650C"/>
    <w:rsid w:val="00B56598"/>
    <w:rsid w:val="00B56666"/>
    <w:rsid w:val="00B56703"/>
    <w:rsid w:val="00B567A8"/>
    <w:rsid w:val="00B567EB"/>
    <w:rsid w:val="00B5692D"/>
    <w:rsid w:val="00B56A32"/>
    <w:rsid w:val="00B56B71"/>
    <w:rsid w:val="00B56C93"/>
    <w:rsid w:val="00B56D65"/>
    <w:rsid w:val="00B56F8D"/>
    <w:rsid w:val="00B56FCC"/>
    <w:rsid w:val="00B57321"/>
    <w:rsid w:val="00B5736D"/>
    <w:rsid w:val="00B57390"/>
    <w:rsid w:val="00B573C0"/>
    <w:rsid w:val="00B573DD"/>
    <w:rsid w:val="00B574C8"/>
    <w:rsid w:val="00B57520"/>
    <w:rsid w:val="00B575D6"/>
    <w:rsid w:val="00B57603"/>
    <w:rsid w:val="00B57613"/>
    <w:rsid w:val="00B57683"/>
    <w:rsid w:val="00B5772B"/>
    <w:rsid w:val="00B5791D"/>
    <w:rsid w:val="00B579A1"/>
    <w:rsid w:val="00B57A05"/>
    <w:rsid w:val="00B57A1D"/>
    <w:rsid w:val="00B57AC3"/>
    <w:rsid w:val="00B57B91"/>
    <w:rsid w:val="00B57BB1"/>
    <w:rsid w:val="00B57C26"/>
    <w:rsid w:val="00B57CC4"/>
    <w:rsid w:val="00B57D50"/>
    <w:rsid w:val="00B57DC6"/>
    <w:rsid w:val="00B57E49"/>
    <w:rsid w:val="00B57EB4"/>
    <w:rsid w:val="00B57EDE"/>
    <w:rsid w:val="00B6028F"/>
    <w:rsid w:val="00B6030D"/>
    <w:rsid w:val="00B60358"/>
    <w:rsid w:val="00B60572"/>
    <w:rsid w:val="00B605D5"/>
    <w:rsid w:val="00B6060B"/>
    <w:rsid w:val="00B60779"/>
    <w:rsid w:val="00B607D0"/>
    <w:rsid w:val="00B60850"/>
    <w:rsid w:val="00B608A2"/>
    <w:rsid w:val="00B608A6"/>
    <w:rsid w:val="00B60944"/>
    <w:rsid w:val="00B609BF"/>
    <w:rsid w:val="00B60A8E"/>
    <w:rsid w:val="00B60B5F"/>
    <w:rsid w:val="00B60BD8"/>
    <w:rsid w:val="00B60DEA"/>
    <w:rsid w:val="00B60E3E"/>
    <w:rsid w:val="00B60E46"/>
    <w:rsid w:val="00B610D9"/>
    <w:rsid w:val="00B61138"/>
    <w:rsid w:val="00B6128F"/>
    <w:rsid w:val="00B612F2"/>
    <w:rsid w:val="00B61350"/>
    <w:rsid w:val="00B61363"/>
    <w:rsid w:val="00B6146C"/>
    <w:rsid w:val="00B61598"/>
    <w:rsid w:val="00B615B9"/>
    <w:rsid w:val="00B615DA"/>
    <w:rsid w:val="00B615EF"/>
    <w:rsid w:val="00B616B4"/>
    <w:rsid w:val="00B617D7"/>
    <w:rsid w:val="00B617E6"/>
    <w:rsid w:val="00B61AEB"/>
    <w:rsid w:val="00B61B4F"/>
    <w:rsid w:val="00B61BA3"/>
    <w:rsid w:val="00B61BD7"/>
    <w:rsid w:val="00B61C01"/>
    <w:rsid w:val="00B61C88"/>
    <w:rsid w:val="00B61CBF"/>
    <w:rsid w:val="00B61D7A"/>
    <w:rsid w:val="00B61DB7"/>
    <w:rsid w:val="00B61DFD"/>
    <w:rsid w:val="00B61F02"/>
    <w:rsid w:val="00B61F8C"/>
    <w:rsid w:val="00B61FC7"/>
    <w:rsid w:val="00B62116"/>
    <w:rsid w:val="00B6240A"/>
    <w:rsid w:val="00B62541"/>
    <w:rsid w:val="00B625EA"/>
    <w:rsid w:val="00B6276C"/>
    <w:rsid w:val="00B628AA"/>
    <w:rsid w:val="00B62905"/>
    <w:rsid w:val="00B62A47"/>
    <w:rsid w:val="00B62AFB"/>
    <w:rsid w:val="00B62C6E"/>
    <w:rsid w:val="00B62D2F"/>
    <w:rsid w:val="00B62EB1"/>
    <w:rsid w:val="00B62EC9"/>
    <w:rsid w:val="00B62F72"/>
    <w:rsid w:val="00B63007"/>
    <w:rsid w:val="00B6300B"/>
    <w:rsid w:val="00B631AE"/>
    <w:rsid w:val="00B6324B"/>
    <w:rsid w:val="00B6325F"/>
    <w:rsid w:val="00B632F0"/>
    <w:rsid w:val="00B63484"/>
    <w:rsid w:val="00B634DB"/>
    <w:rsid w:val="00B6375A"/>
    <w:rsid w:val="00B63790"/>
    <w:rsid w:val="00B6389F"/>
    <w:rsid w:val="00B6394E"/>
    <w:rsid w:val="00B6399B"/>
    <w:rsid w:val="00B63B1B"/>
    <w:rsid w:val="00B63BF4"/>
    <w:rsid w:val="00B63D8E"/>
    <w:rsid w:val="00B63E86"/>
    <w:rsid w:val="00B63F3E"/>
    <w:rsid w:val="00B6400E"/>
    <w:rsid w:val="00B64079"/>
    <w:rsid w:val="00B640F1"/>
    <w:rsid w:val="00B641AD"/>
    <w:rsid w:val="00B64235"/>
    <w:rsid w:val="00B64265"/>
    <w:rsid w:val="00B6429E"/>
    <w:rsid w:val="00B64318"/>
    <w:rsid w:val="00B64369"/>
    <w:rsid w:val="00B64371"/>
    <w:rsid w:val="00B6447B"/>
    <w:rsid w:val="00B64501"/>
    <w:rsid w:val="00B645EA"/>
    <w:rsid w:val="00B645EF"/>
    <w:rsid w:val="00B64734"/>
    <w:rsid w:val="00B64738"/>
    <w:rsid w:val="00B64813"/>
    <w:rsid w:val="00B64821"/>
    <w:rsid w:val="00B6484B"/>
    <w:rsid w:val="00B64873"/>
    <w:rsid w:val="00B648AC"/>
    <w:rsid w:val="00B64983"/>
    <w:rsid w:val="00B64A13"/>
    <w:rsid w:val="00B64A5E"/>
    <w:rsid w:val="00B64A8B"/>
    <w:rsid w:val="00B64AB7"/>
    <w:rsid w:val="00B64B76"/>
    <w:rsid w:val="00B64C41"/>
    <w:rsid w:val="00B64C68"/>
    <w:rsid w:val="00B64D99"/>
    <w:rsid w:val="00B64D9D"/>
    <w:rsid w:val="00B64DEF"/>
    <w:rsid w:val="00B64FB4"/>
    <w:rsid w:val="00B65069"/>
    <w:rsid w:val="00B65124"/>
    <w:rsid w:val="00B6516D"/>
    <w:rsid w:val="00B651D8"/>
    <w:rsid w:val="00B651E1"/>
    <w:rsid w:val="00B6543A"/>
    <w:rsid w:val="00B6551D"/>
    <w:rsid w:val="00B655C2"/>
    <w:rsid w:val="00B65630"/>
    <w:rsid w:val="00B65661"/>
    <w:rsid w:val="00B656C4"/>
    <w:rsid w:val="00B65739"/>
    <w:rsid w:val="00B657C6"/>
    <w:rsid w:val="00B6581E"/>
    <w:rsid w:val="00B65860"/>
    <w:rsid w:val="00B658B3"/>
    <w:rsid w:val="00B659ED"/>
    <w:rsid w:val="00B65A0D"/>
    <w:rsid w:val="00B65A3B"/>
    <w:rsid w:val="00B65C57"/>
    <w:rsid w:val="00B65CB0"/>
    <w:rsid w:val="00B65EFE"/>
    <w:rsid w:val="00B65F9B"/>
    <w:rsid w:val="00B65FF5"/>
    <w:rsid w:val="00B660DF"/>
    <w:rsid w:val="00B6615C"/>
    <w:rsid w:val="00B66268"/>
    <w:rsid w:val="00B66289"/>
    <w:rsid w:val="00B66379"/>
    <w:rsid w:val="00B663AF"/>
    <w:rsid w:val="00B66468"/>
    <w:rsid w:val="00B66598"/>
    <w:rsid w:val="00B665AD"/>
    <w:rsid w:val="00B66602"/>
    <w:rsid w:val="00B666DE"/>
    <w:rsid w:val="00B66767"/>
    <w:rsid w:val="00B66887"/>
    <w:rsid w:val="00B668B0"/>
    <w:rsid w:val="00B668CC"/>
    <w:rsid w:val="00B668DC"/>
    <w:rsid w:val="00B66916"/>
    <w:rsid w:val="00B66929"/>
    <w:rsid w:val="00B66982"/>
    <w:rsid w:val="00B66986"/>
    <w:rsid w:val="00B66A53"/>
    <w:rsid w:val="00B66B44"/>
    <w:rsid w:val="00B66BDA"/>
    <w:rsid w:val="00B66D60"/>
    <w:rsid w:val="00B66F03"/>
    <w:rsid w:val="00B66FA5"/>
    <w:rsid w:val="00B66FD4"/>
    <w:rsid w:val="00B67039"/>
    <w:rsid w:val="00B670A3"/>
    <w:rsid w:val="00B671F2"/>
    <w:rsid w:val="00B671F8"/>
    <w:rsid w:val="00B67275"/>
    <w:rsid w:val="00B67319"/>
    <w:rsid w:val="00B6739F"/>
    <w:rsid w:val="00B674AE"/>
    <w:rsid w:val="00B67595"/>
    <w:rsid w:val="00B675CF"/>
    <w:rsid w:val="00B67635"/>
    <w:rsid w:val="00B6765A"/>
    <w:rsid w:val="00B67669"/>
    <w:rsid w:val="00B6777D"/>
    <w:rsid w:val="00B677EC"/>
    <w:rsid w:val="00B67822"/>
    <w:rsid w:val="00B67888"/>
    <w:rsid w:val="00B67917"/>
    <w:rsid w:val="00B67946"/>
    <w:rsid w:val="00B67A74"/>
    <w:rsid w:val="00B67AA4"/>
    <w:rsid w:val="00B67B33"/>
    <w:rsid w:val="00B67CA2"/>
    <w:rsid w:val="00B67CB3"/>
    <w:rsid w:val="00B67D93"/>
    <w:rsid w:val="00B67E30"/>
    <w:rsid w:val="00B67E7B"/>
    <w:rsid w:val="00B67E8F"/>
    <w:rsid w:val="00B67F04"/>
    <w:rsid w:val="00B7001E"/>
    <w:rsid w:val="00B700E5"/>
    <w:rsid w:val="00B701F3"/>
    <w:rsid w:val="00B7021B"/>
    <w:rsid w:val="00B70272"/>
    <w:rsid w:val="00B702D3"/>
    <w:rsid w:val="00B70409"/>
    <w:rsid w:val="00B70422"/>
    <w:rsid w:val="00B704A0"/>
    <w:rsid w:val="00B704D9"/>
    <w:rsid w:val="00B7050D"/>
    <w:rsid w:val="00B70532"/>
    <w:rsid w:val="00B705D9"/>
    <w:rsid w:val="00B70703"/>
    <w:rsid w:val="00B7074F"/>
    <w:rsid w:val="00B707D3"/>
    <w:rsid w:val="00B709A4"/>
    <w:rsid w:val="00B70A83"/>
    <w:rsid w:val="00B70AD5"/>
    <w:rsid w:val="00B70E2C"/>
    <w:rsid w:val="00B70F9E"/>
    <w:rsid w:val="00B70FDD"/>
    <w:rsid w:val="00B71053"/>
    <w:rsid w:val="00B7128B"/>
    <w:rsid w:val="00B7130F"/>
    <w:rsid w:val="00B71515"/>
    <w:rsid w:val="00B71536"/>
    <w:rsid w:val="00B715F0"/>
    <w:rsid w:val="00B715F8"/>
    <w:rsid w:val="00B7164C"/>
    <w:rsid w:val="00B716D2"/>
    <w:rsid w:val="00B716EA"/>
    <w:rsid w:val="00B7172B"/>
    <w:rsid w:val="00B7176D"/>
    <w:rsid w:val="00B717B4"/>
    <w:rsid w:val="00B717E2"/>
    <w:rsid w:val="00B71B01"/>
    <w:rsid w:val="00B71B74"/>
    <w:rsid w:val="00B71D15"/>
    <w:rsid w:val="00B71DFD"/>
    <w:rsid w:val="00B71E8A"/>
    <w:rsid w:val="00B71EB1"/>
    <w:rsid w:val="00B71EDC"/>
    <w:rsid w:val="00B71F00"/>
    <w:rsid w:val="00B71FC5"/>
    <w:rsid w:val="00B72208"/>
    <w:rsid w:val="00B7222A"/>
    <w:rsid w:val="00B72352"/>
    <w:rsid w:val="00B723A1"/>
    <w:rsid w:val="00B723F7"/>
    <w:rsid w:val="00B7240C"/>
    <w:rsid w:val="00B72464"/>
    <w:rsid w:val="00B72633"/>
    <w:rsid w:val="00B72867"/>
    <w:rsid w:val="00B72995"/>
    <w:rsid w:val="00B72A20"/>
    <w:rsid w:val="00B72A42"/>
    <w:rsid w:val="00B72C26"/>
    <w:rsid w:val="00B72CE5"/>
    <w:rsid w:val="00B72D27"/>
    <w:rsid w:val="00B72E5F"/>
    <w:rsid w:val="00B72E81"/>
    <w:rsid w:val="00B72E82"/>
    <w:rsid w:val="00B72F04"/>
    <w:rsid w:val="00B72F4E"/>
    <w:rsid w:val="00B72F68"/>
    <w:rsid w:val="00B72FBE"/>
    <w:rsid w:val="00B72FF7"/>
    <w:rsid w:val="00B7304E"/>
    <w:rsid w:val="00B73087"/>
    <w:rsid w:val="00B730BE"/>
    <w:rsid w:val="00B730F2"/>
    <w:rsid w:val="00B73121"/>
    <w:rsid w:val="00B7320F"/>
    <w:rsid w:val="00B73242"/>
    <w:rsid w:val="00B7328F"/>
    <w:rsid w:val="00B7330C"/>
    <w:rsid w:val="00B73321"/>
    <w:rsid w:val="00B73337"/>
    <w:rsid w:val="00B73384"/>
    <w:rsid w:val="00B734B4"/>
    <w:rsid w:val="00B734DC"/>
    <w:rsid w:val="00B7355C"/>
    <w:rsid w:val="00B7357D"/>
    <w:rsid w:val="00B73684"/>
    <w:rsid w:val="00B73695"/>
    <w:rsid w:val="00B736F4"/>
    <w:rsid w:val="00B737CD"/>
    <w:rsid w:val="00B738F1"/>
    <w:rsid w:val="00B73A28"/>
    <w:rsid w:val="00B73A8A"/>
    <w:rsid w:val="00B73B9D"/>
    <w:rsid w:val="00B73BCA"/>
    <w:rsid w:val="00B73CB2"/>
    <w:rsid w:val="00B73E39"/>
    <w:rsid w:val="00B73E4B"/>
    <w:rsid w:val="00B73ED1"/>
    <w:rsid w:val="00B73F49"/>
    <w:rsid w:val="00B73F6F"/>
    <w:rsid w:val="00B73FB0"/>
    <w:rsid w:val="00B74167"/>
    <w:rsid w:val="00B741F9"/>
    <w:rsid w:val="00B7426F"/>
    <w:rsid w:val="00B742BC"/>
    <w:rsid w:val="00B74342"/>
    <w:rsid w:val="00B743AB"/>
    <w:rsid w:val="00B7445E"/>
    <w:rsid w:val="00B7448C"/>
    <w:rsid w:val="00B744C3"/>
    <w:rsid w:val="00B7454A"/>
    <w:rsid w:val="00B745D0"/>
    <w:rsid w:val="00B74681"/>
    <w:rsid w:val="00B74696"/>
    <w:rsid w:val="00B746A0"/>
    <w:rsid w:val="00B746AA"/>
    <w:rsid w:val="00B7472C"/>
    <w:rsid w:val="00B7477C"/>
    <w:rsid w:val="00B74871"/>
    <w:rsid w:val="00B748C4"/>
    <w:rsid w:val="00B748E8"/>
    <w:rsid w:val="00B7495E"/>
    <w:rsid w:val="00B74968"/>
    <w:rsid w:val="00B74980"/>
    <w:rsid w:val="00B74A4A"/>
    <w:rsid w:val="00B74A98"/>
    <w:rsid w:val="00B74AF5"/>
    <w:rsid w:val="00B74B25"/>
    <w:rsid w:val="00B74B4E"/>
    <w:rsid w:val="00B74D88"/>
    <w:rsid w:val="00B74D9E"/>
    <w:rsid w:val="00B74EB6"/>
    <w:rsid w:val="00B74ECD"/>
    <w:rsid w:val="00B74EEB"/>
    <w:rsid w:val="00B74FB3"/>
    <w:rsid w:val="00B75064"/>
    <w:rsid w:val="00B7507C"/>
    <w:rsid w:val="00B7514A"/>
    <w:rsid w:val="00B7524B"/>
    <w:rsid w:val="00B75297"/>
    <w:rsid w:val="00B752B8"/>
    <w:rsid w:val="00B7534C"/>
    <w:rsid w:val="00B753C2"/>
    <w:rsid w:val="00B753DB"/>
    <w:rsid w:val="00B753E3"/>
    <w:rsid w:val="00B7541A"/>
    <w:rsid w:val="00B75422"/>
    <w:rsid w:val="00B75460"/>
    <w:rsid w:val="00B7550E"/>
    <w:rsid w:val="00B755D0"/>
    <w:rsid w:val="00B755EC"/>
    <w:rsid w:val="00B75662"/>
    <w:rsid w:val="00B756BF"/>
    <w:rsid w:val="00B75789"/>
    <w:rsid w:val="00B75799"/>
    <w:rsid w:val="00B75811"/>
    <w:rsid w:val="00B75816"/>
    <w:rsid w:val="00B758A5"/>
    <w:rsid w:val="00B758DB"/>
    <w:rsid w:val="00B75A7C"/>
    <w:rsid w:val="00B75B53"/>
    <w:rsid w:val="00B75BC4"/>
    <w:rsid w:val="00B75C32"/>
    <w:rsid w:val="00B75CC4"/>
    <w:rsid w:val="00B75CDD"/>
    <w:rsid w:val="00B75D2A"/>
    <w:rsid w:val="00B75D79"/>
    <w:rsid w:val="00B75E1C"/>
    <w:rsid w:val="00B75ED9"/>
    <w:rsid w:val="00B75F1D"/>
    <w:rsid w:val="00B75F42"/>
    <w:rsid w:val="00B75F6A"/>
    <w:rsid w:val="00B76033"/>
    <w:rsid w:val="00B76054"/>
    <w:rsid w:val="00B7608E"/>
    <w:rsid w:val="00B76156"/>
    <w:rsid w:val="00B7619E"/>
    <w:rsid w:val="00B761BE"/>
    <w:rsid w:val="00B76254"/>
    <w:rsid w:val="00B76319"/>
    <w:rsid w:val="00B76478"/>
    <w:rsid w:val="00B76485"/>
    <w:rsid w:val="00B76499"/>
    <w:rsid w:val="00B765BC"/>
    <w:rsid w:val="00B766F3"/>
    <w:rsid w:val="00B767C8"/>
    <w:rsid w:val="00B76812"/>
    <w:rsid w:val="00B76A3E"/>
    <w:rsid w:val="00B76A7E"/>
    <w:rsid w:val="00B76A87"/>
    <w:rsid w:val="00B76C2C"/>
    <w:rsid w:val="00B76C9F"/>
    <w:rsid w:val="00B76D3A"/>
    <w:rsid w:val="00B76DBD"/>
    <w:rsid w:val="00B77084"/>
    <w:rsid w:val="00B77160"/>
    <w:rsid w:val="00B77281"/>
    <w:rsid w:val="00B77288"/>
    <w:rsid w:val="00B7731A"/>
    <w:rsid w:val="00B773C0"/>
    <w:rsid w:val="00B7752A"/>
    <w:rsid w:val="00B7755E"/>
    <w:rsid w:val="00B775EB"/>
    <w:rsid w:val="00B776F3"/>
    <w:rsid w:val="00B777A5"/>
    <w:rsid w:val="00B77A4E"/>
    <w:rsid w:val="00B77B31"/>
    <w:rsid w:val="00B77C42"/>
    <w:rsid w:val="00B77C5D"/>
    <w:rsid w:val="00B77CD1"/>
    <w:rsid w:val="00B77DA0"/>
    <w:rsid w:val="00B77E11"/>
    <w:rsid w:val="00B7A6CE"/>
    <w:rsid w:val="00B80029"/>
    <w:rsid w:val="00B80083"/>
    <w:rsid w:val="00B800FF"/>
    <w:rsid w:val="00B80143"/>
    <w:rsid w:val="00B8014A"/>
    <w:rsid w:val="00B80170"/>
    <w:rsid w:val="00B801F7"/>
    <w:rsid w:val="00B802A0"/>
    <w:rsid w:val="00B8035E"/>
    <w:rsid w:val="00B8062A"/>
    <w:rsid w:val="00B8067D"/>
    <w:rsid w:val="00B80691"/>
    <w:rsid w:val="00B80817"/>
    <w:rsid w:val="00B8083D"/>
    <w:rsid w:val="00B808AE"/>
    <w:rsid w:val="00B80998"/>
    <w:rsid w:val="00B80AD4"/>
    <w:rsid w:val="00B80B19"/>
    <w:rsid w:val="00B80B2E"/>
    <w:rsid w:val="00B80B7C"/>
    <w:rsid w:val="00B80C30"/>
    <w:rsid w:val="00B80C46"/>
    <w:rsid w:val="00B80CB4"/>
    <w:rsid w:val="00B80D40"/>
    <w:rsid w:val="00B80D77"/>
    <w:rsid w:val="00B80E6A"/>
    <w:rsid w:val="00B80EB1"/>
    <w:rsid w:val="00B80EDD"/>
    <w:rsid w:val="00B80EE6"/>
    <w:rsid w:val="00B81019"/>
    <w:rsid w:val="00B8107A"/>
    <w:rsid w:val="00B810C4"/>
    <w:rsid w:val="00B81160"/>
    <w:rsid w:val="00B81205"/>
    <w:rsid w:val="00B81235"/>
    <w:rsid w:val="00B81397"/>
    <w:rsid w:val="00B813CC"/>
    <w:rsid w:val="00B813D7"/>
    <w:rsid w:val="00B81424"/>
    <w:rsid w:val="00B814C9"/>
    <w:rsid w:val="00B8153F"/>
    <w:rsid w:val="00B8154E"/>
    <w:rsid w:val="00B81596"/>
    <w:rsid w:val="00B815D4"/>
    <w:rsid w:val="00B815DB"/>
    <w:rsid w:val="00B815E0"/>
    <w:rsid w:val="00B815E6"/>
    <w:rsid w:val="00B815F1"/>
    <w:rsid w:val="00B8162F"/>
    <w:rsid w:val="00B816B4"/>
    <w:rsid w:val="00B816CA"/>
    <w:rsid w:val="00B816DB"/>
    <w:rsid w:val="00B817F3"/>
    <w:rsid w:val="00B818DA"/>
    <w:rsid w:val="00B81929"/>
    <w:rsid w:val="00B81975"/>
    <w:rsid w:val="00B8199C"/>
    <w:rsid w:val="00B81A4D"/>
    <w:rsid w:val="00B81AE9"/>
    <w:rsid w:val="00B81BC4"/>
    <w:rsid w:val="00B81C67"/>
    <w:rsid w:val="00B81C77"/>
    <w:rsid w:val="00B81DE6"/>
    <w:rsid w:val="00B81DFA"/>
    <w:rsid w:val="00B81E08"/>
    <w:rsid w:val="00B81E1A"/>
    <w:rsid w:val="00B81E3F"/>
    <w:rsid w:val="00B81E58"/>
    <w:rsid w:val="00B81FBB"/>
    <w:rsid w:val="00B82038"/>
    <w:rsid w:val="00B82073"/>
    <w:rsid w:val="00B82095"/>
    <w:rsid w:val="00B820BD"/>
    <w:rsid w:val="00B82109"/>
    <w:rsid w:val="00B82178"/>
    <w:rsid w:val="00B821A1"/>
    <w:rsid w:val="00B821C6"/>
    <w:rsid w:val="00B82248"/>
    <w:rsid w:val="00B822F5"/>
    <w:rsid w:val="00B8236E"/>
    <w:rsid w:val="00B8239F"/>
    <w:rsid w:val="00B823D0"/>
    <w:rsid w:val="00B8241B"/>
    <w:rsid w:val="00B825C3"/>
    <w:rsid w:val="00B825CB"/>
    <w:rsid w:val="00B82665"/>
    <w:rsid w:val="00B82682"/>
    <w:rsid w:val="00B827D4"/>
    <w:rsid w:val="00B82874"/>
    <w:rsid w:val="00B82923"/>
    <w:rsid w:val="00B82A03"/>
    <w:rsid w:val="00B82A46"/>
    <w:rsid w:val="00B82A52"/>
    <w:rsid w:val="00B82A89"/>
    <w:rsid w:val="00B82B04"/>
    <w:rsid w:val="00B82C89"/>
    <w:rsid w:val="00B82CFC"/>
    <w:rsid w:val="00B82D00"/>
    <w:rsid w:val="00B82D25"/>
    <w:rsid w:val="00B82D30"/>
    <w:rsid w:val="00B82D77"/>
    <w:rsid w:val="00B82DAE"/>
    <w:rsid w:val="00B82DD4"/>
    <w:rsid w:val="00B82F7B"/>
    <w:rsid w:val="00B8308A"/>
    <w:rsid w:val="00B8309C"/>
    <w:rsid w:val="00B830FC"/>
    <w:rsid w:val="00B8313D"/>
    <w:rsid w:val="00B83167"/>
    <w:rsid w:val="00B83187"/>
    <w:rsid w:val="00B831E7"/>
    <w:rsid w:val="00B83287"/>
    <w:rsid w:val="00B83288"/>
    <w:rsid w:val="00B83296"/>
    <w:rsid w:val="00B83309"/>
    <w:rsid w:val="00B8348D"/>
    <w:rsid w:val="00B834B4"/>
    <w:rsid w:val="00B834E6"/>
    <w:rsid w:val="00B834EB"/>
    <w:rsid w:val="00B83595"/>
    <w:rsid w:val="00B83664"/>
    <w:rsid w:val="00B8379E"/>
    <w:rsid w:val="00B837BC"/>
    <w:rsid w:val="00B837E9"/>
    <w:rsid w:val="00B8387A"/>
    <w:rsid w:val="00B8389C"/>
    <w:rsid w:val="00B838B6"/>
    <w:rsid w:val="00B83B06"/>
    <w:rsid w:val="00B83B18"/>
    <w:rsid w:val="00B83BB6"/>
    <w:rsid w:val="00B83C29"/>
    <w:rsid w:val="00B83C2B"/>
    <w:rsid w:val="00B83C6D"/>
    <w:rsid w:val="00B83C7F"/>
    <w:rsid w:val="00B83D36"/>
    <w:rsid w:val="00B83D46"/>
    <w:rsid w:val="00B83D68"/>
    <w:rsid w:val="00B83E97"/>
    <w:rsid w:val="00B83F38"/>
    <w:rsid w:val="00B83F5D"/>
    <w:rsid w:val="00B83F7B"/>
    <w:rsid w:val="00B83FB3"/>
    <w:rsid w:val="00B8406A"/>
    <w:rsid w:val="00B84122"/>
    <w:rsid w:val="00B8418C"/>
    <w:rsid w:val="00B8426A"/>
    <w:rsid w:val="00B84276"/>
    <w:rsid w:val="00B84377"/>
    <w:rsid w:val="00B843AE"/>
    <w:rsid w:val="00B844D9"/>
    <w:rsid w:val="00B84568"/>
    <w:rsid w:val="00B84687"/>
    <w:rsid w:val="00B846C3"/>
    <w:rsid w:val="00B84727"/>
    <w:rsid w:val="00B847A3"/>
    <w:rsid w:val="00B847F3"/>
    <w:rsid w:val="00B84818"/>
    <w:rsid w:val="00B84949"/>
    <w:rsid w:val="00B84970"/>
    <w:rsid w:val="00B84A55"/>
    <w:rsid w:val="00B84A62"/>
    <w:rsid w:val="00B84AA3"/>
    <w:rsid w:val="00B84AFE"/>
    <w:rsid w:val="00B84B38"/>
    <w:rsid w:val="00B84C86"/>
    <w:rsid w:val="00B84CFF"/>
    <w:rsid w:val="00B84D1D"/>
    <w:rsid w:val="00B84DD0"/>
    <w:rsid w:val="00B84E2D"/>
    <w:rsid w:val="00B84E8E"/>
    <w:rsid w:val="00B84F34"/>
    <w:rsid w:val="00B84FF1"/>
    <w:rsid w:val="00B85013"/>
    <w:rsid w:val="00B8504C"/>
    <w:rsid w:val="00B850AE"/>
    <w:rsid w:val="00B851F5"/>
    <w:rsid w:val="00B852AD"/>
    <w:rsid w:val="00B8534C"/>
    <w:rsid w:val="00B8535C"/>
    <w:rsid w:val="00B85370"/>
    <w:rsid w:val="00B85427"/>
    <w:rsid w:val="00B854A9"/>
    <w:rsid w:val="00B8562F"/>
    <w:rsid w:val="00B85707"/>
    <w:rsid w:val="00B85A17"/>
    <w:rsid w:val="00B85A57"/>
    <w:rsid w:val="00B85A70"/>
    <w:rsid w:val="00B85A78"/>
    <w:rsid w:val="00B85A8F"/>
    <w:rsid w:val="00B85BCF"/>
    <w:rsid w:val="00B85D24"/>
    <w:rsid w:val="00B85D4D"/>
    <w:rsid w:val="00B85F5F"/>
    <w:rsid w:val="00B85FFD"/>
    <w:rsid w:val="00B8611B"/>
    <w:rsid w:val="00B8622B"/>
    <w:rsid w:val="00B86286"/>
    <w:rsid w:val="00B862E1"/>
    <w:rsid w:val="00B863C3"/>
    <w:rsid w:val="00B86408"/>
    <w:rsid w:val="00B86451"/>
    <w:rsid w:val="00B86573"/>
    <w:rsid w:val="00B865F6"/>
    <w:rsid w:val="00B86615"/>
    <w:rsid w:val="00B867EB"/>
    <w:rsid w:val="00B86839"/>
    <w:rsid w:val="00B86854"/>
    <w:rsid w:val="00B86892"/>
    <w:rsid w:val="00B86895"/>
    <w:rsid w:val="00B869E3"/>
    <w:rsid w:val="00B86AF1"/>
    <w:rsid w:val="00B86B08"/>
    <w:rsid w:val="00B86B1B"/>
    <w:rsid w:val="00B86BFF"/>
    <w:rsid w:val="00B86C9F"/>
    <w:rsid w:val="00B86D90"/>
    <w:rsid w:val="00B86E52"/>
    <w:rsid w:val="00B86E54"/>
    <w:rsid w:val="00B86F94"/>
    <w:rsid w:val="00B870A1"/>
    <w:rsid w:val="00B872CE"/>
    <w:rsid w:val="00B8734B"/>
    <w:rsid w:val="00B87531"/>
    <w:rsid w:val="00B87605"/>
    <w:rsid w:val="00B8772C"/>
    <w:rsid w:val="00B87A4C"/>
    <w:rsid w:val="00B87B7B"/>
    <w:rsid w:val="00B87BFF"/>
    <w:rsid w:val="00B87C83"/>
    <w:rsid w:val="00B87CAF"/>
    <w:rsid w:val="00B87D98"/>
    <w:rsid w:val="00B87F2F"/>
    <w:rsid w:val="00B87F31"/>
    <w:rsid w:val="00B87F51"/>
    <w:rsid w:val="00B87F85"/>
    <w:rsid w:val="00B87FA0"/>
    <w:rsid w:val="00B87FB9"/>
    <w:rsid w:val="00B87FF1"/>
    <w:rsid w:val="00B90013"/>
    <w:rsid w:val="00B90097"/>
    <w:rsid w:val="00B900B8"/>
    <w:rsid w:val="00B9015C"/>
    <w:rsid w:val="00B90234"/>
    <w:rsid w:val="00B90266"/>
    <w:rsid w:val="00B90299"/>
    <w:rsid w:val="00B903D1"/>
    <w:rsid w:val="00B903D7"/>
    <w:rsid w:val="00B9060E"/>
    <w:rsid w:val="00B90630"/>
    <w:rsid w:val="00B90947"/>
    <w:rsid w:val="00B90A13"/>
    <w:rsid w:val="00B90AB0"/>
    <w:rsid w:val="00B90AD6"/>
    <w:rsid w:val="00B90B4A"/>
    <w:rsid w:val="00B90B82"/>
    <w:rsid w:val="00B90BA4"/>
    <w:rsid w:val="00B90D6C"/>
    <w:rsid w:val="00B90D94"/>
    <w:rsid w:val="00B90DDB"/>
    <w:rsid w:val="00B90DE8"/>
    <w:rsid w:val="00B90E48"/>
    <w:rsid w:val="00B90EE0"/>
    <w:rsid w:val="00B90EEF"/>
    <w:rsid w:val="00B90F04"/>
    <w:rsid w:val="00B90F38"/>
    <w:rsid w:val="00B90FEE"/>
    <w:rsid w:val="00B9104E"/>
    <w:rsid w:val="00B912D4"/>
    <w:rsid w:val="00B9131F"/>
    <w:rsid w:val="00B91380"/>
    <w:rsid w:val="00B9139F"/>
    <w:rsid w:val="00B9146B"/>
    <w:rsid w:val="00B914A3"/>
    <w:rsid w:val="00B915CC"/>
    <w:rsid w:val="00B915DF"/>
    <w:rsid w:val="00B917BB"/>
    <w:rsid w:val="00B917DF"/>
    <w:rsid w:val="00B91892"/>
    <w:rsid w:val="00B918B8"/>
    <w:rsid w:val="00B91B66"/>
    <w:rsid w:val="00B91D87"/>
    <w:rsid w:val="00B91DB5"/>
    <w:rsid w:val="00B91DDE"/>
    <w:rsid w:val="00B91E11"/>
    <w:rsid w:val="00B91E44"/>
    <w:rsid w:val="00B92008"/>
    <w:rsid w:val="00B920FC"/>
    <w:rsid w:val="00B920FD"/>
    <w:rsid w:val="00B92101"/>
    <w:rsid w:val="00B92174"/>
    <w:rsid w:val="00B921D8"/>
    <w:rsid w:val="00B921F9"/>
    <w:rsid w:val="00B922A9"/>
    <w:rsid w:val="00B92388"/>
    <w:rsid w:val="00B923B3"/>
    <w:rsid w:val="00B923EF"/>
    <w:rsid w:val="00B923F5"/>
    <w:rsid w:val="00B923F9"/>
    <w:rsid w:val="00B92512"/>
    <w:rsid w:val="00B925B7"/>
    <w:rsid w:val="00B9260A"/>
    <w:rsid w:val="00B92613"/>
    <w:rsid w:val="00B9265E"/>
    <w:rsid w:val="00B92689"/>
    <w:rsid w:val="00B9269F"/>
    <w:rsid w:val="00B926C7"/>
    <w:rsid w:val="00B926E1"/>
    <w:rsid w:val="00B927CA"/>
    <w:rsid w:val="00B92954"/>
    <w:rsid w:val="00B929E0"/>
    <w:rsid w:val="00B92AD8"/>
    <w:rsid w:val="00B92AEB"/>
    <w:rsid w:val="00B92CE1"/>
    <w:rsid w:val="00B92D2D"/>
    <w:rsid w:val="00B92E2A"/>
    <w:rsid w:val="00B92FF9"/>
    <w:rsid w:val="00B93136"/>
    <w:rsid w:val="00B93147"/>
    <w:rsid w:val="00B93150"/>
    <w:rsid w:val="00B93210"/>
    <w:rsid w:val="00B93246"/>
    <w:rsid w:val="00B932DE"/>
    <w:rsid w:val="00B93326"/>
    <w:rsid w:val="00B93557"/>
    <w:rsid w:val="00B9366A"/>
    <w:rsid w:val="00B93691"/>
    <w:rsid w:val="00B937FC"/>
    <w:rsid w:val="00B93855"/>
    <w:rsid w:val="00B93861"/>
    <w:rsid w:val="00B9388E"/>
    <w:rsid w:val="00B9392F"/>
    <w:rsid w:val="00B93A5F"/>
    <w:rsid w:val="00B93AF3"/>
    <w:rsid w:val="00B93B24"/>
    <w:rsid w:val="00B93C0D"/>
    <w:rsid w:val="00B93C56"/>
    <w:rsid w:val="00B93D58"/>
    <w:rsid w:val="00B940AF"/>
    <w:rsid w:val="00B9420B"/>
    <w:rsid w:val="00B94230"/>
    <w:rsid w:val="00B94262"/>
    <w:rsid w:val="00B94439"/>
    <w:rsid w:val="00B94453"/>
    <w:rsid w:val="00B94583"/>
    <w:rsid w:val="00B945BD"/>
    <w:rsid w:val="00B9460B"/>
    <w:rsid w:val="00B9471B"/>
    <w:rsid w:val="00B94792"/>
    <w:rsid w:val="00B9479C"/>
    <w:rsid w:val="00B94824"/>
    <w:rsid w:val="00B94A57"/>
    <w:rsid w:val="00B94A72"/>
    <w:rsid w:val="00B94AB0"/>
    <w:rsid w:val="00B94B7E"/>
    <w:rsid w:val="00B94B85"/>
    <w:rsid w:val="00B94E89"/>
    <w:rsid w:val="00B94F2A"/>
    <w:rsid w:val="00B94FBA"/>
    <w:rsid w:val="00B94FC3"/>
    <w:rsid w:val="00B94FCF"/>
    <w:rsid w:val="00B950ED"/>
    <w:rsid w:val="00B951DD"/>
    <w:rsid w:val="00B951E4"/>
    <w:rsid w:val="00B951F9"/>
    <w:rsid w:val="00B95223"/>
    <w:rsid w:val="00B9528B"/>
    <w:rsid w:val="00B952D2"/>
    <w:rsid w:val="00B9534A"/>
    <w:rsid w:val="00B95405"/>
    <w:rsid w:val="00B95608"/>
    <w:rsid w:val="00B95642"/>
    <w:rsid w:val="00B9566B"/>
    <w:rsid w:val="00B956CC"/>
    <w:rsid w:val="00B95786"/>
    <w:rsid w:val="00B958CE"/>
    <w:rsid w:val="00B95953"/>
    <w:rsid w:val="00B95A1B"/>
    <w:rsid w:val="00B95A34"/>
    <w:rsid w:val="00B95B0D"/>
    <w:rsid w:val="00B95BF8"/>
    <w:rsid w:val="00B95C65"/>
    <w:rsid w:val="00B95C8D"/>
    <w:rsid w:val="00B95D27"/>
    <w:rsid w:val="00B95D73"/>
    <w:rsid w:val="00B95E0A"/>
    <w:rsid w:val="00B95FBC"/>
    <w:rsid w:val="00B95FDA"/>
    <w:rsid w:val="00B96024"/>
    <w:rsid w:val="00B9602D"/>
    <w:rsid w:val="00B9619C"/>
    <w:rsid w:val="00B961AC"/>
    <w:rsid w:val="00B96267"/>
    <w:rsid w:val="00B962A5"/>
    <w:rsid w:val="00B962B7"/>
    <w:rsid w:val="00B9630E"/>
    <w:rsid w:val="00B9635C"/>
    <w:rsid w:val="00B963DC"/>
    <w:rsid w:val="00B963F5"/>
    <w:rsid w:val="00B96400"/>
    <w:rsid w:val="00B96481"/>
    <w:rsid w:val="00B964AC"/>
    <w:rsid w:val="00B9650E"/>
    <w:rsid w:val="00B9662F"/>
    <w:rsid w:val="00B96717"/>
    <w:rsid w:val="00B967ED"/>
    <w:rsid w:val="00B9682C"/>
    <w:rsid w:val="00B96846"/>
    <w:rsid w:val="00B9695D"/>
    <w:rsid w:val="00B96A7E"/>
    <w:rsid w:val="00B96A8A"/>
    <w:rsid w:val="00B96AB8"/>
    <w:rsid w:val="00B96C1D"/>
    <w:rsid w:val="00B96C27"/>
    <w:rsid w:val="00B96CFA"/>
    <w:rsid w:val="00B96FB1"/>
    <w:rsid w:val="00B970DE"/>
    <w:rsid w:val="00B97334"/>
    <w:rsid w:val="00B97421"/>
    <w:rsid w:val="00B97464"/>
    <w:rsid w:val="00B9748F"/>
    <w:rsid w:val="00B97616"/>
    <w:rsid w:val="00B9783E"/>
    <w:rsid w:val="00B9785B"/>
    <w:rsid w:val="00B978F5"/>
    <w:rsid w:val="00B97951"/>
    <w:rsid w:val="00B97A26"/>
    <w:rsid w:val="00B97AD8"/>
    <w:rsid w:val="00B97B81"/>
    <w:rsid w:val="00B97B82"/>
    <w:rsid w:val="00B97BD2"/>
    <w:rsid w:val="00B97C6D"/>
    <w:rsid w:val="00B97C85"/>
    <w:rsid w:val="00B97E0B"/>
    <w:rsid w:val="00B9FF27"/>
    <w:rsid w:val="00BA00B5"/>
    <w:rsid w:val="00BA01FE"/>
    <w:rsid w:val="00BA0282"/>
    <w:rsid w:val="00BA0740"/>
    <w:rsid w:val="00BA090D"/>
    <w:rsid w:val="00BA0948"/>
    <w:rsid w:val="00BA0AC9"/>
    <w:rsid w:val="00BA0C23"/>
    <w:rsid w:val="00BA0D73"/>
    <w:rsid w:val="00BA0DD5"/>
    <w:rsid w:val="00BA0E25"/>
    <w:rsid w:val="00BA0EE7"/>
    <w:rsid w:val="00BA1060"/>
    <w:rsid w:val="00BA10AB"/>
    <w:rsid w:val="00BA1100"/>
    <w:rsid w:val="00BA111D"/>
    <w:rsid w:val="00BA1268"/>
    <w:rsid w:val="00BA13AA"/>
    <w:rsid w:val="00BA13D5"/>
    <w:rsid w:val="00BA141A"/>
    <w:rsid w:val="00BA14A8"/>
    <w:rsid w:val="00BA14B7"/>
    <w:rsid w:val="00BA16A8"/>
    <w:rsid w:val="00BA175C"/>
    <w:rsid w:val="00BA175D"/>
    <w:rsid w:val="00BA1766"/>
    <w:rsid w:val="00BA186E"/>
    <w:rsid w:val="00BA18C2"/>
    <w:rsid w:val="00BA1AB5"/>
    <w:rsid w:val="00BA1B3C"/>
    <w:rsid w:val="00BA1B8F"/>
    <w:rsid w:val="00BA1BFF"/>
    <w:rsid w:val="00BA1C03"/>
    <w:rsid w:val="00BA1C4E"/>
    <w:rsid w:val="00BA1C7E"/>
    <w:rsid w:val="00BA1C86"/>
    <w:rsid w:val="00BA1D07"/>
    <w:rsid w:val="00BA1D10"/>
    <w:rsid w:val="00BA1D4A"/>
    <w:rsid w:val="00BA1D4C"/>
    <w:rsid w:val="00BA1E0C"/>
    <w:rsid w:val="00BA1F2B"/>
    <w:rsid w:val="00BA2180"/>
    <w:rsid w:val="00BA2238"/>
    <w:rsid w:val="00BA2301"/>
    <w:rsid w:val="00BA2307"/>
    <w:rsid w:val="00BA2344"/>
    <w:rsid w:val="00BA23DF"/>
    <w:rsid w:val="00BA24C1"/>
    <w:rsid w:val="00BA24E0"/>
    <w:rsid w:val="00BA24FA"/>
    <w:rsid w:val="00BA2533"/>
    <w:rsid w:val="00BA25E2"/>
    <w:rsid w:val="00BA262B"/>
    <w:rsid w:val="00BA26A9"/>
    <w:rsid w:val="00BA26B4"/>
    <w:rsid w:val="00BA27EA"/>
    <w:rsid w:val="00BA291F"/>
    <w:rsid w:val="00BA294B"/>
    <w:rsid w:val="00BA29A7"/>
    <w:rsid w:val="00BA2A09"/>
    <w:rsid w:val="00BA2A53"/>
    <w:rsid w:val="00BA2AFD"/>
    <w:rsid w:val="00BA2B12"/>
    <w:rsid w:val="00BA2B6D"/>
    <w:rsid w:val="00BA2B7A"/>
    <w:rsid w:val="00BA2B8D"/>
    <w:rsid w:val="00BA2C07"/>
    <w:rsid w:val="00BA2C42"/>
    <w:rsid w:val="00BA2C69"/>
    <w:rsid w:val="00BA2CA3"/>
    <w:rsid w:val="00BA2CDB"/>
    <w:rsid w:val="00BA2CF0"/>
    <w:rsid w:val="00BA2D64"/>
    <w:rsid w:val="00BA2DAC"/>
    <w:rsid w:val="00BA2E12"/>
    <w:rsid w:val="00BA2EE0"/>
    <w:rsid w:val="00BA2F81"/>
    <w:rsid w:val="00BA3066"/>
    <w:rsid w:val="00BA31F3"/>
    <w:rsid w:val="00BA32DD"/>
    <w:rsid w:val="00BA3319"/>
    <w:rsid w:val="00BA348C"/>
    <w:rsid w:val="00BA350E"/>
    <w:rsid w:val="00BA367D"/>
    <w:rsid w:val="00BA3708"/>
    <w:rsid w:val="00BA382A"/>
    <w:rsid w:val="00BA393E"/>
    <w:rsid w:val="00BA3AEB"/>
    <w:rsid w:val="00BA3B55"/>
    <w:rsid w:val="00BA3C14"/>
    <w:rsid w:val="00BA3C3E"/>
    <w:rsid w:val="00BA3C87"/>
    <w:rsid w:val="00BA3D29"/>
    <w:rsid w:val="00BA3DA8"/>
    <w:rsid w:val="00BA3FE6"/>
    <w:rsid w:val="00BA4108"/>
    <w:rsid w:val="00BA416B"/>
    <w:rsid w:val="00BA4228"/>
    <w:rsid w:val="00BA425F"/>
    <w:rsid w:val="00BA429D"/>
    <w:rsid w:val="00BA4327"/>
    <w:rsid w:val="00BA4355"/>
    <w:rsid w:val="00BA4357"/>
    <w:rsid w:val="00BA43FF"/>
    <w:rsid w:val="00BA446A"/>
    <w:rsid w:val="00BA4490"/>
    <w:rsid w:val="00BA44C9"/>
    <w:rsid w:val="00BA4568"/>
    <w:rsid w:val="00BA466A"/>
    <w:rsid w:val="00BA46AB"/>
    <w:rsid w:val="00BA46FD"/>
    <w:rsid w:val="00BA47AB"/>
    <w:rsid w:val="00BA4829"/>
    <w:rsid w:val="00BA48BB"/>
    <w:rsid w:val="00BA48E0"/>
    <w:rsid w:val="00BA4AA7"/>
    <w:rsid w:val="00BA4BDA"/>
    <w:rsid w:val="00BA4C6F"/>
    <w:rsid w:val="00BA4EB4"/>
    <w:rsid w:val="00BA4F17"/>
    <w:rsid w:val="00BA4F87"/>
    <w:rsid w:val="00BA506A"/>
    <w:rsid w:val="00BA5139"/>
    <w:rsid w:val="00BA51AF"/>
    <w:rsid w:val="00BA51D0"/>
    <w:rsid w:val="00BA5228"/>
    <w:rsid w:val="00BA5271"/>
    <w:rsid w:val="00BA527F"/>
    <w:rsid w:val="00BA5298"/>
    <w:rsid w:val="00BA5365"/>
    <w:rsid w:val="00BA538C"/>
    <w:rsid w:val="00BA53FE"/>
    <w:rsid w:val="00BA54D6"/>
    <w:rsid w:val="00BA5581"/>
    <w:rsid w:val="00BA559E"/>
    <w:rsid w:val="00BA55B9"/>
    <w:rsid w:val="00BA5620"/>
    <w:rsid w:val="00BA5742"/>
    <w:rsid w:val="00BA574F"/>
    <w:rsid w:val="00BA578C"/>
    <w:rsid w:val="00BA5855"/>
    <w:rsid w:val="00BA5870"/>
    <w:rsid w:val="00BA5895"/>
    <w:rsid w:val="00BA5A2A"/>
    <w:rsid w:val="00BA5B20"/>
    <w:rsid w:val="00BA5BA6"/>
    <w:rsid w:val="00BA5BE4"/>
    <w:rsid w:val="00BA5BFB"/>
    <w:rsid w:val="00BA5BFD"/>
    <w:rsid w:val="00BA5D83"/>
    <w:rsid w:val="00BA5E42"/>
    <w:rsid w:val="00BA5EC3"/>
    <w:rsid w:val="00BA5F1D"/>
    <w:rsid w:val="00BA5F27"/>
    <w:rsid w:val="00BA5F5D"/>
    <w:rsid w:val="00BA5FA4"/>
    <w:rsid w:val="00BA5FB7"/>
    <w:rsid w:val="00BA5FE7"/>
    <w:rsid w:val="00BA6023"/>
    <w:rsid w:val="00BA6029"/>
    <w:rsid w:val="00BA610A"/>
    <w:rsid w:val="00BA612D"/>
    <w:rsid w:val="00BA61A4"/>
    <w:rsid w:val="00BA61C5"/>
    <w:rsid w:val="00BA625A"/>
    <w:rsid w:val="00BA627C"/>
    <w:rsid w:val="00BA6326"/>
    <w:rsid w:val="00BA6460"/>
    <w:rsid w:val="00BA64BD"/>
    <w:rsid w:val="00BA6522"/>
    <w:rsid w:val="00BA6596"/>
    <w:rsid w:val="00BA65AB"/>
    <w:rsid w:val="00BA662D"/>
    <w:rsid w:val="00BA6658"/>
    <w:rsid w:val="00BA66A5"/>
    <w:rsid w:val="00BA66DE"/>
    <w:rsid w:val="00BA6725"/>
    <w:rsid w:val="00BA6832"/>
    <w:rsid w:val="00BA69CE"/>
    <w:rsid w:val="00BA69FA"/>
    <w:rsid w:val="00BA6A0D"/>
    <w:rsid w:val="00BA6A93"/>
    <w:rsid w:val="00BA6BEF"/>
    <w:rsid w:val="00BA6D3C"/>
    <w:rsid w:val="00BA6E70"/>
    <w:rsid w:val="00BA6EA2"/>
    <w:rsid w:val="00BA6ECF"/>
    <w:rsid w:val="00BA6EDD"/>
    <w:rsid w:val="00BA6EEC"/>
    <w:rsid w:val="00BA6F1A"/>
    <w:rsid w:val="00BA6F42"/>
    <w:rsid w:val="00BA6FBF"/>
    <w:rsid w:val="00BA7060"/>
    <w:rsid w:val="00BA711F"/>
    <w:rsid w:val="00BA716E"/>
    <w:rsid w:val="00BA7267"/>
    <w:rsid w:val="00BA72E0"/>
    <w:rsid w:val="00BA733B"/>
    <w:rsid w:val="00BA746F"/>
    <w:rsid w:val="00BA74B4"/>
    <w:rsid w:val="00BA7537"/>
    <w:rsid w:val="00BA76CD"/>
    <w:rsid w:val="00BA76DD"/>
    <w:rsid w:val="00BA7800"/>
    <w:rsid w:val="00BA7863"/>
    <w:rsid w:val="00BA7909"/>
    <w:rsid w:val="00BA7966"/>
    <w:rsid w:val="00BA7A3E"/>
    <w:rsid w:val="00BA7AC4"/>
    <w:rsid w:val="00BA7B18"/>
    <w:rsid w:val="00BA7B68"/>
    <w:rsid w:val="00BA7DF8"/>
    <w:rsid w:val="00BA7EDB"/>
    <w:rsid w:val="00BA7EEE"/>
    <w:rsid w:val="00BA7F97"/>
    <w:rsid w:val="00BA7FA6"/>
    <w:rsid w:val="00BA7FAF"/>
    <w:rsid w:val="00BA7FBA"/>
    <w:rsid w:val="00BB0005"/>
    <w:rsid w:val="00BB00B4"/>
    <w:rsid w:val="00BB00EA"/>
    <w:rsid w:val="00BB00F9"/>
    <w:rsid w:val="00BB0198"/>
    <w:rsid w:val="00BB030B"/>
    <w:rsid w:val="00BB0362"/>
    <w:rsid w:val="00BB03C3"/>
    <w:rsid w:val="00BB0434"/>
    <w:rsid w:val="00BB044D"/>
    <w:rsid w:val="00BB0451"/>
    <w:rsid w:val="00BB0463"/>
    <w:rsid w:val="00BB04F9"/>
    <w:rsid w:val="00BB04FC"/>
    <w:rsid w:val="00BB0512"/>
    <w:rsid w:val="00BB055D"/>
    <w:rsid w:val="00BB05D2"/>
    <w:rsid w:val="00BB05DF"/>
    <w:rsid w:val="00BB0605"/>
    <w:rsid w:val="00BB075E"/>
    <w:rsid w:val="00BB08D8"/>
    <w:rsid w:val="00BB0930"/>
    <w:rsid w:val="00BB09CE"/>
    <w:rsid w:val="00BB0A25"/>
    <w:rsid w:val="00BB0A6C"/>
    <w:rsid w:val="00BB0C46"/>
    <w:rsid w:val="00BB0C5E"/>
    <w:rsid w:val="00BB0C95"/>
    <w:rsid w:val="00BB0D26"/>
    <w:rsid w:val="00BB0D27"/>
    <w:rsid w:val="00BB0D96"/>
    <w:rsid w:val="00BB0DAE"/>
    <w:rsid w:val="00BB0E9A"/>
    <w:rsid w:val="00BB0EA2"/>
    <w:rsid w:val="00BB0EBE"/>
    <w:rsid w:val="00BB0FC2"/>
    <w:rsid w:val="00BB101B"/>
    <w:rsid w:val="00BB10B4"/>
    <w:rsid w:val="00BB113A"/>
    <w:rsid w:val="00BB116E"/>
    <w:rsid w:val="00BB1191"/>
    <w:rsid w:val="00BB12C7"/>
    <w:rsid w:val="00BB136F"/>
    <w:rsid w:val="00BB1391"/>
    <w:rsid w:val="00BB1408"/>
    <w:rsid w:val="00BB1480"/>
    <w:rsid w:val="00BB1519"/>
    <w:rsid w:val="00BB15BE"/>
    <w:rsid w:val="00BB15C6"/>
    <w:rsid w:val="00BB16FE"/>
    <w:rsid w:val="00BB18F7"/>
    <w:rsid w:val="00BB1C7E"/>
    <w:rsid w:val="00BB1CAF"/>
    <w:rsid w:val="00BB21BE"/>
    <w:rsid w:val="00BB21CD"/>
    <w:rsid w:val="00BB22ED"/>
    <w:rsid w:val="00BB22FE"/>
    <w:rsid w:val="00BB23AA"/>
    <w:rsid w:val="00BB23E0"/>
    <w:rsid w:val="00BB240E"/>
    <w:rsid w:val="00BB243B"/>
    <w:rsid w:val="00BB2453"/>
    <w:rsid w:val="00BB24A2"/>
    <w:rsid w:val="00BB24DF"/>
    <w:rsid w:val="00BB2508"/>
    <w:rsid w:val="00BB25B7"/>
    <w:rsid w:val="00BB2703"/>
    <w:rsid w:val="00BB2775"/>
    <w:rsid w:val="00BB27A0"/>
    <w:rsid w:val="00BB2830"/>
    <w:rsid w:val="00BB2A0F"/>
    <w:rsid w:val="00BB2AD5"/>
    <w:rsid w:val="00BB2B45"/>
    <w:rsid w:val="00BB2B96"/>
    <w:rsid w:val="00BB2BA8"/>
    <w:rsid w:val="00BB2BE5"/>
    <w:rsid w:val="00BB2C31"/>
    <w:rsid w:val="00BB2E1B"/>
    <w:rsid w:val="00BB2E37"/>
    <w:rsid w:val="00BB2E54"/>
    <w:rsid w:val="00BB2FD2"/>
    <w:rsid w:val="00BB3095"/>
    <w:rsid w:val="00BB315F"/>
    <w:rsid w:val="00BB3188"/>
    <w:rsid w:val="00BB31F3"/>
    <w:rsid w:val="00BB3221"/>
    <w:rsid w:val="00BB3297"/>
    <w:rsid w:val="00BB32FF"/>
    <w:rsid w:val="00BB33B4"/>
    <w:rsid w:val="00BB3468"/>
    <w:rsid w:val="00BB347E"/>
    <w:rsid w:val="00BB34A9"/>
    <w:rsid w:val="00BB35A4"/>
    <w:rsid w:val="00BB3717"/>
    <w:rsid w:val="00BB3772"/>
    <w:rsid w:val="00BB37C8"/>
    <w:rsid w:val="00BB386F"/>
    <w:rsid w:val="00BB38A2"/>
    <w:rsid w:val="00BB3941"/>
    <w:rsid w:val="00BB394F"/>
    <w:rsid w:val="00BB39F0"/>
    <w:rsid w:val="00BB3A98"/>
    <w:rsid w:val="00BB3B3F"/>
    <w:rsid w:val="00BB3B99"/>
    <w:rsid w:val="00BB3BC8"/>
    <w:rsid w:val="00BB3C32"/>
    <w:rsid w:val="00BB3C83"/>
    <w:rsid w:val="00BB3D12"/>
    <w:rsid w:val="00BB3D70"/>
    <w:rsid w:val="00BB3FF8"/>
    <w:rsid w:val="00BB400B"/>
    <w:rsid w:val="00BB417E"/>
    <w:rsid w:val="00BB4278"/>
    <w:rsid w:val="00BB42EE"/>
    <w:rsid w:val="00BB44C0"/>
    <w:rsid w:val="00BB451B"/>
    <w:rsid w:val="00BB4528"/>
    <w:rsid w:val="00BB4543"/>
    <w:rsid w:val="00BB4554"/>
    <w:rsid w:val="00BB4590"/>
    <w:rsid w:val="00BB45E7"/>
    <w:rsid w:val="00BB45FC"/>
    <w:rsid w:val="00BB4630"/>
    <w:rsid w:val="00BB468E"/>
    <w:rsid w:val="00BB4717"/>
    <w:rsid w:val="00BB4815"/>
    <w:rsid w:val="00BB488A"/>
    <w:rsid w:val="00BB4908"/>
    <w:rsid w:val="00BB49D6"/>
    <w:rsid w:val="00BB4A8A"/>
    <w:rsid w:val="00BB4B2F"/>
    <w:rsid w:val="00BB4CC5"/>
    <w:rsid w:val="00BB4D59"/>
    <w:rsid w:val="00BB4D8D"/>
    <w:rsid w:val="00BB4D9D"/>
    <w:rsid w:val="00BB4DA7"/>
    <w:rsid w:val="00BB4E13"/>
    <w:rsid w:val="00BB4E47"/>
    <w:rsid w:val="00BB4F16"/>
    <w:rsid w:val="00BB4F25"/>
    <w:rsid w:val="00BB4F5B"/>
    <w:rsid w:val="00BB4F8A"/>
    <w:rsid w:val="00BB4FA0"/>
    <w:rsid w:val="00BB4FFC"/>
    <w:rsid w:val="00BB5021"/>
    <w:rsid w:val="00BB5038"/>
    <w:rsid w:val="00BB511B"/>
    <w:rsid w:val="00BB522C"/>
    <w:rsid w:val="00BB5413"/>
    <w:rsid w:val="00BB5475"/>
    <w:rsid w:val="00BB54AB"/>
    <w:rsid w:val="00BB54B4"/>
    <w:rsid w:val="00BB5554"/>
    <w:rsid w:val="00BB55C4"/>
    <w:rsid w:val="00BB5698"/>
    <w:rsid w:val="00BB583B"/>
    <w:rsid w:val="00BB59B9"/>
    <w:rsid w:val="00BB5A18"/>
    <w:rsid w:val="00BB5B08"/>
    <w:rsid w:val="00BB5C5C"/>
    <w:rsid w:val="00BB5D11"/>
    <w:rsid w:val="00BB5D36"/>
    <w:rsid w:val="00BB5D8C"/>
    <w:rsid w:val="00BB5EE4"/>
    <w:rsid w:val="00BB5F2D"/>
    <w:rsid w:val="00BB5F53"/>
    <w:rsid w:val="00BB5FBE"/>
    <w:rsid w:val="00BB5FE7"/>
    <w:rsid w:val="00BB5FFF"/>
    <w:rsid w:val="00BB602F"/>
    <w:rsid w:val="00BB608D"/>
    <w:rsid w:val="00BB6134"/>
    <w:rsid w:val="00BB619E"/>
    <w:rsid w:val="00BB6211"/>
    <w:rsid w:val="00BB64AA"/>
    <w:rsid w:val="00BB6579"/>
    <w:rsid w:val="00BB65EA"/>
    <w:rsid w:val="00BB664A"/>
    <w:rsid w:val="00BB667E"/>
    <w:rsid w:val="00BB66CC"/>
    <w:rsid w:val="00BB676E"/>
    <w:rsid w:val="00BB6773"/>
    <w:rsid w:val="00BB695D"/>
    <w:rsid w:val="00BB6A25"/>
    <w:rsid w:val="00BB6A5C"/>
    <w:rsid w:val="00BB6A97"/>
    <w:rsid w:val="00BB6AE6"/>
    <w:rsid w:val="00BB6B87"/>
    <w:rsid w:val="00BB6C68"/>
    <w:rsid w:val="00BB6CC2"/>
    <w:rsid w:val="00BB6D5C"/>
    <w:rsid w:val="00BB6D92"/>
    <w:rsid w:val="00BB6DAB"/>
    <w:rsid w:val="00BB6DBB"/>
    <w:rsid w:val="00BB6E2E"/>
    <w:rsid w:val="00BB6EE6"/>
    <w:rsid w:val="00BB6F47"/>
    <w:rsid w:val="00BB7079"/>
    <w:rsid w:val="00BB7214"/>
    <w:rsid w:val="00BB72A5"/>
    <w:rsid w:val="00BB72E9"/>
    <w:rsid w:val="00BB7346"/>
    <w:rsid w:val="00BB7358"/>
    <w:rsid w:val="00BB73B1"/>
    <w:rsid w:val="00BB740E"/>
    <w:rsid w:val="00BB74F0"/>
    <w:rsid w:val="00BB7507"/>
    <w:rsid w:val="00BB75EA"/>
    <w:rsid w:val="00BB7609"/>
    <w:rsid w:val="00BB7691"/>
    <w:rsid w:val="00BB7700"/>
    <w:rsid w:val="00BB77FF"/>
    <w:rsid w:val="00BB7853"/>
    <w:rsid w:val="00BB7861"/>
    <w:rsid w:val="00BB78CC"/>
    <w:rsid w:val="00BB79F7"/>
    <w:rsid w:val="00BB7A18"/>
    <w:rsid w:val="00BB7A5A"/>
    <w:rsid w:val="00BB7ABB"/>
    <w:rsid w:val="00BB7B5E"/>
    <w:rsid w:val="00BB7C35"/>
    <w:rsid w:val="00BB7C59"/>
    <w:rsid w:val="00BB7D04"/>
    <w:rsid w:val="00BB7E14"/>
    <w:rsid w:val="00BB7E21"/>
    <w:rsid w:val="00BB7EAA"/>
    <w:rsid w:val="00BB7F50"/>
    <w:rsid w:val="00BBC774"/>
    <w:rsid w:val="00BC0028"/>
    <w:rsid w:val="00BC008D"/>
    <w:rsid w:val="00BC014A"/>
    <w:rsid w:val="00BC014C"/>
    <w:rsid w:val="00BC01FE"/>
    <w:rsid w:val="00BC033A"/>
    <w:rsid w:val="00BC038B"/>
    <w:rsid w:val="00BC0544"/>
    <w:rsid w:val="00BC05AE"/>
    <w:rsid w:val="00BC068D"/>
    <w:rsid w:val="00BC06B6"/>
    <w:rsid w:val="00BC08BB"/>
    <w:rsid w:val="00BC0A2D"/>
    <w:rsid w:val="00BC0A7D"/>
    <w:rsid w:val="00BC0AE9"/>
    <w:rsid w:val="00BC0C84"/>
    <w:rsid w:val="00BC0C88"/>
    <w:rsid w:val="00BC0D07"/>
    <w:rsid w:val="00BC0D2E"/>
    <w:rsid w:val="00BC0D33"/>
    <w:rsid w:val="00BC0ECC"/>
    <w:rsid w:val="00BC0F0F"/>
    <w:rsid w:val="00BC1040"/>
    <w:rsid w:val="00BC1085"/>
    <w:rsid w:val="00BC10A3"/>
    <w:rsid w:val="00BC112B"/>
    <w:rsid w:val="00BC1195"/>
    <w:rsid w:val="00BC11D2"/>
    <w:rsid w:val="00BC121F"/>
    <w:rsid w:val="00BC12B2"/>
    <w:rsid w:val="00BC1396"/>
    <w:rsid w:val="00BC1419"/>
    <w:rsid w:val="00BC1427"/>
    <w:rsid w:val="00BC14A9"/>
    <w:rsid w:val="00BC152C"/>
    <w:rsid w:val="00BC1534"/>
    <w:rsid w:val="00BC15C8"/>
    <w:rsid w:val="00BC1623"/>
    <w:rsid w:val="00BC1645"/>
    <w:rsid w:val="00BC16F0"/>
    <w:rsid w:val="00BC17C6"/>
    <w:rsid w:val="00BC1805"/>
    <w:rsid w:val="00BC1906"/>
    <w:rsid w:val="00BC1978"/>
    <w:rsid w:val="00BC1A87"/>
    <w:rsid w:val="00BC1A93"/>
    <w:rsid w:val="00BC1AC5"/>
    <w:rsid w:val="00BC1B6E"/>
    <w:rsid w:val="00BC1C31"/>
    <w:rsid w:val="00BC1D43"/>
    <w:rsid w:val="00BC1D49"/>
    <w:rsid w:val="00BC1D62"/>
    <w:rsid w:val="00BC1DDE"/>
    <w:rsid w:val="00BC1E05"/>
    <w:rsid w:val="00BC1E09"/>
    <w:rsid w:val="00BC1E56"/>
    <w:rsid w:val="00BC1F23"/>
    <w:rsid w:val="00BC1F5B"/>
    <w:rsid w:val="00BC1F6D"/>
    <w:rsid w:val="00BC20BA"/>
    <w:rsid w:val="00BC21E3"/>
    <w:rsid w:val="00BC2206"/>
    <w:rsid w:val="00BC22BC"/>
    <w:rsid w:val="00BC235E"/>
    <w:rsid w:val="00BC2407"/>
    <w:rsid w:val="00BC2446"/>
    <w:rsid w:val="00BC250E"/>
    <w:rsid w:val="00BC2591"/>
    <w:rsid w:val="00BC2693"/>
    <w:rsid w:val="00BC2756"/>
    <w:rsid w:val="00BC27B2"/>
    <w:rsid w:val="00BC28D3"/>
    <w:rsid w:val="00BC2A66"/>
    <w:rsid w:val="00BC2AA6"/>
    <w:rsid w:val="00BC2ABF"/>
    <w:rsid w:val="00BC2BDB"/>
    <w:rsid w:val="00BC2DC8"/>
    <w:rsid w:val="00BC2EA9"/>
    <w:rsid w:val="00BC2EC4"/>
    <w:rsid w:val="00BC2EE5"/>
    <w:rsid w:val="00BC2F6C"/>
    <w:rsid w:val="00BC300D"/>
    <w:rsid w:val="00BC3094"/>
    <w:rsid w:val="00BC30E8"/>
    <w:rsid w:val="00BC311D"/>
    <w:rsid w:val="00BC3167"/>
    <w:rsid w:val="00BC31BE"/>
    <w:rsid w:val="00BC3225"/>
    <w:rsid w:val="00BC32A5"/>
    <w:rsid w:val="00BC332E"/>
    <w:rsid w:val="00BC3347"/>
    <w:rsid w:val="00BC337B"/>
    <w:rsid w:val="00BC33E8"/>
    <w:rsid w:val="00BC34CB"/>
    <w:rsid w:val="00BC35B8"/>
    <w:rsid w:val="00BC3771"/>
    <w:rsid w:val="00BC3871"/>
    <w:rsid w:val="00BC38CC"/>
    <w:rsid w:val="00BC3990"/>
    <w:rsid w:val="00BC39BF"/>
    <w:rsid w:val="00BC3AA1"/>
    <w:rsid w:val="00BC3B4E"/>
    <w:rsid w:val="00BC3C10"/>
    <w:rsid w:val="00BC3C39"/>
    <w:rsid w:val="00BC3C91"/>
    <w:rsid w:val="00BC3D32"/>
    <w:rsid w:val="00BC3E0C"/>
    <w:rsid w:val="00BC3E77"/>
    <w:rsid w:val="00BC3EF8"/>
    <w:rsid w:val="00BC3F95"/>
    <w:rsid w:val="00BC4191"/>
    <w:rsid w:val="00BC4514"/>
    <w:rsid w:val="00BC4540"/>
    <w:rsid w:val="00BC4574"/>
    <w:rsid w:val="00BC4575"/>
    <w:rsid w:val="00BC4710"/>
    <w:rsid w:val="00BC471C"/>
    <w:rsid w:val="00BC4994"/>
    <w:rsid w:val="00BC49EE"/>
    <w:rsid w:val="00BC49FA"/>
    <w:rsid w:val="00BC4A6B"/>
    <w:rsid w:val="00BC4AB6"/>
    <w:rsid w:val="00BC4ABB"/>
    <w:rsid w:val="00BC4B11"/>
    <w:rsid w:val="00BC4DBD"/>
    <w:rsid w:val="00BC4EBE"/>
    <w:rsid w:val="00BC503D"/>
    <w:rsid w:val="00BC5210"/>
    <w:rsid w:val="00BC5329"/>
    <w:rsid w:val="00BC5400"/>
    <w:rsid w:val="00BC5428"/>
    <w:rsid w:val="00BC5455"/>
    <w:rsid w:val="00BC54B6"/>
    <w:rsid w:val="00BC54D3"/>
    <w:rsid w:val="00BC56BD"/>
    <w:rsid w:val="00BC56FF"/>
    <w:rsid w:val="00BC570E"/>
    <w:rsid w:val="00BC576E"/>
    <w:rsid w:val="00BC58FC"/>
    <w:rsid w:val="00BC5909"/>
    <w:rsid w:val="00BC5A7E"/>
    <w:rsid w:val="00BC5B4C"/>
    <w:rsid w:val="00BC5BB1"/>
    <w:rsid w:val="00BC5C9E"/>
    <w:rsid w:val="00BC5D24"/>
    <w:rsid w:val="00BC5E33"/>
    <w:rsid w:val="00BC5E3D"/>
    <w:rsid w:val="00BC5F2C"/>
    <w:rsid w:val="00BC5F48"/>
    <w:rsid w:val="00BC60C6"/>
    <w:rsid w:val="00BC6191"/>
    <w:rsid w:val="00BC626E"/>
    <w:rsid w:val="00BC6304"/>
    <w:rsid w:val="00BC6310"/>
    <w:rsid w:val="00BC642E"/>
    <w:rsid w:val="00BC6467"/>
    <w:rsid w:val="00BC64D3"/>
    <w:rsid w:val="00BC6534"/>
    <w:rsid w:val="00BC67BD"/>
    <w:rsid w:val="00BC67F7"/>
    <w:rsid w:val="00BC68EB"/>
    <w:rsid w:val="00BC6967"/>
    <w:rsid w:val="00BC6A47"/>
    <w:rsid w:val="00BC6AEE"/>
    <w:rsid w:val="00BC6BE0"/>
    <w:rsid w:val="00BC6BE3"/>
    <w:rsid w:val="00BC6CF4"/>
    <w:rsid w:val="00BC6E47"/>
    <w:rsid w:val="00BC6EB3"/>
    <w:rsid w:val="00BC6FCF"/>
    <w:rsid w:val="00BC6FE8"/>
    <w:rsid w:val="00BC705F"/>
    <w:rsid w:val="00BC710E"/>
    <w:rsid w:val="00BC713E"/>
    <w:rsid w:val="00BC7158"/>
    <w:rsid w:val="00BC72BB"/>
    <w:rsid w:val="00BC7386"/>
    <w:rsid w:val="00BC73CA"/>
    <w:rsid w:val="00BC74C0"/>
    <w:rsid w:val="00BC74C7"/>
    <w:rsid w:val="00BC752F"/>
    <w:rsid w:val="00BC75DE"/>
    <w:rsid w:val="00BC7603"/>
    <w:rsid w:val="00BC7678"/>
    <w:rsid w:val="00BC77B3"/>
    <w:rsid w:val="00BC781F"/>
    <w:rsid w:val="00BC7975"/>
    <w:rsid w:val="00BC7999"/>
    <w:rsid w:val="00BC79E1"/>
    <w:rsid w:val="00BC79E3"/>
    <w:rsid w:val="00BC79E4"/>
    <w:rsid w:val="00BC7AB9"/>
    <w:rsid w:val="00BC7AD1"/>
    <w:rsid w:val="00BC7B3E"/>
    <w:rsid w:val="00BC7BBA"/>
    <w:rsid w:val="00BC7CDE"/>
    <w:rsid w:val="00BC7D0A"/>
    <w:rsid w:val="00BC7DBD"/>
    <w:rsid w:val="00BC7E71"/>
    <w:rsid w:val="00BC7F21"/>
    <w:rsid w:val="00BC7F73"/>
    <w:rsid w:val="00BC7FC0"/>
    <w:rsid w:val="00BD001D"/>
    <w:rsid w:val="00BD015C"/>
    <w:rsid w:val="00BD01C7"/>
    <w:rsid w:val="00BD01DA"/>
    <w:rsid w:val="00BD02A9"/>
    <w:rsid w:val="00BD0351"/>
    <w:rsid w:val="00BD0494"/>
    <w:rsid w:val="00BD04ED"/>
    <w:rsid w:val="00BD058C"/>
    <w:rsid w:val="00BD06E9"/>
    <w:rsid w:val="00BD0829"/>
    <w:rsid w:val="00BD096B"/>
    <w:rsid w:val="00BD099F"/>
    <w:rsid w:val="00BD09BA"/>
    <w:rsid w:val="00BD09D9"/>
    <w:rsid w:val="00BD0A2D"/>
    <w:rsid w:val="00BD0AAB"/>
    <w:rsid w:val="00BD0B1E"/>
    <w:rsid w:val="00BD0B3A"/>
    <w:rsid w:val="00BD0B84"/>
    <w:rsid w:val="00BD0D03"/>
    <w:rsid w:val="00BD0D34"/>
    <w:rsid w:val="00BD0DCD"/>
    <w:rsid w:val="00BD0DDC"/>
    <w:rsid w:val="00BD0E4B"/>
    <w:rsid w:val="00BD0E73"/>
    <w:rsid w:val="00BD0E9D"/>
    <w:rsid w:val="00BD0FE3"/>
    <w:rsid w:val="00BD1026"/>
    <w:rsid w:val="00BD103E"/>
    <w:rsid w:val="00BD116F"/>
    <w:rsid w:val="00BD1233"/>
    <w:rsid w:val="00BD125B"/>
    <w:rsid w:val="00BD1300"/>
    <w:rsid w:val="00BD13A9"/>
    <w:rsid w:val="00BD141A"/>
    <w:rsid w:val="00BD1478"/>
    <w:rsid w:val="00BD151B"/>
    <w:rsid w:val="00BD1689"/>
    <w:rsid w:val="00BD173C"/>
    <w:rsid w:val="00BD18D0"/>
    <w:rsid w:val="00BD1905"/>
    <w:rsid w:val="00BD19DC"/>
    <w:rsid w:val="00BD1A1F"/>
    <w:rsid w:val="00BD1C28"/>
    <w:rsid w:val="00BD1CDA"/>
    <w:rsid w:val="00BD1D17"/>
    <w:rsid w:val="00BD2119"/>
    <w:rsid w:val="00BD237C"/>
    <w:rsid w:val="00BD23CF"/>
    <w:rsid w:val="00BD23FF"/>
    <w:rsid w:val="00BD24C6"/>
    <w:rsid w:val="00BD255C"/>
    <w:rsid w:val="00BD25A6"/>
    <w:rsid w:val="00BD264A"/>
    <w:rsid w:val="00BD2748"/>
    <w:rsid w:val="00BD27FB"/>
    <w:rsid w:val="00BD2801"/>
    <w:rsid w:val="00BD290C"/>
    <w:rsid w:val="00BD293D"/>
    <w:rsid w:val="00BD2960"/>
    <w:rsid w:val="00BD29F5"/>
    <w:rsid w:val="00BD2A67"/>
    <w:rsid w:val="00BD2B7C"/>
    <w:rsid w:val="00BD2CE8"/>
    <w:rsid w:val="00BD2D77"/>
    <w:rsid w:val="00BD2DF7"/>
    <w:rsid w:val="00BD2E77"/>
    <w:rsid w:val="00BD2E91"/>
    <w:rsid w:val="00BD2EF8"/>
    <w:rsid w:val="00BD2F92"/>
    <w:rsid w:val="00BD3163"/>
    <w:rsid w:val="00BD3164"/>
    <w:rsid w:val="00BD318D"/>
    <w:rsid w:val="00BD31EF"/>
    <w:rsid w:val="00BD3209"/>
    <w:rsid w:val="00BD3364"/>
    <w:rsid w:val="00BD33CB"/>
    <w:rsid w:val="00BD3417"/>
    <w:rsid w:val="00BD34A4"/>
    <w:rsid w:val="00BD35B3"/>
    <w:rsid w:val="00BD3656"/>
    <w:rsid w:val="00BD3768"/>
    <w:rsid w:val="00BD37D9"/>
    <w:rsid w:val="00BD38DB"/>
    <w:rsid w:val="00BD399E"/>
    <w:rsid w:val="00BD3A75"/>
    <w:rsid w:val="00BD3AAE"/>
    <w:rsid w:val="00BD3BF7"/>
    <w:rsid w:val="00BD3D18"/>
    <w:rsid w:val="00BD3D3E"/>
    <w:rsid w:val="00BD3DA5"/>
    <w:rsid w:val="00BD3DDC"/>
    <w:rsid w:val="00BD3FD3"/>
    <w:rsid w:val="00BD40B3"/>
    <w:rsid w:val="00BD40B6"/>
    <w:rsid w:val="00BD40F1"/>
    <w:rsid w:val="00BD4123"/>
    <w:rsid w:val="00BD4140"/>
    <w:rsid w:val="00BD416E"/>
    <w:rsid w:val="00BD41B2"/>
    <w:rsid w:val="00BD421C"/>
    <w:rsid w:val="00BD4317"/>
    <w:rsid w:val="00BD432E"/>
    <w:rsid w:val="00BD438B"/>
    <w:rsid w:val="00BD43E2"/>
    <w:rsid w:val="00BD4455"/>
    <w:rsid w:val="00BD4568"/>
    <w:rsid w:val="00BD45C9"/>
    <w:rsid w:val="00BD48CC"/>
    <w:rsid w:val="00BD48D2"/>
    <w:rsid w:val="00BD4902"/>
    <w:rsid w:val="00BD4932"/>
    <w:rsid w:val="00BD4B49"/>
    <w:rsid w:val="00BD4CC8"/>
    <w:rsid w:val="00BD4D06"/>
    <w:rsid w:val="00BD4DBA"/>
    <w:rsid w:val="00BD4EA0"/>
    <w:rsid w:val="00BD4F2F"/>
    <w:rsid w:val="00BD4FCE"/>
    <w:rsid w:val="00BD4FFB"/>
    <w:rsid w:val="00BD5004"/>
    <w:rsid w:val="00BD5012"/>
    <w:rsid w:val="00BD502E"/>
    <w:rsid w:val="00BD50BA"/>
    <w:rsid w:val="00BD5143"/>
    <w:rsid w:val="00BD5168"/>
    <w:rsid w:val="00BD528F"/>
    <w:rsid w:val="00BD530B"/>
    <w:rsid w:val="00BD53E5"/>
    <w:rsid w:val="00BD5418"/>
    <w:rsid w:val="00BD5563"/>
    <w:rsid w:val="00BD55EC"/>
    <w:rsid w:val="00BD570D"/>
    <w:rsid w:val="00BD570F"/>
    <w:rsid w:val="00BD5749"/>
    <w:rsid w:val="00BD575E"/>
    <w:rsid w:val="00BD5767"/>
    <w:rsid w:val="00BD57D4"/>
    <w:rsid w:val="00BD58B5"/>
    <w:rsid w:val="00BD592D"/>
    <w:rsid w:val="00BD59F7"/>
    <w:rsid w:val="00BD5A44"/>
    <w:rsid w:val="00BD5A67"/>
    <w:rsid w:val="00BD5AE0"/>
    <w:rsid w:val="00BD5B4C"/>
    <w:rsid w:val="00BD5B63"/>
    <w:rsid w:val="00BD5C2B"/>
    <w:rsid w:val="00BD5C3B"/>
    <w:rsid w:val="00BD5E18"/>
    <w:rsid w:val="00BD5E27"/>
    <w:rsid w:val="00BD5E54"/>
    <w:rsid w:val="00BD5F91"/>
    <w:rsid w:val="00BD5F9C"/>
    <w:rsid w:val="00BD5FB1"/>
    <w:rsid w:val="00BD6126"/>
    <w:rsid w:val="00BD633E"/>
    <w:rsid w:val="00BD6381"/>
    <w:rsid w:val="00BD63B6"/>
    <w:rsid w:val="00BD6433"/>
    <w:rsid w:val="00BD6460"/>
    <w:rsid w:val="00BD649C"/>
    <w:rsid w:val="00BD65D8"/>
    <w:rsid w:val="00BD6703"/>
    <w:rsid w:val="00BD6779"/>
    <w:rsid w:val="00BD6821"/>
    <w:rsid w:val="00BD686A"/>
    <w:rsid w:val="00BD6899"/>
    <w:rsid w:val="00BD68CA"/>
    <w:rsid w:val="00BD68F9"/>
    <w:rsid w:val="00BD691D"/>
    <w:rsid w:val="00BD6937"/>
    <w:rsid w:val="00BD697E"/>
    <w:rsid w:val="00BD6B19"/>
    <w:rsid w:val="00BD6B72"/>
    <w:rsid w:val="00BD6B7E"/>
    <w:rsid w:val="00BD6B9D"/>
    <w:rsid w:val="00BD6C1A"/>
    <w:rsid w:val="00BD6C6E"/>
    <w:rsid w:val="00BD6D35"/>
    <w:rsid w:val="00BD6D36"/>
    <w:rsid w:val="00BD6E2A"/>
    <w:rsid w:val="00BD6FBA"/>
    <w:rsid w:val="00BD6FDC"/>
    <w:rsid w:val="00BD700E"/>
    <w:rsid w:val="00BD70D3"/>
    <w:rsid w:val="00BD70E0"/>
    <w:rsid w:val="00BD7195"/>
    <w:rsid w:val="00BD71FF"/>
    <w:rsid w:val="00BD729F"/>
    <w:rsid w:val="00BD733E"/>
    <w:rsid w:val="00BD7365"/>
    <w:rsid w:val="00BD7536"/>
    <w:rsid w:val="00BD7547"/>
    <w:rsid w:val="00BD757E"/>
    <w:rsid w:val="00BD75A0"/>
    <w:rsid w:val="00BD75E4"/>
    <w:rsid w:val="00BD75E8"/>
    <w:rsid w:val="00BD7730"/>
    <w:rsid w:val="00BD7781"/>
    <w:rsid w:val="00BD7901"/>
    <w:rsid w:val="00BD7939"/>
    <w:rsid w:val="00BD7A1D"/>
    <w:rsid w:val="00BD7BD6"/>
    <w:rsid w:val="00BD7BDC"/>
    <w:rsid w:val="00BD7C0F"/>
    <w:rsid w:val="00BD7D17"/>
    <w:rsid w:val="00BD7D49"/>
    <w:rsid w:val="00BD7D4F"/>
    <w:rsid w:val="00BD7DAD"/>
    <w:rsid w:val="00BD7E1F"/>
    <w:rsid w:val="00BD7F08"/>
    <w:rsid w:val="00BE0076"/>
    <w:rsid w:val="00BE00E7"/>
    <w:rsid w:val="00BE00FA"/>
    <w:rsid w:val="00BE0133"/>
    <w:rsid w:val="00BE01E5"/>
    <w:rsid w:val="00BE02B6"/>
    <w:rsid w:val="00BE0304"/>
    <w:rsid w:val="00BE0351"/>
    <w:rsid w:val="00BE0369"/>
    <w:rsid w:val="00BE04D6"/>
    <w:rsid w:val="00BE05FA"/>
    <w:rsid w:val="00BE065B"/>
    <w:rsid w:val="00BE0679"/>
    <w:rsid w:val="00BE070B"/>
    <w:rsid w:val="00BE073F"/>
    <w:rsid w:val="00BE07F8"/>
    <w:rsid w:val="00BE0808"/>
    <w:rsid w:val="00BE084E"/>
    <w:rsid w:val="00BE08EC"/>
    <w:rsid w:val="00BE0A9B"/>
    <w:rsid w:val="00BE0AEC"/>
    <w:rsid w:val="00BE0B70"/>
    <w:rsid w:val="00BE0C49"/>
    <w:rsid w:val="00BE0CDE"/>
    <w:rsid w:val="00BE0E0A"/>
    <w:rsid w:val="00BE0E53"/>
    <w:rsid w:val="00BE0EE8"/>
    <w:rsid w:val="00BE0F27"/>
    <w:rsid w:val="00BE1030"/>
    <w:rsid w:val="00BE107D"/>
    <w:rsid w:val="00BE109C"/>
    <w:rsid w:val="00BE112F"/>
    <w:rsid w:val="00BE1151"/>
    <w:rsid w:val="00BE1180"/>
    <w:rsid w:val="00BE119F"/>
    <w:rsid w:val="00BE11BF"/>
    <w:rsid w:val="00BE1259"/>
    <w:rsid w:val="00BE13C8"/>
    <w:rsid w:val="00BE1599"/>
    <w:rsid w:val="00BE15C1"/>
    <w:rsid w:val="00BE16ED"/>
    <w:rsid w:val="00BE18DE"/>
    <w:rsid w:val="00BE19B4"/>
    <w:rsid w:val="00BE19DF"/>
    <w:rsid w:val="00BE1AAF"/>
    <w:rsid w:val="00BE1ACD"/>
    <w:rsid w:val="00BE1AE7"/>
    <w:rsid w:val="00BE1AEC"/>
    <w:rsid w:val="00BE1BCD"/>
    <w:rsid w:val="00BE1C7A"/>
    <w:rsid w:val="00BE1C7F"/>
    <w:rsid w:val="00BE1C97"/>
    <w:rsid w:val="00BE1D08"/>
    <w:rsid w:val="00BE1D29"/>
    <w:rsid w:val="00BE2191"/>
    <w:rsid w:val="00BE21B6"/>
    <w:rsid w:val="00BE226B"/>
    <w:rsid w:val="00BE22B2"/>
    <w:rsid w:val="00BE2373"/>
    <w:rsid w:val="00BE2471"/>
    <w:rsid w:val="00BE247C"/>
    <w:rsid w:val="00BE24A6"/>
    <w:rsid w:val="00BE24F9"/>
    <w:rsid w:val="00BE2545"/>
    <w:rsid w:val="00BE25CC"/>
    <w:rsid w:val="00BE26C1"/>
    <w:rsid w:val="00BE2989"/>
    <w:rsid w:val="00BE299A"/>
    <w:rsid w:val="00BE2A3E"/>
    <w:rsid w:val="00BE2AE8"/>
    <w:rsid w:val="00BE2B18"/>
    <w:rsid w:val="00BE2B48"/>
    <w:rsid w:val="00BE2C93"/>
    <w:rsid w:val="00BE2CD7"/>
    <w:rsid w:val="00BE2CDE"/>
    <w:rsid w:val="00BE2D1C"/>
    <w:rsid w:val="00BE2D56"/>
    <w:rsid w:val="00BE2D6E"/>
    <w:rsid w:val="00BE2D7B"/>
    <w:rsid w:val="00BE2E34"/>
    <w:rsid w:val="00BE2F74"/>
    <w:rsid w:val="00BE3015"/>
    <w:rsid w:val="00BE3018"/>
    <w:rsid w:val="00BE306B"/>
    <w:rsid w:val="00BE30F6"/>
    <w:rsid w:val="00BE3296"/>
    <w:rsid w:val="00BE336F"/>
    <w:rsid w:val="00BE3380"/>
    <w:rsid w:val="00BE344E"/>
    <w:rsid w:val="00BE3467"/>
    <w:rsid w:val="00BE3550"/>
    <w:rsid w:val="00BE36C0"/>
    <w:rsid w:val="00BE3787"/>
    <w:rsid w:val="00BE3846"/>
    <w:rsid w:val="00BE3863"/>
    <w:rsid w:val="00BE3986"/>
    <w:rsid w:val="00BE399E"/>
    <w:rsid w:val="00BE3A1F"/>
    <w:rsid w:val="00BE3A26"/>
    <w:rsid w:val="00BE3AF5"/>
    <w:rsid w:val="00BE3B3F"/>
    <w:rsid w:val="00BE3B52"/>
    <w:rsid w:val="00BE3BCC"/>
    <w:rsid w:val="00BE3C0C"/>
    <w:rsid w:val="00BE3C6B"/>
    <w:rsid w:val="00BE3CC0"/>
    <w:rsid w:val="00BE3DB3"/>
    <w:rsid w:val="00BE3F6C"/>
    <w:rsid w:val="00BE43AA"/>
    <w:rsid w:val="00BE44EE"/>
    <w:rsid w:val="00BE44FE"/>
    <w:rsid w:val="00BE4517"/>
    <w:rsid w:val="00BE4567"/>
    <w:rsid w:val="00BE486E"/>
    <w:rsid w:val="00BE4A00"/>
    <w:rsid w:val="00BE4A8F"/>
    <w:rsid w:val="00BE4B17"/>
    <w:rsid w:val="00BE4B51"/>
    <w:rsid w:val="00BE4BCA"/>
    <w:rsid w:val="00BE4D09"/>
    <w:rsid w:val="00BE4DBC"/>
    <w:rsid w:val="00BE4DEB"/>
    <w:rsid w:val="00BE4E10"/>
    <w:rsid w:val="00BE4E4F"/>
    <w:rsid w:val="00BE4F48"/>
    <w:rsid w:val="00BE50BD"/>
    <w:rsid w:val="00BE50BE"/>
    <w:rsid w:val="00BE5233"/>
    <w:rsid w:val="00BE524F"/>
    <w:rsid w:val="00BE52CC"/>
    <w:rsid w:val="00BE5311"/>
    <w:rsid w:val="00BE539F"/>
    <w:rsid w:val="00BE53A9"/>
    <w:rsid w:val="00BE53C1"/>
    <w:rsid w:val="00BE54EB"/>
    <w:rsid w:val="00BE5536"/>
    <w:rsid w:val="00BE5540"/>
    <w:rsid w:val="00BE559B"/>
    <w:rsid w:val="00BE55A9"/>
    <w:rsid w:val="00BE55D8"/>
    <w:rsid w:val="00BE5625"/>
    <w:rsid w:val="00BE566F"/>
    <w:rsid w:val="00BE56F9"/>
    <w:rsid w:val="00BE572B"/>
    <w:rsid w:val="00BE58C4"/>
    <w:rsid w:val="00BE5943"/>
    <w:rsid w:val="00BE597E"/>
    <w:rsid w:val="00BE598B"/>
    <w:rsid w:val="00BE5A29"/>
    <w:rsid w:val="00BE5A7A"/>
    <w:rsid w:val="00BE5B70"/>
    <w:rsid w:val="00BE5B7C"/>
    <w:rsid w:val="00BE5C0E"/>
    <w:rsid w:val="00BE5C9A"/>
    <w:rsid w:val="00BE5D0F"/>
    <w:rsid w:val="00BE5D10"/>
    <w:rsid w:val="00BE5D78"/>
    <w:rsid w:val="00BE5DC0"/>
    <w:rsid w:val="00BE5E2A"/>
    <w:rsid w:val="00BE5E78"/>
    <w:rsid w:val="00BE5E94"/>
    <w:rsid w:val="00BE60E5"/>
    <w:rsid w:val="00BE6198"/>
    <w:rsid w:val="00BE61A7"/>
    <w:rsid w:val="00BE61DA"/>
    <w:rsid w:val="00BE641A"/>
    <w:rsid w:val="00BE6518"/>
    <w:rsid w:val="00BE653A"/>
    <w:rsid w:val="00BE65AB"/>
    <w:rsid w:val="00BE65C7"/>
    <w:rsid w:val="00BE65F9"/>
    <w:rsid w:val="00BE6710"/>
    <w:rsid w:val="00BE6781"/>
    <w:rsid w:val="00BE6783"/>
    <w:rsid w:val="00BE6800"/>
    <w:rsid w:val="00BE680E"/>
    <w:rsid w:val="00BE681B"/>
    <w:rsid w:val="00BE69CD"/>
    <w:rsid w:val="00BE69FD"/>
    <w:rsid w:val="00BE6AD2"/>
    <w:rsid w:val="00BE6B37"/>
    <w:rsid w:val="00BE6BA1"/>
    <w:rsid w:val="00BE6C0E"/>
    <w:rsid w:val="00BE6CBB"/>
    <w:rsid w:val="00BE6CF1"/>
    <w:rsid w:val="00BE6DFC"/>
    <w:rsid w:val="00BE7046"/>
    <w:rsid w:val="00BE7131"/>
    <w:rsid w:val="00BE7153"/>
    <w:rsid w:val="00BE717E"/>
    <w:rsid w:val="00BE72CD"/>
    <w:rsid w:val="00BE7383"/>
    <w:rsid w:val="00BE7554"/>
    <w:rsid w:val="00BE7571"/>
    <w:rsid w:val="00BE7642"/>
    <w:rsid w:val="00BE77B6"/>
    <w:rsid w:val="00BE77E1"/>
    <w:rsid w:val="00BE782D"/>
    <w:rsid w:val="00BE791A"/>
    <w:rsid w:val="00BE79CD"/>
    <w:rsid w:val="00BE7AC4"/>
    <w:rsid w:val="00BE7AD7"/>
    <w:rsid w:val="00BE7BB6"/>
    <w:rsid w:val="00BE7C57"/>
    <w:rsid w:val="00BE7D52"/>
    <w:rsid w:val="00BE7DC6"/>
    <w:rsid w:val="00BE7E1C"/>
    <w:rsid w:val="00BE7E48"/>
    <w:rsid w:val="00BE7E55"/>
    <w:rsid w:val="00BE7ED9"/>
    <w:rsid w:val="00BE7FF8"/>
    <w:rsid w:val="00BF00D7"/>
    <w:rsid w:val="00BF00DE"/>
    <w:rsid w:val="00BF00DF"/>
    <w:rsid w:val="00BF013E"/>
    <w:rsid w:val="00BF01AF"/>
    <w:rsid w:val="00BF01E3"/>
    <w:rsid w:val="00BF02AC"/>
    <w:rsid w:val="00BF033D"/>
    <w:rsid w:val="00BF0467"/>
    <w:rsid w:val="00BF0584"/>
    <w:rsid w:val="00BF05E8"/>
    <w:rsid w:val="00BF05E9"/>
    <w:rsid w:val="00BF05F1"/>
    <w:rsid w:val="00BF0651"/>
    <w:rsid w:val="00BF06E8"/>
    <w:rsid w:val="00BF07ED"/>
    <w:rsid w:val="00BF07F3"/>
    <w:rsid w:val="00BF097B"/>
    <w:rsid w:val="00BF09BA"/>
    <w:rsid w:val="00BF09F0"/>
    <w:rsid w:val="00BF0A83"/>
    <w:rsid w:val="00BF0B39"/>
    <w:rsid w:val="00BF0B3C"/>
    <w:rsid w:val="00BF0DC9"/>
    <w:rsid w:val="00BF0DF8"/>
    <w:rsid w:val="00BF0E1D"/>
    <w:rsid w:val="00BF0E1F"/>
    <w:rsid w:val="00BF0E35"/>
    <w:rsid w:val="00BF0E3C"/>
    <w:rsid w:val="00BF0FCB"/>
    <w:rsid w:val="00BF10C1"/>
    <w:rsid w:val="00BF1175"/>
    <w:rsid w:val="00BF1212"/>
    <w:rsid w:val="00BF12AA"/>
    <w:rsid w:val="00BF135B"/>
    <w:rsid w:val="00BF136F"/>
    <w:rsid w:val="00BF13DF"/>
    <w:rsid w:val="00BF1476"/>
    <w:rsid w:val="00BF158F"/>
    <w:rsid w:val="00BF1613"/>
    <w:rsid w:val="00BF1628"/>
    <w:rsid w:val="00BF168F"/>
    <w:rsid w:val="00BF174B"/>
    <w:rsid w:val="00BF182C"/>
    <w:rsid w:val="00BF186E"/>
    <w:rsid w:val="00BF1A5B"/>
    <w:rsid w:val="00BF1AA7"/>
    <w:rsid w:val="00BF1B1B"/>
    <w:rsid w:val="00BF1B7D"/>
    <w:rsid w:val="00BF1C3B"/>
    <w:rsid w:val="00BF1D12"/>
    <w:rsid w:val="00BF1D7F"/>
    <w:rsid w:val="00BF1E3E"/>
    <w:rsid w:val="00BF1EEC"/>
    <w:rsid w:val="00BF1F3C"/>
    <w:rsid w:val="00BF20C0"/>
    <w:rsid w:val="00BF20F5"/>
    <w:rsid w:val="00BF2160"/>
    <w:rsid w:val="00BF21AC"/>
    <w:rsid w:val="00BF2203"/>
    <w:rsid w:val="00BF2298"/>
    <w:rsid w:val="00BF229B"/>
    <w:rsid w:val="00BF22A3"/>
    <w:rsid w:val="00BF22B0"/>
    <w:rsid w:val="00BF2425"/>
    <w:rsid w:val="00BF2449"/>
    <w:rsid w:val="00BF2635"/>
    <w:rsid w:val="00BF26A4"/>
    <w:rsid w:val="00BF26F0"/>
    <w:rsid w:val="00BF2791"/>
    <w:rsid w:val="00BF27BA"/>
    <w:rsid w:val="00BF27CF"/>
    <w:rsid w:val="00BF2856"/>
    <w:rsid w:val="00BF287D"/>
    <w:rsid w:val="00BF289F"/>
    <w:rsid w:val="00BF29E8"/>
    <w:rsid w:val="00BF2A74"/>
    <w:rsid w:val="00BF2ACD"/>
    <w:rsid w:val="00BF2C55"/>
    <w:rsid w:val="00BF2C7E"/>
    <w:rsid w:val="00BF2CCE"/>
    <w:rsid w:val="00BF2D55"/>
    <w:rsid w:val="00BF2DE5"/>
    <w:rsid w:val="00BF2F39"/>
    <w:rsid w:val="00BF2F84"/>
    <w:rsid w:val="00BF2F8C"/>
    <w:rsid w:val="00BF3000"/>
    <w:rsid w:val="00BF303C"/>
    <w:rsid w:val="00BF30AB"/>
    <w:rsid w:val="00BF30F2"/>
    <w:rsid w:val="00BF3136"/>
    <w:rsid w:val="00BF3231"/>
    <w:rsid w:val="00BF331D"/>
    <w:rsid w:val="00BF3516"/>
    <w:rsid w:val="00BF3539"/>
    <w:rsid w:val="00BF3671"/>
    <w:rsid w:val="00BF36A3"/>
    <w:rsid w:val="00BF3764"/>
    <w:rsid w:val="00BF3873"/>
    <w:rsid w:val="00BF38E1"/>
    <w:rsid w:val="00BF39B2"/>
    <w:rsid w:val="00BF39E1"/>
    <w:rsid w:val="00BF3AE4"/>
    <w:rsid w:val="00BF3B55"/>
    <w:rsid w:val="00BF3B94"/>
    <w:rsid w:val="00BF3BFE"/>
    <w:rsid w:val="00BF3C73"/>
    <w:rsid w:val="00BF3C7E"/>
    <w:rsid w:val="00BF3C8D"/>
    <w:rsid w:val="00BF3CA7"/>
    <w:rsid w:val="00BF3CD0"/>
    <w:rsid w:val="00BF3D11"/>
    <w:rsid w:val="00BF3D23"/>
    <w:rsid w:val="00BF3E23"/>
    <w:rsid w:val="00BF3E4E"/>
    <w:rsid w:val="00BF3EEB"/>
    <w:rsid w:val="00BF3F6B"/>
    <w:rsid w:val="00BF41C2"/>
    <w:rsid w:val="00BF41CE"/>
    <w:rsid w:val="00BF41F0"/>
    <w:rsid w:val="00BF4372"/>
    <w:rsid w:val="00BF44CB"/>
    <w:rsid w:val="00BF45E4"/>
    <w:rsid w:val="00BF4605"/>
    <w:rsid w:val="00BF463D"/>
    <w:rsid w:val="00BF46C9"/>
    <w:rsid w:val="00BF47C7"/>
    <w:rsid w:val="00BF47DD"/>
    <w:rsid w:val="00BF47F4"/>
    <w:rsid w:val="00BF487B"/>
    <w:rsid w:val="00BF48EC"/>
    <w:rsid w:val="00BF4932"/>
    <w:rsid w:val="00BF496C"/>
    <w:rsid w:val="00BF4A11"/>
    <w:rsid w:val="00BF4B00"/>
    <w:rsid w:val="00BF4B5E"/>
    <w:rsid w:val="00BF4BCA"/>
    <w:rsid w:val="00BF4CAF"/>
    <w:rsid w:val="00BF4DCD"/>
    <w:rsid w:val="00BF4DDF"/>
    <w:rsid w:val="00BF4E82"/>
    <w:rsid w:val="00BF4F6F"/>
    <w:rsid w:val="00BF4F93"/>
    <w:rsid w:val="00BF4FF5"/>
    <w:rsid w:val="00BF50FF"/>
    <w:rsid w:val="00BF5121"/>
    <w:rsid w:val="00BF5153"/>
    <w:rsid w:val="00BF51C9"/>
    <w:rsid w:val="00BF529B"/>
    <w:rsid w:val="00BF52E8"/>
    <w:rsid w:val="00BF5478"/>
    <w:rsid w:val="00BF5493"/>
    <w:rsid w:val="00BF5548"/>
    <w:rsid w:val="00BF555D"/>
    <w:rsid w:val="00BF56A8"/>
    <w:rsid w:val="00BF56C4"/>
    <w:rsid w:val="00BF56D0"/>
    <w:rsid w:val="00BF570D"/>
    <w:rsid w:val="00BF5764"/>
    <w:rsid w:val="00BF5766"/>
    <w:rsid w:val="00BF576C"/>
    <w:rsid w:val="00BF5810"/>
    <w:rsid w:val="00BF582E"/>
    <w:rsid w:val="00BF5975"/>
    <w:rsid w:val="00BF5A2C"/>
    <w:rsid w:val="00BF5A3C"/>
    <w:rsid w:val="00BF5A9B"/>
    <w:rsid w:val="00BF5B04"/>
    <w:rsid w:val="00BF5B3F"/>
    <w:rsid w:val="00BF5BF8"/>
    <w:rsid w:val="00BF5CDE"/>
    <w:rsid w:val="00BF5DCD"/>
    <w:rsid w:val="00BF5DDF"/>
    <w:rsid w:val="00BF5E6C"/>
    <w:rsid w:val="00BF5F61"/>
    <w:rsid w:val="00BF5F8B"/>
    <w:rsid w:val="00BF60A2"/>
    <w:rsid w:val="00BF613E"/>
    <w:rsid w:val="00BF6170"/>
    <w:rsid w:val="00BF625E"/>
    <w:rsid w:val="00BF6261"/>
    <w:rsid w:val="00BF63AE"/>
    <w:rsid w:val="00BF642B"/>
    <w:rsid w:val="00BF6462"/>
    <w:rsid w:val="00BF64E9"/>
    <w:rsid w:val="00BF6604"/>
    <w:rsid w:val="00BF6620"/>
    <w:rsid w:val="00BF67FD"/>
    <w:rsid w:val="00BF689A"/>
    <w:rsid w:val="00BF6914"/>
    <w:rsid w:val="00BF6AF0"/>
    <w:rsid w:val="00BF6BBF"/>
    <w:rsid w:val="00BF6C09"/>
    <w:rsid w:val="00BF6CB6"/>
    <w:rsid w:val="00BF6D4E"/>
    <w:rsid w:val="00BF6D85"/>
    <w:rsid w:val="00BF6DD8"/>
    <w:rsid w:val="00BF6E26"/>
    <w:rsid w:val="00BF6E5D"/>
    <w:rsid w:val="00BF6FB1"/>
    <w:rsid w:val="00BF6FE2"/>
    <w:rsid w:val="00BF7070"/>
    <w:rsid w:val="00BF7074"/>
    <w:rsid w:val="00BF7146"/>
    <w:rsid w:val="00BF7190"/>
    <w:rsid w:val="00BF71DD"/>
    <w:rsid w:val="00BF721C"/>
    <w:rsid w:val="00BF7225"/>
    <w:rsid w:val="00BF722E"/>
    <w:rsid w:val="00BF7285"/>
    <w:rsid w:val="00BF7307"/>
    <w:rsid w:val="00BF7340"/>
    <w:rsid w:val="00BF7441"/>
    <w:rsid w:val="00BF7594"/>
    <w:rsid w:val="00BF77DB"/>
    <w:rsid w:val="00BF78BD"/>
    <w:rsid w:val="00BF795B"/>
    <w:rsid w:val="00BF7970"/>
    <w:rsid w:val="00BF798D"/>
    <w:rsid w:val="00BF7A7B"/>
    <w:rsid w:val="00BF7A83"/>
    <w:rsid w:val="00BF7B3C"/>
    <w:rsid w:val="00BF7B6D"/>
    <w:rsid w:val="00BF7C4E"/>
    <w:rsid w:val="00BF7CC6"/>
    <w:rsid w:val="00BF7CCA"/>
    <w:rsid w:val="00BF7CFF"/>
    <w:rsid w:val="00BF7D89"/>
    <w:rsid w:val="00BF7DF4"/>
    <w:rsid w:val="00BF7E0A"/>
    <w:rsid w:val="00BF7F47"/>
    <w:rsid w:val="00C0007B"/>
    <w:rsid w:val="00C000CD"/>
    <w:rsid w:val="00C0029B"/>
    <w:rsid w:val="00C00338"/>
    <w:rsid w:val="00C00376"/>
    <w:rsid w:val="00C0043B"/>
    <w:rsid w:val="00C00519"/>
    <w:rsid w:val="00C005CB"/>
    <w:rsid w:val="00C00862"/>
    <w:rsid w:val="00C0096F"/>
    <w:rsid w:val="00C00A0A"/>
    <w:rsid w:val="00C00AAD"/>
    <w:rsid w:val="00C00AC6"/>
    <w:rsid w:val="00C00B5F"/>
    <w:rsid w:val="00C00B9C"/>
    <w:rsid w:val="00C00C88"/>
    <w:rsid w:val="00C00F20"/>
    <w:rsid w:val="00C00FD8"/>
    <w:rsid w:val="00C00FFF"/>
    <w:rsid w:val="00C01097"/>
    <w:rsid w:val="00C011D3"/>
    <w:rsid w:val="00C01207"/>
    <w:rsid w:val="00C012C6"/>
    <w:rsid w:val="00C0135E"/>
    <w:rsid w:val="00C01361"/>
    <w:rsid w:val="00C013D5"/>
    <w:rsid w:val="00C01496"/>
    <w:rsid w:val="00C014D1"/>
    <w:rsid w:val="00C01557"/>
    <w:rsid w:val="00C01580"/>
    <w:rsid w:val="00C01622"/>
    <w:rsid w:val="00C01716"/>
    <w:rsid w:val="00C0176D"/>
    <w:rsid w:val="00C017CC"/>
    <w:rsid w:val="00C018A3"/>
    <w:rsid w:val="00C01A37"/>
    <w:rsid w:val="00C01BBA"/>
    <w:rsid w:val="00C01C92"/>
    <w:rsid w:val="00C01CA0"/>
    <w:rsid w:val="00C01CE9"/>
    <w:rsid w:val="00C01CFD"/>
    <w:rsid w:val="00C01D3E"/>
    <w:rsid w:val="00C01D7B"/>
    <w:rsid w:val="00C01E35"/>
    <w:rsid w:val="00C01E6E"/>
    <w:rsid w:val="00C01F03"/>
    <w:rsid w:val="00C01F0E"/>
    <w:rsid w:val="00C01F27"/>
    <w:rsid w:val="00C01F8C"/>
    <w:rsid w:val="00C0200A"/>
    <w:rsid w:val="00C02057"/>
    <w:rsid w:val="00C02078"/>
    <w:rsid w:val="00C02080"/>
    <w:rsid w:val="00C021D4"/>
    <w:rsid w:val="00C022A2"/>
    <w:rsid w:val="00C022AD"/>
    <w:rsid w:val="00C0237C"/>
    <w:rsid w:val="00C02418"/>
    <w:rsid w:val="00C02615"/>
    <w:rsid w:val="00C026F0"/>
    <w:rsid w:val="00C02787"/>
    <w:rsid w:val="00C027E0"/>
    <w:rsid w:val="00C02A00"/>
    <w:rsid w:val="00C02ADC"/>
    <w:rsid w:val="00C02B99"/>
    <w:rsid w:val="00C02E05"/>
    <w:rsid w:val="00C02E1D"/>
    <w:rsid w:val="00C02E23"/>
    <w:rsid w:val="00C02E60"/>
    <w:rsid w:val="00C02E98"/>
    <w:rsid w:val="00C02EC4"/>
    <w:rsid w:val="00C0301B"/>
    <w:rsid w:val="00C03141"/>
    <w:rsid w:val="00C03156"/>
    <w:rsid w:val="00C031FF"/>
    <w:rsid w:val="00C03208"/>
    <w:rsid w:val="00C03311"/>
    <w:rsid w:val="00C0342A"/>
    <w:rsid w:val="00C03456"/>
    <w:rsid w:val="00C034DB"/>
    <w:rsid w:val="00C03755"/>
    <w:rsid w:val="00C037EE"/>
    <w:rsid w:val="00C038F2"/>
    <w:rsid w:val="00C03906"/>
    <w:rsid w:val="00C0396D"/>
    <w:rsid w:val="00C03A68"/>
    <w:rsid w:val="00C03B4A"/>
    <w:rsid w:val="00C03B96"/>
    <w:rsid w:val="00C03C08"/>
    <w:rsid w:val="00C03C1E"/>
    <w:rsid w:val="00C03D06"/>
    <w:rsid w:val="00C03E40"/>
    <w:rsid w:val="00C03E64"/>
    <w:rsid w:val="00C03FB9"/>
    <w:rsid w:val="00C03FF6"/>
    <w:rsid w:val="00C040AF"/>
    <w:rsid w:val="00C042CB"/>
    <w:rsid w:val="00C04330"/>
    <w:rsid w:val="00C04415"/>
    <w:rsid w:val="00C0449D"/>
    <w:rsid w:val="00C044C1"/>
    <w:rsid w:val="00C04667"/>
    <w:rsid w:val="00C04705"/>
    <w:rsid w:val="00C04707"/>
    <w:rsid w:val="00C047BC"/>
    <w:rsid w:val="00C049B5"/>
    <w:rsid w:val="00C049EF"/>
    <w:rsid w:val="00C04A92"/>
    <w:rsid w:val="00C04AA0"/>
    <w:rsid w:val="00C04B9D"/>
    <w:rsid w:val="00C04CF7"/>
    <w:rsid w:val="00C04D2E"/>
    <w:rsid w:val="00C04D41"/>
    <w:rsid w:val="00C04D6C"/>
    <w:rsid w:val="00C04D7C"/>
    <w:rsid w:val="00C04DAA"/>
    <w:rsid w:val="00C04DAD"/>
    <w:rsid w:val="00C04EDC"/>
    <w:rsid w:val="00C04F09"/>
    <w:rsid w:val="00C04F71"/>
    <w:rsid w:val="00C04F7F"/>
    <w:rsid w:val="00C05006"/>
    <w:rsid w:val="00C0504F"/>
    <w:rsid w:val="00C0505C"/>
    <w:rsid w:val="00C051A0"/>
    <w:rsid w:val="00C051D9"/>
    <w:rsid w:val="00C05211"/>
    <w:rsid w:val="00C052A8"/>
    <w:rsid w:val="00C05362"/>
    <w:rsid w:val="00C05391"/>
    <w:rsid w:val="00C053C5"/>
    <w:rsid w:val="00C0557B"/>
    <w:rsid w:val="00C0557D"/>
    <w:rsid w:val="00C055C8"/>
    <w:rsid w:val="00C0564A"/>
    <w:rsid w:val="00C056F7"/>
    <w:rsid w:val="00C0572B"/>
    <w:rsid w:val="00C057D6"/>
    <w:rsid w:val="00C05849"/>
    <w:rsid w:val="00C0585B"/>
    <w:rsid w:val="00C058C0"/>
    <w:rsid w:val="00C05950"/>
    <w:rsid w:val="00C059F4"/>
    <w:rsid w:val="00C05A40"/>
    <w:rsid w:val="00C05AD0"/>
    <w:rsid w:val="00C05ADA"/>
    <w:rsid w:val="00C05B29"/>
    <w:rsid w:val="00C05B58"/>
    <w:rsid w:val="00C05B9C"/>
    <w:rsid w:val="00C05C67"/>
    <w:rsid w:val="00C05D24"/>
    <w:rsid w:val="00C05DDE"/>
    <w:rsid w:val="00C05DE1"/>
    <w:rsid w:val="00C05E01"/>
    <w:rsid w:val="00C05F50"/>
    <w:rsid w:val="00C05FEC"/>
    <w:rsid w:val="00C06046"/>
    <w:rsid w:val="00C0605B"/>
    <w:rsid w:val="00C060AB"/>
    <w:rsid w:val="00C060E6"/>
    <w:rsid w:val="00C06175"/>
    <w:rsid w:val="00C061B9"/>
    <w:rsid w:val="00C061EC"/>
    <w:rsid w:val="00C061F5"/>
    <w:rsid w:val="00C062B9"/>
    <w:rsid w:val="00C06331"/>
    <w:rsid w:val="00C0645E"/>
    <w:rsid w:val="00C0647B"/>
    <w:rsid w:val="00C06483"/>
    <w:rsid w:val="00C064B9"/>
    <w:rsid w:val="00C064F7"/>
    <w:rsid w:val="00C06511"/>
    <w:rsid w:val="00C06520"/>
    <w:rsid w:val="00C067DE"/>
    <w:rsid w:val="00C0690C"/>
    <w:rsid w:val="00C06966"/>
    <w:rsid w:val="00C06A2F"/>
    <w:rsid w:val="00C06AD0"/>
    <w:rsid w:val="00C06B09"/>
    <w:rsid w:val="00C06B83"/>
    <w:rsid w:val="00C06BDD"/>
    <w:rsid w:val="00C06BFC"/>
    <w:rsid w:val="00C06C33"/>
    <w:rsid w:val="00C06C55"/>
    <w:rsid w:val="00C06D0C"/>
    <w:rsid w:val="00C06D11"/>
    <w:rsid w:val="00C06D45"/>
    <w:rsid w:val="00C06DBD"/>
    <w:rsid w:val="00C06E6B"/>
    <w:rsid w:val="00C06E77"/>
    <w:rsid w:val="00C06FE3"/>
    <w:rsid w:val="00C0704E"/>
    <w:rsid w:val="00C0707D"/>
    <w:rsid w:val="00C070A2"/>
    <w:rsid w:val="00C070C4"/>
    <w:rsid w:val="00C07108"/>
    <w:rsid w:val="00C07150"/>
    <w:rsid w:val="00C07151"/>
    <w:rsid w:val="00C07172"/>
    <w:rsid w:val="00C071D6"/>
    <w:rsid w:val="00C07274"/>
    <w:rsid w:val="00C072BE"/>
    <w:rsid w:val="00C075A1"/>
    <w:rsid w:val="00C075B6"/>
    <w:rsid w:val="00C075BF"/>
    <w:rsid w:val="00C07611"/>
    <w:rsid w:val="00C0763A"/>
    <w:rsid w:val="00C07789"/>
    <w:rsid w:val="00C077BC"/>
    <w:rsid w:val="00C07814"/>
    <w:rsid w:val="00C07829"/>
    <w:rsid w:val="00C07841"/>
    <w:rsid w:val="00C0788C"/>
    <w:rsid w:val="00C078A2"/>
    <w:rsid w:val="00C0797A"/>
    <w:rsid w:val="00C07A35"/>
    <w:rsid w:val="00C07AD9"/>
    <w:rsid w:val="00C07ADC"/>
    <w:rsid w:val="00C07B12"/>
    <w:rsid w:val="00C07B58"/>
    <w:rsid w:val="00C07C22"/>
    <w:rsid w:val="00C07C69"/>
    <w:rsid w:val="00C07CB1"/>
    <w:rsid w:val="00C07CF4"/>
    <w:rsid w:val="00C07D02"/>
    <w:rsid w:val="00C07DD4"/>
    <w:rsid w:val="00C07DE3"/>
    <w:rsid w:val="00C07E86"/>
    <w:rsid w:val="00C07E95"/>
    <w:rsid w:val="00C07F96"/>
    <w:rsid w:val="00C07FA8"/>
    <w:rsid w:val="00C1003E"/>
    <w:rsid w:val="00C10061"/>
    <w:rsid w:val="00C1010F"/>
    <w:rsid w:val="00C1021F"/>
    <w:rsid w:val="00C102F5"/>
    <w:rsid w:val="00C10472"/>
    <w:rsid w:val="00C105ED"/>
    <w:rsid w:val="00C106EB"/>
    <w:rsid w:val="00C10844"/>
    <w:rsid w:val="00C10942"/>
    <w:rsid w:val="00C10952"/>
    <w:rsid w:val="00C10A40"/>
    <w:rsid w:val="00C10A4F"/>
    <w:rsid w:val="00C10A58"/>
    <w:rsid w:val="00C10AE8"/>
    <w:rsid w:val="00C10B1E"/>
    <w:rsid w:val="00C10C61"/>
    <w:rsid w:val="00C10C89"/>
    <w:rsid w:val="00C10D50"/>
    <w:rsid w:val="00C10D82"/>
    <w:rsid w:val="00C10DD0"/>
    <w:rsid w:val="00C10E94"/>
    <w:rsid w:val="00C10F4D"/>
    <w:rsid w:val="00C10FB2"/>
    <w:rsid w:val="00C11077"/>
    <w:rsid w:val="00C111B4"/>
    <w:rsid w:val="00C11227"/>
    <w:rsid w:val="00C11278"/>
    <w:rsid w:val="00C1130F"/>
    <w:rsid w:val="00C113B8"/>
    <w:rsid w:val="00C113EA"/>
    <w:rsid w:val="00C114DE"/>
    <w:rsid w:val="00C114E4"/>
    <w:rsid w:val="00C11518"/>
    <w:rsid w:val="00C115AB"/>
    <w:rsid w:val="00C11710"/>
    <w:rsid w:val="00C118B3"/>
    <w:rsid w:val="00C118B4"/>
    <w:rsid w:val="00C118CF"/>
    <w:rsid w:val="00C1193D"/>
    <w:rsid w:val="00C119C7"/>
    <w:rsid w:val="00C119DF"/>
    <w:rsid w:val="00C11A03"/>
    <w:rsid w:val="00C11B9D"/>
    <w:rsid w:val="00C11BE3"/>
    <w:rsid w:val="00C11D1A"/>
    <w:rsid w:val="00C11D51"/>
    <w:rsid w:val="00C11D6D"/>
    <w:rsid w:val="00C11F1D"/>
    <w:rsid w:val="00C12143"/>
    <w:rsid w:val="00C12151"/>
    <w:rsid w:val="00C121ED"/>
    <w:rsid w:val="00C1220D"/>
    <w:rsid w:val="00C1221C"/>
    <w:rsid w:val="00C1229F"/>
    <w:rsid w:val="00C12312"/>
    <w:rsid w:val="00C12464"/>
    <w:rsid w:val="00C125D7"/>
    <w:rsid w:val="00C1264F"/>
    <w:rsid w:val="00C12788"/>
    <w:rsid w:val="00C128B7"/>
    <w:rsid w:val="00C12936"/>
    <w:rsid w:val="00C12980"/>
    <w:rsid w:val="00C12A04"/>
    <w:rsid w:val="00C12A73"/>
    <w:rsid w:val="00C12B0A"/>
    <w:rsid w:val="00C12B62"/>
    <w:rsid w:val="00C12C22"/>
    <w:rsid w:val="00C12C85"/>
    <w:rsid w:val="00C12D03"/>
    <w:rsid w:val="00C12D1C"/>
    <w:rsid w:val="00C12D95"/>
    <w:rsid w:val="00C12DA0"/>
    <w:rsid w:val="00C12FEA"/>
    <w:rsid w:val="00C13078"/>
    <w:rsid w:val="00C13096"/>
    <w:rsid w:val="00C1322E"/>
    <w:rsid w:val="00C132B7"/>
    <w:rsid w:val="00C132BF"/>
    <w:rsid w:val="00C1334B"/>
    <w:rsid w:val="00C13354"/>
    <w:rsid w:val="00C133C4"/>
    <w:rsid w:val="00C13415"/>
    <w:rsid w:val="00C13471"/>
    <w:rsid w:val="00C13494"/>
    <w:rsid w:val="00C134E4"/>
    <w:rsid w:val="00C1354F"/>
    <w:rsid w:val="00C1355F"/>
    <w:rsid w:val="00C136D2"/>
    <w:rsid w:val="00C137DA"/>
    <w:rsid w:val="00C137E7"/>
    <w:rsid w:val="00C13840"/>
    <w:rsid w:val="00C1386E"/>
    <w:rsid w:val="00C13897"/>
    <w:rsid w:val="00C13980"/>
    <w:rsid w:val="00C13A8E"/>
    <w:rsid w:val="00C13AEB"/>
    <w:rsid w:val="00C13AEE"/>
    <w:rsid w:val="00C13B5B"/>
    <w:rsid w:val="00C13B94"/>
    <w:rsid w:val="00C13CB0"/>
    <w:rsid w:val="00C13D1A"/>
    <w:rsid w:val="00C13D30"/>
    <w:rsid w:val="00C13E78"/>
    <w:rsid w:val="00C13F41"/>
    <w:rsid w:val="00C13F7C"/>
    <w:rsid w:val="00C1408B"/>
    <w:rsid w:val="00C140E6"/>
    <w:rsid w:val="00C14279"/>
    <w:rsid w:val="00C142B4"/>
    <w:rsid w:val="00C1430C"/>
    <w:rsid w:val="00C14310"/>
    <w:rsid w:val="00C14343"/>
    <w:rsid w:val="00C14389"/>
    <w:rsid w:val="00C14470"/>
    <w:rsid w:val="00C1476F"/>
    <w:rsid w:val="00C14779"/>
    <w:rsid w:val="00C147B8"/>
    <w:rsid w:val="00C1481E"/>
    <w:rsid w:val="00C14888"/>
    <w:rsid w:val="00C14A22"/>
    <w:rsid w:val="00C14A3A"/>
    <w:rsid w:val="00C14ACC"/>
    <w:rsid w:val="00C14B4C"/>
    <w:rsid w:val="00C14B76"/>
    <w:rsid w:val="00C14BE1"/>
    <w:rsid w:val="00C14C5D"/>
    <w:rsid w:val="00C14E34"/>
    <w:rsid w:val="00C14E62"/>
    <w:rsid w:val="00C14F2F"/>
    <w:rsid w:val="00C14F71"/>
    <w:rsid w:val="00C1505D"/>
    <w:rsid w:val="00C1508F"/>
    <w:rsid w:val="00C15096"/>
    <w:rsid w:val="00C15178"/>
    <w:rsid w:val="00C15209"/>
    <w:rsid w:val="00C15477"/>
    <w:rsid w:val="00C15586"/>
    <w:rsid w:val="00C155A1"/>
    <w:rsid w:val="00C15659"/>
    <w:rsid w:val="00C158A2"/>
    <w:rsid w:val="00C15930"/>
    <w:rsid w:val="00C159E4"/>
    <w:rsid w:val="00C15B4D"/>
    <w:rsid w:val="00C15C1B"/>
    <w:rsid w:val="00C15C39"/>
    <w:rsid w:val="00C15C3F"/>
    <w:rsid w:val="00C15C7C"/>
    <w:rsid w:val="00C15C98"/>
    <w:rsid w:val="00C15C9E"/>
    <w:rsid w:val="00C15EE4"/>
    <w:rsid w:val="00C15F27"/>
    <w:rsid w:val="00C15F92"/>
    <w:rsid w:val="00C15FB5"/>
    <w:rsid w:val="00C15FE6"/>
    <w:rsid w:val="00C16117"/>
    <w:rsid w:val="00C16143"/>
    <w:rsid w:val="00C16250"/>
    <w:rsid w:val="00C162BB"/>
    <w:rsid w:val="00C162EE"/>
    <w:rsid w:val="00C16513"/>
    <w:rsid w:val="00C16613"/>
    <w:rsid w:val="00C1662E"/>
    <w:rsid w:val="00C167C6"/>
    <w:rsid w:val="00C167DA"/>
    <w:rsid w:val="00C167ED"/>
    <w:rsid w:val="00C16802"/>
    <w:rsid w:val="00C16BA3"/>
    <w:rsid w:val="00C16BB6"/>
    <w:rsid w:val="00C16BD3"/>
    <w:rsid w:val="00C16BEC"/>
    <w:rsid w:val="00C16C0E"/>
    <w:rsid w:val="00C16C63"/>
    <w:rsid w:val="00C16CB1"/>
    <w:rsid w:val="00C16D07"/>
    <w:rsid w:val="00C16D6A"/>
    <w:rsid w:val="00C16D70"/>
    <w:rsid w:val="00C16E6A"/>
    <w:rsid w:val="00C16E73"/>
    <w:rsid w:val="00C16EB7"/>
    <w:rsid w:val="00C16ED0"/>
    <w:rsid w:val="00C16F38"/>
    <w:rsid w:val="00C171BA"/>
    <w:rsid w:val="00C1720C"/>
    <w:rsid w:val="00C17311"/>
    <w:rsid w:val="00C1731B"/>
    <w:rsid w:val="00C1748C"/>
    <w:rsid w:val="00C1748F"/>
    <w:rsid w:val="00C174BD"/>
    <w:rsid w:val="00C17564"/>
    <w:rsid w:val="00C17636"/>
    <w:rsid w:val="00C17768"/>
    <w:rsid w:val="00C1780C"/>
    <w:rsid w:val="00C178F3"/>
    <w:rsid w:val="00C1794B"/>
    <w:rsid w:val="00C17977"/>
    <w:rsid w:val="00C17BE5"/>
    <w:rsid w:val="00C17C59"/>
    <w:rsid w:val="00C17CA7"/>
    <w:rsid w:val="00C17D73"/>
    <w:rsid w:val="00C17D77"/>
    <w:rsid w:val="00C17DC8"/>
    <w:rsid w:val="00C17DDA"/>
    <w:rsid w:val="00C17DE2"/>
    <w:rsid w:val="00C17F5B"/>
    <w:rsid w:val="00C17F87"/>
    <w:rsid w:val="00C17FB8"/>
    <w:rsid w:val="00C20001"/>
    <w:rsid w:val="00C2003C"/>
    <w:rsid w:val="00C20181"/>
    <w:rsid w:val="00C20198"/>
    <w:rsid w:val="00C20215"/>
    <w:rsid w:val="00C2026D"/>
    <w:rsid w:val="00C202BA"/>
    <w:rsid w:val="00C20468"/>
    <w:rsid w:val="00C204CA"/>
    <w:rsid w:val="00C204E5"/>
    <w:rsid w:val="00C2052E"/>
    <w:rsid w:val="00C205DB"/>
    <w:rsid w:val="00C2079C"/>
    <w:rsid w:val="00C207DA"/>
    <w:rsid w:val="00C20982"/>
    <w:rsid w:val="00C209C7"/>
    <w:rsid w:val="00C209DA"/>
    <w:rsid w:val="00C20A01"/>
    <w:rsid w:val="00C20A74"/>
    <w:rsid w:val="00C20A98"/>
    <w:rsid w:val="00C20A99"/>
    <w:rsid w:val="00C20C94"/>
    <w:rsid w:val="00C20C97"/>
    <w:rsid w:val="00C20EF8"/>
    <w:rsid w:val="00C20FD9"/>
    <w:rsid w:val="00C2104E"/>
    <w:rsid w:val="00C21059"/>
    <w:rsid w:val="00C21144"/>
    <w:rsid w:val="00C21179"/>
    <w:rsid w:val="00C21213"/>
    <w:rsid w:val="00C21277"/>
    <w:rsid w:val="00C212B7"/>
    <w:rsid w:val="00C212E4"/>
    <w:rsid w:val="00C2149B"/>
    <w:rsid w:val="00C2154C"/>
    <w:rsid w:val="00C21594"/>
    <w:rsid w:val="00C2165A"/>
    <w:rsid w:val="00C216AB"/>
    <w:rsid w:val="00C218BE"/>
    <w:rsid w:val="00C21914"/>
    <w:rsid w:val="00C21AD3"/>
    <w:rsid w:val="00C21B71"/>
    <w:rsid w:val="00C21BCB"/>
    <w:rsid w:val="00C21C02"/>
    <w:rsid w:val="00C21D30"/>
    <w:rsid w:val="00C21DB9"/>
    <w:rsid w:val="00C21DCD"/>
    <w:rsid w:val="00C21DE8"/>
    <w:rsid w:val="00C21E29"/>
    <w:rsid w:val="00C21ED4"/>
    <w:rsid w:val="00C21FB0"/>
    <w:rsid w:val="00C2203D"/>
    <w:rsid w:val="00C220BF"/>
    <w:rsid w:val="00C22117"/>
    <w:rsid w:val="00C2211A"/>
    <w:rsid w:val="00C2224E"/>
    <w:rsid w:val="00C2226E"/>
    <w:rsid w:val="00C22326"/>
    <w:rsid w:val="00C223BD"/>
    <w:rsid w:val="00C223EF"/>
    <w:rsid w:val="00C2250C"/>
    <w:rsid w:val="00C225D9"/>
    <w:rsid w:val="00C22652"/>
    <w:rsid w:val="00C226DA"/>
    <w:rsid w:val="00C2279B"/>
    <w:rsid w:val="00C22866"/>
    <w:rsid w:val="00C228E6"/>
    <w:rsid w:val="00C22A3C"/>
    <w:rsid w:val="00C22A94"/>
    <w:rsid w:val="00C22A9F"/>
    <w:rsid w:val="00C22AB4"/>
    <w:rsid w:val="00C22BA7"/>
    <w:rsid w:val="00C22BC8"/>
    <w:rsid w:val="00C22C1B"/>
    <w:rsid w:val="00C22C43"/>
    <w:rsid w:val="00C22CBD"/>
    <w:rsid w:val="00C22D56"/>
    <w:rsid w:val="00C22E18"/>
    <w:rsid w:val="00C22E32"/>
    <w:rsid w:val="00C22EC1"/>
    <w:rsid w:val="00C2307E"/>
    <w:rsid w:val="00C230CE"/>
    <w:rsid w:val="00C23143"/>
    <w:rsid w:val="00C231E0"/>
    <w:rsid w:val="00C2324A"/>
    <w:rsid w:val="00C2326F"/>
    <w:rsid w:val="00C23326"/>
    <w:rsid w:val="00C2339A"/>
    <w:rsid w:val="00C233BD"/>
    <w:rsid w:val="00C23430"/>
    <w:rsid w:val="00C23456"/>
    <w:rsid w:val="00C23460"/>
    <w:rsid w:val="00C234C2"/>
    <w:rsid w:val="00C234DC"/>
    <w:rsid w:val="00C2351B"/>
    <w:rsid w:val="00C23548"/>
    <w:rsid w:val="00C235B9"/>
    <w:rsid w:val="00C235CA"/>
    <w:rsid w:val="00C23663"/>
    <w:rsid w:val="00C236B3"/>
    <w:rsid w:val="00C23AB8"/>
    <w:rsid w:val="00C23AF3"/>
    <w:rsid w:val="00C23DDB"/>
    <w:rsid w:val="00C23E1B"/>
    <w:rsid w:val="00C23F41"/>
    <w:rsid w:val="00C23F8D"/>
    <w:rsid w:val="00C2419F"/>
    <w:rsid w:val="00C242FE"/>
    <w:rsid w:val="00C24332"/>
    <w:rsid w:val="00C24654"/>
    <w:rsid w:val="00C24685"/>
    <w:rsid w:val="00C2469C"/>
    <w:rsid w:val="00C24807"/>
    <w:rsid w:val="00C249A5"/>
    <w:rsid w:val="00C24A00"/>
    <w:rsid w:val="00C24AC6"/>
    <w:rsid w:val="00C24AD1"/>
    <w:rsid w:val="00C24B04"/>
    <w:rsid w:val="00C24B67"/>
    <w:rsid w:val="00C24BFF"/>
    <w:rsid w:val="00C24D6D"/>
    <w:rsid w:val="00C24DF7"/>
    <w:rsid w:val="00C24E02"/>
    <w:rsid w:val="00C24E0B"/>
    <w:rsid w:val="00C24E2D"/>
    <w:rsid w:val="00C24E41"/>
    <w:rsid w:val="00C24ED0"/>
    <w:rsid w:val="00C24F06"/>
    <w:rsid w:val="00C24FF0"/>
    <w:rsid w:val="00C250AB"/>
    <w:rsid w:val="00C250C9"/>
    <w:rsid w:val="00C25104"/>
    <w:rsid w:val="00C25113"/>
    <w:rsid w:val="00C25135"/>
    <w:rsid w:val="00C25439"/>
    <w:rsid w:val="00C255A6"/>
    <w:rsid w:val="00C255D7"/>
    <w:rsid w:val="00C256B0"/>
    <w:rsid w:val="00C2578C"/>
    <w:rsid w:val="00C258DE"/>
    <w:rsid w:val="00C25A41"/>
    <w:rsid w:val="00C25A81"/>
    <w:rsid w:val="00C25B6F"/>
    <w:rsid w:val="00C25B9F"/>
    <w:rsid w:val="00C25D0C"/>
    <w:rsid w:val="00C25D90"/>
    <w:rsid w:val="00C25DA3"/>
    <w:rsid w:val="00C25FA5"/>
    <w:rsid w:val="00C25FBB"/>
    <w:rsid w:val="00C25FF2"/>
    <w:rsid w:val="00C26356"/>
    <w:rsid w:val="00C263D4"/>
    <w:rsid w:val="00C26490"/>
    <w:rsid w:val="00C26545"/>
    <w:rsid w:val="00C267A9"/>
    <w:rsid w:val="00C267FD"/>
    <w:rsid w:val="00C268AB"/>
    <w:rsid w:val="00C26952"/>
    <w:rsid w:val="00C2697A"/>
    <w:rsid w:val="00C26A37"/>
    <w:rsid w:val="00C26A4E"/>
    <w:rsid w:val="00C26ABD"/>
    <w:rsid w:val="00C26AF7"/>
    <w:rsid w:val="00C26B30"/>
    <w:rsid w:val="00C26B32"/>
    <w:rsid w:val="00C26B40"/>
    <w:rsid w:val="00C26B9E"/>
    <w:rsid w:val="00C26C8B"/>
    <w:rsid w:val="00C26DA9"/>
    <w:rsid w:val="00C26E2A"/>
    <w:rsid w:val="00C26E63"/>
    <w:rsid w:val="00C26E74"/>
    <w:rsid w:val="00C26F48"/>
    <w:rsid w:val="00C271D2"/>
    <w:rsid w:val="00C27250"/>
    <w:rsid w:val="00C272E4"/>
    <w:rsid w:val="00C27322"/>
    <w:rsid w:val="00C2739F"/>
    <w:rsid w:val="00C2745E"/>
    <w:rsid w:val="00C27567"/>
    <w:rsid w:val="00C27581"/>
    <w:rsid w:val="00C27589"/>
    <w:rsid w:val="00C275F3"/>
    <w:rsid w:val="00C275FA"/>
    <w:rsid w:val="00C27706"/>
    <w:rsid w:val="00C27744"/>
    <w:rsid w:val="00C27745"/>
    <w:rsid w:val="00C27761"/>
    <w:rsid w:val="00C27948"/>
    <w:rsid w:val="00C27959"/>
    <w:rsid w:val="00C279A0"/>
    <w:rsid w:val="00C27A44"/>
    <w:rsid w:val="00C27A70"/>
    <w:rsid w:val="00C27A80"/>
    <w:rsid w:val="00C27B1B"/>
    <w:rsid w:val="00C27B42"/>
    <w:rsid w:val="00C27B5F"/>
    <w:rsid w:val="00C27BF5"/>
    <w:rsid w:val="00C27CAB"/>
    <w:rsid w:val="00C27E1B"/>
    <w:rsid w:val="00C27E8D"/>
    <w:rsid w:val="00C27E94"/>
    <w:rsid w:val="00C3006E"/>
    <w:rsid w:val="00C300F9"/>
    <w:rsid w:val="00C3011D"/>
    <w:rsid w:val="00C3014E"/>
    <w:rsid w:val="00C303E2"/>
    <w:rsid w:val="00C30477"/>
    <w:rsid w:val="00C3061B"/>
    <w:rsid w:val="00C30708"/>
    <w:rsid w:val="00C30752"/>
    <w:rsid w:val="00C30767"/>
    <w:rsid w:val="00C30878"/>
    <w:rsid w:val="00C308B0"/>
    <w:rsid w:val="00C308F3"/>
    <w:rsid w:val="00C309D6"/>
    <w:rsid w:val="00C30B1D"/>
    <w:rsid w:val="00C30BE3"/>
    <w:rsid w:val="00C30CF8"/>
    <w:rsid w:val="00C30DA3"/>
    <w:rsid w:val="00C30DC1"/>
    <w:rsid w:val="00C30EAD"/>
    <w:rsid w:val="00C31111"/>
    <w:rsid w:val="00C311B4"/>
    <w:rsid w:val="00C31221"/>
    <w:rsid w:val="00C3126F"/>
    <w:rsid w:val="00C3128A"/>
    <w:rsid w:val="00C31377"/>
    <w:rsid w:val="00C315D3"/>
    <w:rsid w:val="00C3161E"/>
    <w:rsid w:val="00C31678"/>
    <w:rsid w:val="00C316C2"/>
    <w:rsid w:val="00C31765"/>
    <w:rsid w:val="00C317CE"/>
    <w:rsid w:val="00C31921"/>
    <w:rsid w:val="00C31954"/>
    <w:rsid w:val="00C319AC"/>
    <w:rsid w:val="00C319CB"/>
    <w:rsid w:val="00C31A36"/>
    <w:rsid w:val="00C31A51"/>
    <w:rsid w:val="00C31B51"/>
    <w:rsid w:val="00C31BA6"/>
    <w:rsid w:val="00C31CAF"/>
    <w:rsid w:val="00C31E6A"/>
    <w:rsid w:val="00C31E83"/>
    <w:rsid w:val="00C31F58"/>
    <w:rsid w:val="00C3203A"/>
    <w:rsid w:val="00C3213B"/>
    <w:rsid w:val="00C323A2"/>
    <w:rsid w:val="00C3245E"/>
    <w:rsid w:val="00C325EE"/>
    <w:rsid w:val="00C32631"/>
    <w:rsid w:val="00C3266E"/>
    <w:rsid w:val="00C326FA"/>
    <w:rsid w:val="00C327B4"/>
    <w:rsid w:val="00C3283B"/>
    <w:rsid w:val="00C328A0"/>
    <w:rsid w:val="00C328F6"/>
    <w:rsid w:val="00C32AAA"/>
    <w:rsid w:val="00C32ABF"/>
    <w:rsid w:val="00C32B70"/>
    <w:rsid w:val="00C32B7D"/>
    <w:rsid w:val="00C32CB7"/>
    <w:rsid w:val="00C32D16"/>
    <w:rsid w:val="00C32D19"/>
    <w:rsid w:val="00C32D41"/>
    <w:rsid w:val="00C32F53"/>
    <w:rsid w:val="00C3303A"/>
    <w:rsid w:val="00C33042"/>
    <w:rsid w:val="00C33319"/>
    <w:rsid w:val="00C33398"/>
    <w:rsid w:val="00C3340E"/>
    <w:rsid w:val="00C33464"/>
    <w:rsid w:val="00C3348B"/>
    <w:rsid w:val="00C334A1"/>
    <w:rsid w:val="00C335EF"/>
    <w:rsid w:val="00C3380A"/>
    <w:rsid w:val="00C3382A"/>
    <w:rsid w:val="00C33878"/>
    <w:rsid w:val="00C338DB"/>
    <w:rsid w:val="00C33959"/>
    <w:rsid w:val="00C339B1"/>
    <w:rsid w:val="00C33B09"/>
    <w:rsid w:val="00C33B54"/>
    <w:rsid w:val="00C33C1C"/>
    <w:rsid w:val="00C33C3B"/>
    <w:rsid w:val="00C33D03"/>
    <w:rsid w:val="00C33D0E"/>
    <w:rsid w:val="00C33E25"/>
    <w:rsid w:val="00C33E5F"/>
    <w:rsid w:val="00C33E7E"/>
    <w:rsid w:val="00C33E99"/>
    <w:rsid w:val="00C34103"/>
    <w:rsid w:val="00C34152"/>
    <w:rsid w:val="00C3419A"/>
    <w:rsid w:val="00C3419D"/>
    <w:rsid w:val="00C342B4"/>
    <w:rsid w:val="00C342E5"/>
    <w:rsid w:val="00C34353"/>
    <w:rsid w:val="00C34383"/>
    <w:rsid w:val="00C3451F"/>
    <w:rsid w:val="00C3453B"/>
    <w:rsid w:val="00C34581"/>
    <w:rsid w:val="00C3467F"/>
    <w:rsid w:val="00C3469C"/>
    <w:rsid w:val="00C346DA"/>
    <w:rsid w:val="00C346EB"/>
    <w:rsid w:val="00C348E2"/>
    <w:rsid w:val="00C349AE"/>
    <w:rsid w:val="00C34A5D"/>
    <w:rsid w:val="00C34A6B"/>
    <w:rsid w:val="00C34B0E"/>
    <w:rsid w:val="00C34B3D"/>
    <w:rsid w:val="00C34C2A"/>
    <w:rsid w:val="00C34C4C"/>
    <w:rsid w:val="00C34CBD"/>
    <w:rsid w:val="00C34CC2"/>
    <w:rsid w:val="00C34D9E"/>
    <w:rsid w:val="00C34DC7"/>
    <w:rsid w:val="00C34E79"/>
    <w:rsid w:val="00C34EC6"/>
    <w:rsid w:val="00C34F51"/>
    <w:rsid w:val="00C34F5B"/>
    <w:rsid w:val="00C34F76"/>
    <w:rsid w:val="00C35006"/>
    <w:rsid w:val="00C35056"/>
    <w:rsid w:val="00C3505B"/>
    <w:rsid w:val="00C35215"/>
    <w:rsid w:val="00C3524A"/>
    <w:rsid w:val="00C35255"/>
    <w:rsid w:val="00C35306"/>
    <w:rsid w:val="00C35332"/>
    <w:rsid w:val="00C353AA"/>
    <w:rsid w:val="00C3542D"/>
    <w:rsid w:val="00C35438"/>
    <w:rsid w:val="00C354A8"/>
    <w:rsid w:val="00C35592"/>
    <w:rsid w:val="00C3559E"/>
    <w:rsid w:val="00C35684"/>
    <w:rsid w:val="00C356B3"/>
    <w:rsid w:val="00C35710"/>
    <w:rsid w:val="00C357E3"/>
    <w:rsid w:val="00C35813"/>
    <w:rsid w:val="00C35945"/>
    <w:rsid w:val="00C3596C"/>
    <w:rsid w:val="00C3596E"/>
    <w:rsid w:val="00C35A05"/>
    <w:rsid w:val="00C35AC3"/>
    <w:rsid w:val="00C35AF4"/>
    <w:rsid w:val="00C35B07"/>
    <w:rsid w:val="00C35B57"/>
    <w:rsid w:val="00C35BB2"/>
    <w:rsid w:val="00C35CD6"/>
    <w:rsid w:val="00C35D30"/>
    <w:rsid w:val="00C35D45"/>
    <w:rsid w:val="00C35D83"/>
    <w:rsid w:val="00C35DC0"/>
    <w:rsid w:val="00C35DFA"/>
    <w:rsid w:val="00C35DFD"/>
    <w:rsid w:val="00C35E10"/>
    <w:rsid w:val="00C35E1C"/>
    <w:rsid w:val="00C35E44"/>
    <w:rsid w:val="00C35E7B"/>
    <w:rsid w:val="00C35E89"/>
    <w:rsid w:val="00C35F06"/>
    <w:rsid w:val="00C35F54"/>
    <w:rsid w:val="00C3602F"/>
    <w:rsid w:val="00C36112"/>
    <w:rsid w:val="00C3638C"/>
    <w:rsid w:val="00C3641A"/>
    <w:rsid w:val="00C36430"/>
    <w:rsid w:val="00C36431"/>
    <w:rsid w:val="00C36562"/>
    <w:rsid w:val="00C3656A"/>
    <w:rsid w:val="00C365C5"/>
    <w:rsid w:val="00C365DF"/>
    <w:rsid w:val="00C3664E"/>
    <w:rsid w:val="00C36884"/>
    <w:rsid w:val="00C368D6"/>
    <w:rsid w:val="00C36990"/>
    <w:rsid w:val="00C369FD"/>
    <w:rsid w:val="00C36A6D"/>
    <w:rsid w:val="00C36A90"/>
    <w:rsid w:val="00C36ACD"/>
    <w:rsid w:val="00C36B80"/>
    <w:rsid w:val="00C36BBE"/>
    <w:rsid w:val="00C36D77"/>
    <w:rsid w:val="00C36DDB"/>
    <w:rsid w:val="00C36DF7"/>
    <w:rsid w:val="00C36E3E"/>
    <w:rsid w:val="00C36E92"/>
    <w:rsid w:val="00C36F73"/>
    <w:rsid w:val="00C3716A"/>
    <w:rsid w:val="00C37245"/>
    <w:rsid w:val="00C372A7"/>
    <w:rsid w:val="00C37375"/>
    <w:rsid w:val="00C37391"/>
    <w:rsid w:val="00C37549"/>
    <w:rsid w:val="00C37614"/>
    <w:rsid w:val="00C376B4"/>
    <w:rsid w:val="00C37A36"/>
    <w:rsid w:val="00C37A7F"/>
    <w:rsid w:val="00C37A98"/>
    <w:rsid w:val="00C37D50"/>
    <w:rsid w:val="00C37D99"/>
    <w:rsid w:val="00C37DB3"/>
    <w:rsid w:val="00C37ECF"/>
    <w:rsid w:val="00C37F36"/>
    <w:rsid w:val="00C37FFE"/>
    <w:rsid w:val="00C4004F"/>
    <w:rsid w:val="00C40083"/>
    <w:rsid w:val="00C40109"/>
    <w:rsid w:val="00C40165"/>
    <w:rsid w:val="00C401DE"/>
    <w:rsid w:val="00C4031D"/>
    <w:rsid w:val="00C40358"/>
    <w:rsid w:val="00C403A5"/>
    <w:rsid w:val="00C403ED"/>
    <w:rsid w:val="00C4047C"/>
    <w:rsid w:val="00C40578"/>
    <w:rsid w:val="00C4059B"/>
    <w:rsid w:val="00C40627"/>
    <w:rsid w:val="00C4063B"/>
    <w:rsid w:val="00C4064E"/>
    <w:rsid w:val="00C40695"/>
    <w:rsid w:val="00C407E2"/>
    <w:rsid w:val="00C4087F"/>
    <w:rsid w:val="00C408FB"/>
    <w:rsid w:val="00C40947"/>
    <w:rsid w:val="00C4094A"/>
    <w:rsid w:val="00C40977"/>
    <w:rsid w:val="00C409F0"/>
    <w:rsid w:val="00C40A95"/>
    <w:rsid w:val="00C40AFB"/>
    <w:rsid w:val="00C40B61"/>
    <w:rsid w:val="00C40BFA"/>
    <w:rsid w:val="00C40CA7"/>
    <w:rsid w:val="00C40D1A"/>
    <w:rsid w:val="00C40E0A"/>
    <w:rsid w:val="00C40E8B"/>
    <w:rsid w:val="00C40EA8"/>
    <w:rsid w:val="00C40F05"/>
    <w:rsid w:val="00C40F7C"/>
    <w:rsid w:val="00C41062"/>
    <w:rsid w:val="00C4116E"/>
    <w:rsid w:val="00C41171"/>
    <w:rsid w:val="00C41205"/>
    <w:rsid w:val="00C4124D"/>
    <w:rsid w:val="00C41259"/>
    <w:rsid w:val="00C41353"/>
    <w:rsid w:val="00C4136C"/>
    <w:rsid w:val="00C41540"/>
    <w:rsid w:val="00C4154B"/>
    <w:rsid w:val="00C416C9"/>
    <w:rsid w:val="00C41791"/>
    <w:rsid w:val="00C417C9"/>
    <w:rsid w:val="00C417EB"/>
    <w:rsid w:val="00C4180C"/>
    <w:rsid w:val="00C41860"/>
    <w:rsid w:val="00C4189E"/>
    <w:rsid w:val="00C419FD"/>
    <w:rsid w:val="00C41A2E"/>
    <w:rsid w:val="00C41AA9"/>
    <w:rsid w:val="00C41AC0"/>
    <w:rsid w:val="00C41B4A"/>
    <w:rsid w:val="00C41B8F"/>
    <w:rsid w:val="00C41BB8"/>
    <w:rsid w:val="00C41BC8"/>
    <w:rsid w:val="00C41C19"/>
    <w:rsid w:val="00C41D4C"/>
    <w:rsid w:val="00C41E01"/>
    <w:rsid w:val="00C41ED8"/>
    <w:rsid w:val="00C41F8E"/>
    <w:rsid w:val="00C41FCD"/>
    <w:rsid w:val="00C41FF4"/>
    <w:rsid w:val="00C42077"/>
    <w:rsid w:val="00C420BD"/>
    <w:rsid w:val="00C4221D"/>
    <w:rsid w:val="00C422E8"/>
    <w:rsid w:val="00C422F9"/>
    <w:rsid w:val="00C423BA"/>
    <w:rsid w:val="00C42407"/>
    <w:rsid w:val="00C424A0"/>
    <w:rsid w:val="00C4258E"/>
    <w:rsid w:val="00C425D9"/>
    <w:rsid w:val="00C425E7"/>
    <w:rsid w:val="00C4266A"/>
    <w:rsid w:val="00C4273E"/>
    <w:rsid w:val="00C42772"/>
    <w:rsid w:val="00C427B3"/>
    <w:rsid w:val="00C427BA"/>
    <w:rsid w:val="00C429ED"/>
    <w:rsid w:val="00C429F0"/>
    <w:rsid w:val="00C42A7E"/>
    <w:rsid w:val="00C42B39"/>
    <w:rsid w:val="00C42B5E"/>
    <w:rsid w:val="00C42C0B"/>
    <w:rsid w:val="00C42DCC"/>
    <w:rsid w:val="00C42EDC"/>
    <w:rsid w:val="00C42F82"/>
    <w:rsid w:val="00C430A5"/>
    <w:rsid w:val="00C4315F"/>
    <w:rsid w:val="00C431DE"/>
    <w:rsid w:val="00C43259"/>
    <w:rsid w:val="00C432F6"/>
    <w:rsid w:val="00C43348"/>
    <w:rsid w:val="00C43352"/>
    <w:rsid w:val="00C43377"/>
    <w:rsid w:val="00C43421"/>
    <w:rsid w:val="00C43422"/>
    <w:rsid w:val="00C434AA"/>
    <w:rsid w:val="00C4374F"/>
    <w:rsid w:val="00C43855"/>
    <w:rsid w:val="00C4395D"/>
    <w:rsid w:val="00C43A5D"/>
    <w:rsid w:val="00C43A8A"/>
    <w:rsid w:val="00C43B57"/>
    <w:rsid w:val="00C43C7D"/>
    <w:rsid w:val="00C43CFA"/>
    <w:rsid w:val="00C43D0D"/>
    <w:rsid w:val="00C43D15"/>
    <w:rsid w:val="00C43E31"/>
    <w:rsid w:val="00C43F1E"/>
    <w:rsid w:val="00C43FDF"/>
    <w:rsid w:val="00C441C2"/>
    <w:rsid w:val="00C441D2"/>
    <w:rsid w:val="00C44268"/>
    <w:rsid w:val="00C44302"/>
    <w:rsid w:val="00C44303"/>
    <w:rsid w:val="00C44359"/>
    <w:rsid w:val="00C4436B"/>
    <w:rsid w:val="00C443FD"/>
    <w:rsid w:val="00C4448A"/>
    <w:rsid w:val="00C444BA"/>
    <w:rsid w:val="00C44510"/>
    <w:rsid w:val="00C4466D"/>
    <w:rsid w:val="00C44776"/>
    <w:rsid w:val="00C44899"/>
    <w:rsid w:val="00C4490A"/>
    <w:rsid w:val="00C44C4F"/>
    <w:rsid w:val="00C44DB9"/>
    <w:rsid w:val="00C44E4A"/>
    <w:rsid w:val="00C44F45"/>
    <w:rsid w:val="00C44F75"/>
    <w:rsid w:val="00C44FDC"/>
    <w:rsid w:val="00C45109"/>
    <w:rsid w:val="00C4511D"/>
    <w:rsid w:val="00C4515E"/>
    <w:rsid w:val="00C45183"/>
    <w:rsid w:val="00C45390"/>
    <w:rsid w:val="00C453E5"/>
    <w:rsid w:val="00C454DF"/>
    <w:rsid w:val="00C45507"/>
    <w:rsid w:val="00C455B3"/>
    <w:rsid w:val="00C45672"/>
    <w:rsid w:val="00C4569A"/>
    <w:rsid w:val="00C45774"/>
    <w:rsid w:val="00C45924"/>
    <w:rsid w:val="00C45B22"/>
    <w:rsid w:val="00C45B59"/>
    <w:rsid w:val="00C45BAD"/>
    <w:rsid w:val="00C45BCB"/>
    <w:rsid w:val="00C45C8D"/>
    <w:rsid w:val="00C45CAA"/>
    <w:rsid w:val="00C45CBF"/>
    <w:rsid w:val="00C45D2C"/>
    <w:rsid w:val="00C45D3E"/>
    <w:rsid w:val="00C45DEF"/>
    <w:rsid w:val="00C45E04"/>
    <w:rsid w:val="00C45EA7"/>
    <w:rsid w:val="00C45FF5"/>
    <w:rsid w:val="00C46042"/>
    <w:rsid w:val="00C46072"/>
    <w:rsid w:val="00C460CB"/>
    <w:rsid w:val="00C4614C"/>
    <w:rsid w:val="00C4617C"/>
    <w:rsid w:val="00C461E5"/>
    <w:rsid w:val="00C461EE"/>
    <w:rsid w:val="00C46219"/>
    <w:rsid w:val="00C4633A"/>
    <w:rsid w:val="00C4636B"/>
    <w:rsid w:val="00C46378"/>
    <w:rsid w:val="00C464D5"/>
    <w:rsid w:val="00C4653A"/>
    <w:rsid w:val="00C46774"/>
    <w:rsid w:val="00C46790"/>
    <w:rsid w:val="00C4693C"/>
    <w:rsid w:val="00C469B2"/>
    <w:rsid w:val="00C46A37"/>
    <w:rsid w:val="00C46A82"/>
    <w:rsid w:val="00C46A90"/>
    <w:rsid w:val="00C46ADF"/>
    <w:rsid w:val="00C46B1D"/>
    <w:rsid w:val="00C46C1C"/>
    <w:rsid w:val="00C46E22"/>
    <w:rsid w:val="00C46F27"/>
    <w:rsid w:val="00C46FEC"/>
    <w:rsid w:val="00C47079"/>
    <w:rsid w:val="00C47145"/>
    <w:rsid w:val="00C4715E"/>
    <w:rsid w:val="00C4721B"/>
    <w:rsid w:val="00C4727E"/>
    <w:rsid w:val="00C4729A"/>
    <w:rsid w:val="00C472E7"/>
    <w:rsid w:val="00C47406"/>
    <w:rsid w:val="00C47491"/>
    <w:rsid w:val="00C475A9"/>
    <w:rsid w:val="00C475EF"/>
    <w:rsid w:val="00C47737"/>
    <w:rsid w:val="00C478BB"/>
    <w:rsid w:val="00C47B14"/>
    <w:rsid w:val="00C47D43"/>
    <w:rsid w:val="00C5003F"/>
    <w:rsid w:val="00C500E4"/>
    <w:rsid w:val="00C501FB"/>
    <w:rsid w:val="00C50275"/>
    <w:rsid w:val="00C50287"/>
    <w:rsid w:val="00C502BA"/>
    <w:rsid w:val="00C50308"/>
    <w:rsid w:val="00C50398"/>
    <w:rsid w:val="00C503FE"/>
    <w:rsid w:val="00C50493"/>
    <w:rsid w:val="00C504C8"/>
    <w:rsid w:val="00C50629"/>
    <w:rsid w:val="00C5073B"/>
    <w:rsid w:val="00C5073C"/>
    <w:rsid w:val="00C507C2"/>
    <w:rsid w:val="00C508F8"/>
    <w:rsid w:val="00C50954"/>
    <w:rsid w:val="00C50970"/>
    <w:rsid w:val="00C50A3F"/>
    <w:rsid w:val="00C50B8B"/>
    <w:rsid w:val="00C50BC9"/>
    <w:rsid w:val="00C50C39"/>
    <w:rsid w:val="00C50D43"/>
    <w:rsid w:val="00C50D5E"/>
    <w:rsid w:val="00C50E21"/>
    <w:rsid w:val="00C50EE4"/>
    <w:rsid w:val="00C50EEC"/>
    <w:rsid w:val="00C50F12"/>
    <w:rsid w:val="00C50F56"/>
    <w:rsid w:val="00C51126"/>
    <w:rsid w:val="00C511C1"/>
    <w:rsid w:val="00C511CC"/>
    <w:rsid w:val="00C511E2"/>
    <w:rsid w:val="00C512B1"/>
    <w:rsid w:val="00C51370"/>
    <w:rsid w:val="00C513DE"/>
    <w:rsid w:val="00C514ED"/>
    <w:rsid w:val="00C5151F"/>
    <w:rsid w:val="00C5158F"/>
    <w:rsid w:val="00C516D9"/>
    <w:rsid w:val="00C51791"/>
    <w:rsid w:val="00C5181E"/>
    <w:rsid w:val="00C5188B"/>
    <w:rsid w:val="00C51897"/>
    <w:rsid w:val="00C518CF"/>
    <w:rsid w:val="00C519E5"/>
    <w:rsid w:val="00C51A01"/>
    <w:rsid w:val="00C51A1B"/>
    <w:rsid w:val="00C51AA6"/>
    <w:rsid w:val="00C51B29"/>
    <w:rsid w:val="00C51B36"/>
    <w:rsid w:val="00C51BF7"/>
    <w:rsid w:val="00C51BFB"/>
    <w:rsid w:val="00C51C21"/>
    <w:rsid w:val="00C51CC3"/>
    <w:rsid w:val="00C51CD1"/>
    <w:rsid w:val="00C51D22"/>
    <w:rsid w:val="00C51D92"/>
    <w:rsid w:val="00C51DED"/>
    <w:rsid w:val="00C51E20"/>
    <w:rsid w:val="00C51E50"/>
    <w:rsid w:val="00C5200D"/>
    <w:rsid w:val="00C52037"/>
    <w:rsid w:val="00C52130"/>
    <w:rsid w:val="00C5214E"/>
    <w:rsid w:val="00C521C1"/>
    <w:rsid w:val="00C5223C"/>
    <w:rsid w:val="00C5224F"/>
    <w:rsid w:val="00C5234C"/>
    <w:rsid w:val="00C52420"/>
    <w:rsid w:val="00C5251E"/>
    <w:rsid w:val="00C5268D"/>
    <w:rsid w:val="00C52724"/>
    <w:rsid w:val="00C52A39"/>
    <w:rsid w:val="00C52A94"/>
    <w:rsid w:val="00C52B09"/>
    <w:rsid w:val="00C52B78"/>
    <w:rsid w:val="00C52C34"/>
    <w:rsid w:val="00C52C8F"/>
    <w:rsid w:val="00C52CAC"/>
    <w:rsid w:val="00C52CBF"/>
    <w:rsid w:val="00C52E69"/>
    <w:rsid w:val="00C52F2F"/>
    <w:rsid w:val="00C53010"/>
    <w:rsid w:val="00C53062"/>
    <w:rsid w:val="00C530D5"/>
    <w:rsid w:val="00C531EA"/>
    <w:rsid w:val="00C53250"/>
    <w:rsid w:val="00C532BF"/>
    <w:rsid w:val="00C5337D"/>
    <w:rsid w:val="00C5338E"/>
    <w:rsid w:val="00C533FD"/>
    <w:rsid w:val="00C534CB"/>
    <w:rsid w:val="00C535BD"/>
    <w:rsid w:val="00C5363C"/>
    <w:rsid w:val="00C5366E"/>
    <w:rsid w:val="00C537C7"/>
    <w:rsid w:val="00C537D7"/>
    <w:rsid w:val="00C537EE"/>
    <w:rsid w:val="00C5385A"/>
    <w:rsid w:val="00C53958"/>
    <w:rsid w:val="00C53A17"/>
    <w:rsid w:val="00C53AC4"/>
    <w:rsid w:val="00C53ACD"/>
    <w:rsid w:val="00C53C34"/>
    <w:rsid w:val="00C53CC3"/>
    <w:rsid w:val="00C53DA6"/>
    <w:rsid w:val="00C53EA3"/>
    <w:rsid w:val="00C53EB4"/>
    <w:rsid w:val="00C54028"/>
    <w:rsid w:val="00C5417B"/>
    <w:rsid w:val="00C54240"/>
    <w:rsid w:val="00C54302"/>
    <w:rsid w:val="00C54398"/>
    <w:rsid w:val="00C543AB"/>
    <w:rsid w:val="00C54535"/>
    <w:rsid w:val="00C54672"/>
    <w:rsid w:val="00C546BF"/>
    <w:rsid w:val="00C546CE"/>
    <w:rsid w:val="00C5472B"/>
    <w:rsid w:val="00C547E8"/>
    <w:rsid w:val="00C548E9"/>
    <w:rsid w:val="00C54922"/>
    <w:rsid w:val="00C54950"/>
    <w:rsid w:val="00C54988"/>
    <w:rsid w:val="00C54A3E"/>
    <w:rsid w:val="00C54AB8"/>
    <w:rsid w:val="00C54B10"/>
    <w:rsid w:val="00C54B5A"/>
    <w:rsid w:val="00C54BA7"/>
    <w:rsid w:val="00C54BCE"/>
    <w:rsid w:val="00C54BDA"/>
    <w:rsid w:val="00C54BED"/>
    <w:rsid w:val="00C54C51"/>
    <w:rsid w:val="00C54C53"/>
    <w:rsid w:val="00C54CA0"/>
    <w:rsid w:val="00C54CC7"/>
    <w:rsid w:val="00C54CE4"/>
    <w:rsid w:val="00C54DEB"/>
    <w:rsid w:val="00C54DED"/>
    <w:rsid w:val="00C54EE9"/>
    <w:rsid w:val="00C55048"/>
    <w:rsid w:val="00C55159"/>
    <w:rsid w:val="00C551A2"/>
    <w:rsid w:val="00C551A9"/>
    <w:rsid w:val="00C55240"/>
    <w:rsid w:val="00C552D3"/>
    <w:rsid w:val="00C55844"/>
    <w:rsid w:val="00C558E9"/>
    <w:rsid w:val="00C55912"/>
    <w:rsid w:val="00C55A7C"/>
    <w:rsid w:val="00C55B26"/>
    <w:rsid w:val="00C55DFC"/>
    <w:rsid w:val="00C55F1B"/>
    <w:rsid w:val="00C55F5B"/>
    <w:rsid w:val="00C5608F"/>
    <w:rsid w:val="00C560F0"/>
    <w:rsid w:val="00C56133"/>
    <w:rsid w:val="00C561AF"/>
    <w:rsid w:val="00C561B5"/>
    <w:rsid w:val="00C5626B"/>
    <w:rsid w:val="00C562B6"/>
    <w:rsid w:val="00C562C7"/>
    <w:rsid w:val="00C56566"/>
    <w:rsid w:val="00C56592"/>
    <w:rsid w:val="00C565DF"/>
    <w:rsid w:val="00C5662C"/>
    <w:rsid w:val="00C566F9"/>
    <w:rsid w:val="00C568F9"/>
    <w:rsid w:val="00C56B68"/>
    <w:rsid w:val="00C56BE3"/>
    <w:rsid w:val="00C56C44"/>
    <w:rsid w:val="00C56C8E"/>
    <w:rsid w:val="00C56CBF"/>
    <w:rsid w:val="00C56DBB"/>
    <w:rsid w:val="00C56E7D"/>
    <w:rsid w:val="00C56F29"/>
    <w:rsid w:val="00C56FB7"/>
    <w:rsid w:val="00C57125"/>
    <w:rsid w:val="00C57193"/>
    <w:rsid w:val="00C5719D"/>
    <w:rsid w:val="00C571B1"/>
    <w:rsid w:val="00C572A7"/>
    <w:rsid w:val="00C573A2"/>
    <w:rsid w:val="00C57438"/>
    <w:rsid w:val="00C5747C"/>
    <w:rsid w:val="00C5749D"/>
    <w:rsid w:val="00C57529"/>
    <w:rsid w:val="00C575CA"/>
    <w:rsid w:val="00C575EB"/>
    <w:rsid w:val="00C57606"/>
    <w:rsid w:val="00C57616"/>
    <w:rsid w:val="00C5779F"/>
    <w:rsid w:val="00C577B6"/>
    <w:rsid w:val="00C577FD"/>
    <w:rsid w:val="00C57819"/>
    <w:rsid w:val="00C578C4"/>
    <w:rsid w:val="00C5796E"/>
    <w:rsid w:val="00C579EE"/>
    <w:rsid w:val="00C57A23"/>
    <w:rsid w:val="00C57A36"/>
    <w:rsid w:val="00C57A67"/>
    <w:rsid w:val="00C57AC0"/>
    <w:rsid w:val="00C57B61"/>
    <w:rsid w:val="00C57C83"/>
    <w:rsid w:val="00C57DA1"/>
    <w:rsid w:val="00C57DDF"/>
    <w:rsid w:val="00C57E3F"/>
    <w:rsid w:val="00C57E7C"/>
    <w:rsid w:val="00C57EE8"/>
    <w:rsid w:val="00C57F12"/>
    <w:rsid w:val="00C6001E"/>
    <w:rsid w:val="00C6007E"/>
    <w:rsid w:val="00C600C3"/>
    <w:rsid w:val="00C601AA"/>
    <w:rsid w:val="00C601E7"/>
    <w:rsid w:val="00C60241"/>
    <w:rsid w:val="00C60281"/>
    <w:rsid w:val="00C6029D"/>
    <w:rsid w:val="00C602A8"/>
    <w:rsid w:val="00C602C3"/>
    <w:rsid w:val="00C602D2"/>
    <w:rsid w:val="00C604A0"/>
    <w:rsid w:val="00C6052D"/>
    <w:rsid w:val="00C60557"/>
    <w:rsid w:val="00C6057E"/>
    <w:rsid w:val="00C60580"/>
    <w:rsid w:val="00C60581"/>
    <w:rsid w:val="00C607AA"/>
    <w:rsid w:val="00C607DD"/>
    <w:rsid w:val="00C60932"/>
    <w:rsid w:val="00C609D1"/>
    <w:rsid w:val="00C60AEF"/>
    <w:rsid w:val="00C60B6D"/>
    <w:rsid w:val="00C60B81"/>
    <w:rsid w:val="00C60B91"/>
    <w:rsid w:val="00C60BDD"/>
    <w:rsid w:val="00C60C11"/>
    <w:rsid w:val="00C60D58"/>
    <w:rsid w:val="00C60DCE"/>
    <w:rsid w:val="00C60F3E"/>
    <w:rsid w:val="00C61006"/>
    <w:rsid w:val="00C610B3"/>
    <w:rsid w:val="00C6110A"/>
    <w:rsid w:val="00C6113F"/>
    <w:rsid w:val="00C611B2"/>
    <w:rsid w:val="00C611C1"/>
    <w:rsid w:val="00C61328"/>
    <w:rsid w:val="00C61344"/>
    <w:rsid w:val="00C613EE"/>
    <w:rsid w:val="00C61599"/>
    <w:rsid w:val="00C6161F"/>
    <w:rsid w:val="00C6163B"/>
    <w:rsid w:val="00C6166D"/>
    <w:rsid w:val="00C616B2"/>
    <w:rsid w:val="00C617B2"/>
    <w:rsid w:val="00C617B7"/>
    <w:rsid w:val="00C617C3"/>
    <w:rsid w:val="00C61906"/>
    <w:rsid w:val="00C6190C"/>
    <w:rsid w:val="00C61B39"/>
    <w:rsid w:val="00C61BB8"/>
    <w:rsid w:val="00C61BF8"/>
    <w:rsid w:val="00C61CAF"/>
    <w:rsid w:val="00C61CCE"/>
    <w:rsid w:val="00C61DB3"/>
    <w:rsid w:val="00C62173"/>
    <w:rsid w:val="00C62199"/>
    <w:rsid w:val="00C621DB"/>
    <w:rsid w:val="00C62247"/>
    <w:rsid w:val="00C622C6"/>
    <w:rsid w:val="00C62450"/>
    <w:rsid w:val="00C624A3"/>
    <w:rsid w:val="00C62632"/>
    <w:rsid w:val="00C62677"/>
    <w:rsid w:val="00C6269C"/>
    <w:rsid w:val="00C627ED"/>
    <w:rsid w:val="00C628E0"/>
    <w:rsid w:val="00C6298D"/>
    <w:rsid w:val="00C62A06"/>
    <w:rsid w:val="00C62A60"/>
    <w:rsid w:val="00C62A81"/>
    <w:rsid w:val="00C62B0C"/>
    <w:rsid w:val="00C62B48"/>
    <w:rsid w:val="00C62C41"/>
    <w:rsid w:val="00C62CB1"/>
    <w:rsid w:val="00C62CE4"/>
    <w:rsid w:val="00C62CF7"/>
    <w:rsid w:val="00C62D0F"/>
    <w:rsid w:val="00C62D56"/>
    <w:rsid w:val="00C62D9C"/>
    <w:rsid w:val="00C62DD5"/>
    <w:rsid w:val="00C62DF8"/>
    <w:rsid w:val="00C62E24"/>
    <w:rsid w:val="00C62EB3"/>
    <w:rsid w:val="00C63166"/>
    <w:rsid w:val="00C631F0"/>
    <w:rsid w:val="00C633E9"/>
    <w:rsid w:val="00C634B3"/>
    <w:rsid w:val="00C63606"/>
    <w:rsid w:val="00C6364E"/>
    <w:rsid w:val="00C636CA"/>
    <w:rsid w:val="00C636E9"/>
    <w:rsid w:val="00C637EA"/>
    <w:rsid w:val="00C63835"/>
    <w:rsid w:val="00C638B2"/>
    <w:rsid w:val="00C63A47"/>
    <w:rsid w:val="00C63A5D"/>
    <w:rsid w:val="00C63AC2"/>
    <w:rsid w:val="00C63ADC"/>
    <w:rsid w:val="00C63B8C"/>
    <w:rsid w:val="00C63DDC"/>
    <w:rsid w:val="00C63E44"/>
    <w:rsid w:val="00C63E7F"/>
    <w:rsid w:val="00C63F0E"/>
    <w:rsid w:val="00C64018"/>
    <w:rsid w:val="00C6405E"/>
    <w:rsid w:val="00C64087"/>
    <w:rsid w:val="00C64143"/>
    <w:rsid w:val="00C641A6"/>
    <w:rsid w:val="00C6422B"/>
    <w:rsid w:val="00C64256"/>
    <w:rsid w:val="00C6440F"/>
    <w:rsid w:val="00C64489"/>
    <w:rsid w:val="00C644AA"/>
    <w:rsid w:val="00C644DF"/>
    <w:rsid w:val="00C6454F"/>
    <w:rsid w:val="00C645F4"/>
    <w:rsid w:val="00C64650"/>
    <w:rsid w:val="00C64672"/>
    <w:rsid w:val="00C64700"/>
    <w:rsid w:val="00C6479B"/>
    <w:rsid w:val="00C647E2"/>
    <w:rsid w:val="00C648C4"/>
    <w:rsid w:val="00C648E5"/>
    <w:rsid w:val="00C64911"/>
    <w:rsid w:val="00C64A5D"/>
    <w:rsid w:val="00C64A71"/>
    <w:rsid w:val="00C64AB1"/>
    <w:rsid w:val="00C64B16"/>
    <w:rsid w:val="00C64B97"/>
    <w:rsid w:val="00C64BF6"/>
    <w:rsid w:val="00C64C76"/>
    <w:rsid w:val="00C64C7B"/>
    <w:rsid w:val="00C64DEE"/>
    <w:rsid w:val="00C64E38"/>
    <w:rsid w:val="00C64EB1"/>
    <w:rsid w:val="00C64EBE"/>
    <w:rsid w:val="00C64EF2"/>
    <w:rsid w:val="00C64EF3"/>
    <w:rsid w:val="00C64F3B"/>
    <w:rsid w:val="00C64F4F"/>
    <w:rsid w:val="00C64FB5"/>
    <w:rsid w:val="00C650FB"/>
    <w:rsid w:val="00C65126"/>
    <w:rsid w:val="00C6517F"/>
    <w:rsid w:val="00C65248"/>
    <w:rsid w:val="00C65317"/>
    <w:rsid w:val="00C65374"/>
    <w:rsid w:val="00C6539F"/>
    <w:rsid w:val="00C65451"/>
    <w:rsid w:val="00C65612"/>
    <w:rsid w:val="00C65665"/>
    <w:rsid w:val="00C65680"/>
    <w:rsid w:val="00C65749"/>
    <w:rsid w:val="00C65750"/>
    <w:rsid w:val="00C65788"/>
    <w:rsid w:val="00C658DF"/>
    <w:rsid w:val="00C65A1B"/>
    <w:rsid w:val="00C65A42"/>
    <w:rsid w:val="00C65A72"/>
    <w:rsid w:val="00C65AAB"/>
    <w:rsid w:val="00C65B25"/>
    <w:rsid w:val="00C65B31"/>
    <w:rsid w:val="00C65BA3"/>
    <w:rsid w:val="00C65BE0"/>
    <w:rsid w:val="00C65C06"/>
    <w:rsid w:val="00C65C85"/>
    <w:rsid w:val="00C65CC7"/>
    <w:rsid w:val="00C65E53"/>
    <w:rsid w:val="00C65F0F"/>
    <w:rsid w:val="00C65F92"/>
    <w:rsid w:val="00C66017"/>
    <w:rsid w:val="00C660E2"/>
    <w:rsid w:val="00C6625C"/>
    <w:rsid w:val="00C6626C"/>
    <w:rsid w:val="00C6629D"/>
    <w:rsid w:val="00C66300"/>
    <w:rsid w:val="00C66370"/>
    <w:rsid w:val="00C664B1"/>
    <w:rsid w:val="00C66503"/>
    <w:rsid w:val="00C66583"/>
    <w:rsid w:val="00C665BD"/>
    <w:rsid w:val="00C666F3"/>
    <w:rsid w:val="00C66743"/>
    <w:rsid w:val="00C66778"/>
    <w:rsid w:val="00C66788"/>
    <w:rsid w:val="00C6682D"/>
    <w:rsid w:val="00C66897"/>
    <w:rsid w:val="00C668DB"/>
    <w:rsid w:val="00C6697E"/>
    <w:rsid w:val="00C66AF2"/>
    <w:rsid w:val="00C66B46"/>
    <w:rsid w:val="00C66B4A"/>
    <w:rsid w:val="00C66C79"/>
    <w:rsid w:val="00C66C7E"/>
    <w:rsid w:val="00C66D83"/>
    <w:rsid w:val="00C66F25"/>
    <w:rsid w:val="00C670B0"/>
    <w:rsid w:val="00C670D7"/>
    <w:rsid w:val="00C670FB"/>
    <w:rsid w:val="00C6714E"/>
    <w:rsid w:val="00C671D3"/>
    <w:rsid w:val="00C6728D"/>
    <w:rsid w:val="00C672BC"/>
    <w:rsid w:val="00C672F8"/>
    <w:rsid w:val="00C67331"/>
    <w:rsid w:val="00C67390"/>
    <w:rsid w:val="00C673B5"/>
    <w:rsid w:val="00C673ED"/>
    <w:rsid w:val="00C67439"/>
    <w:rsid w:val="00C6750C"/>
    <w:rsid w:val="00C67538"/>
    <w:rsid w:val="00C6765C"/>
    <w:rsid w:val="00C676E9"/>
    <w:rsid w:val="00C6772A"/>
    <w:rsid w:val="00C67767"/>
    <w:rsid w:val="00C67771"/>
    <w:rsid w:val="00C6777E"/>
    <w:rsid w:val="00C67850"/>
    <w:rsid w:val="00C679DF"/>
    <w:rsid w:val="00C67A22"/>
    <w:rsid w:val="00C67A63"/>
    <w:rsid w:val="00C67AC4"/>
    <w:rsid w:val="00C67B4D"/>
    <w:rsid w:val="00C67B59"/>
    <w:rsid w:val="00C67B62"/>
    <w:rsid w:val="00C67B89"/>
    <w:rsid w:val="00C67BB1"/>
    <w:rsid w:val="00C67D80"/>
    <w:rsid w:val="00C67E7A"/>
    <w:rsid w:val="00C67F35"/>
    <w:rsid w:val="00C67FB4"/>
    <w:rsid w:val="00C700B2"/>
    <w:rsid w:val="00C70114"/>
    <w:rsid w:val="00C701F5"/>
    <w:rsid w:val="00C702CA"/>
    <w:rsid w:val="00C703C8"/>
    <w:rsid w:val="00C704F5"/>
    <w:rsid w:val="00C705F0"/>
    <w:rsid w:val="00C7068B"/>
    <w:rsid w:val="00C706BC"/>
    <w:rsid w:val="00C7070C"/>
    <w:rsid w:val="00C70794"/>
    <w:rsid w:val="00C7085A"/>
    <w:rsid w:val="00C708EF"/>
    <w:rsid w:val="00C70917"/>
    <w:rsid w:val="00C70929"/>
    <w:rsid w:val="00C709BA"/>
    <w:rsid w:val="00C70ACF"/>
    <w:rsid w:val="00C70B3F"/>
    <w:rsid w:val="00C70C0D"/>
    <w:rsid w:val="00C70C6F"/>
    <w:rsid w:val="00C70D31"/>
    <w:rsid w:val="00C70D3A"/>
    <w:rsid w:val="00C70DAE"/>
    <w:rsid w:val="00C70DCF"/>
    <w:rsid w:val="00C70FA6"/>
    <w:rsid w:val="00C71068"/>
    <w:rsid w:val="00C711A3"/>
    <w:rsid w:val="00C711C3"/>
    <w:rsid w:val="00C712DC"/>
    <w:rsid w:val="00C7130B"/>
    <w:rsid w:val="00C71336"/>
    <w:rsid w:val="00C71353"/>
    <w:rsid w:val="00C71524"/>
    <w:rsid w:val="00C71608"/>
    <w:rsid w:val="00C71610"/>
    <w:rsid w:val="00C716C3"/>
    <w:rsid w:val="00C7170B"/>
    <w:rsid w:val="00C717F9"/>
    <w:rsid w:val="00C71803"/>
    <w:rsid w:val="00C718F3"/>
    <w:rsid w:val="00C71940"/>
    <w:rsid w:val="00C719CB"/>
    <w:rsid w:val="00C71A28"/>
    <w:rsid w:val="00C71A70"/>
    <w:rsid w:val="00C71B21"/>
    <w:rsid w:val="00C71B84"/>
    <w:rsid w:val="00C71C34"/>
    <w:rsid w:val="00C71CBD"/>
    <w:rsid w:val="00C71D44"/>
    <w:rsid w:val="00C71E26"/>
    <w:rsid w:val="00C71E93"/>
    <w:rsid w:val="00C71F3A"/>
    <w:rsid w:val="00C7217D"/>
    <w:rsid w:val="00C721DF"/>
    <w:rsid w:val="00C72362"/>
    <w:rsid w:val="00C7236F"/>
    <w:rsid w:val="00C72395"/>
    <w:rsid w:val="00C723B5"/>
    <w:rsid w:val="00C723C0"/>
    <w:rsid w:val="00C72422"/>
    <w:rsid w:val="00C7243B"/>
    <w:rsid w:val="00C72442"/>
    <w:rsid w:val="00C72443"/>
    <w:rsid w:val="00C7247C"/>
    <w:rsid w:val="00C72496"/>
    <w:rsid w:val="00C724C0"/>
    <w:rsid w:val="00C724EA"/>
    <w:rsid w:val="00C72575"/>
    <w:rsid w:val="00C725A3"/>
    <w:rsid w:val="00C726B8"/>
    <w:rsid w:val="00C726E7"/>
    <w:rsid w:val="00C726F4"/>
    <w:rsid w:val="00C7277D"/>
    <w:rsid w:val="00C7277E"/>
    <w:rsid w:val="00C727C9"/>
    <w:rsid w:val="00C727E8"/>
    <w:rsid w:val="00C7285A"/>
    <w:rsid w:val="00C72ACB"/>
    <w:rsid w:val="00C72ADB"/>
    <w:rsid w:val="00C72BA1"/>
    <w:rsid w:val="00C72C2B"/>
    <w:rsid w:val="00C72D00"/>
    <w:rsid w:val="00C72D2C"/>
    <w:rsid w:val="00C72D69"/>
    <w:rsid w:val="00C72DA3"/>
    <w:rsid w:val="00C72E13"/>
    <w:rsid w:val="00C72E81"/>
    <w:rsid w:val="00C72F2A"/>
    <w:rsid w:val="00C73029"/>
    <w:rsid w:val="00C730E2"/>
    <w:rsid w:val="00C73114"/>
    <w:rsid w:val="00C731C2"/>
    <w:rsid w:val="00C731EE"/>
    <w:rsid w:val="00C73408"/>
    <w:rsid w:val="00C7349A"/>
    <w:rsid w:val="00C734B6"/>
    <w:rsid w:val="00C734DF"/>
    <w:rsid w:val="00C734ED"/>
    <w:rsid w:val="00C73594"/>
    <w:rsid w:val="00C73602"/>
    <w:rsid w:val="00C73608"/>
    <w:rsid w:val="00C7369F"/>
    <w:rsid w:val="00C7371F"/>
    <w:rsid w:val="00C737A2"/>
    <w:rsid w:val="00C7384B"/>
    <w:rsid w:val="00C7388F"/>
    <w:rsid w:val="00C738B8"/>
    <w:rsid w:val="00C738CB"/>
    <w:rsid w:val="00C73AFC"/>
    <w:rsid w:val="00C73C30"/>
    <w:rsid w:val="00C73C65"/>
    <w:rsid w:val="00C73CC8"/>
    <w:rsid w:val="00C73CCA"/>
    <w:rsid w:val="00C73D05"/>
    <w:rsid w:val="00C73DA0"/>
    <w:rsid w:val="00C73DA8"/>
    <w:rsid w:val="00C73E19"/>
    <w:rsid w:val="00C73EB8"/>
    <w:rsid w:val="00C73EF7"/>
    <w:rsid w:val="00C740A5"/>
    <w:rsid w:val="00C740F2"/>
    <w:rsid w:val="00C7427F"/>
    <w:rsid w:val="00C742C0"/>
    <w:rsid w:val="00C743CF"/>
    <w:rsid w:val="00C745E8"/>
    <w:rsid w:val="00C74644"/>
    <w:rsid w:val="00C747CE"/>
    <w:rsid w:val="00C74909"/>
    <w:rsid w:val="00C74A1A"/>
    <w:rsid w:val="00C74ADF"/>
    <w:rsid w:val="00C74BC6"/>
    <w:rsid w:val="00C74C19"/>
    <w:rsid w:val="00C74C76"/>
    <w:rsid w:val="00C74C82"/>
    <w:rsid w:val="00C74C95"/>
    <w:rsid w:val="00C74CB2"/>
    <w:rsid w:val="00C74CC1"/>
    <w:rsid w:val="00C74E2D"/>
    <w:rsid w:val="00C74F37"/>
    <w:rsid w:val="00C74FA2"/>
    <w:rsid w:val="00C7505F"/>
    <w:rsid w:val="00C75116"/>
    <w:rsid w:val="00C751F0"/>
    <w:rsid w:val="00C7524D"/>
    <w:rsid w:val="00C75258"/>
    <w:rsid w:val="00C75266"/>
    <w:rsid w:val="00C752C2"/>
    <w:rsid w:val="00C752CC"/>
    <w:rsid w:val="00C75418"/>
    <w:rsid w:val="00C75429"/>
    <w:rsid w:val="00C754E3"/>
    <w:rsid w:val="00C754F7"/>
    <w:rsid w:val="00C75585"/>
    <w:rsid w:val="00C755B2"/>
    <w:rsid w:val="00C755F9"/>
    <w:rsid w:val="00C7564F"/>
    <w:rsid w:val="00C75681"/>
    <w:rsid w:val="00C7574E"/>
    <w:rsid w:val="00C75777"/>
    <w:rsid w:val="00C757AE"/>
    <w:rsid w:val="00C7588E"/>
    <w:rsid w:val="00C75A4E"/>
    <w:rsid w:val="00C75AA3"/>
    <w:rsid w:val="00C75AC4"/>
    <w:rsid w:val="00C75AD5"/>
    <w:rsid w:val="00C75B6E"/>
    <w:rsid w:val="00C75C2B"/>
    <w:rsid w:val="00C75D61"/>
    <w:rsid w:val="00C75D6C"/>
    <w:rsid w:val="00C75E80"/>
    <w:rsid w:val="00C75EB0"/>
    <w:rsid w:val="00C75F17"/>
    <w:rsid w:val="00C75FBD"/>
    <w:rsid w:val="00C7612C"/>
    <w:rsid w:val="00C76175"/>
    <w:rsid w:val="00C761BC"/>
    <w:rsid w:val="00C761D4"/>
    <w:rsid w:val="00C7639A"/>
    <w:rsid w:val="00C763FF"/>
    <w:rsid w:val="00C76440"/>
    <w:rsid w:val="00C76471"/>
    <w:rsid w:val="00C7649F"/>
    <w:rsid w:val="00C76517"/>
    <w:rsid w:val="00C76523"/>
    <w:rsid w:val="00C76643"/>
    <w:rsid w:val="00C767AC"/>
    <w:rsid w:val="00C767B1"/>
    <w:rsid w:val="00C76809"/>
    <w:rsid w:val="00C76852"/>
    <w:rsid w:val="00C7686C"/>
    <w:rsid w:val="00C76A03"/>
    <w:rsid w:val="00C76B44"/>
    <w:rsid w:val="00C76B65"/>
    <w:rsid w:val="00C76B6D"/>
    <w:rsid w:val="00C76EE5"/>
    <w:rsid w:val="00C76F4D"/>
    <w:rsid w:val="00C76F5A"/>
    <w:rsid w:val="00C7701C"/>
    <w:rsid w:val="00C7711B"/>
    <w:rsid w:val="00C77198"/>
    <w:rsid w:val="00C7737C"/>
    <w:rsid w:val="00C7750F"/>
    <w:rsid w:val="00C77679"/>
    <w:rsid w:val="00C776B2"/>
    <w:rsid w:val="00C776C6"/>
    <w:rsid w:val="00C776D6"/>
    <w:rsid w:val="00C77701"/>
    <w:rsid w:val="00C77757"/>
    <w:rsid w:val="00C777DB"/>
    <w:rsid w:val="00C7785D"/>
    <w:rsid w:val="00C778BA"/>
    <w:rsid w:val="00C77919"/>
    <w:rsid w:val="00C77960"/>
    <w:rsid w:val="00C77977"/>
    <w:rsid w:val="00C7797A"/>
    <w:rsid w:val="00C77B44"/>
    <w:rsid w:val="00C77B45"/>
    <w:rsid w:val="00C77BA7"/>
    <w:rsid w:val="00C77BD9"/>
    <w:rsid w:val="00C77BEC"/>
    <w:rsid w:val="00C77C18"/>
    <w:rsid w:val="00C77CD4"/>
    <w:rsid w:val="00C77D29"/>
    <w:rsid w:val="00C77E4D"/>
    <w:rsid w:val="00C77ECD"/>
    <w:rsid w:val="00C77F97"/>
    <w:rsid w:val="00C801E1"/>
    <w:rsid w:val="00C80202"/>
    <w:rsid w:val="00C8039E"/>
    <w:rsid w:val="00C803BB"/>
    <w:rsid w:val="00C803F8"/>
    <w:rsid w:val="00C803FE"/>
    <w:rsid w:val="00C80553"/>
    <w:rsid w:val="00C80597"/>
    <w:rsid w:val="00C805B6"/>
    <w:rsid w:val="00C805C5"/>
    <w:rsid w:val="00C807FA"/>
    <w:rsid w:val="00C807FD"/>
    <w:rsid w:val="00C8082C"/>
    <w:rsid w:val="00C80AC4"/>
    <w:rsid w:val="00C80B6C"/>
    <w:rsid w:val="00C80C03"/>
    <w:rsid w:val="00C80CB9"/>
    <w:rsid w:val="00C80D10"/>
    <w:rsid w:val="00C80DDA"/>
    <w:rsid w:val="00C80E90"/>
    <w:rsid w:val="00C80ECB"/>
    <w:rsid w:val="00C80F25"/>
    <w:rsid w:val="00C80F49"/>
    <w:rsid w:val="00C80FA8"/>
    <w:rsid w:val="00C80FE5"/>
    <w:rsid w:val="00C81029"/>
    <w:rsid w:val="00C81103"/>
    <w:rsid w:val="00C81136"/>
    <w:rsid w:val="00C81149"/>
    <w:rsid w:val="00C81331"/>
    <w:rsid w:val="00C813A7"/>
    <w:rsid w:val="00C813F1"/>
    <w:rsid w:val="00C8142A"/>
    <w:rsid w:val="00C81493"/>
    <w:rsid w:val="00C814C7"/>
    <w:rsid w:val="00C814D0"/>
    <w:rsid w:val="00C815F8"/>
    <w:rsid w:val="00C8178E"/>
    <w:rsid w:val="00C81830"/>
    <w:rsid w:val="00C819E6"/>
    <w:rsid w:val="00C81A29"/>
    <w:rsid w:val="00C81A3E"/>
    <w:rsid w:val="00C81AB3"/>
    <w:rsid w:val="00C81C19"/>
    <w:rsid w:val="00C81C46"/>
    <w:rsid w:val="00C81CB8"/>
    <w:rsid w:val="00C81CF8"/>
    <w:rsid w:val="00C81D16"/>
    <w:rsid w:val="00C81DDA"/>
    <w:rsid w:val="00C81EB9"/>
    <w:rsid w:val="00C81F3E"/>
    <w:rsid w:val="00C81F7D"/>
    <w:rsid w:val="00C81FC6"/>
    <w:rsid w:val="00C820D3"/>
    <w:rsid w:val="00C82172"/>
    <w:rsid w:val="00C821A9"/>
    <w:rsid w:val="00C82218"/>
    <w:rsid w:val="00C822A5"/>
    <w:rsid w:val="00C82393"/>
    <w:rsid w:val="00C824A3"/>
    <w:rsid w:val="00C824D9"/>
    <w:rsid w:val="00C824F3"/>
    <w:rsid w:val="00C8261D"/>
    <w:rsid w:val="00C82646"/>
    <w:rsid w:val="00C8267D"/>
    <w:rsid w:val="00C826A4"/>
    <w:rsid w:val="00C828FB"/>
    <w:rsid w:val="00C82983"/>
    <w:rsid w:val="00C829CA"/>
    <w:rsid w:val="00C829DD"/>
    <w:rsid w:val="00C82AA7"/>
    <w:rsid w:val="00C82AF1"/>
    <w:rsid w:val="00C82B89"/>
    <w:rsid w:val="00C82BC2"/>
    <w:rsid w:val="00C82C1E"/>
    <w:rsid w:val="00C82C81"/>
    <w:rsid w:val="00C82D94"/>
    <w:rsid w:val="00C82E1C"/>
    <w:rsid w:val="00C82EAE"/>
    <w:rsid w:val="00C82EF2"/>
    <w:rsid w:val="00C82F8E"/>
    <w:rsid w:val="00C82FCE"/>
    <w:rsid w:val="00C82FEE"/>
    <w:rsid w:val="00C8304C"/>
    <w:rsid w:val="00C83088"/>
    <w:rsid w:val="00C830A1"/>
    <w:rsid w:val="00C8310E"/>
    <w:rsid w:val="00C83153"/>
    <w:rsid w:val="00C8322C"/>
    <w:rsid w:val="00C83249"/>
    <w:rsid w:val="00C83346"/>
    <w:rsid w:val="00C83362"/>
    <w:rsid w:val="00C83370"/>
    <w:rsid w:val="00C833BF"/>
    <w:rsid w:val="00C83432"/>
    <w:rsid w:val="00C834CD"/>
    <w:rsid w:val="00C835B7"/>
    <w:rsid w:val="00C8368B"/>
    <w:rsid w:val="00C8374C"/>
    <w:rsid w:val="00C83792"/>
    <w:rsid w:val="00C83807"/>
    <w:rsid w:val="00C83903"/>
    <w:rsid w:val="00C8390B"/>
    <w:rsid w:val="00C8394B"/>
    <w:rsid w:val="00C8398A"/>
    <w:rsid w:val="00C83A2E"/>
    <w:rsid w:val="00C83A64"/>
    <w:rsid w:val="00C83A93"/>
    <w:rsid w:val="00C83AC8"/>
    <w:rsid w:val="00C83BDE"/>
    <w:rsid w:val="00C83C1B"/>
    <w:rsid w:val="00C83C52"/>
    <w:rsid w:val="00C83CF4"/>
    <w:rsid w:val="00C83E78"/>
    <w:rsid w:val="00C83EC8"/>
    <w:rsid w:val="00C83F7C"/>
    <w:rsid w:val="00C8400F"/>
    <w:rsid w:val="00C8409F"/>
    <w:rsid w:val="00C840E3"/>
    <w:rsid w:val="00C84204"/>
    <w:rsid w:val="00C84211"/>
    <w:rsid w:val="00C8429F"/>
    <w:rsid w:val="00C8430B"/>
    <w:rsid w:val="00C84342"/>
    <w:rsid w:val="00C843C9"/>
    <w:rsid w:val="00C843ED"/>
    <w:rsid w:val="00C8441E"/>
    <w:rsid w:val="00C844C5"/>
    <w:rsid w:val="00C845FE"/>
    <w:rsid w:val="00C8466A"/>
    <w:rsid w:val="00C84683"/>
    <w:rsid w:val="00C8470D"/>
    <w:rsid w:val="00C84846"/>
    <w:rsid w:val="00C84879"/>
    <w:rsid w:val="00C848DC"/>
    <w:rsid w:val="00C8491E"/>
    <w:rsid w:val="00C84AA0"/>
    <w:rsid w:val="00C84B01"/>
    <w:rsid w:val="00C84B30"/>
    <w:rsid w:val="00C84C7E"/>
    <w:rsid w:val="00C84CD4"/>
    <w:rsid w:val="00C84D21"/>
    <w:rsid w:val="00C84D38"/>
    <w:rsid w:val="00C84D85"/>
    <w:rsid w:val="00C84E16"/>
    <w:rsid w:val="00C84E38"/>
    <w:rsid w:val="00C84EE1"/>
    <w:rsid w:val="00C84F0F"/>
    <w:rsid w:val="00C84F58"/>
    <w:rsid w:val="00C84F6E"/>
    <w:rsid w:val="00C85076"/>
    <w:rsid w:val="00C850C3"/>
    <w:rsid w:val="00C8534F"/>
    <w:rsid w:val="00C853B5"/>
    <w:rsid w:val="00C854A9"/>
    <w:rsid w:val="00C85562"/>
    <w:rsid w:val="00C85580"/>
    <w:rsid w:val="00C855C9"/>
    <w:rsid w:val="00C85665"/>
    <w:rsid w:val="00C856B1"/>
    <w:rsid w:val="00C85810"/>
    <w:rsid w:val="00C8585E"/>
    <w:rsid w:val="00C8589A"/>
    <w:rsid w:val="00C85977"/>
    <w:rsid w:val="00C85991"/>
    <w:rsid w:val="00C859D6"/>
    <w:rsid w:val="00C85AEE"/>
    <w:rsid w:val="00C85B39"/>
    <w:rsid w:val="00C85B58"/>
    <w:rsid w:val="00C85B6E"/>
    <w:rsid w:val="00C85C95"/>
    <w:rsid w:val="00C85D13"/>
    <w:rsid w:val="00C85DE3"/>
    <w:rsid w:val="00C85E10"/>
    <w:rsid w:val="00C85E65"/>
    <w:rsid w:val="00C85FB0"/>
    <w:rsid w:val="00C86097"/>
    <w:rsid w:val="00C8611D"/>
    <w:rsid w:val="00C8611E"/>
    <w:rsid w:val="00C86190"/>
    <w:rsid w:val="00C8621C"/>
    <w:rsid w:val="00C8625F"/>
    <w:rsid w:val="00C8626B"/>
    <w:rsid w:val="00C86381"/>
    <w:rsid w:val="00C86391"/>
    <w:rsid w:val="00C86400"/>
    <w:rsid w:val="00C8656A"/>
    <w:rsid w:val="00C86570"/>
    <w:rsid w:val="00C86675"/>
    <w:rsid w:val="00C866AA"/>
    <w:rsid w:val="00C868C0"/>
    <w:rsid w:val="00C86994"/>
    <w:rsid w:val="00C86C59"/>
    <w:rsid w:val="00C86C87"/>
    <w:rsid w:val="00C86D1F"/>
    <w:rsid w:val="00C86E3E"/>
    <w:rsid w:val="00C86E7C"/>
    <w:rsid w:val="00C86FD4"/>
    <w:rsid w:val="00C870F7"/>
    <w:rsid w:val="00C87132"/>
    <w:rsid w:val="00C871B1"/>
    <w:rsid w:val="00C871C0"/>
    <w:rsid w:val="00C871F6"/>
    <w:rsid w:val="00C872B1"/>
    <w:rsid w:val="00C872DA"/>
    <w:rsid w:val="00C87325"/>
    <w:rsid w:val="00C873CA"/>
    <w:rsid w:val="00C8742B"/>
    <w:rsid w:val="00C874BD"/>
    <w:rsid w:val="00C87514"/>
    <w:rsid w:val="00C87753"/>
    <w:rsid w:val="00C87774"/>
    <w:rsid w:val="00C877A8"/>
    <w:rsid w:val="00C877D7"/>
    <w:rsid w:val="00C87814"/>
    <w:rsid w:val="00C8782A"/>
    <w:rsid w:val="00C87865"/>
    <w:rsid w:val="00C87969"/>
    <w:rsid w:val="00C8798E"/>
    <w:rsid w:val="00C87A10"/>
    <w:rsid w:val="00C87B0E"/>
    <w:rsid w:val="00C87B86"/>
    <w:rsid w:val="00C87C93"/>
    <w:rsid w:val="00C87DA7"/>
    <w:rsid w:val="00C87DFC"/>
    <w:rsid w:val="00C87E80"/>
    <w:rsid w:val="00C87F18"/>
    <w:rsid w:val="00C87FEC"/>
    <w:rsid w:val="00C90052"/>
    <w:rsid w:val="00C9009F"/>
    <w:rsid w:val="00C900BB"/>
    <w:rsid w:val="00C900BF"/>
    <w:rsid w:val="00C901A5"/>
    <w:rsid w:val="00C901E8"/>
    <w:rsid w:val="00C9024C"/>
    <w:rsid w:val="00C9033C"/>
    <w:rsid w:val="00C9039F"/>
    <w:rsid w:val="00C903BE"/>
    <w:rsid w:val="00C9052C"/>
    <w:rsid w:val="00C9069D"/>
    <w:rsid w:val="00C906CE"/>
    <w:rsid w:val="00C906E1"/>
    <w:rsid w:val="00C9070E"/>
    <w:rsid w:val="00C90757"/>
    <w:rsid w:val="00C9081D"/>
    <w:rsid w:val="00C90854"/>
    <w:rsid w:val="00C908A6"/>
    <w:rsid w:val="00C9091D"/>
    <w:rsid w:val="00C909A0"/>
    <w:rsid w:val="00C909B8"/>
    <w:rsid w:val="00C909BC"/>
    <w:rsid w:val="00C90A42"/>
    <w:rsid w:val="00C90A60"/>
    <w:rsid w:val="00C90B05"/>
    <w:rsid w:val="00C90B8A"/>
    <w:rsid w:val="00C90BD6"/>
    <w:rsid w:val="00C90D9F"/>
    <w:rsid w:val="00C90E2F"/>
    <w:rsid w:val="00C90E9B"/>
    <w:rsid w:val="00C90EFD"/>
    <w:rsid w:val="00C91008"/>
    <w:rsid w:val="00C91028"/>
    <w:rsid w:val="00C910D3"/>
    <w:rsid w:val="00C91113"/>
    <w:rsid w:val="00C91268"/>
    <w:rsid w:val="00C91374"/>
    <w:rsid w:val="00C913AA"/>
    <w:rsid w:val="00C913B0"/>
    <w:rsid w:val="00C914AA"/>
    <w:rsid w:val="00C9154F"/>
    <w:rsid w:val="00C9155F"/>
    <w:rsid w:val="00C91564"/>
    <w:rsid w:val="00C9157B"/>
    <w:rsid w:val="00C915B1"/>
    <w:rsid w:val="00C915BD"/>
    <w:rsid w:val="00C9163C"/>
    <w:rsid w:val="00C916BB"/>
    <w:rsid w:val="00C916D4"/>
    <w:rsid w:val="00C916F4"/>
    <w:rsid w:val="00C916FB"/>
    <w:rsid w:val="00C9171C"/>
    <w:rsid w:val="00C917AE"/>
    <w:rsid w:val="00C9187E"/>
    <w:rsid w:val="00C918F8"/>
    <w:rsid w:val="00C91913"/>
    <w:rsid w:val="00C919E9"/>
    <w:rsid w:val="00C91A02"/>
    <w:rsid w:val="00C91A5A"/>
    <w:rsid w:val="00C91A6D"/>
    <w:rsid w:val="00C91B4D"/>
    <w:rsid w:val="00C91BBD"/>
    <w:rsid w:val="00C91E99"/>
    <w:rsid w:val="00C91EF6"/>
    <w:rsid w:val="00C91EFE"/>
    <w:rsid w:val="00C92028"/>
    <w:rsid w:val="00C92032"/>
    <w:rsid w:val="00C92046"/>
    <w:rsid w:val="00C920AE"/>
    <w:rsid w:val="00C920FC"/>
    <w:rsid w:val="00C9211C"/>
    <w:rsid w:val="00C921B9"/>
    <w:rsid w:val="00C92286"/>
    <w:rsid w:val="00C92375"/>
    <w:rsid w:val="00C92402"/>
    <w:rsid w:val="00C92425"/>
    <w:rsid w:val="00C92438"/>
    <w:rsid w:val="00C924C6"/>
    <w:rsid w:val="00C92545"/>
    <w:rsid w:val="00C92591"/>
    <w:rsid w:val="00C925CB"/>
    <w:rsid w:val="00C926AF"/>
    <w:rsid w:val="00C92772"/>
    <w:rsid w:val="00C92792"/>
    <w:rsid w:val="00C927A2"/>
    <w:rsid w:val="00C927BA"/>
    <w:rsid w:val="00C92989"/>
    <w:rsid w:val="00C92A37"/>
    <w:rsid w:val="00C92A4A"/>
    <w:rsid w:val="00C92A85"/>
    <w:rsid w:val="00C92AA9"/>
    <w:rsid w:val="00C92AF4"/>
    <w:rsid w:val="00C92C13"/>
    <w:rsid w:val="00C92C58"/>
    <w:rsid w:val="00C92CB8"/>
    <w:rsid w:val="00C92D73"/>
    <w:rsid w:val="00C92DDC"/>
    <w:rsid w:val="00C92DFF"/>
    <w:rsid w:val="00C92F0B"/>
    <w:rsid w:val="00C93001"/>
    <w:rsid w:val="00C9300F"/>
    <w:rsid w:val="00C9304E"/>
    <w:rsid w:val="00C93091"/>
    <w:rsid w:val="00C9314D"/>
    <w:rsid w:val="00C93155"/>
    <w:rsid w:val="00C93162"/>
    <w:rsid w:val="00C9322F"/>
    <w:rsid w:val="00C932DE"/>
    <w:rsid w:val="00C932FA"/>
    <w:rsid w:val="00C9337D"/>
    <w:rsid w:val="00C933BA"/>
    <w:rsid w:val="00C934C5"/>
    <w:rsid w:val="00C93553"/>
    <w:rsid w:val="00C935DC"/>
    <w:rsid w:val="00C936C4"/>
    <w:rsid w:val="00C936C6"/>
    <w:rsid w:val="00C93724"/>
    <w:rsid w:val="00C93729"/>
    <w:rsid w:val="00C9394C"/>
    <w:rsid w:val="00C939B7"/>
    <w:rsid w:val="00C93A4C"/>
    <w:rsid w:val="00C93AC1"/>
    <w:rsid w:val="00C93AEB"/>
    <w:rsid w:val="00C93C2D"/>
    <w:rsid w:val="00C93C57"/>
    <w:rsid w:val="00C93C7A"/>
    <w:rsid w:val="00C93CD9"/>
    <w:rsid w:val="00C93DF8"/>
    <w:rsid w:val="00C93F6A"/>
    <w:rsid w:val="00C93FA3"/>
    <w:rsid w:val="00C93FAE"/>
    <w:rsid w:val="00C940AE"/>
    <w:rsid w:val="00C940B2"/>
    <w:rsid w:val="00C94103"/>
    <w:rsid w:val="00C9414B"/>
    <w:rsid w:val="00C94496"/>
    <w:rsid w:val="00C9457D"/>
    <w:rsid w:val="00C94762"/>
    <w:rsid w:val="00C94771"/>
    <w:rsid w:val="00C94992"/>
    <w:rsid w:val="00C94B4D"/>
    <w:rsid w:val="00C94BD3"/>
    <w:rsid w:val="00C94C2F"/>
    <w:rsid w:val="00C94CAD"/>
    <w:rsid w:val="00C94CBE"/>
    <w:rsid w:val="00C94E26"/>
    <w:rsid w:val="00C94F65"/>
    <w:rsid w:val="00C95023"/>
    <w:rsid w:val="00C9527A"/>
    <w:rsid w:val="00C95377"/>
    <w:rsid w:val="00C95389"/>
    <w:rsid w:val="00C953C6"/>
    <w:rsid w:val="00C95405"/>
    <w:rsid w:val="00C9545D"/>
    <w:rsid w:val="00C95552"/>
    <w:rsid w:val="00C9555C"/>
    <w:rsid w:val="00C9560A"/>
    <w:rsid w:val="00C95669"/>
    <w:rsid w:val="00C9568E"/>
    <w:rsid w:val="00C9569E"/>
    <w:rsid w:val="00C956EA"/>
    <w:rsid w:val="00C958F6"/>
    <w:rsid w:val="00C95961"/>
    <w:rsid w:val="00C95A56"/>
    <w:rsid w:val="00C95AB3"/>
    <w:rsid w:val="00C95B14"/>
    <w:rsid w:val="00C95B27"/>
    <w:rsid w:val="00C95BCC"/>
    <w:rsid w:val="00C95D4E"/>
    <w:rsid w:val="00C95D55"/>
    <w:rsid w:val="00C95DB9"/>
    <w:rsid w:val="00C95E6A"/>
    <w:rsid w:val="00C95EB4"/>
    <w:rsid w:val="00C95F05"/>
    <w:rsid w:val="00C95FE4"/>
    <w:rsid w:val="00C960A1"/>
    <w:rsid w:val="00C9626F"/>
    <w:rsid w:val="00C962B8"/>
    <w:rsid w:val="00C962CD"/>
    <w:rsid w:val="00C963F4"/>
    <w:rsid w:val="00C96460"/>
    <w:rsid w:val="00C96614"/>
    <w:rsid w:val="00C9669F"/>
    <w:rsid w:val="00C967E5"/>
    <w:rsid w:val="00C9698C"/>
    <w:rsid w:val="00C96A76"/>
    <w:rsid w:val="00C96B86"/>
    <w:rsid w:val="00C96B91"/>
    <w:rsid w:val="00C96D67"/>
    <w:rsid w:val="00C96D79"/>
    <w:rsid w:val="00C96D91"/>
    <w:rsid w:val="00C96E73"/>
    <w:rsid w:val="00C96EC6"/>
    <w:rsid w:val="00C96F1D"/>
    <w:rsid w:val="00C96FB0"/>
    <w:rsid w:val="00C97035"/>
    <w:rsid w:val="00C970F2"/>
    <w:rsid w:val="00C971F0"/>
    <w:rsid w:val="00C97378"/>
    <w:rsid w:val="00C97404"/>
    <w:rsid w:val="00C97435"/>
    <w:rsid w:val="00C9744C"/>
    <w:rsid w:val="00C974B8"/>
    <w:rsid w:val="00C97513"/>
    <w:rsid w:val="00C97566"/>
    <w:rsid w:val="00C97583"/>
    <w:rsid w:val="00C975C8"/>
    <w:rsid w:val="00C97648"/>
    <w:rsid w:val="00C97649"/>
    <w:rsid w:val="00C976BB"/>
    <w:rsid w:val="00C976CE"/>
    <w:rsid w:val="00C97756"/>
    <w:rsid w:val="00C9779B"/>
    <w:rsid w:val="00C97825"/>
    <w:rsid w:val="00C97925"/>
    <w:rsid w:val="00C97948"/>
    <w:rsid w:val="00C9797D"/>
    <w:rsid w:val="00C979BB"/>
    <w:rsid w:val="00C979E7"/>
    <w:rsid w:val="00C97A46"/>
    <w:rsid w:val="00C97AEE"/>
    <w:rsid w:val="00C97B0F"/>
    <w:rsid w:val="00C97B3F"/>
    <w:rsid w:val="00C97BCF"/>
    <w:rsid w:val="00C97BD0"/>
    <w:rsid w:val="00C97BE2"/>
    <w:rsid w:val="00C97CAE"/>
    <w:rsid w:val="00C97D1D"/>
    <w:rsid w:val="00C97D89"/>
    <w:rsid w:val="00C97D8E"/>
    <w:rsid w:val="00C97E33"/>
    <w:rsid w:val="00C97E3D"/>
    <w:rsid w:val="00C97F4D"/>
    <w:rsid w:val="00C97FCA"/>
    <w:rsid w:val="00C97FDD"/>
    <w:rsid w:val="00CA004A"/>
    <w:rsid w:val="00CA0371"/>
    <w:rsid w:val="00CA03D4"/>
    <w:rsid w:val="00CA03EC"/>
    <w:rsid w:val="00CA0423"/>
    <w:rsid w:val="00CA050C"/>
    <w:rsid w:val="00CA052E"/>
    <w:rsid w:val="00CA05BD"/>
    <w:rsid w:val="00CA0686"/>
    <w:rsid w:val="00CA072F"/>
    <w:rsid w:val="00CA0747"/>
    <w:rsid w:val="00CA0787"/>
    <w:rsid w:val="00CA0881"/>
    <w:rsid w:val="00CA089B"/>
    <w:rsid w:val="00CA08D5"/>
    <w:rsid w:val="00CA0932"/>
    <w:rsid w:val="00CA097C"/>
    <w:rsid w:val="00CA099E"/>
    <w:rsid w:val="00CA0A1E"/>
    <w:rsid w:val="00CA0A9E"/>
    <w:rsid w:val="00CA0AD1"/>
    <w:rsid w:val="00CA0B1D"/>
    <w:rsid w:val="00CA0BD8"/>
    <w:rsid w:val="00CA0E2A"/>
    <w:rsid w:val="00CA0E6B"/>
    <w:rsid w:val="00CA0EB9"/>
    <w:rsid w:val="00CA0EBE"/>
    <w:rsid w:val="00CA0EDF"/>
    <w:rsid w:val="00CA0FB8"/>
    <w:rsid w:val="00CA1119"/>
    <w:rsid w:val="00CA1220"/>
    <w:rsid w:val="00CA12AD"/>
    <w:rsid w:val="00CA12CD"/>
    <w:rsid w:val="00CA12CE"/>
    <w:rsid w:val="00CA1523"/>
    <w:rsid w:val="00CA1640"/>
    <w:rsid w:val="00CA18F5"/>
    <w:rsid w:val="00CA1902"/>
    <w:rsid w:val="00CA192F"/>
    <w:rsid w:val="00CA194D"/>
    <w:rsid w:val="00CA1958"/>
    <w:rsid w:val="00CA1B46"/>
    <w:rsid w:val="00CA1B53"/>
    <w:rsid w:val="00CA1C6E"/>
    <w:rsid w:val="00CA1C83"/>
    <w:rsid w:val="00CA1D7B"/>
    <w:rsid w:val="00CA1E30"/>
    <w:rsid w:val="00CA1E3A"/>
    <w:rsid w:val="00CA1F73"/>
    <w:rsid w:val="00CA1FAD"/>
    <w:rsid w:val="00CA1FE9"/>
    <w:rsid w:val="00CA2080"/>
    <w:rsid w:val="00CA2160"/>
    <w:rsid w:val="00CA2169"/>
    <w:rsid w:val="00CA21F5"/>
    <w:rsid w:val="00CA2297"/>
    <w:rsid w:val="00CA22DD"/>
    <w:rsid w:val="00CA22E6"/>
    <w:rsid w:val="00CA2341"/>
    <w:rsid w:val="00CA250C"/>
    <w:rsid w:val="00CA2525"/>
    <w:rsid w:val="00CA2555"/>
    <w:rsid w:val="00CA261E"/>
    <w:rsid w:val="00CA2653"/>
    <w:rsid w:val="00CA26FB"/>
    <w:rsid w:val="00CA2993"/>
    <w:rsid w:val="00CA2A30"/>
    <w:rsid w:val="00CA2A47"/>
    <w:rsid w:val="00CA2C0B"/>
    <w:rsid w:val="00CA2C47"/>
    <w:rsid w:val="00CA2CA3"/>
    <w:rsid w:val="00CA2D93"/>
    <w:rsid w:val="00CA2E49"/>
    <w:rsid w:val="00CA2F42"/>
    <w:rsid w:val="00CA30E6"/>
    <w:rsid w:val="00CA3159"/>
    <w:rsid w:val="00CA3430"/>
    <w:rsid w:val="00CA348E"/>
    <w:rsid w:val="00CA34D5"/>
    <w:rsid w:val="00CA34E7"/>
    <w:rsid w:val="00CA3511"/>
    <w:rsid w:val="00CA368D"/>
    <w:rsid w:val="00CA3708"/>
    <w:rsid w:val="00CA3898"/>
    <w:rsid w:val="00CA3911"/>
    <w:rsid w:val="00CA3A4E"/>
    <w:rsid w:val="00CA3B41"/>
    <w:rsid w:val="00CA3CAD"/>
    <w:rsid w:val="00CA3D93"/>
    <w:rsid w:val="00CA3E4E"/>
    <w:rsid w:val="00CA401E"/>
    <w:rsid w:val="00CA4161"/>
    <w:rsid w:val="00CA416F"/>
    <w:rsid w:val="00CA41E3"/>
    <w:rsid w:val="00CA4296"/>
    <w:rsid w:val="00CA4412"/>
    <w:rsid w:val="00CA445B"/>
    <w:rsid w:val="00CA4581"/>
    <w:rsid w:val="00CA472E"/>
    <w:rsid w:val="00CA4748"/>
    <w:rsid w:val="00CA47DA"/>
    <w:rsid w:val="00CA4854"/>
    <w:rsid w:val="00CA486B"/>
    <w:rsid w:val="00CA48C3"/>
    <w:rsid w:val="00CA492B"/>
    <w:rsid w:val="00CA4963"/>
    <w:rsid w:val="00CA4A5D"/>
    <w:rsid w:val="00CA4C6E"/>
    <w:rsid w:val="00CA4C85"/>
    <w:rsid w:val="00CA4D2F"/>
    <w:rsid w:val="00CA4E3E"/>
    <w:rsid w:val="00CA4FA7"/>
    <w:rsid w:val="00CA50AE"/>
    <w:rsid w:val="00CA5166"/>
    <w:rsid w:val="00CA5187"/>
    <w:rsid w:val="00CA51FC"/>
    <w:rsid w:val="00CA520C"/>
    <w:rsid w:val="00CA5327"/>
    <w:rsid w:val="00CA53D3"/>
    <w:rsid w:val="00CA54E9"/>
    <w:rsid w:val="00CA55F0"/>
    <w:rsid w:val="00CA56AF"/>
    <w:rsid w:val="00CA56C4"/>
    <w:rsid w:val="00CA5744"/>
    <w:rsid w:val="00CA577A"/>
    <w:rsid w:val="00CA57FE"/>
    <w:rsid w:val="00CA582A"/>
    <w:rsid w:val="00CA5857"/>
    <w:rsid w:val="00CA598F"/>
    <w:rsid w:val="00CA59EC"/>
    <w:rsid w:val="00CA59F1"/>
    <w:rsid w:val="00CA5AE9"/>
    <w:rsid w:val="00CA5BA4"/>
    <w:rsid w:val="00CA5CE8"/>
    <w:rsid w:val="00CA5D90"/>
    <w:rsid w:val="00CA6119"/>
    <w:rsid w:val="00CA620D"/>
    <w:rsid w:val="00CA62B2"/>
    <w:rsid w:val="00CA6399"/>
    <w:rsid w:val="00CA6402"/>
    <w:rsid w:val="00CA6415"/>
    <w:rsid w:val="00CA641D"/>
    <w:rsid w:val="00CA656F"/>
    <w:rsid w:val="00CA662E"/>
    <w:rsid w:val="00CA66C1"/>
    <w:rsid w:val="00CA672F"/>
    <w:rsid w:val="00CA680A"/>
    <w:rsid w:val="00CA6818"/>
    <w:rsid w:val="00CA6860"/>
    <w:rsid w:val="00CA6919"/>
    <w:rsid w:val="00CA6A98"/>
    <w:rsid w:val="00CA6AB0"/>
    <w:rsid w:val="00CA6BF0"/>
    <w:rsid w:val="00CA6C26"/>
    <w:rsid w:val="00CA6DB9"/>
    <w:rsid w:val="00CA6E4A"/>
    <w:rsid w:val="00CA6EB2"/>
    <w:rsid w:val="00CA6F75"/>
    <w:rsid w:val="00CA71C9"/>
    <w:rsid w:val="00CA7303"/>
    <w:rsid w:val="00CA7311"/>
    <w:rsid w:val="00CA7327"/>
    <w:rsid w:val="00CA7357"/>
    <w:rsid w:val="00CA7523"/>
    <w:rsid w:val="00CA75C3"/>
    <w:rsid w:val="00CA75EA"/>
    <w:rsid w:val="00CA7618"/>
    <w:rsid w:val="00CA7659"/>
    <w:rsid w:val="00CA767A"/>
    <w:rsid w:val="00CA7706"/>
    <w:rsid w:val="00CA771D"/>
    <w:rsid w:val="00CA7725"/>
    <w:rsid w:val="00CA77F0"/>
    <w:rsid w:val="00CA783E"/>
    <w:rsid w:val="00CA7918"/>
    <w:rsid w:val="00CA7921"/>
    <w:rsid w:val="00CA792A"/>
    <w:rsid w:val="00CA79C5"/>
    <w:rsid w:val="00CA7A27"/>
    <w:rsid w:val="00CA7CC3"/>
    <w:rsid w:val="00CA7CD8"/>
    <w:rsid w:val="00CA7CE5"/>
    <w:rsid w:val="00CA7D0C"/>
    <w:rsid w:val="00CA7D33"/>
    <w:rsid w:val="00CA7D80"/>
    <w:rsid w:val="00CA7E98"/>
    <w:rsid w:val="00CA7F07"/>
    <w:rsid w:val="00CA7F49"/>
    <w:rsid w:val="00CA7FBC"/>
    <w:rsid w:val="00CB01EF"/>
    <w:rsid w:val="00CB0237"/>
    <w:rsid w:val="00CB0343"/>
    <w:rsid w:val="00CB0493"/>
    <w:rsid w:val="00CB04C6"/>
    <w:rsid w:val="00CB04D0"/>
    <w:rsid w:val="00CB05F5"/>
    <w:rsid w:val="00CB0621"/>
    <w:rsid w:val="00CB0687"/>
    <w:rsid w:val="00CB06AD"/>
    <w:rsid w:val="00CB07FF"/>
    <w:rsid w:val="00CB080E"/>
    <w:rsid w:val="00CB08AB"/>
    <w:rsid w:val="00CB0976"/>
    <w:rsid w:val="00CB0A43"/>
    <w:rsid w:val="00CB0BEB"/>
    <w:rsid w:val="00CB0C0D"/>
    <w:rsid w:val="00CB0C5A"/>
    <w:rsid w:val="00CB0ED8"/>
    <w:rsid w:val="00CB1020"/>
    <w:rsid w:val="00CB118D"/>
    <w:rsid w:val="00CB11EB"/>
    <w:rsid w:val="00CB12B7"/>
    <w:rsid w:val="00CB12BD"/>
    <w:rsid w:val="00CB12E4"/>
    <w:rsid w:val="00CB136D"/>
    <w:rsid w:val="00CB1488"/>
    <w:rsid w:val="00CB1495"/>
    <w:rsid w:val="00CB14B2"/>
    <w:rsid w:val="00CB1523"/>
    <w:rsid w:val="00CB1582"/>
    <w:rsid w:val="00CB164F"/>
    <w:rsid w:val="00CB16E1"/>
    <w:rsid w:val="00CB18BC"/>
    <w:rsid w:val="00CB1948"/>
    <w:rsid w:val="00CB1A28"/>
    <w:rsid w:val="00CB1A8E"/>
    <w:rsid w:val="00CB1A96"/>
    <w:rsid w:val="00CB1C80"/>
    <w:rsid w:val="00CB1C90"/>
    <w:rsid w:val="00CB1CBA"/>
    <w:rsid w:val="00CB1DB6"/>
    <w:rsid w:val="00CB1E9D"/>
    <w:rsid w:val="00CB1EAC"/>
    <w:rsid w:val="00CB1EB9"/>
    <w:rsid w:val="00CB1F45"/>
    <w:rsid w:val="00CB1F59"/>
    <w:rsid w:val="00CB1F74"/>
    <w:rsid w:val="00CB1F91"/>
    <w:rsid w:val="00CB1FA1"/>
    <w:rsid w:val="00CB211C"/>
    <w:rsid w:val="00CB212B"/>
    <w:rsid w:val="00CB225F"/>
    <w:rsid w:val="00CB229A"/>
    <w:rsid w:val="00CB22DC"/>
    <w:rsid w:val="00CB234D"/>
    <w:rsid w:val="00CB235E"/>
    <w:rsid w:val="00CB23A1"/>
    <w:rsid w:val="00CB2414"/>
    <w:rsid w:val="00CB2450"/>
    <w:rsid w:val="00CB24B6"/>
    <w:rsid w:val="00CB2563"/>
    <w:rsid w:val="00CB2589"/>
    <w:rsid w:val="00CB25AF"/>
    <w:rsid w:val="00CB26B8"/>
    <w:rsid w:val="00CB2948"/>
    <w:rsid w:val="00CB2974"/>
    <w:rsid w:val="00CB2ACE"/>
    <w:rsid w:val="00CB2BB7"/>
    <w:rsid w:val="00CB2BD2"/>
    <w:rsid w:val="00CB2C18"/>
    <w:rsid w:val="00CB2C22"/>
    <w:rsid w:val="00CB2C2C"/>
    <w:rsid w:val="00CB2CA3"/>
    <w:rsid w:val="00CB2D74"/>
    <w:rsid w:val="00CB2D75"/>
    <w:rsid w:val="00CB2E4D"/>
    <w:rsid w:val="00CB2E7E"/>
    <w:rsid w:val="00CB2F39"/>
    <w:rsid w:val="00CB2F5C"/>
    <w:rsid w:val="00CB3010"/>
    <w:rsid w:val="00CB30F2"/>
    <w:rsid w:val="00CB31C6"/>
    <w:rsid w:val="00CB32AA"/>
    <w:rsid w:val="00CB33D6"/>
    <w:rsid w:val="00CB33E4"/>
    <w:rsid w:val="00CB3444"/>
    <w:rsid w:val="00CB3451"/>
    <w:rsid w:val="00CB34A4"/>
    <w:rsid w:val="00CB35A8"/>
    <w:rsid w:val="00CB3671"/>
    <w:rsid w:val="00CB38E6"/>
    <w:rsid w:val="00CB38F3"/>
    <w:rsid w:val="00CB3934"/>
    <w:rsid w:val="00CB39CD"/>
    <w:rsid w:val="00CB3A48"/>
    <w:rsid w:val="00CB3A4D"/>
    <w:rsid w:val="00CB3A69"/>
    <w:rsid w:val="00CB3C06"/>
    <w:rsid w:val="00CB3C87"/>
    <w:rsid w:val="00CB3C88"/>
    <w:rsid w:val="00CB3CD9"/>
    <w:rsid w:val="00CB3D91"/>
    <w:rsid w:val="00CB3DA8"/>
    <w:rsid w:val="00CB3DFD"/>
    <w:rsid w:val="00CB3E4E"/>
    <w:rsid w:val="00CB3EE4"/>
    <w:rsid w:val="00CB3F05"/>
    <w:rsid w:val="00CB3F1E"/>
    <w:rsid w:val="00CB3F58"/>
    <w:rsid w:val="00CB405C"/>
    <w:rsid w:val="00CB406A"/>
    <w:rsid w:val="00CB4179"/>
    <w:rsid w:val="00CB4251"/>
    <w:rsid w:val="00CB4268"/>
    <w:rsid w:val="00CB426F"/>
    <w:rsid w:val="00CB42B3"/>
    <w:rsid w:val="00CB430E"/>
    <w:rsid w:val="00CB43FB"/>
    <w:rsid w:val="00CB44C5"/>
    <w:rsid w:val="00CB4583"/>
    <w:rsid w:val="00CB4643"/>
    <w:rsid w:val="00CB4681"/>
    <w:rsid w:val="00CB46BB"/>
    <w:rsid w:val="00CB4747"/>
    <w:rsid w:val="00CB479B"/>
    <w:rsid w:val="00CB47FB"/>
    <w:rsid w:val="00CB47FC"/>
    <w:rsid w:val="00CB488D"/>
    <w:rsid w:val="00CB4B0B"/>
    <w:rsid w:val="00CB4C0C"/>
    <w:rsid w:val="00CB4D81"/>
    <w:rsid w:val="00CB4E49"/>
    <w:rsid w:val="00CB4EAE"/>
    <w:rsid w:val="00CB4F0A"/>
    <w:rsid w:val="00CB4F16"/>
    <w:rsid w:val="00CB4FEB"/>
    <w:rsid w:val="00CB5053"/>
    <w:rsid w:val="00CB505F"/>
    <w:rsid w:val="00CB508C"/>
    <w:rsid w:val="00CB50A2"/>
    <w:rsid w:val="00CB50C7"/>
    <w:rsid w:val="00CB5196"/>
    <w:rsid w:val="00CB52EC"/>
    <w:rsid w:val="00CB5384"/>
    <w:rsid w:val="00CB53CD"/>
    <w:rsid w:val="00CB53DA"/>
    <w:rsid w:val="00CB5572"/>
    <w:rsid w:val="00CB55F2"/>
    <w:rsid w:val="00CB56B9"/>
    <w:rsid w:val="00CB5778"/>
    <w:rsid w:val="00CB5845"/>
    <w:rsid w:val="00CB5A1A"/>
    <w:rsid w:val="00CB5A98"/>
    <w:rsid w:val="00CB5AB1"/>
    <w:rsid w:val="00CB5AEB"/>
    <w:rsid w:val="00CB5B7C"/>
    <w:rsid w:val="00CB5C8A"/>
    <w:rsid w:val="00CB5E3A"/>
    <w:rsid w:val="00CB5E68"/>
    <w:rsid w:val="00CB5E84"/>
    <w:rsid w:val="00CB5F48"/>
    <w:rsid w:val="00CB60B1"/>
    <w:rsid w:val="00CB60E3"/>
    <w:rsid w:val="00CB6147"/>
    <w:rsid w:val="00CB61E7"/>
    <w:rsid w:val="00CB6210"/>
    <w:rsid w:val="00CB62AA"/>
    <w:rsid w:val="00CB63ED"/>
    <w:rsid w:val="00CB652D"/>
    <w:rsid w:val="00CB6546"/>
    <w:rsid w:val="00CB6587"/>
    <w:rsid w:val="00CB65DC"/>
    <w:rsid w:val="00CB65F0"/>
    <w:rsid w:val="00CB6642"/>
    <w:rsid w:val="00CB6674"/>
    <w:rsid w:val="00CB66B7"/>
    <w:rsid w:val="00CB66CC"/>
    <w:rsid w:val="00CB67C3"/>
    <w:rsid w:val="00CB67D1"/>
    <w:rsid w:val="00CB6826"/>
    <w:rsid w:val="00CB684D"/>
    <w:rsid w:val="00CB68EC"/>
    <w:rsid w:val="00CB692C"/>
    <w:rsid w:val="00CB69CD"/>
    <w:rsid w:val="00CB6A3C"/>
    <w:rsid w:val="00CB6A42"/>
    <w:rsid w:val="00CB6DBA"/>
    <w:rsid w:val="00CB6E99"/>
    <w:rsid w:val="00CB6F10"/>
    <w:rsid w:val="00CB6F57"/>
    <w:rsid w:val="00CB6F95"/>
    <w:rsid w:val="00CB6FA6"/>
    <w:rsid w:val="00CB6FC3"/>
    <w:rsid w:val="00CB6FCA"/>
    <w:rsid w:val="00CB6FEA"/>
    <w:rsid w:val="00CB7023"/>
    <w:rsid w:val="00CB7164"/>
    <w:rsid w:val="00CB72DB"/>
    <w:rsid w:val="00CB736E"/>
    <w:rsid w:val="00CB73B5"/>
    <w:rsid w:val="00CB7416"/>
    <w:rsid w:val="00CB74FC"/>
    <w:rsid w:val="00CB7517"/>
    <w:rsid w:val="00CB7546"/>
    <w:rsid w:val="00CB759D"/>
    <w:rsid w:val="00CB75A5"/>
    <w:rsid w:val="00CB75BF"/>
    <w:rsid w:val="00CB7613"/>
    <w:rsid w:val="00CB764E"/>
    <w:rsid w:val="00CB76CD"/>
    <w:rsid w:val="00CB782C"/>
    <w:rsid w:val="00CB7857"/>
    <w:rsid w:val="00CB7869"/>
    <w:rsid w:val="00CB78F7"/>
    <w:rsid w:val="00CB79DB"/>
    <w:rsid w:val="00CB7B10"/>
    <w:rsid w:val="00CB7B48"/>
    <w:rsid w:val="00CB7B6A"/>
    <w:rsid w:val="00CB7BD5"/>
    <w:rsid w:val="00CB7CB9"/>
    <w:rsid w:val="00CB7CC1"/>
    <w:rsid w:val="00CB7D93"/>
    <w:rsid w:val="00CB7EED"/>
    <w:rsid w:val="00CB7F87"/>
    <w:rsid w:val="00CB7F8B"/>
    <w:rsid w:val="00CC0116"/>
    <w:rsid w:val="00CC0268"/>
    <w:rsid w:val="00CC02B8"/>
    <w:rsid w:val="00CC04A3"/>
    <w:rsid w:val="00CC0544"/>
    <w:rsid w:val="00CC0580"/>
    <w:rsid w:val="00CC0645"/>
    <w:rsid w:val="00CC0733"/>
    <w:rsid w:val="00CC077A"/>
    <w:rsid w:val="00CC079F"/>
    <w:rsid w:val="00CC084A"/>
    <w:rsid w:val="00CC0945"/>
    <w:rsid w:val="00CC0A41"/>
    <w:rsid w:val="00CC0A6B"/>
    <w:rsid w:val="00CC0B3C"/>
    <w:rsid w:val="00CC0B49"/>
    <w:rsid w:val="00CC0BCE"/>
    <w:rsid w:val="00CC0C79"/>
    <w:rsid w:val="00CC0C9B"/>
    <w:rsid w:val="00CC0EF4"/>
    <w:rsid w:val="00CC0F26"/>
    <w:rsid w:val="00CC0F5D"/>
    <w:rsid w:val="00CC1026"/>
    <w:rsid w:val="00CC10CF"/>
    <w:rsid w:val="00CC1157"/>
    <w:rsid w:val="00CC126A"/>
    <w:rsid w:val="00CC131B"/>
    <w:rsid w:val="00CC1503"/>
    <w:rsid w:val="00CC16D2"/>
    <w:rsid w:val="00CC178D"/>
    <w:rsid w:val="00CC18D5"/>
    <w:rsid w:val="00CC1A91"/>
    <w:rsid w:val="00CC1ABC"/>
    <w:rsid w:val="00CC1AF7"/>
    <w:rsid w:val="00CC1B44"/>
    <w:rsid w:val="00CC1BD3"/>
    <w:rsid w:val="00CC1BE8"/>
    <w:rsid w:val="00CC1BEF"/>
    <w:rsid w:val="00CC1BFC"/>
    <w:rsid w:val="00CC1CD9"/>
    <w:rsid w:val="00CC1CEC"/>
    <w:rsid w:val="00CC1D91"/>
    <w:rsid w:val="00CC1E0B"/>
    <w:rsid w:val="00CC1F01"/>
    <w:rsid w:val="00CC1F26"/>
    <w:rsid w:val="00CC1FC0"/>
    <w:rsid w:val="00CC1FD7"/>
    <w:rsid w:val="00CC206E"/>
    <w:rsid w:val="00CC20F8"/>
    <w:rsid w:val="00CC2180"/>
    <w:rsid w:val="00CC21AE"/>
    <w:rsid w:val="00CC21BD"/>
    <w:rsid w:val="00CC21CD"/>
    <w:rsid w:val="00CC228F"/>
    <w:rsid w:val="00CC22B6"/>
    <w:rsid w:val="00CC253A"/>
    <w:rsid w:val="00CC288C"/>
    <w:rsid w:val="00CC2A43"/>
    <w:rsid w:val="00CC2AB1"/>
    <w:rsid w:val="00CC2C61"/>
    <w:rsid w:val="00CC2D08"/>
    <w:rsid w:val="00CC2D95"/>
    <w:rsid w:val="00CC2E73"/>
    <w:rsid w:val="00CC2EB7"/>
    <w:rsid w:val="00CC2EC0"/>
    <w:rsid w:val="00CC2F3A"/>
    <w:rsid w:val="00CC2FB2"/>
    <w:rsid w:val="00CC3062"/>
    <w:rsid w:val="00CC311F"/>
    <w:rsid w:val="00CC31A5"/>
    <w:rsid w:val="00CC32B3"/>
    <w:rsid w:val="00CC34E2"/>
    <w:rsid w:val="00CC34FD"/>
    <w:rsid w:val="00CC35D3"/>
    <w:rsid w:val="00CC373F"/>
    <w:rsid w:val="00CC380D"/>
    <w:rsid w:val="00CC3834"/>
    <w:rsid w:val="00CC38BB"/>
    <w:rsid w:val="00CC38D8"/>
    <w:rsid w:val="00CC3953"/>
    <w:rsid w:val="00CC3A25"/>
    <w:rsid w:val="00CC3AAC"/>
    <w:rsid w:val="00CC3AD3"/>
    <w:rsid w:val="00CC3CC3"/>
    <w:rsid w:val="00CC3E42"/>
    <w:rsid w:val="00CC3E7F"/>
    <w:rsid w:val="00CC3E96"/>
    <w:rsid w:val="00CC3F75"/>
    <w:rsid w:val="00CC4026"/>
    <w:rsid w:val="00CC40F3"/>
    <w:rsid w:val="00CC410F"/>
    <w:rsid w:val="00CC430E"/>
    <w:rsid w:val="00CC4496"/>
    <w:rsid w:val="00CC44AA"/>
    <w:rsid w:val="00CC462F"/>
    <w:rsid w:val="00CC47BB"/>
    <w:rsid w:val="00CC480C"/>
    <w:rsid w:val="00CC48A6"/>
    <w:rsid w:val="00CC48AB"/>
    <w:rsid w:val="00CC48D9"/>
    <w:rsid w:val="00CC4A1A"/>
    <w:rsid w:val="00CC4A7E"/>
    <w:rsid w:val="00CC4A89"/>
    <w:rsid w:val="00CC4AB7"/>
    <w:rsid w:val="00CC4B3E"/>
    <w:rsid w:val="00CC4BD1"/>
    <w:rsid w:val="00CC4BF5"/>
    <w:rsid w:val="00CC4C12"/>
    <w:rsid w:val="00CC4DA8"/>
    <w:rsid w:val="00CC4DF4"/>
    <w:rsid w:val="00CC4E63"/>
    <w:rsid w:val="00CC4EF5"/>
    <w:rsid w:val="00CC4F6E"/>
    <w:rsid w:val="00CC4F8D"/>
    <w:rsid w:val="00CC5198"/>
    <w:rsid w:val="00CC51AF"/>
    <w:rsid w:val="00CC51C3"/>
    <w:rsid w:val="00CC52B0"/>
    <w:rsid w:val="00CC52ED"/>
    <w:rsid w:val="00CC5314"/>
    <w:rsid w:val="00CC534E"/>
    <w:rsid w:val="00CC536A"/>
    <w:rsid w:val="00CC53DF"/>
    <w:rsid w:val="00CC53F2"/>
    <w:rsid w:val="00CC5546"/>
    <w:rsid w:val="00CC567F"/>
    <w:rsid w:val="00CC56D6"/>
    <w:rsid w:val="00CC56DD"/>
    <w:rsid w:val="00CC56FB"/>
    <w:rsid w:val="00CC57EE"/>
    <w:rsid w:val="00CC5953"/>
    <w:rsid w:val="00CC5A33"/>
    <w:rsid w:val="00CC5A8E"/>
    <w:rsid w:val="00CC5B22"/>
    <w:rsid w:val="00CC5B28"/>
    <w:rsid w:val="00CC5B6E"/>
    <w:rsid w:val="00CC5C18"/>
    <w:rsid w:val="00CC5D28"/>
    <w:rsid w:val="00CC5D6E"/>
    <w:rsid w:val="00CC5D86"/>
    <w:rsid w:val="00CC5DCF"/>
    <w:rsid w:val="00CC5F0C"/>
    <w:rsid w:val="00CC5F2A"/>
    <w:rsid w:val="00CC5F4F"/>
    <w:rsid w:val="00CC5F96"/>
    <w:rsid w:val="00CC5F97"/>
    <w:rsid w:val="00CC5FC1"/>
    <w:rsid w:val="00CC5FCE"/>
    <w:rsid w:val="00CC5FE8"/>
    <w:rsid w:val="00CC603B"/>
    <w:rsid w:val="00CC6063"/>
    <w:rsid w:val="00CC60B4"/>
    <w:rsid w:val="00CC6300"/>
    <w:rsid w:val="00CC630B"/>
    <w:rsid w:val="00CC6336"/>
    <w:rsid w:val="00CC6352"/>
    <w:rsid w:val="00CC6384"/>
    <w:rsid w:val="00CC647F"/>
    <w:rsid w:val="00CC64B5"/>
    <w:rsid w:val="00CC64F2"/>
    <w:rsid w:val="00CC6517"/>
    <w:rsid w:val="00CC65F4"/>
    <w:rsid w:val="00CC666F"/>
    <w:rsid w:val="00CC66D5"/>
    <w:rsid w:val="00CC6742"/>
    <w:rsid w:val="00CC67EF"/>
    <w:rsid w:val="00CC684C"/>
    <w:rsid w:val="00CC6865"/>
    <w:rsid w:val="00CC687B"/>
    <w:rsid w:val="00CC68D5"/>
    <w:rsid w:val="00CC68E8"/>
    <w:rsid w:val="00CC6938"/>
    <w:rsid w:val="00CC6956"/>
    <w:rsid w:val="00CC69DC"/>
    <w:rsid w:val="00CC6A34"/>
    <w:rsid w:val="00CC6AEF"/>
    <w:rsid w:val="00CC6B5E"/>
    <w:rsid w:val="00CC6BDA"/>
    <w:rsid w:val="00CC6C24"/>
    <w:rsid w:val="00CC6D93"/>
    <w:rsid w:val="00CC6E4E"/>
    <w:rsid w:val="00CC6E7A"/>
    <w:rsid w:val="00CC6FCC"/>
    <w:rsid w:val="00CC71FD"/>
    <w:rsid w:val="00CC7389"/>
    <w:rsid w:val="00CC73A0"/>
    <w:rsid w:val="00CC73BA"/>
    <w:rsid w:val="00CC7500"/>
    <w:rsid w:val="00CC7528"/>
    <w:rsid w:val="00CC753A"/>
    <w:rsid w:val="00CC756F"/>
    <w:rsid w:val="00CC7599"/>
    <w:rsid w:val="00CC7620"/>
    <w:rsid w:val="00CC7635"/>
    <w:rsid w:val="00CC7669"/>
    <w:rsid w:val="00CC7672"/>
    <w:rsid w:val="00CC76A3"/>
    <w:rsid w:val="00CC7766"/>
    <w:rsid w:val="00CC77AE"/>
    <w:rsid w:val="00CC7884"/>
    <w:rsid w:val="00CC79B8"/>
    <w:rsid w:val="00CC79F1"/>
    <w:rsid w:val="00CC7AC5"/>
    <w:rsid w:val="00CC7AE4"/>
    <w:rsid w:val="00CC7BD9"/>
    <w:rsid w:val="00CC7D14"/>
    <w:rsid w:val="00CC7EBA"/>
    <w:rsid w:val="00CC7F05"/>
    <w:rsid w:val="00CC7F45"/>
    <w:rsid w:val="00CC7FDC"/>
    <w:rsid w:val="00CCCFFF"/>
    <w:rsid w:val="00CD00E1"/>
    <w:rsid w:val="00CD0128"/>
    <w:rsid w:val="00CD0194"/>
    <w:rsid w:val="00CD01DC"/>
    <w:rsid w:val="00CD0212"/>
    <w:rsid w:val="00CD0256"/>
    <w:rsid w:val="00CD0308"/>
    <w:rsid w:val="00CD03E3"/>
    <w:rsid w:val="00CD050B"/>
    <w:rsid w:val="00CD066F"/>
    <w:rsid w:val="00CD0672"/>
    <w:rsid w:val="00CD06F0"/>
    <w:rsid w:val="00CD07EC"/>
    <w:rsid w:val="00CD088B"/>
    <w:rsid w:val="00CD089B"/>
    <w:rsid w:val="00CD08C6"/>
    <w:rsid w:val="00CD0AFA"/>
    <w:rsid w:val="00CD0BB1"/>
    <w:rsid w:val="00CD0BCF"/>
    <w:rsid w:val="00CD0C79"/>
    <w:rsid w:val="00CD0DAB"/>
    <w:rsid w:val="00CD0DB4"/>
    <w:rsid w:val="00CD0DB7"/>
    <w:rsid w:val="00CD0E3C"/>
    <w:rsid w:val="00CD0EAB"/>
    <w:rsid w:val="00CD0ED2"/>
    <w:rsid w:val="00CD0FFF"/>
    <w:rsid w:val="00CD104B"/>
    <w:rsid w:val="00CD1072"/>
    <w:rsid w:val="00CD1152"/>
    <w:rsid w:val="00CD124E"/>
    <w:rsid w:val="00CD12BC"/>
    <w:rsid w:val="00CD12C5"/>
    <w:rsid w:val="00CD1343"/>
    <w:rsid w:val="00CD1353"/>
    <w:rsid w:val="00CD1385"/>
    <w:rsid w:val="00CD156A"/>
    <w:rsid w:val="00CD1637"/>
    <w:rsid w:val="00CD16D1"/>
    <w:rsid w:val="00CD17A0"/>
    <w:rsid w:val="00CD189E"/>
    <w:rsid w:val="00CD18EC"/>
    <w:rsid w:val="00CD18F1"/>
    <w:rsid w:val="00CD1B76"/>
    <w:rsid w:val="00CD1C78"/>
    <w:rsid w:val="00CD1CF8"/>
    <w:rsid w:val="00CD1D17"/>
    <w:rsid w:val="00CD1E71"/>
    <w:rsid w:val="00CD20DA"/>
    <w:rsid w:val="00CD216F"/>
    <w:rsid w:val="00CD21F9"/>
    <w:rsid w:val="00CD2371"/>
    <w:rsid w:val="00CD2419"/>
    <w:rsid w:val="00CD252C"/>
    <w:rsid w:val="00CD2549"/>
    <w:rsid w:val="00CD257F"/>
    <w:rsid w:val="00CD259D"/>
    <w:rsid w:val="00CD26E7"/>
    <w:rsid w:val="00CD2711"/>
    <w:rsid w:val="00CD272D"/>
    <w:rsid w:val="00CD2749"/>
    <w:rsid w:val="00CD27BE"/>
    <w:rsid w:val="00CD27EE"/>
    <w:rsid w:val="00CD284C"/>
    <w:rsid w:val="00CD28A8"/>
    <w:rsid w:val="00CD28FB"/>
    <w:rsid w:val="00CD296F"/>
    <w:rsid w:val="00CD2AD0"/>
    <w:rsid w:val="00CD2B83"/>
    <w:rsid w:val="00CD2BE5"/>
    <w:rsid w:val="00CD2C10"/>
    <w:rsid w:val="00CD2DAE"/>
    <w:rsid w:val="00CD2E6D"/>
    <w:rsid w:val="00CD2E9A"/>
    <w:rsid w:val="00CD2F28"/>
    <w:rsid w:val="00CD2F90"/>
    <w:rsid w:val="00CD2FFA"/>
    <w:rsid w:val="00CD30F1"/>
    <w:rsid w:val="00CD31A4"/>
    <w:rsid w:val="00CD31EE"/>
    <w:rsid w:val="00CD32D2"/>
    <w:rsid w:val="00CD3489"/>
    <w:rsid w:val="00CD349B"/>
    <w:rsid w:val="00CD34A3"/>
    <w:rsid w:val="00CD35A4"/>
    <w:rsid w:val="00CD35E9"/>
    <w:rsid w:val="00CD3606"/>
    <w:rsid w:val="00CD36A4"/>
    <w:rsid w:val="00CD37E5"/>
    <w:rsid w:val="00CD389C"/>
    <w:rsid w:val="00CD38FC"/>
    <w:rsid w:val="00CD3987"/>
    <w:rsid w:val="00CD398C"/>
    <w:rsid w:val="00CD39E4"/>
    <w:rsid w:val="00CD3A05"/>
    <w:rsid w:val="00CD3AFF"/>
    <w:rsid w:val="00CD3B31"/>
    <w:rsid w:val="00CD3B43"/>
    <w:rsid w:val="00CD3BD8"/>
    <w:rsid w:val="00CD3C25"/>
    <w:rsid w:val="00CD3C33"/>
    <w:rsid w:val="00CD3CB3"/>
    <w:rsid w:val="00CD3CE0"/>
    <w:rsid w:val="00CD3D63"/>
    <w:rsid w:val="00CD3DC5"/>
    <w:rsid w:val="00CD3E08"/>
    <w:rsid w:val="00CD402B"/>
    <w:rsid w:val="00CD405B"/>
    <w:rsid w:val="00CD40E2"/>
    <w:rsid w:val="00CD41A1"/>
    <w:rsid w:val="00CD41EB"/>
    <w:rsid w:val="00CD42E4"/>
    <w:rsid w:val="00CD4313"/>
    <w:rsid w:val="00CD4319"/>
    <w:rsid w:val="00CD441D"/>
    <w:rsid w:val="00CD46E2"/>
    <w:rsid w:val="00CD485F"/>
    <w:rsid w:val="00CD4A0B"/>
    <w:rsid w:val="00CD4A20"/>
    <w:rsid w:val="00CD4B6F"/>
    <w:rsid w:val="00CD4C48"/>
    <w:rsid w:val="00CD4CDA"/>
    <w:rsid w:val="00CD4DCB"/>
    <w:rsid w:val="00CD4EF4"/>
    <w:rsid w:val="00CD4F38"/>
    <w:rsid w:val="00CD5110"/>
    <w:rsid w:val="00CD5252"/>
    <w:rsid w:val="00CD5377"/>
    <w:rsid w:val="00CD5465"/>
    <w:rsid w:val="00CD570E"/>
    <w:rsid w:val="00CD5717"/>
    <w:rsid w:val="00CD571C"/>
    <w:rsid w:val="00CD5735"/>
    <w:rsid w:val="00CD574B"/>
    <w:rsid w:val="00CD5885"/>
    <w:rsid w:val="00CD589E"/>
    <w:rsid w:val="00CD58E3"/>
    <w:rsid w:val="00CD59EA"/>
    <w:rsid w:val="00CD5A14"/>
    <w:rsid w:val="00CD5A25"/>
    <w:rsid w:val="00CD5A37"/>
    <w:rsid w:val="00CD5A93"/>
    <w:rsid w:val="00CD5B61"/>
    <w:rsid w:val="00CD5BCA"/>
    <w:rsid w:val="00CD5E8E"/>
    <w:rsid w:val="00CD5EAF"/>
    <w:rsid w:val="00CD603B"/>
    <w:rsid w:val="00CD60A8"/>
    <w:rsid w:val="00CD619B"/>
    <w:rsid w:val="00CD61FC"/>
    <w:rsid w:val="00CD6291"/>
    <w:rsid w:val="00CD6296"/>
    <w:rsid w:val="00CD636F"/>
    <w:rsid w:val="00CD63A9"/>
    <w:rsid w:val="00CD64C8"/>
    <w:rsid w:val="00CD6505"/>
    <w:rsid w:val="00CD658B"/>
    <w:rsid w:val="00CD65DC"/>
    <w:rsid w:val="00CD6680"/>
    <w:rsid w:val="00CD66B6"/>
    <w:rsid w:val="00CD66CB"/>
    <w:rsid w:val="00CD67F2"/>
    <w:rsid w:val="00CD6917"/>
    <w:rsid w:val="00CD693C"/>
    <w:rsid w:val="00CD695A"/>
    <w:rsid w:val="00CD698A"/>
    <w:rsid w:val="00CD69D3"/>
    <w:rsid w:val="00CD6B7D"/>
    <w:rsid w:val="00CD6BBE"/>
    <w:rsid w:val="00CD6D1F"/>
    <w:rsid w:val="00CD6DEB"/>
    <w:rsid w:val="00CD6E88"/>
    <w:rsid w:val="00CD6ED3"/>
    <w:rsid w:val="00CD6F68"/>
    <w:rsid w:val="00CD6FCE"/>
    <w:rsid w:val="00CD7056"/>
    <w:rsid w:val="00CD7105"/>
    <w:rsid w:val="00CD7115"/>
    <w:rsid w:val="00CD714B"/>
    <w:rsid w:val="00CD7237"/>
    <w:rsid w:val="00CD7382"/>
    <w:rsid w:val="00CD741F"/>
    <w:rsid w:val="00CD762B"/>
    <w:rsid w:val="00CD767B"/>
    <w:rsid w:val="00CD77B8"/>
    <w:rsid w:val="00CD782C"/>
    <w:rsid w:val="00CD7849"/>
    <w:rsid w:val="00CD786F"/>
    <w:rsid w:val="00CD7930"/>
    <w:rsid w:val="00CD7976"/>
    <w:rsid w:val="00CD7985"/>
    <w:rsid w:val="00CD79E7"/>
    <w:rsid w:val="00CD79EB"/>
    <w:rsid w:val="00CD7A19"/>
    <w:rsid w:val="00CD7A35"/>
    <w:rsid w:val="00CD7B76"/>
    <w:rsid w:val="00CD7B87"/>
    <w:rsid w:val="00CD7BCC"/>
    <w:rsid w:val="00CD7BEE"/>
    <w:rsid w:val="00CD7CCC"/>
    <w:rsid w:val="00CD7D9A"/>
    <w:rsid w:val="00CD7DF3"/>
    <w:rsid w:val="00CD7E1A"/>
    <w:rsid w:val="00CD7E8D"/>
    <w:rsid w:val="00CD7EB0"/>
    <w:rsid w:val="00CD7EE9"/>
    <w:rsid w:val="00CD7F04"/>
    <w:rsid w:val="00CD7F8B"/>
    <w:rsid w:val="00CE011C"/>
    <w:rsid w:val="00CE0168"/>
    <w:rsid w:val="00CE01C0"/>
    <w:rsid w:val="00CE0292"/>
    <w:rsid w:val="00CE03D8"/>
    <w:rsid w:val="00CE03E0"/>
    <w:rsid w:val="00CE03E8"/>
    <w:rsid w:val="00CE053B"/>
    <w:rsid w:val="00CE0684"/>
    <w:rsid w:val="00CE0957"/>
    <w:rsid w:val="00CE09C2"/>
    <w:rsid w:val="00CE0A5B"/>
    <w:rsid w:val="00CE0A7D"/>
    <w:rsid w:val="00CE0A7E"/>
    <w:rsid w:val="00CE0A8E"/>
    <w:rsid w:val="00CE0BFF"/>
    <w:rsid w:val="00CE0CD1"/>
    <w:rsid w:val="00CE0CFB"/>
    <w:rsid w:val="00CE0D7C"/>
    <w:rsid w:val="00CE0E05"/>
    <w:rsid w:val="00CE0E5B"/>
    <w:rsid w:val="00CE0EDA"/>
    <w:rsid w:val="00CE109D"/>
    <w:rsid w:val="00CE1178"/>
    <w:rsid w:val="00CE1268"/>
    <w:rsid w:val="00CE1315"/>
    <w:rsid w:val="00CE1320"/>
    <w:rsid w:val="00CE137D"/>
    <w:rsid w:val="00CE14A2"/>
    <w:rsid w:val="00CE1511"/>
    <w:rsid w:val="00CE1530"/>
    <w:rsid w:val="00CE15AE"/>
    <w:rsid w:val="00CE161A"/>
    <w:rsid w:val="00CE16DC"/>
    <w:rsid w:val="00CE1777"/>
    <w:rsid w:val="00CE1779"/>
    <w:rsid w:val="00CE18AB"/>
    <w:rsid w:val="00CE196C"/>
    <w:rsid w:val="00CE1A69"/>
    <w:rsid w:val="00CE1AA9"/>
    <w:rsid w:val="00CE1AC9"/>
    <w:rsid w:val="00CE1BBB"/>
    <w:rsid w:val="00CE1BD1"/>
    <w:rsid w:val="00CE1C08"/>
    <w:rsid w:val="00CE1C39"/>
    <w:rsid w:val="00CE1C59"/>
    <w:rsid w:val="00CE1D24"/>
    <w:rsid w:val="00CE1D4F"/>
    <w:rsid w:val="00CE1E96"/>
    <w:rsid w:val="00CE1F08"/>
    <w:rsid w:val="00CE1F19"/>
    <w:rsid w:val="00CE1F1B"/>
    <w:rsid w:val="00CE1F88"/>
    <w:rsid w:val="00CE1FA9"/>
    <w:rsid w:val="00CE1FB8"/>
    <w:rsid w:val="00CE1FCD"/>
    <w:rsid w:val="00CE2012"/>
    <w:rsid w:val="00CE20BB"/>
    <w:rsid w:val="00CE20ED"/>
    <w:rsid w:val="00CE21A3"/>
    <w:rsid w:val="00CE223C"/>
    <w:rsid w:val="00CE22B2"/>
    <w:rsid w:val="00CE233B"/>
    <w:rsid w:val="00CE2341"/>
    <w:rsid w:val="00CE239E"/>
    <w:rsid w:val="00CE248F"/>
    <w:rsid w:val="00CE24F0"/>
    <w:rsid w:val="00CE2532"/>
    <w:rsid w:val="00CE27E7"/>
    <w:rsid w:val="00CE2813"/>
    <w:rsid w:val="00CE283A"/>
    <w:rsid w:val="00CE2852"/>
    <w:rsid w:val="00CE2999"/>
    <w:rsid w:val="00CE29A1"/>
    <w:rsid w:val="00CE29AB"/>
    <w:rsid w:val="00CE29C3"/>
    <w:rsid w:val="00CE2A2C"/>
    <w:rsid w:val="00CE2A92"/>
    <w:rsid w:val="00CE2AB8"/>
    <w:rsid w:val="00CE2AD6"/>
    <w:rsid w:val="00CE2B4D"/>
    <w:rsid w:val="00CE2B4E"/>
    <w:rsid w:val="00CE2BBE"/>
    <w:rsid w:val="00CE2C04"/>
    <w:rsid w:val="00CE2C11"/>
    <w:rsid w:val="00CE2D5E"/>
    <w:rsid w:val="00CE2D85"/>
    <w:rsid w:val="00CE2F05"/>
    <w:rsid w:val="00CE2F43"/>
    <w:rsid w:val="00CE2F98"/>
    <w:rsid w:val="00CE2FE0"/>
    <w:rsid w:val="00CE30CE"/>
    <w:rsid w:val="00CE314E"/>
    <w:rsid w:val="00CE326F"/>
    <w:rsid w:val="00CE32C4"/>
    <w:rsid w:val="00CE32E9"/>
    <w:rsid w:val="00CE3440"/>
    <w:rsid w:val="00CE3481"/>
    <w:rsid w:val="00CE34B7"/>
    <w:rsid w:val="00CE34BB"/>
    <w:rsid w:val="00CE34E0"/>
    <w:rsid w:val="00CE35E9"/>
    <w:rsid w:val="00CE37B9"/>
    <w:rsid w:val="00CE3899"/>
    <w:rsid w:val="00CE38E9"/>
    <w:rsid w:val="00CE38F0"/>
    <w:rsid w:val="00CE38F3"/>
    <w:rsid w:val="00CE39A4"/>
    <w:rsid w:val="00CE39D2"/>
    <w:rsid w:val="00CE3A1B"/>
    <w:rsid w:val="00CE3A47"/>
    <w:rsid w:val="00CE3B27"/>
    <w:rsid w:val="00CE3B6B"/>
    <w:rsid w:val="00CE3BAC"/>
    <w:rsid w:val="00CE3D8C"/>
    <w:rsid w:val="00CE3F9B"/>
    <w:rsid w:val="00CE4027"/>
    <w:rsid w:val="00CE41E8"/>
    <w:rsid w:val="00CE4354"/>
    <w:rsid w:val="00CE435A"/>
    <w:rsid w:val="00CE44A6"/>
    <w:rsid w:val="00CE45FC"/>
    <w:rsid w:val="00CE4630"/>
    <w:rsid w:val="00CE46C3"/>
    <w:rsid w:val="00CE4717"/>
    <w:rsid w:val="00CE47B0"/>
    <w:rsid w:val="00CE47D9"/>
    <w:rsid w:val="00CE48E9"/>
    <w:rsid w:val="00CE4907"/>
    <w:rsid w:val="00CE4C62"/>
    <w:rsid w:val="00CE4D3F"/>
    <w:rsid w:val="00CE4D63"/>
    <w:rsid w:val="00CE4D8E"/>
    <w:rsid w:val="00CE4E4C"/>
    <w:rsid w:val="00CE4F03"/>
    <w:rsid w:val="00CE4F0A"/>
    <w:rsid w:val="00CE4F49"/>
    <w:rsid w:val="00CE4F89"/>
    <w:rsid w:val="00CE5068"/>
    <w:rsid w:val="00CE50D2"/>
    <w:rsid w:val="00CE5137"/>
    <w:rsid w:val="00CE5182"/>
    <w:rsid w:val="00CE52EE"/>
    <w:rsid w:val="00CE53EA"/>
    <w:rsid w:val="00CE53FB"/>
    <w:rsid w:val="00CE5416"/>
    <w:rsid w:val="00CE5632"/>
    <w:rsid w:val="00CE564C"/>
    <w:rsid w:val="00CE5678"/>
    <w:rsid w:val="00CE56E7"/>
    <w:rsid w:val="00CE5757"/>
    <w:rsid w:val="00CE5768"/>
    <w:rsid w:val="00CE576A"/>
    <w:rsid w:val="00CE579C"/>
    <w:rsid w:val="00CE57A3"/>
    <w:rsid w:val="00CE5845"/>
    <w:rsid w:val="00CE5940"/>
    <w:rsid w:val="00CE59D2"/>
    <w:rsid w:val="00CE5A54"/>
    <w:rsid w:val="00CE5A9A"/>
    <w:rsid w:val="00CE5B2F"/>
    <w:rsid w:val="00CE5C01"/>
    <w:rsid w:val="00CE5C2F"/>
    <w:rsid w:val="00CE5C63"/>
    <w:rsid w:val="00CE5CC5"/>
    <w:rsid w:val="00CE5DDF"/>
    <w:rsid w:val="00CE5DFE"/>
    <w:rsid w:val="00CE5E00"/>
    <w:rsid w:val="00CE5E45"/>
    <w:rsid w:val="00CE5E77"/>
    <w:rsid w:val="00CE5E7B"/>
    <w:rsid w:val="00CE5EEB"/>
    <w:rsid w:val="00CE5F8D"/>
    <w:rsid w:val="00CE5F95"/>
    <w:rsid w:val="00CE60DE"/>
    <w:rsid w:val="00CE6395"/>
    <w:rsid w:val="00CE63F6"/>
    <w:rsid w:val="00CE65A1"/>
    <w:rsid w:val="00CE679C"/>
    <w:rsid w:val="00CE67F4"/>
    <w:rsid w:val="00CE6907"/>
    <w:rsid w:val="00CE694C"/>
    <w:rsid w:val="00CE69C4"/>
    <w:rsid w:val="00CE6B04"/>
    <w:rsid w:val="00CE6B18"/>
    <w:rsid w:val="00CE6C88"/>
    <w:rsid w:val="00CE6D18"/>
    <w:rsid w:val="00CE6D47"/>
    <w:rsid w:val="00CE6D94"/>
    <w:rsid w:val="00CE6DCE"/>
    <w:rsid w:val="00CE6EBD"/>
    <w:rsid w:val="00CE6ED7"/>
    <w:rsid w:val="00CE6F5B"/>
    <w:rsid w:val="00CE6F6A"/>
    <w:rsid w:val="00CE6F73"/>
    <w:rsid w:val="00CE6F7B"/>
    <w:rsid w:val="00CE6FEF"/>
    <w:rsid w:val="00CE7144"/>
    <w:rsid w:val="00CE7193"/>
    <w:rsid w:val="00CE72E3"/>
    <w:rsid w:val="00CE7303"/>
    <w:rsid w:val="00CE7309"/>
    <w:rsid w:val="00CE7380"/>
    <w:rsid w:val="00CE7522"/>
    <w:rsid w:val="00CE76F8"/>
    <w:rsid w:val="00CE7731"/>
    <w:rsid w:val="00CE77F6"/>
    <w:rsid w:val="00CE782E"/>
    <w:rsid w:val="00CE78D9"/>
    <w:rsid w:val="00CE78DB"/>
    <w:rsid w:val="00CE79A2"/>
    <w:rsid w:val="00CE79C4"/>
    <w:rsid w:val="00CE7A59"/>
    <w:rsid w:val="00CE7AF5"/>
    <w:rsid w:val="00CE7B68"/>
    <w:rsid w:val="00CE7B75"/>
    <w:rsid w:val="00CE7B79"/>
    <w:rsid w:val="00CE7C50"/>
    <w:rsid w:val="00CE7CCD"/>
    <w:rsid w:val="00CE7D78"/>
    <w:rsid w:val="00CE7D7D"/>
    <w:rsid w:val="00CE7DC8"/>
    <w:rsid w:val="00CE7DE6"/>
    <w:rsid w:val="00CE7E3A"/>
    <w:rsid w:val="00CE7E62"/>
    <w:rsid w:val="00CE7EB5"/>
    <w:rsid w:val="00CE7ED0"/>
    <w:rsid w:val="00CE7F03"/>
    <w:rsid w:val="00CE7F06"/>
    <w:rsid w:val="00CE7F28"/>
    <w:rsid w:val="00CE7F63"/>
    <w:rsid w:val="00CE7F7B"/>
    <w:rsid w:val="00CF0015"/>
    <w:rsid w:val="00CF00A0"/>
    <w:rsid w:val="00CF00C9"/>
    <w:rsid w:val="00CF0155"/>
    <w:rsid w:val="00CF0264"/>
    <w:rsid w:val="00CF02BF"/>
    <w:rsid w:val="00CF0393"/>
    <w:rsid w:val="00CF0495"/>
    <w:rsid w:val="00CF059A"/>
    <w:rsid w:val="00CF0784"/>
    <w:rsid w:val="00CF079B"/>
    <w:rsid w:val="00CF07A1"/>
    <w:rsid w:val="00CF0888"/>
    <w:rsid w:val="00CF096D"/>
    <w:rsid w:val="00CF09A9"/>
    <w:rsid w:val="00CF09E4"/>
    <w:rsid w:val="00CF0C16"/>
    <w:rsid w:val="00CF0C2A"/>
    <w:rsid w:val="00CF0C90"/>
    <w:rsid w:val="00CF0D32"/>
    <w:rsid w:val="00CF0DC9"/>
    <w:rsid w:val="00CF0E0B"/>
    <w:rsid w:val="00CF0F24"/>
    <w:rsid w:val="00CF0F60"/>
    <w:rsid w:val="00CF0F7F"/>
    <w:rsid w:val="00CF0FEE"/>
    <w:rsid w:val="00CF10F5"/>
    <w:rsid w:val="00CF111B"/>
    <w:rsid w:val="00CF1137"/>
    <w:rsid w:val="00CF1169"/>
    <w:rsid w:val="00CF12FF"/>
    <w:rsid w:val="00CF14A5"/>
    <w:rsid w:val="00CF14A9"/>
    <w:rsid w:val="00CF1504"/>
    <w:rsid w:val="00CF1575"/>
    <w:rsid w:val="00CF15DE"/>
    <w:rsid w:val="00CF1800"/>
    <w:rsid w:val="00CF184C"/>
    <w:rsid w:val="00CF1856"/>
    <w:rsid w:val="00CF1916"/>
    <w:rsid w:val="00CF1A93"/>
    <w:rsid w:val="00CF1AA5"/>
    <w:rsid w:val="00CF1B09"/>
    <w:rsid w:val="00CF1D21"/>
    <w:rsid w:val="00CF1D2C"/>
    <w:rsid w:val="00CF1D70"/>
    <w:rsid w:val="00CF1D76"/>
    <w:rsid w:val="00CF1DB0"/>
    <w:rsid w:val="00CF1DC6"/>
    <w:rsid w:val="00CF1E1A"/>
    <w:rsid w:val="00CF1E68"/>
    <w:rsid w:val="00CF1EC8"/>
    <w:rsid w:val="00CF1F3B"/>
    <w:rsid w:val="00CF203A"/>
    <w:rsid w:val="00CF2055"/>
    <w:rsid w:val="00CF2184"/>
    <w:rsid w:val="00CF22D5"/>
    <w:rsid w:val="00CF25A3"/>
    <w:rsid w:val="00CF25C9"/>
    <w:rsid w:val="00CF25CC"/>
    <w:rsid w:val="00CF262D"/>
    <w:rsid w:val="00CF270C"/>
    <w:rsid w:val="00CF289A"/>
    <w:rsid w:val="00CF28F4"/>
    <w:rsid w:val="00CF295E"/>
    <w:rsid w:val="00CF2970"/>
    <w:rsid w:val="00CF29DF"/>
    <w:rsid w:val="00CF2B57"/>
    <w:rsid w:val="00CF2B9D"/>
    <w:rsid w:val="00CF2BD7"/>
    <w:rsid w:val="00CF2CB4"/>
    <w:rsid w:val="00CF2D0B"/>
    <w:rsid w:val="00CF2DF6"/>
    <w:rsid w:val="00CF2E1B"/>
    <w:rsid w:val="00CF2F70"/>
    <w:rsid w:val="00CF2F9C"/>
    <w:rsid w:val="00CF30AC"/>
    <w:rsid w:val="00CF310F"/>
    <w:rsid w:val="00CF3313"/>
    <w:rsid w:val="00CF339F"/>
    <w:rsid w:val="00CF343B"/>
    <w:rsid w:val="00CF3532"/>
    <w:rsid w:val="00CF361D"/>
    <w:rsid w:val="00CF3628"/>
    <w:rsid w:val="00CF374E"/>
    <w:rsid w:val="00CF381A"/>
    <w:rsid w:val="00CF38A9"/>
    <w:rsid w:val="00CF3906"/>
    <w:rsid w:val="00CF3A02"/>
    <w:rsid w:val="00CF3B0B"/>
    <w:rsid w:val="00CF3B46"/>
    <w:rsid w:val="00CF3B78"/>
    <w:rsid w:val="00CF3B7E"/>
    <w:rsid w:val="00CF3BF9"/>
    <w:rsid w:val="00CF3C0C"/>
    <w:rsid w:val="00CF3C92"/>
    <w:rsid w:val="00CF3E1F"/>
    <w:rsid w:val="00CF3E45"/>
    <w:rsid w:val="00CF3EF8"/>
    <w:rsid w:val="00CF3F0C"/>
    <w:rsid w:val="00CF3FF6"/>
    <w:rsid w:val="00CF4024"/>
    <w:rsid w:val="00CF4053"/>
    <w:rsid w:val="00CF40D9"/>
    <w:rsid w:val="00CF40E4"/>
    <w:rsid w:val="00CF40E9"/>
    <w:rsid w:val="00CF4108"/>
    <w:rsid w:val="00CF4139"/>
    <w:rsid w:val="00CF4153"/>
    <w:rsid w:val="00CF4245"/>
    <w:rsid w:val="00CF4289"/>
    <w:rsid w:val="00CF42B2"/>
    <w:rsid w:val="00CF42C2"/>
    <w:rsid w:val="00CF4389"/>
    <w:rsid w:val="00CF45C2"/>
    <w:rsid w:val="00CF45D1"/>
    <w:rsid w:val="00CF465D"/>
    <w:rsid w:val="00CF46D5"/>
    <w:rsid w:val="00CF471D"/>
    <w:rsid w:val="00CF472C"/>
    <w:rsid w:val="00CF47CA"/>
    <w:rsid w:val="00CF4837"/>
    <w:rsid w:val="00CF4946"/>
    <w:rsid w:val="00CF4A36"/>
    <w:rsid w:val="00CF4ACF"/>
    <w:rsid w:val="00CF4B2D"/>
    <w:rsid w:val="00CF4C25"/>
    <w:rsid w:val="00CF4E64"/>
    <w:rsid w:val="00CF4EE4"/>
    <w:rsid w:val="00CF4EE7"/>
    <w:rsid w:val="00CF4F2B"/>
    <w:rsid w:val="00CF5042"/>
    <w:rsid w:val="00CF509A"/>
    <w:rsid w:val="00CF50AA"/>
    <w:rsid w:val="00CF50E8"/>
    <w:rsid w:val="00CF514F"/>
    <w:rsid w:val="00CF5153"/>
    <w:rsid w:val="00CF51C2"/>
    <w:rsid w:val="00CF522E"/>
    <w:rsid w:val="00CF535A"/>
    <w:rsid w:val="00CF536B"/>
    <w:rsid w:val="00CF55DC"/>
    <w:rsid w:val="00CF55DF"/>
    <w:rsid w:val="00CF5695"/>
    <w:rsid w:val="00CF56CB"/>
    <w:rsid w:val="00CF57C5"/>
    <w:rsid w:val="00CF57D2"/>
    <w:rsid w:val="00CF58A9"/>
    <w:rsid w:val="00CF5996"/>
    <w:rsid w:val="00CF59CB"/>
    <w:rsid w:val="00CF5A68"/>
    <w:rsid w:val="00CF5AEE"/>
    <w:rsid w:val="00CF5B6E"/>
    <w:rsid w:val="00CF5BA9"/>
    <w:rsid w:val="00CF5BFF"/>
    <w:rsid w:val="00CF5C17"/>
    <w:rsid w:val="00CF5C52"/>
    <w:rsid w:val="00CF5D1C"/>
    <w:rsid w:val="00CF5D84"/>
    <w:rsid w:val="00CF5DB7"/>
    <w:rsid w:val="00CF5E32"/>
    <w:rsid w:val="00CF5ED5"/>
    <w:rsid w:val="00CF5EEB"/>
    <w:rsid w:val="00CF5F8C"/>
    <w:rsid w:val="00CF60A5"/>
    <w:rsid w:val="00CF60B3"/>
    <w:rsid w:val="00CF6155"/>
    <w:rsid w:val="00CF616E"/>
    <w:rsid w:val="00CF626B"/>
    <w:rsid w:val="00CF63C9"/>
    <w:rsid w:val="00CF63CD"/>
    <w:rsid w:val="00CF63D4"/>
    <w:rsid w:val="00CF64DC"/>
    <w:rsid w:val="00CF6608"/>
    <w:rsid w:val="00CF6621"/>
    <w:rsid w:val="00CF665C"/>
    <w:rsid w:val="00CF665F"/>
    <w:rsid w:val="00CF6671"/>
    <w:rsid w:val="00CF66A6"/>
    <w:rsid w:val="00CF67EB"/>
    <w:rsid w:val="00CF6A09"/>
    <w:rsid w:val="00CF6B29"/>
    <w:rsid w:val="00CF6C01"/>
    <w:rsid w:val="00CF6C3F"/>
    <w:rsid w:val="00CF6C66"/>
    <w:rsid w:val="00CF6D36"/>
    <w:rsid w:val="00CF6D45"/>
    <w:rsid w:val="00CF6D9B"/>
    <w:rsid w:val="00CF6DC0"/>
    <w:rsid w:val="00CF6EDC"/>
    <w:rsid w:val="00CF6FF7"/>
    <w:rsid w:val="00CF714B"/>
    <w:rsid w:val="00CF719B"/>
    <w:rsid w:val="00CF71FC"/>
    <w:rsid w:val="00CF727C"/>
    <w:rsid w:val="00CF7292"/>
    <w:rsid w:val="00CF72D6"/>
    <w:rsid w:val="00CF731C"/>
    <w:rsid w:val="00CF7326"/>
    <w:rsid w:val="00CF738D"/>
    <w:rsid w:val="00CF74A5"/>
    <w:rsid w:val="00CF74D9"/>
    <w:rsid w:val="00CF7529"/>
    <w:rsid w:val="00CF7604"/>
    <w:rsid w:val="00CF7646"/>
    <w:rsid w:val="00CF7744"/>
    <w:rsid w:val="00CF7776"/>
    <w:rsid w:val="00CF77B8"/>
    <w:rsid w:val="00CF7827"/>
    <w:rsid w:val="00CF7878"/>
    <w:rsid w:val="00CF78EA"/>
    <w:rsid w:val="00CF79D3"/>
    <w:rsid w:val="00CF7A27"/>
    <w:rsid w:val="00CF7A28"/>
    <w:rsid w:val="00CF7AE2"/>
    <w:rsid w:val="00CF7B21"/>
    <w:rsid w:val="00CF7C6F"/>
    <w:rsid w:val="00CF7D20"/>
    <w:rsid w:val="00CF7DDD"/>
    <w:rsid w:val="00CF7E92"/>
    <w:rsid w:val="00D00107"/>
    <w:rsid w:val="00D00138"/>
    <w:rsid w:val="00D00178"/>
    <w:rsid w:val="00D001B5"/>
    <w:rsid w:val="00D001D1"/>
    <w:rsid w:val="00D0023A"/>
    <w:rsid w:val="00D00280"/>
    <w:rsid w:val="00D00363"/>
    <w:rsid w:val="00D003A5"/>
    <w:rsid w:val="00D003BD"/>
    <w:rsid w:val="00D006DC"/>
    <w:rsid w:val="00D006EB"/>
    <w:rsid w:val="00D00838"/>
    <w:rsid w:val="00D00A8D"/>
    <w:rsid w:val="00D00ABA"/>
    <w:rsid w:val="00D00B8A"/>
    <w:rsid w:val="00D00C3E"/>
    <w:rsid w:val="00D00CA3"/>
    <w:rsid w:val="00D00DC3"/>
    <w:rsid w:val="00D00E34"/>
    <w:rsid w:val="00D00FCD"/>
    <w:rsid w:val="00D00FE7"/>
    <w:rsid w:val="00D01021"/>
    <w:rsid w:val="00D01136"/>
    <w:rsid w:val="00D011FD"/>
    <w:rsid w:val="00D013A8"/>
    <w:rsid w:val="00D013CA"/>
    <w:rsid w:val="00D014DB"/>
    <w:rsid w:val="00D014DE"/>
    <w:rsid w:val="00D0151D"/>
    <w:rsid w:val="00D01544"/>
    <w:rsid w:val="00D015C9"/>
    <w:rsid w:val="00D015FB"/>
    <w:rsid w:val="00D0173A"/>
    <w:rsid w:val="00D0174D"/>
    <w:rsid w:val="00D017D6"/>
    <w:rsid w:val="00D018C1"/>
    <w:rsid w:val="00D018D7"/>
    <w:rsid w:val="00D0192C"/>
    <w:rsid w:val="00D01937"/>
    <w:rsid w:val="00D019BE"/>
    <w:rsid w:val="00D019DC"/>
    <w:rsid w:val="00D01A12"/>
    <w:rsid w:val="00D01AB3"/>
    <w:rsid w:val="00D01AF9"/>
    <w:rsid w:val="00D01B9E"/>
    <w:rsid w:val="00D01BB8"/>
    <w:rsid w:val="00D01E02"/>
    <w:rsid w:val="00D02004"/>
    <w:rsid w:val="00D02012"/>
    <w:rsid w:val="00D0214D"/>
    <w:rsid w:val="00D021AE"/>
    <w:rsid w:val="00D0228E"/>
    <w:rsid w:val="00D02398"/>
    <w:rsid w:val="00D023AF"/>
    <w:rsid w:val="00D023C0"/>
    <w:rsid w:val="00D024F1"/>
    <w:rsid w:val="00D02727"/>
    <w:rsid w:val="00D027E0"/>
    <w:rsid w:val="00D028C6"/>
    <w:rsid w:val="00D02944"/>
    <w:rsid w:val="00D02958"/>
    <w:rsid w:val="00D029D5"/>
    <w:rsid w:val="00D02A4C"/>
    <w:rsid w:val="00D02A95"/>
    <w:rsid w:val="00D02B65"/>
    <w:rsid w:val="00D02BC5"/>
    <w:rsid w:val="00D02D16"/>
    <w:rsid w:val="00D02D1F"/>
    <w:rsid w:val="00D02E30"/>
    <w:rsid w:val="00D02E95"/>
    <w:rsid w:val="00D02EB4"/>
    <w:rsid w:val="00D02F0A"/>
    <w:rsid w:val="00D02F2A"/>
    <w:rsid w:val="00D0303E"/>
    <w:rsid w:val="00D03083"/>
    <w:rsid w:val="00D030E9"/>
    <w:rsid w:val="00D0313B"/>
    <w:rsid w:val="00D0323B"/>
    <w:rsid w:val="00D032A7"/>
    <w:rsid w:val="00D032B7"/>
    <w:rsid w:val="00D033AD"/>
    <w:rsid w:val="00D033E3"/>
    <w:rsid w:val="00D03411"/>
    <w:rsid w:val="00D0348B"/>
    <w:rsid w:val="00D034E4"/>
    <w:rsid w:val="00D03529"/>
    <w:rsid w:val="00D03537"/>
    <w:rsid w:val="00D03605"/>
    <w:rsid w:val="00D03657"/>
    <w:rsid w:val="00D0366F"/>
    <w:rsid w:val="00D037AF"/>
    <w:rsid w:val="00D037E5"/>
    <w:rsid w:val="00D03821"/>
    <w:rsid w:val="00D03852"/>
    <w:rsid w:val="00D03861"/>
    <w:rsid w:val="00D038E2"/>
    <w:rsid w:val="00D03916"/>
    <w:rsid w:val="00D03982"/>
    <w:rsid w:val="00D03A5A"/>
    <w:rsid w:val="00D03B07"/>
    <w:rsid w:val="00D03C45"/>
    <w:rsid w:val="00D03C4A"/>
    <w:rsid w:val="00D03C84"/>
    <w:rsid w:val="00D03DA4"/>
    <w:rsid w:val="00D03E5C"/>
    <w:rsid w:val="00D03E6E"/>
    <w:rsid w:val="00D03ED0"/>
    <w:rsid w:val="00D03F1B"/>
    <w:rsid w:val="00D03F49"/>
    <w:rsid w:val="00D03FB4"/>
    <w:rsid w:val="00D03FBD"/>
    <w:rsid w:val="00D0407B"/>
    <w:rsid w:val="00D040A8"/>
    <w:rsid w:val="00D04143"/>
    <w:rsid w:val="00D0416C"/>
    <w:rsid w:val="00D0422A"/>
    <w:rsid w:val="00D0422E"/>
    <w:rsid w:val="00D0438B"/>
    <w:rsid w:val="00D04488"/>
    <w:rsid w:val="00D044BB"/>
    <w:rsid w:val="00D044BC"/>
    <w:rsid w:val="00D044F8"/>
    <w:rsid w:val="00D04513"/>
    <w:rsid w:val="00D04897"/>
    <w:rsid w:val="00D048BB"/>
    <w:rsid w:val="00D048D6"/>
    <w:rsid w:val="00D04909"/>
    <w:rsid w:val="00D04A12"/>
    <w:rsid w:val="00D04A5E"/>
    <w:rsid w:val="00D04A74"/>
    <w:rsid w:val="00D04AE3"/>
    <w:rsid w:val="00D04B30"/>
    <w:rsid w:val="00D04B35"/>
    <w:rsid w:val="00D04C06"/>
    <w:rsid w:val="00D04C0F"/>
    <w:rsid w:val="00D04C9B"/>
    <w:rsid w:val="00D04D71"/>
    <w:rsid w:val="00D04E3B"/>
    <w:rsid w:val="00D04EEC"/>
    <w:rsid w:val="00D04F5B"/>
    <w:rsid w:val="00D05003"/>
    <w:rsid w:val="00D0501F"/>
    <w:rsid w:val="00D0502B"/>
    <w:rsid w:val="00D050C2"/>
    <w:rsid w:val="00D0515D"/>
    <w:rsid w:val="00D051D3"/>
    <w:rsid w:val="00D05249"/>
    <w:rsid w:val="00D053C0"/>
    <w:rsid w:val="00D054BE"/>
    <w:rsid w:val="00D054CD"/>
    <w:rsid w:val="00D0550C"/>
    <w:rsid w:val="00D055B6"/>
    <w:rsid w:val="00D0564D"/>
    <w:rsid w:val="00D05655"/>
    <w:rsid w:val="00D05660"/>
    <w:rsid w:val="00D05776"/>
    <w:rsid w:val="00D05805"/>
    <w:rsid w:val="00D05830"/>
    <w:rsid w:val="00D059DC"/>
    <w:rsid w:val="00D059F5"/>
    <w:rsid w:val="00D05A67"/>
    <w:rsid w:val="00D05B20"/>
    <w:rsid w:val="00D05B74"/>
    <w:rsid w:val="00D05C74"/>
    <w:rsid w:val="00D05CAF"/>
    <w:rsid w:val="00D05CB5"/>
    <w:rsid w:val="00D05CD9"/>
    <w:rsid w:val="00D05E48"/>
    <w:rsid w:val="00D05EDA"/>
    <w:rsid w:val="00D0604E"/>
    <w:rsid w:val="00D060BB"/>
    <w:rsid w:val="00D061A8"/>
    <w:rsid w:val="00D061D5"/>
    <w:rsid w:val="00D06210"/>
    <w:rsid w:val="00D0623D"/>
    <w:rsid w:val="00D06329"/>
    <w:rsid w:val="00D06406"/>
    <w:rsid w:val="00D06480"/>
    <w:rsid w:val="00D064E6"/>
    <w:rsid w:val="00D064EE"/>
    <w:rsid w:val="00D06854"/>
    <w:rsid w:val="00D06857"/>
    <w:rsid w:val="00D069C6"/>
    <w:rsid w:val="00D06A40"/>
    <w:rsid w:val="00D06A82"/>
    <w:rsid w:val="00D06B53"/>
    <w:rsid w:val="00D06BA9"/>
    <w:rsid w:val="00D06BCE"/>
    <w:rsid w:val="00D06BE9"/>
    <w:rsid w:val="00D06C04"/>
    <w:rsid w:val="00D06CAD"/>
    <w:rsid w:val="00D06D08"/>
    <w:rsid w:val="00D06D26"/>
    <w:rsid w:val="00D06D78"/>
    <w:rsid w:val="00D06E06"/>
    <w:rsid w:val="00D06E35"/>
    <w:rsid w:val="00D06FB7"/>
    <w:rsid w:val="00D070B9"/>
    <w:rsid w:val="00D070C2"/>
    <w:rsid w:val="00D070F6"/>
    <w:rsid w:val="00D0724C"/>
    <w:rsid w:val="00D07250"/>
    <w:rsid w:val="00D0727A"/>
    <w:rsid w:val="00D07320"/>
    <w:rsid w:val="00D0732B"/>
    <w:rsid w:val="00D07390"/>
    <w:rsid w:val="00D0739D"/>
    <w:rsid w:val="00D07453"/>
    <w:rsid w:val="00D074C1"/>
    <w:rsid w:val="00D07614"/>
    <w:rsid w:val="00D076A5"/>
    <w:rsid w:val="00D076AE"/>
    <w:rsid w:val="00D07706"/>
    <w:rsid w:val="00D0774B"/>
    <w:rsid w:val="00D07875"/>
    <w:rsid w:val="00D0790F"/>
    <w:rsid w:val="00D0799D"/>
    <w:rsid w:val="00D079A3"/>
    <w:rsid w:val="00D079D7"/>
    <w:rsid w:val="00D07A8A"/>
    <w:rsid w:val="00D07B26"/>
    <w:rsid w:val="00D07B64"/>
    <w:rsid w:val="00D07BD9"/>
    <w:rsid w:val="00D07BEE"/>
    <w:rsid w:val="00D07CBC"/>
    <w:rsid w:val="00D07D33"/>
    <w:rsid w:val="00D07D39"/>
    <w:rsid w:val="00D07D3A"/>
    <w:rsid w:val="00D07D3D"/>
    <w:rsid w:val="00D07EFB"/>
    <w:rsid w:val="00D07FA2"/>
    <w:rsid w:val="00D07FC4"/>
    <w:rsid w:val="00D07FE7"/>
    <w:rsid w:val="00D10037"/>
    <w:rsid w:val="00D100B9"/>
    <w:rsid w:val="00D100E6"/>
    <w:rsid w:val="00D1012F"/>
    <w:rsid w:val="00D101B3"/>
    <w:rsid w:val="00D1022C"/>
    <w:rsid w:val="00D1026B"/>
    <w:rsid w:val="00D10275"/>
    <w:rsid w:val="00D102A1"/>
    <w:rsid w:val="00D10353"/>
    <w:rsid w:val="00D103C2"/>
    <w:rsid w:val="00D10433"/>
    <w:rsid w:val="00D10593"/>
    <w:rsid w:val="00D105B9"/>
    <w:rsid w:val="00D10615"/>
    <w:rsid w:val="00D10671"/>
    <w:rsid w:val="00D106CF"/>
    <w:rsid w:val="00D10748"/>
    <w:rsid w:val="00D108DC"/>
    <w:rsid w:val="00D10A5F"/>
    <w:rsid w:val="00D10ADE"/>
    <w:rsid w:val="00D10BAF"/>
    <w:rsid w:val="00D10BB1"/>
    <w:rsid w:val="00D10C19"/>
    <w:rsid w:val="00D10C4E"/>
    <w:rsid w:val="00D10CE9"/>
    <w:rsid w:val="00D10D07"/>
    <w:rsid w:val="00D10D1F"/>
    <w:rsid w:val="00D10DD2"/>
    <w:rsid w:val="00D10E9C"/>
    <w:rsid w:val="00D10F65"/>
    <w:rsid w:val="00D11052"/>
    <w:rsid w:val="00D1105A"/>
    <w:rsid w:val="00D11072"/>
    <w:rsid w:val="00D11088"/>
    <w:rsid w:val="00D112AD"/>
    <w:rsid w:val="00D11355"/>
    <w:rsid w:val="00D11461"/>
    <w:rsid w:val="00D115F2"/>
    <w:rsid w:val="00D11659"/>
    <w:rsid w:val="00D1166D"/>
    <w:rsid w:val="00D1179A"/>
    <w:rsid w:val="00D1179B"/>
    <w:rsid w:val="00D1179C"/>
    <w:rsid w:val="00D11943"/>
    <w:rsid w:val="00D11949"/>
    <w:rsid w:val="00D11A2B"/>
    <w:rsid w:val="00D11A69"/>
    <w:rsid w:val="00D11B2A"/>
    <w:rsid w:val="00D11B5D"/>
    <w:rsid w:val="00D11C28"/>
    <w:rsid w:val="00D11D5A"/>
    <w:rsid w:val="00D11DCF"/>
    <w:rsid w:val="00D11EC3"/>
    <w:rsid w:val="00D1203A"/>
    <w:rsid w:val="00D12111"/>
    <w:rsid w:val="00D121C4"/>
    <w:rsid w:val="00D12217"/>
    <w:rsid w:val="00D12238"/>
    <w:rsid w:val="00D12339"/>
    <w:rsid w:val="00D123CE"/>
    <w:rsid w:val="00D12401"/>
    <w:rsid w:val="00D1243E"/>
    <w:rsid w:val="00D124A8"/>
    <w:rsid w:val="00D12506"/>
    <w:rsid w:val="00D1269B"/>
    <w:rsid w:val="00D12760"/>
    <w:rsid w:val="00D127CF"/>
    <w:rsid w:val="00D128BE"/>
    <w:rsid w:val="00D1299C"/>
    <w:rsid w:val="00D129DF"/>
    <w:rsid w:val="00D129F4"/>
    <w:rsid w:val="00D12A29"/>
    <w:rsid w:val="00D12B15"/>
    <w:rsid w:val="00D12B28"/>
    <w:rsid w:val="00D12BAA"/>
    <w:rsid w:val="00D12BE7"/>
    <w:rsid w:val="00D12BF9"/>
    <w:rsid w:val="00D12CD3"/>
    <w:rsid w:val="00D12D94"/>
    <w:rsid w:val="00D12E90"/>
    <w:rsid w:val="00D12EC3"/>
    <w:rsid w:val="00D12EE4"/>
    <w:rsid w:val="00D12EF7"/>
    <w:rsid w:val="00D12FAC"/>
    <w:rsid w:val="00D13129"/>
    <w:rsid w:val="00D1318C"/>
    <w:rsid w:val="00D1324A"/>
    <w:rsid w:val="00D13509"/>
    <w:rsid w:val="00D1354B"/>
    <w:rsid w:val="00D13688"/>
    <w:rsid w:val="00D136D3"/>
    <w:rsid w:val="00D13867"/>
    <w:rsid w:val="00D13AB0"/>
    <w:rsid w:val="00D13BA2"/>
    <w:rsid w:val="00D13BAE"/>
    <w:rsid w:val="00D13C2B"/>
    <w:rsid w:val="00D13C2F"/>
    <w:rsid w:val="00D13C78"/>
    <w:rsid w:val="00D13CFD"/>
    <w:rsid w:val="00D13E65"/>
    <w:rsid w:val="00D13E8B"/>
    <w:rsid w:val="00D13EA9"/>
    <w:rsid w:val="00D13F74"/>
    <w:rsid w:val="00D13F8E"/>
    <w:rsid w:val="00D13F93"/>
    <w:rsid w:val="00D13FD2"/>
    <w:rsid w:val="00D13FE5"/>
    <w:rsid w:val="00D14064"/>
    <w:rsid w:val="00D140D5"/>
    <w:rsid w:val="00D14197"/>
    <w:rsid w:val="00D141DC"/>
    <w:rsid w:val="00D14233"/>
    <w:rsid w:val="00D14240"/>
    <w:rsid w:val="00D14248"/>
    <w:rsid w:val="00D1429F"/>
    <w:rsid w:val="00D142BB"/>
    <w:rsid w:val="00D1447B"/>
    <w:rsid w:val="00D144FA"/>
    <w:rsid w:val="00D1450C"/>
    <w:rsid w:val="00D1454E"/>
    <w:rsid w:val="00D14602"/>
    <w:rsid w:val="00D1460C"/>
    <w:rsid w:val="00D1464C"/>
    <w:rsid w:val="00D1476D"/>
    <w:rsid w:val="00D147ED"/>
    <w:rsid w:val="00D14937"/>
    <w:rsid w:val="00D149C4"/>
    <w:rsid w:val="00D14A6A"/>
    <w:rsid w:val="00D14B63"/>
    <w:rsid w:val="00D14B8B"/>
    <w:rsid w:val="00D14BD3"/>
    <w:rsid w:val="00D14C6D"/>
    <w:rsid w:val="00D14C85"/>
    <w:rsid w:val="00D14C86"/>
    <w:rsid w:val="00D14D60"/>
    <w:rsid w:val="00D14E32"/>
    <w:rsid w:val="00D14F7B"/>
    <w:rsid w:val="00D1501A"/>
    <w:rsid w:val="00D15060"/>
    <w:rsid w:val="00D15078"/>
    <w:rsid w:val="00D15140"/>
    <w:rsid w:val="00D151EE"/>
    <w:rsid w:val="00D1522D"/>
    <w:rsid w:val="00D15361"/>
    <w:rsid w:val="00D153AA"/>
    <w:rsid w:val="00D1545E"/>
    <w:rsid w:val="00D15480"/>
    <w:rsid w:val="00D1555A"/>
    <w:rsid w:val="00D155C1"/>
    <w:rsid w:val="00D15696"/>
    <w:rsid w:val="00D156E2"/>
    <w:rsid w:val="00D15725"/>
    <w:rsid w:val="00D157C2"/>
    <w:rsid w:val="00D157CB"/>
    <w:rsid w:val="00D1587B"/>
    <w:rsid w:val="00D158C7"/>
    <w:rsid w:val="00D1591E"/>
    <w:rsid w:val="00D15975"/>
    <w:rsid w:val="00D159BA"/>
    <w:rsid w:val="00D159F9"/>
    <w:rsid w:val="00D15C38"/>
    <w:rsid w:val="00D15C6F"/>
    <w:rsid w:val="00D15CF4"/>
    <w:rsid w:val="00D15DFA"/>
    <w:rsid w:val="00D15E04"/>
    <w:rsid w:val="00D15E5E"/>
    <w:rsid w:val="00D15E8B"/>
    <w:rsid w:val="00D160FF"/>
    <w:rsid w:val="00D16106"/>
    <w:rsid w:val="00D1613E"/>
    <w:rsid w:val="00D1629A"/>
    <w:rsid w:val="00D16307"/>
    <w:rsid w:val="00D16560"/>
    <w:rsid w:val="00D16639"/>
    <w:rsid w:val="00D16643"/>
    <w:rsid w:val="00D1677C"/>
    <w:rsid w:val="00D167A1"/>
    <w:rsid w:val="00D16854"/>
    <w:rsid w:val="00D1687F"/>
    <w:rsid w:val="00D168C4"/>
    <w:rsid w:val="00D16935"/>
    <w:rsid w:val="00D16A3C"/>
    <w:rsid w:val="00D16AC9"/>
    <w:rsid w:val="00D16B78"/>
    <w:rsid w:val="00D16C1D"/>
    <w:rsid w:val="00D16CA1"/>
    <w:rsid w:val="00D16D7B"/>
    <w:rsid w:val="00D16E25"/>
    <w:rsid w:val="00D16E37"/>
    <w:rsid w:val="00D16EBE"/>
    <w:rsid w:val="00D16F26"/>
    <w:rsid w:val="00D171BC"/>
    <w:rsid w:val="00D17207"/>
    <w:rsid w:val="00D1724B"/>
    <w:rsid w:val="00D173C0"/>
    <w:rsid w:val="00D173E8"/>
    <w:rsid w:val="00D17665"/>
    <w:rsid w:val="00D176EF"/>
    <w:rsid w:val="00D176FC"/>
    <w:rsid w:val="00D17730"/>
    <w:rsid w:val="00D177D1"/>
    <w:rsid w:val="00D1780D"/>
    <w:rsid w:val="00D17855"/>
    <w:rsid w:val="00D17921"/>
    <w:rsid w:val="00D1799B"/>
    <w:rsid w:val="00D17AB7"/>
    <w:rsid w:val="00D17ADA"/>
    <w:rsid w:val="00D17AED"/>
    <w:rsid w:val="00D17B17"/>
    <w:rsid w:val="00D17B4F"/>
    <w:rsid w:val="00D17C0E"/>
    <w:rsid w:val="00D17DD4"/>
    <w:rsid w:val="00D17DF8"/>
    <w:rsid w:val="00D17E74"/>
    <w:rsid w:val="00D17ED4"/>
    <w:rsid w:val="00D17FE5"/>
    <w:rsid w:val="00D20070"/>
    <w:rsid w:val="00D200D7"/>
    <w:rsid w:val="00D2022F"/>
    <w:rsid w:val="00D2031D"/>
    <w:rsid w:val="00D20398"/>
    <w:rsid w:val="00D203EB"/>
    <w:rsid w:val="00D20522"/>
    <w:rsid w:val="00D20538"/>
    <w:rsid w:val="00D206A1"/>
    <w:rsid w:val="00D206BA"/>
    <w:rsid w:val="00D206EC"/>
    <w:rsid w:val="00D2070C"/>
    <w:rsid w:val="00D20773"/>
    <w:rsid w:val="00D2079E"/>
    <w:rsid w:val="00D207DB"/>
    <w:rsid w:val="00D20A7F"/>
    <w:rsid w:val="00D20B62"/>
    <w:rsid w:val="00D20DC9"/>
    <w:rsid w:val="00D20E4C"/>
    <w:rsid w:val="00D20E6E"/>
    <w:rsid w:val="00D20E81"/>
    <w:rsid w:val="00D20FD1"/>
    <w:rsid w:val="00D210BB"/>
    <w:rsid w:val="00D21162"/>
    <w:rsid w:val="00D211A3"/>
    <w:rsid w:val="00D21205"/>
    <w:rsid w:val="00D212D2"/>
    <w:rsid w:val="00D2132A"/>
    <w:rsid w:val="00D2132C"/>
    <w:rsid w:val="00D213D9"/>
    <w:rsid w:val="00D21408"/>
    <w:rsid w:val="00D21437"/>
    <w:rsid w:val="00D21485"/>
    <w:rsid w:val="00D2150C"/>
    <w:rsid w:val="00D215AD"/>
    <w:rsid w:val="00D215BD"/>
    <w:rsid w:val="00D2171E"/>
    <w:rsid w:val="00D2172B"/>
    <w:rsid w:val="00D217A2"/>
    <w:rsid w:val="00D217E4"/>
    <w:rsid w:val="00D217F0"/>
    <w:rsid w:val="00D219A9"/>
    <w:rsid w:val="00D219D0"/>
    <w:rsid w:val="00D21B3A"/>
    <w:rsid w:val="00D21B46"/>
    <w:rsid w:val="00D21CAD"/>
    <w:rsid w:val="00D21D22"/>
    <w:rsid w:val="00D21D77"/>
    <w:rsid w:val="00D21D8A"/>
    <w:rsid w:val="00D21E6F"/>
    <w:rsid w:val="00D21F11"/>
    <w:rsid w:val="00D21F5A"/>
    <w:rsid w:val="00D21FD4"/>
    <w:rsid w:val="00D2209E"/>
    <w:rsid w:val="00D220B8"/>
    <w:rsid w:val="00D22122"/>
    <w:rsid w:val="00D2212B"/>
    <w:rsid w:val="00D2213E"/>
    <w:rsid w:val="00D2218E"/>
    <w:rsid w:val="00D22228"/>
    <w:rsid w:val="00D22232"/>
    <w:rsid w:val="00D2225A"/>
    <w:rsid w:val="00D2233D"/>
    <w:rsid w:val="00D2234B"/>
    <w:rsid w:val="00D223A8"/>
    <w:rsid w:val="00D223AA"/>
    <w:rsid w:val="00D22457"/>
    <w:rsid w:val="00D224C5"/>
    <w:rsid w:val="00D2256B"/>
    <w:rsid w:val="00D2263D"/>
    <w:rsid w:val="00D2264B"/>
    <w:rsid w:val="00D2265F"/>
    <w:rsid w:val="00D2270E"/>
    <w:rsid w:val="00D22799"/>
    <w:rsid w:val="00D2279C"/>
    <w:rsid w:val="00D227A6"/>
    <w:rsid w:val="00D227C1"/>
    <w:rsid w:val="00D227FC"/>
    <w:rsid w:val="00D2286E"/>
    <w:rsid w:val="00D228A6"/>
    <w:rsid w:val="00D22B1A"/>
    <w:rsid w:val="00D22C0E"/>
    <w:rsid w:val="00D22C37"/>
    <w:rsid w:val="00D22CA0"/>
    <w:rsid w:val="00D22CF3"/>
    <w:rsid w:val="00D22EC7"/>
    <w:rsid w:val="00D22F31"/>
    <w:rsid w:val="00D22F43"/>
    <w:rsid w:val="00D22F5D"/>
    <w:rsid w:val="00D22F77"/>
    <w:rsid w:val="00D23100"/>
    <w:rsid w:val="00D2311D"/>
    <w:rsid w:val="00D231B6"/>
    <w:rsid w:val="00D231CE"/>
    <w:rsid w:val="00D2326D"/>
    <w:rsid w:val="00D23395"/>
    <w:rsid w:val="00D233A4"/>
    <w:rsid w:val="00D233CB"/>
    <w:rsid w:val="00D23525"/>
    <w:rsid w:val="00D235E3"/>
    <w:rsid w:val="00D236E6"/>
    <w:rsid w:val="00D23723"/>
    <w:rsid w:val="00D23732"/>
    <w:rsid w:val="00D23736"/>
    <w:rsid w:val="00D23751"/>
    <w:rsid w:val="00D23858"/>
    <w:rsid w:val="00D23947"/>
    <w:rsid w:val="00D2396D"/>
    <w:rsid w:val="00D2397E"/>
    <w:rsid w:val="00D239A1"/>
    <w:rsid w:val="00D23A41"/>
    <w:rsid w:val="00D23AA8"/>
    <w:rsid w:val="00D23ACA"/>
    <w:rsid w:val="00D23BDE"/>
    <w:rsid w:val="00D23D60"/>
    <w:rsid w:val="00D23E10"/>
    <w:rsid w:val="00D23FC2"/>
    <w:rsid w:val="00D24054"/>
    <w:rsid w:val="00D2406D"/>
    <w:rsid w:val="00D24171"/>
    <w:rsid w:val="00D2419F"/>
    <w:rsid w:val="00D24233"/>
    <w:rsid w:val="00D2428F"/>
    <w:rsid w:val="00D24339"/>
    <w:rsid w:val="00D2435A"/>
    <w:rsid w:val="00D243F6"/>
    <w:rsid w:val="00D2441C"/>
    <w:rsid w:val="00D24454"/>
    <w:rsid w:val="00D2445B"/>
    <w:rsid w:val="00D24492"/>
    <w:rsid w:val="00D244D1"/>
    <w:rsid w:val="00D2451D"/>
    <w:rsid w:val="00D2456C"/>
    <w:rsid w:val="00D245EF"/>
    <w:rsid w:val="00D2465D"/>
    <w:rsid w:val="00D246B8"/>
    <w:rsid w:val="00D246FC"/>
    <w:rsid w:val="00D24742"/>
    <w:rsid w:val="00D247C7"/>
    <w:rsid w:val="00D24860"/>
    <w:rsid w:val="00D249FC"/>
    <w:rsid w:val="00D24B2F"/>
    <w:rsid w:val="00D24BE9"/>
    <w:rsid w:val="00D24D3B"/>
    <w:rsid w:val="00D24E6F"/>
    <w:rsid w:val="00D24EE5"/>
    <w:rsid w:val="00D24F94"/>
    <w:rsid w:val="00D2500E"/>
    <w:rsid w:val="00D250F6"/>
    <w:rsid w:val="00D2518E"/>
    <w:rsid w:val="00D25253"/>
    <w:rsid w:val="00D2528E"/>
    <w:rsid w:val="00D25386"/>
    <w:rsid w:val="00D253D6"/>
    <w:rsid w:val="00D25488"/>
    <w:rsid w:val="00D254A4"/>
    <w:rsid w:val="00D25592"/>
    <w:rsid w:val="00D255F8"/>
    <w:rsid w:val="00D25799"/>
    <w:rsid w:val="00D257A9"/>
    <w:rsid w:val="00D257CF"/>
    <w:rsid w:val="00D257F5"/>
    <w:rsid w:val="00D25875"/>
    <w:rsid w:val="00D259CC"/>
    <w:rsid w:val="00D25A61"/>
    <w:rsid w:val="00D25ACB"/>
    <w:rsid w:val="00D25CCE"/>
    <w:rsid w:val="00D25DBA"/>
    <w:rsid w:val="00D25EFB"/>
    <w:rsid w:val="00D25F1D"/>
    <w:rsid w:val="00D25F7D"/>
    <w:rsid w:val="00D26001"/>
    <w:rsid w:val="00D260F7"/>
    <w:rsid w:val="00D261B8"/>
    <w:rsid w:val="00D26255"/>
    <w:rsid w:val="00D26272"/>
    <w:rsid w:val="00D26277"/>
    <w:rsid w:val="00D26278"/>
    <w:rsid w:val="00D2635E"/>
    <w:rsid w:val="00D26398"/>
    <w:rsid w:val="00D266AF"/>
    <w:rsid w:val="00D266F8"/>
    <w:rsid w:val="00D26745"/>
    <w:rsid w:val="00D2696A"/>
    <w:rsid w:val="00D26A13"/>
    <w:rsid w:val="00D26A1C"/>
    <w:rsid w:val="00D26AAC"/>
    <w:rsid w:val="00D26AF2"/>
    <w:rsid w:val="00D26AF9"/>
    <w:rsid w:val="00D26BD1"/>
    <w:rsid w:val="00D26BD5"/>
    <w:rsid w:val="00D26C22"/>
    <w:rsid w:val="00D26D11"/>
    <w:rsid w:val="00D26D26"/>
    <w:rsid w:val="00D26D3B"/>
    <w:rsid w:val="00D26D81"/>
    <w:rsid w:val="00D26DE8"/>
    <w:rsid w:val="00D26E32"/>
    <w:rsid w:val="00D26EE1"/>
    <w:rsid w:val="00D26F70"/>
    <w:rsid w:val="00D26FC6"/>
    <w:rsid w:val="00D2707F"/>
    <w:rsid w:val="00D2709B"/>
    <w:rsid w:val="00D2710A"/>
    <w:rsid w:val="00D2710D"/>
    <w:rsid w:val="00D2717B"/>
    <w:rsid w:val="00D27188"/>
    <w:rsid w:val="00D271C8"/>
    <w:rsid w:val="00D2722A"/>
    <w:rsid w:val="00D27393"/>
    <w:rsid w:val="00D27395"/>
    <w:rsid w:val="00D27452"/>
    <w:rsid w:val="00D27453"/>
    <w:rsid w:val="00D274A0"/>
    <w:rsid w:val="00D274BD"/>
    <w:rsid w:val="00D274FA"/>
    <w:rsid w:val="00D276B0"/>
    <w:rsid w:val="00D2778F"/>
    <w:rsid w:val="00D27875"/>
    <w:rsid w:val="00D278BE"/>
    <w:rsid w:val="00D2790D"/>
    <w:rsid w:val="00D27916"/>
    <w:rsid w:val="00D27983"/>
    <w:rsid w:val="00D27A32"/>
    <w:rsid w:val="00D27BAF"/>
    <w:rsid w:val="00D27CF7"/>
    <w:rsid w:val="00D27D4F"/>
    <w:rsid w:val="00D27DAC"/>
    <w:rsid w:val="00D27DBB"/>
    <w:rsid w:val="00D27F98"/>
    <w:rsid w:val="00D3002C"/>
    <w:rsid w:val="00D3004C"/>
    <w:rsid w:val="00D302E8"/>
    <w:rsid w:val="00D30403"/>
    <w:rsid w:val="00D30457"/>
    <w:rsid w:val="00D304C0"/>
    <w:rsid w:val="00D304C8"/>
    <w:rsid w:val="00D30586"/>
    <w:rsid w:val="00D3061B"/>
    <w:rsid w:val="00D30651"/>
    <w:rsid w:val="00D30695"/>
    <w:rsid w:val="00D307EC"/>
    <w:rsid w:val="00D3085E"/>
    <w:rsid w:val="00D30872"/>
    <w:rsid w:val="00D308BA"/>
    <w:rsid w:val="00D30A8B"/>
    <w:rsid w:val="00D30B0C"/>
    <w:rsid w:val="00D30C10"/>
    <w:rsid w:val="00D30C17"/>
    <w:rsid w:val="00D30C18"/>
    <w:rsid w:val="00D30C99"/>
    <w:rsid w:val="00D30CAE"/>
    <w:rsid w:val="00D30CFB"/>
    <w:rsid w:val="00D30E01"/>
    <w:rsid w:val="00D30E35"/>
    <w:rsid w:val="00D30F9C"/>
    <w:rsid w:val="00D31051"/>
    <w:rsid w:val="00D31095"/>
    <w:rsid w:val="00D3111A"/>
    <w:rsid w:val="00D31175"/>
    <w:rsid w:val="00D31219"/>
    <w:rsid w:val="00D31243"/>
    <w:rsid w:val="00D3137E"/>
    <w:rsid w:val="00D314B1"/>
    <w:rsid w:val="00D31553"/>
    <w:rsid w:val="00D315D8"/>
    <w:rsid w:val="00D317F8"/>
    <w:rsid w:val="00D3192C"/>
    <w:rsid w:val="00D319BE"/>
    <w:rsid w:val="00D319C7"/>
    <w:rsid w:val="00D31A4B"/>
    <w:rsid w:val="00D31A6E"/>
    <w:rsid w:val="00D31B82"/>
    <w:rsid w:val="00D31DF9"/>
    <w:rsid w:val="00D31E09"/>
    <w:rsid w:val="00D31E4D"/>
    <w:rsid w:val="00D31FC5"/>
    <w:rsid w:val="00D3205C"/>
    <w:rsid w:val="00D32144"/>
    <w:rsid w:val="00D32198"/>
    <w:rsid w:val="00D321CA"/>
    <w:rsid w:val="00D321DB"/>
    <w:rsid w:val="00D322D5"/>
    <w:rsid w:val="00D32373"/>
    <w:rsid w:val="00D32475"/>
    <w:rsid w:val="00D32554"/>
    <w:rsid w:val="00D32577"/>
    <w:rsid w:val="00D325FF"/>
    <w:rsid w:val="00D3264D"/>
    <w:rsid w:val="00D32669"/>
    <w:rsid w:val="00D32851"/>
    <w:rsid w:val="00D32861"/>
    <w:rsid w:val="00D328BC"/>
    <w:rsid w:val="00D328C9"/>
    <w:rsid w:val="00D328D1"/>
    <w:rsid w:val="00D3294A"/>
    <w:rsid w:val="00D329CB"/>
    <w:rsid w:val="00D32A48"/>
    <w:rsid w:val="00D32A8E"/>
    <w:rsid w:val="00D32B35"/>
    <w:rsid w:val="00D32BB6"/>
    <w:rsid w:val="00D32BB7"/>
    <w:rsid w:val="00D32BDC"/>
    <w:rsid w:val="00D32D14"/>
    <w:rsid w:val="00D32D68"/>
    <w:rsid w:val="00D32E89"/>
    <w:rsid w:val="00D32EEE"/>
    <w:rsid w:val="00D33070"/>
    <w:rsid w:val="00D330A6"/>
    <w:rsid w:val="00D331C5"/>
    <w:rsid w:val="00D33308"/>
    <w:rsid w:val="00D33469"/>
    <w:rsid w:val="00D334C4"/>
    <w:rsid w:val="00D3361C"/>
    <w:rsid w:val="00D33638"/>
    <w:rsid w:val="00D339C0"/>
    <w:rsid w:val="00D33A07"/>
    <w:rsid w:val="00D33A2C"/>
    <w:rsid w:val="00D33A5B"/>
    <w:rsid w:val="00D33A73"/>
    <w:rsid w:val="00D33AB7"/>
    <w:rsid w:val="00D33BD0"/>
    <w:rsid w:val="00D33C0E"/>
    <w:rsid w:val="00D33CCE"/>
    <w:rsid w:val="00D33D74"/>
    <w:rsid w:val="00D33E38"/>
    <w:rsid w:val="00D33FCE"/>
    <w:rsid w:val="00D34033"/>
    <w:rsid w:val="00D3412C"/>
    <w:rsid w:val="00D34156"/>
    <w:rsid w:val="00D3418A"/>
    <w:rsid w:val="00D341E7"/>
    <w:rsid w:val="00D3424D"/>
    <w:rsid w:val="00D34286"/>
    <w:rsid w:val="00D342AC"/>
    <w:rsid w:val="00D342CA"/>
    <w:rsid w:val="00D343AB"/>
    <w:rsid w:val="00D344A9"/>
    <w:rsid w:val="00D345AB"/>
    <w:rsid w:val="00D34614"/>
    <w:rsid w:val="00D3463A"/>
    <w:rsid w:val="00D346F1"/>
    <w:rsid w:val="00D34726"/>
    <w:rsid w:val="00D348D1"/>
    <w:rsid w:val="00D348E4"/>
    <w:rsid w:val="00D34973"/>
    <w:rsid w:val="00D34B07"/>
    <w:rsid w:val="00D34BBE"/>
    <w:rsid w:val="00D34BF7"/>
    <w:rsid w:val="00D34D2A"/>
    <w:rsid w:val="00D34E59"/>
    <w:rsid w:val="00D34E70"/>
    <w:rsid w:val="00D34EC0"/>
    <w:rsid w:val="00D34EDB"/>
    <w:rsid w:val="00D34F75"/>
    <w:rsid w:val="00D34FEC"/>
    <w:rsid w:val="00D3503D"/>
    <w:rsid w:val="00D350B4"/>
    <w:rsid w:val="00D35144"/>
    <w:rsid w:val="00D35150"/>
    <w:rsid w:val="00D3520D"/>
    <w:rsid w:val="00D35221"/>
    <w:rsid w:val="00D35261"/>
    <w:rsid w:val="00D3526A"/>
    <w:rsid w:val="00D352AA"/>
    <w:rsid w:val="00D35346"/>
    <w:rsid w:val="00D3534C"/>
    <w:rsid w:val="00D35369"/>
    <w:rsid w:val="00D3536C"/>
    <w:rsid w:val="00D353BF"/>
    <w:rsid w:val="00D35417"/>
    <w:rsid w:val="00D354C3"/>
    <w:rsid w:val="00D356C5"/>
    <w:rsid w:val="00D356C6"/>
    <w:rsid w:val="00D357A9"/>
    <w:rsid w:val="00D357E3"/>
    <w:rsid w:val="00D35852"/>
    <w:rsid w:val="00D35B09"/>
    <w:rsid w:val="00D35B0C"/>
    <w:rsid w:val="00D35B55"/>
    <w:rsid w:val="00D35BE0"/>
    <w:rsid w:val="00D35CEF"/>
    <w:rsid w:val="00D35D24"/>
    <w:rsid w:val="00D35DD2"/>
    <w:rsid w:val="00D35E1B"/>
    <w:rsid w:val="00D35ECF"/>
    <w:rsid w:val="00D35FE6"/>
    <w:rsid w:val="00D360C4"/>
    <w:rsid w:val="00D360D9"/>
    <w:rsid w:val="00D3610F"/>
    <w:rsid w:val="00D36125"/>
    <w:rsid w:val="00D36145"/>
    <w:rsid w:val="00D36158"/>
    <w:rsid w:val="00D36199"/>
    <w:rsid w:val="00D361C7"/>
    <w:rsid w:val="00D361FB"/>
    <w:rsid w:val="00D36262"/>
    <w:rsid w:val="00D362D4"/>
    <w:rsid w:val="00D36337"/>
    <w:rsid w:val="00D36374"/>
    <w:rsid w:val="00D3638F"/>
    <w:rsid w:val="00D36397"/>
    <w:rsid w:val="00D363FE"/>
    <w:rsid w:val="00D3654C"/>
    <w:rsid w:val="00D3655D"/>
    <w:rsid w:val="00D36568"/>
    <w:rsid w:val="00D365B7"/>
    <w:rsid w:val="00D36623"/>
    <w:rsid w:val="00D36626"/>
    <w:rsid w:val="00D36636"/>
    <w:rsid w:val="00D366D4"/>
    <w:rsid w:val="00D36A17"/>
    <w:rsid w:val="00D36A7E"/>
    <w:rsid w:val="00D36B26"/>
    <w:rsid w:val="00D36F29"/>
    <w:rsid w:val="00D36F2B"/>
    <w:rsid w:val="00D36FE0"/>
    <w:rsid w:val="00D36FFE"/>
    <w:rsid w:val="00D37008"/>
    <w:rsid w:val="00D37174"/>
    <w:rsid w:val="00D3724F"/>
    <w:rsid w:val="00D3734D"/>
    <w:rsid w:val="00D37367"/>
    <w:rsid w:val="00D373D3"/>
    <w:rsid w:val="00D373E9"/>
    <w:rsid w:val="00D37432"/>
    <w:rsid w:val="00D3744A"/>
    <w:rsid w:val="00D37549"/>
    <w:rsid w:val="00D3755C"/>
    <w:rsid w:val="00D3769A"/>
    <w:rsid w:val="00D3775C"/>
    <w:rsid w:val="00D37780"/>
    <w:rsid w:val="00D377A1"/>
    <w:rsid w:val="00D37A21"/>
    <w:rsid w:val="00D37BD0"/>
    <w:rsid w:val="00D37C03"/>
    <w:rsid w:val="00D37C92"/>
    <w:rsid w:val="00D37DCE"/>
    <w:rsid w:val="00D400E9"/>
    <w:rsid w:val="00D400EF"/>
    <w:rsid w:val="00D401D8"/>
    <w:rsid w:val="00D403FC"/>
    <w:rsid w:val="00D4047F"/>
    <w:rsid w:val="00D405A0"/>
    <w:rsid w:val="00D405C0"/>
    <w:rsid w:val="00D406D5"/>
    <w:rsid w:val="00D406DB"/>
    <w:rsid w:val="00D406E6"/>
    <w:rsid w:val="00D40828"/>
    <w:rsid w:val="00D40891"/>
    <w:rsid w:val="00D40A1F"/>
    <w:rsid w:val="00D40A85"/>
    <w:rsid w:val="00D40B3F"/>
    <w:rsid w:val="00D40B46"/>
    <w:rsid w:val="00D40CA5"/>
    <w:rsid w:val="00D40CE5"/>
    <w:rsid w:val="00D40DEC"/>
    <w:rsid w:val="00D40E86"/>
    <w:rsid w:val="00D40F66"/>
    <w:rsid w:val="00D40F76"/>
    <w:rsid w:val="00D410CC"/>
    <w:rsid w:val="00D41265"/>
    <w:rsid w:val="00D41300"/>
    <w:rsid w:val="00D41353"/>
    <w:rsid w:val="00D41476"/>
    <w:rsid w:val="00D4165D"/>
    <w:rsid w:val="00D4174F"/>
    <w:rsid w:val="00D418D7"/>
    <w:rsid w:val="00D41A77"/>
    <w:rsid w:val="00D41B35"/>
    <w:rsid w:val="00D41BA9"/>
    <w:rsid w:val="00D41D6D"/>
    <w:rsid w:val="00D41E5C"/>
    <w:rsid w:val="00D41E80"/>
    <w:rsid w:val="00D42078"/>
    <w:rsid w:val="00D42085"/>
    <w:rsid w:val="00D4221A"/>
    <w:rsid w:val="00D42240"/>
    <w:rsid w:val="00D42320"/>
    <w:rsid w:val="00D42389"/>
    <w:rsid w:val="00D423B2"/>
    <w:rsid w:val="00D42451"/>
    <w:rsid w:val="00D42502"/>
    <w:rsid w:val="00D42892"/>
    <w:rsid w:val="00D429B3"/>
    <w:rsid w:val="00D429E3"/>
    <w:rsid w:val="00D42AED"/>
    <w:rsid w:val="00D42B56"/>
    <w:rsid w:val="00D42BF7"/>
    <w:rsid w:val="00D42BFC"/>
    <w:rsid w:val="00D42C08"/>
    <w:rsid w:val="00D42C2B"/>
    <w:rsid w:val="00D42C9B"/>
    <w:rsid w:val="00D42D11"/>
    <w:rsid w:val="00D42D1A"/>
    <w:rsid w:val="00D42E5E"/>
    <w:rsid w:val="00D42E6E"/>
    <w:rsid w:val="00D42E8F"/>
    <w:rsid w:val="00D42F2F"/>
    <w:rsid w:val="00D42FC8"/>
    <w:rsid w:val="00D43153"/>
    <w:rsid w:val="00D4315B"/>
    <w:rsid w:val="00D432CA"/>
    <w:rsid w:val="00D43376"/>
    <w:rsid w:val="00D433E5"/>
    <w:rsid w:val="00D433EA"/>
    <w:rsid w:val="00D43408"/>
    <w:rsid w:val="00D434F8"/>
    <w:rsid w:val="00D43633"/>
    <w:rsid w:val="00D43678"/>
    <w:rsid w:val="00D4369E"/>
    <w:rsid w:val="00D438B3"/>
    <w:rsid w:val="00D439B2"/>
    <w:rsid w:val="00D439D4"/>
    <w:rsid w:val="00D43A6B"/>
    <w:rsid w:val="00D43A7A"/>
    <w:rsid w:val="00D43B12"/>
    <w:rsid w:val="00D43CF7"/>
    <w:rsid w:val="00D43D67"/>
    <w:rsid w:val="00D43DE9"/>
    <w:rsid w:val="00D43EB9"/>
    <w:rsid w:val="00D43FB5"/>
    <w:rsid w:val="00D43FD3"/>
    <w:rsid w:val="00D44064"/>
    <w:rsid w:val="00D44081"/>
    <w:rsid w:val="00D440C4"/>
    <w:rsid w:val="00D44103"/>
    <w:rsid w:val="00D441D7"/>
    <w:rsid w:val="00D4420D"/>
    <w:rsid w:val="00D44249"/>
    <w:rsid w:val="00D44257"/>
    <w:rsid w:val="00D442AD"/>
    <w:rsid w:val="00D442C8"/>
    <w:rsid w:val="00D442CC"/>
    <w:rsid w:val="00D442D9"/>
    <w:rsid w:val="00D4430D"/>
    <w:rsid w:val="00D44394"/>
    <w:rsid w:val="00D4443F"/>
    <w:rsid w:val="00D4446A"/>
    <w:rsid w:val="00D44514"/>
    <w:rsid w:val="00D44601"/>
    <w:rsid w:val="00D44721"/>
    <w:rsid w:val="00D4490A"/>
    <w:rsid w:val="00D449C9"/>
    <w:rsid w:val="00D44A0B"/>
    <w:rsid w:val="00D44AE8"/>
    <w:rsid w:val="00D44B6F"/>
    <w:rsid w:val="00D44B93"/>
    <w:rsid w:val="00D44C57"/>
    <w:rsid w:val="00D44CA2"/>
    <w:rsid w:val="00D44CA4"/>
    <w:rsid w:val="00D44CB6"/>
    <w:rsid w:val="00D44D8C"/>
    <w:rsid w:val="00D44DFF"/>
    <w:rsid w:val="00D44E13"/>
    <w:rsid w:val="00D44F4B"/>
    <w:rsid w:val="00D44F51"/>
    <w:rsid w:val="00D44F93"/>
    <w:rsid w:val="00D45072"/>
    <w:rsid w:val="00D450A6"/>
    <w:rsid w:val="00D450C3"/>
    <w:rsid w:val="00D45150"/>
    <w:rsid w:val="00D45206"/>
    <w:rsid w:val="00D45289"/>
    <w:rsid w:val="00D45365"/>
    <w:rsid w:val="00D45526"/>
    <w:rsid w:val="00D456F5"/>
    <w:rsid w:val="00D458BE"/>
    <w:rsid w:val="00D4592C"/>
    <w:rsid w:val="00D459CE"/>
    <w:rsid w:val="00D45A1D"/>
    <w:rsid w:val="00D45AC2"/>
    <w:rsid w:val="00D45B96"/>
    <w:rsid w:val="00D45C3B"/>
    <w:rsid w:val="00D45C59"/>
    <w:rsid w:val="00D45CA2"/>
    <w:rsid w:val="00D45DB0"/>
    <w:rsid w:val="00D45E2D"/>
    <w:rsid w:val="00D45E4A"/>
    <w:rsid w:val="00D45EA4"/>
    <w:rsid w:val="00D45F6E"/>
    <w:rsid w:val="00D45FAF"/>
    <w:rsid w:val="00D46039"/>
    <w:rsid w:val="00D4625C"/>
    <w:rsid w:val="00D46357"/>
    <w:rsid w:val="00D463E1"/>
    <w:rsid w:val="00D4662D"/>
    <w:rsid w:val="00D46643"/>
    <w:rsid w:val="00D46701"/>
    <w:rsid w:val="00D4673B"/>
    <w:rsid w:val="00D46744"/>
    <w:rsid w:val="00D46797"/>
    <w:rsid w:val="00D467D4"/>
    <w:rsid w:val="00D46861"/>
    <w:rsid w:val="00D46886"/>
    <w:rsid w:val="00D4688A"/>
    <w:rsid w:val="00D46943"/>
    <w:rsid w:val="00D46993"/>
    <w:rsid w:val="00D46A67"/>
    <w:rsid w:val="00D46A74"/>
    <w:rsid w:val="00D46ADE"/>
    <w:rsid w:val="00D46B95"/>
    <w:rsid w:val="00D46D60"/>
    <w:rsid w:val="00D46DD2"/>
    <w:rsid w:val="00D46E5E"/>
    <w:rsid w:val="00D46E8F"/>
    <w:rsid w:val="00D46F18"/>
    <w:rsid w:val="00D46F9F"/>
    <w:rsid w:val="00D46FCC"/>
    <w:rsid w:val="00D47181"/>
    <w:rsid w:val="00D47245"/>
    <w:rsid w:val="00D47291"/>
    <w:rsid w:val="00D47405"/>
    <w:rsid w:val="00D474EC"/>
    <w:rsid w:val="00D4754E"/>
    <w:rsid w:val="00D475F2"/>
    <w:rsid w:val="00D475FA"/>
    <w:rsid w:val="00D476F2"/>
    <w:rsid w:val="00D47739"/>
    <w:rsid w:val="00D477BA"/>
    <w:rsid w:val="00D477C4"/>
    <w:rsid w:val="00D47869"/>
    <w:rsid w:val="00D478C6"/>
    <w:rsid w:val="00D47908"/>
    <w:rsid w:val="00D47924"/>
    <w:rsid w:val="00D479BD"/>
    <w:rsid w:val="00D479C1"/>
    <w:rsid w:val="00D47B63"/>
    <w:rsid w:val="00D47B97"/>
    <w:rsid w:val="00D47C09"/>
    <w:rsid w:val="00D47D30"/>
    <w:rsid w:val="00D47D59"/>
    <w:rsid w:val="00D47D5F"/>
    <w:rsid w:val="00D47DB2"/>
    <w:rsid w:val="00D47DF2"/>
    <w:rsid w:val="00D47E1E"/>
    <w:rsid w:val="00D47E83"/>
    <w:rsid w:val="00D47EFE"/>
    <w:rsid w:val="00D47F85"/>
    <w:rsid w:val="00D5009C"/>
    <w:rsid w:val="00D5011B"/>
    <w:rsid w:val="00D501A1"/>
    <w:rsid w:val="00D501FF"/>
    <w:rsid w:val="00D50208"/>
    <w:rsid w:val="00D50280"/>
    <w:rsid w:val="00D503D6"/>
    <w:rsid w:val="00D50488"/>
    <w:rsid w:val="00D50668"/>
    <w:rsid w:val="00D5067B"/>
    <w:rsid w:val="00D5067C"/>
    <w:rsid w:val="00D506B0"/>
    <w:rsid w:val="00D50771"/>
    <w:rsid w:val="00D507B2"/>
    <w:rsid w:val="00D508C2"/>
    <w:rsid w:val="00D50918"/>
    <w:rsid w:val="00D509CC"/>
    <w:rsid w:val="00D50A0A"/>
    <w:rsid w:val="00D50ABB"/>
    <w:rsid w:val="00D50B51"/>
    <w:rsid w:val="00D50BD9"/>
    <w:rsid w:val="00D50C3E"/>
    <w:rsid w:val="00D50C62"/>
    <w:rsid w:val="00D50D7E"/>
    <w:rsid w:val="00D50E14"/>
    <w:rsid w:val="00D50E37"/>
    <w:rsid w:val="00D50EC8"/>
    <w:rsid w:val="00D50ED8"/>
    <w:rsid w:val="00D50F12"/>
    <w:rsid w:val="00D51059"/>
    <w:rsid w:val="00D512B8"/>
    <w:rsid w:val="00D5131D"/>
    <w:rsid w:val="00D51435"/>
    <w:rsid w:val="00D514B0"/>
    <w:rsid w:val="00D514F3"/>
    <w:rsid w:val="00D516B9"/>
    <w:rsid w:val="00D516F0"/>
    <w:rsid w:val="00D5170B"/>
    <w:rsid w:val="00D51759"/>
    <w:rsid w:val="00D5180D"/>
    <w:rsid w:val="00D51879"/>
    <w:rsid w:val="00D518C8"/>
    <w:rsid w:val="00D519FB"/>
    <w:rsid w:val="00D51B49"/>
    <w:rsid w:val="00D51B51"/>
    <w:rsid w:val="00D51CC0"/>
    <w:rsid w:val="00D51CEF"/>
    <w:rsid w:val="00D51D14"/>
    <w:rsid w:val="00D51DF4"/>
    <w:rsid w:val="00D51E4D"/>
    <w:rsid w:val="00D51EF2"/>
    <w:rsid w:val="00D51F74"/>
    <w:rsid w:val="00D51FCA"/>
    <w:rsid w:val="00D52059"/>
    <w:rsid w:val="00D5210F"/>
    <w:rsid w:val="00D521E2"/>
    <w:rsid w:val="00D52265"/>
    <w:rsid w:val="00D52343"/>
    <w:rsid w:val="00D52483"/>
    <w:rsid w:val="00D52497"/>
    <w:rsid w:val="00D524B4"/>
    <w:rsid w:val="00D525DB"/>
    <w:rsid w:val="00D5273B"/>
    <w:rsid w:val="00D528D4"/>
    <w:rsid w:val="00D528E7"/>
    <w:rsid w:val="00D528EC"/>
    <w:rsid w:val="00D52922"/>
    <w:rsid w:val="00D529B8"/>
    <w:rsid w:val="00D52AAF"/>
    <w:rsid w:val="00D52B14"/>
    <w:rsid w:val="00D52B27"/>
    <w:rsid w:val="00D52D10"/>
    <w:rsid w:val="00D52E23"/>
    <w:rsid w:val="00D52E4F"/>
    <w:rsid w:val="00D52F0F"/>
    <w:rsid w:val="00D53066"/>
    <w:rsid w:val="00D530BD"/>
    <w:rsid w:val="00D5328F"/>
    <w:rsid w:val="00D53361"/>
    <w:rsid w:val="00D5340D"/>
    <w:rsid w:val="00D5350C"/>
    <w:rsid w:val="00D53574"/>
    <w:rsid w:val="00D535A0"/>
    <w:rsid w:val="00D53622"/>
    <w:rsid w:val="00D53629"/>
    <w:rsid w:val="00D53872"/>
    <w:rsid w:val="00D53895"/>
    <w:rsid w:val="00D53946"/>
    <w:rsid w:val="00D5396D"/>
    <w:rsid w:val="00D53A06"/>
    <w:rsid w:val="00D53AF4"/>
    <w:rsid w:val="00D53BF9"/>
    <w:rsid w:val="00D53C25"/>
    <w:rsid w:val="00D53C31"/>
    <w:rsid w:val="00D53CA5"/>
    <w:rsid w:val="00D53D66"/>
    <w:rsid w:val="00D53E65"/>
    <w:rsid w:val="00D53E75"/>
    <w:rsid w:val="00D53F34"/>
    <w:rsid w:val="00D53F83"/>
    <w:rsid w:val="00D53FC1"/>
    <w:rsid w:val="00D54031"/>
    <w:rsid w:val="00D54033"/>
    <w:rsid w:val="00D54039"/>
    <w:rsid w:val="00D5406A"/>
    <w:rsid w:val="00D54153"/>
    <w:rsid w:val="00D5416C"/>
    <w:rsid w:val="00D5426B"/>
    <w:rsid w:val="00D54285"/>
    <w:rsid w:val="00D54513"/>
    <w:rsid w:val="00D5451C"/>
    <w:rsid w:val="00D54583"/>
    <w:rsid w:val="00D54622"/>
    <w:rsid w:val="00D546D3"/>
    <w:rsid w:val="00D5471B"/>
    <w:rsid w:val="00D547EE"/>
    <w:rsid w:val="00D548E9"/>
    <w:rsid w:val="00D54A14"/>
    <w:rsid w:val="00D54A2A"/>
    <w:rsid w:val="00D54CBD"/>
    <w:rsid w:val="00D54D3E"/>
    <w:rsid w:val="00D54FE3"/>
    <w:rsid w:val="00D5510E"/>
    <w:rsid w:val="00D5532B"/>
    <w:rsid w:val="00D55492"/>
    <w:rsid w:val="00D55645"/>
    <w:rsid w:val="00D55656"/>
    <w:rsid w:val="00D557CE"/>
    <w:rsid w:val="00D557F8"/>
    <w:rsid w:val="00D55887"/>
    <w:rsid w:val="00D55A1C"/>
    <w:rsid w:val="00D55A91"/>
    <w:rsid w:val="00D55AC7"/>
    <w:rsid w:val="00D55AF3"/>
    <w:rsid w:val="00D55B60"/>
    <w:rsid w:val="00D55C75"/>
    <w:rsid w:val="00D55CB6"/>
    <w:rsid w:val="00D55CE3"/>
    <w:rsid w:val="00D55E75"/>
    <w:rsid w:val="00D55F2C"/>
    <w:rsid w:val="00D55FA2"/>
    <w:rsid w:val="00D55FDC"/>
    <w:rsid w:val="00D560B9"/>
    <w:rsid w:val="00D561B3"/>
    <w:rsid w:val="00D562E0"/>
    <w:rsid w:val="00D5639C"/>
    <w:rsid w:val="00D5646F"/>
    <w:rsid w:val="00D56493"/>
    <w:rsid w:val="00D5658F"/>
    <w:rsid w:val="00D5659F"/>
    <w:rsid w:val="00D565A2"/>
    <w:rsid w:val="00D56628"/>
    <w:rsid w:val="00D56710"/>
    <w:rsid w:val="00D56758"/>
    <w:rsid w:val="00D568E2"/>
    <w:rsid w:val="00D56988"/>
    <w:rsid w:val="00D5699B"/>
    <w:rsid w:val="00D56A6F"/>
    <w:rsid w:val="00D56ABE"/>
    <w:rsid w:val="00D56AEB"/>
    <w:rsid w:val="00D56B8C"/>
    <w:rsid w:val="00D56D04"/>
    <w:rsid w:val="00D56DFC"/>
    <w:rsid w:val="00D56FF3"/>
    <w:rsid w:val="00D570A7"/>
    <w:rsid w:val="00D570AA"/>
    <w:rsid w:val="00D572BC"/>
    <w:rsid w:val="00D57328"/>
    <w:rsid w:val="00D57398"/>
    <w:rsid w:val="00D574DD"/>
    <w:rsid w:val="00D57596"/>
    <w:rsid w:val="00D576B1"/>
    <w:rsid w:val="00D57745"/>
    <w:rsid w:val="00D57812"/>
    <w:rsid w:val="00D5786F"/>
    <w:rsid w:val="00D57886"/>
    <w:rsid w:val="00D579F7"/>
    <w:rsid w:val="00D57AD0"/>
    <w:rsid w:val="00D57B2E"/>
    <w:rsid w:val="00D57B4E"/>
    <w:rsid w:val="00D57C69"/>
    <w:rsid w:val="00D57C94"/>
    <w:rsid w:val="00D57DC2"/>
    <w:rsid w:val="00D57E2E"/>
    <w:rsid w:val="00D57E6E"/>
    <w:rsid w:val="00D57F6E"/>
    <w:rsid w:val="00D601E8"/>
    <w:rsid w:val="00D601EA"/>
    <w:rsid w:val="00D60203"/>
    <w:rsid w:val="00D6022A"/>
    <w:rsid w:val="00D60307"/>
    <w:rsid w:val="00D60471"/>
    <w:rsid w:val="00D60554"/>
    <w:rsid w:val="00D605BF"/>
    <w:rsid w:val="00D60606"/>
    <w:rsid w:val="00D6076C"/>
    <w:rsid w:val="00D60966"/>
    <w:rsid w:val="00D60A8D"/>
    <w:rsid w:val="00D60B03"/>
    <w:rsid w:val="00D60B12"/>
    <w:rsid w:val="00D60E2A"/>
    <w:rsid w:val="00D6103E"/>
    <w:rsid w:val="00D61151"/>
    <w:rsid w:val="00D611EA"/>
    <w:rsid w:val="00D6124C"/>
    <w:rsid w:val="00D612D7"/>
    <w:rsid w:val="00D61372"/>
    <w:rsid w:val="00D613E7"/>
    <w:rsid w:val="00D6141D"/>
    <w:rsid w:val="00D614AE"/>
    <w:rsid w:val="00D6152A"/>
    <w:rsid w:val="00D61536"/>
    <w:rsid w:val="00D61580"/>
    <w:rsid w:val="00D615C6"/>
    <w:rsid w:val="00D6161C"/>
    <w:rsid w:val="00D61767"/>
    <w:rsid w:val="00D61773"/>
    <w:rsid w:val="00D618F3"/>
    <w:rsid w:val="00D61944"/>
    <w:rsid w:val="00D6194A"/>
    <w:rsid w:val="00D619E4"/>
    <w:rsid w:val="00D61A06"/>
    <w:rsid w:val="00D61E79"/>
    <w:rsid w:val="00D61EB2"/>
    <w:rsid w:val="00D61F16"/>
    <w:rsid w:val="00D61F5D"/>
    <w:rsid w:val="00D61F79"/>
    <w:rsid w:val="00D61FBA"/>
    <w:rsid w:val="00D62087"/>
    <w:rsid w:val="00D620A1"/>
    <w:rsid w:val="00D620C6"/>
    <w:rsid w:val="00D62169"/>
    <w:rsid w:val="00D62369"/>
    <w:rsid w:val="00D623A0"/>
    <w:rsid w:val="00D623AD"/>
    <w:rsid w:val="00D623B8"/>
    <w:rsid w:val="00D624EC"/>
    <w:rsid w:val="00D62542"/>
    <w:rsid w:val="00D625F3"/>
    <w:rsid w:val="00D6262E"/>
    <w:rsid w:val="00D62737"/>
    <w:rsid w:val="00D627F7"/>
    <w:rsid w:val="00D6289D"/>
    <w:rsid w:val="00D628A3"/>
    <w:rsid w:val="00D628C0"/>
    <w:rsid w:val="00D628C9"/>
    <w:rsid w:val="00D6295C"/>
    <w:rsid w:val="00D62A04"/>
    <w:rsid w:val="00D62A14"/>
    <w:rsid w:val="00D62AE0"/>
    <w:rsid w:val="00D62BB8"/>
    <w:rsid w:val="00D62BF4"/>
    <w:rsid w:val="00D62D7B"/>
    <w:rsid w:val="00D62DE1"/>
    <w:rsid w:val="00D62E8D"/>
    <w:rsid w:val="00D62F7F"/>
    <w:rsid w:val="00D62F98"/>
    <w:rsid w:val="00D62FBD"/>
    <w:rsid w:val="00D6310A"/>
    <w:rsid w:val="00D63282"/>
    <w:rsid w:val="00D63342"/>
    <w:rsid w:val="00D633B8"/>
    <w:rsid w:val="00D63493"/>
    <w:rsid w:val="00D6356A"/>
    <w:rsid w:val="00D6357D"/>
    <w:rsid w:val="00D63684"/>
    <w:rsid w:val="00D636E2"/>
    <w:rsid w:val="00D6381B"/>
    <w:rsid w:val="00D6384D"/>
    <w:rsid w:val="00D638B8"/>
    <w:rsid w:val="00D639B3"/>
    <w:rsid w:val="00D63A4F"/>
    <w:rsid w:val="00D63B8B"/>
    <w:rsid w:val="00D63B93"/>
    <w:rsid w:val="00D63C94"/>
    <w:rsid w:val="00D63DF9"/>
    <w:rsid w:val="00D63E61"/>
    <w:rsid w:val="00D63EC2"/>
    <w:rsid w:val="00D63ECF"/>
    <w:rsid w:val="00D63F7E"/>
    <w:rsid w:val="00D63F84"/>
    <w:rsid w:val="00D64093"/>
    <w:rsid w:val="00D6410E"/>
    <w:rsid w:val="00D64122"/>
    <w:rsid w:val="00D6418A"/>
    <w:rsid w:val="00D6424E"/>
    <w:rsid w:val="00D643A7"/>
    <w:rsid w:val="00D643E9"/>
    <w:rsid w:val="00D64515"/>
    <w:rsid w:val="00D6464C"/>
    <w:rsid w:val="00D6466F"/>
    <w:rsid w:val="00D64759"/>
    <w:rsid w:val="00D64772"/>
    <w:rsid w:val="00D647C4"/>
    <w:rsid w:val="00D647EE"/>
    <w:rsid w:val="00D64807"/>
    <w:rsid w:val="00D64865"/>
    <w:rsid w:val="00D6491B"/>
    <w:rsid w:val="00D649B0"/>
    <w:rsid w:val="00D64ABD"/>
    <w:rsid w:val="00D64BBE"/>
    <w:rsid w:val="00D64BCD"/>
    <w:rsid w:val="00D64BF2"/>
    <w:rsid w:val="00D64C19"/>
    <w:rsid w:val="00D64C8D"/>
    <w:rsid w:val="00D64D1B"/>
    <w:rsid w:val="00D64E6E"/>
    <w:rsid w:val="00D64F33"/>
    <w:rsid w:val="00D65005"/>
    <w:rsid w:val="00D650B9"/>
    <w:rsid w:val="00D651E1"/>
    <w:rsid w:val="00D6521C"/>
    <w:rsid w:val="00D6522A"/>
    <w:rsid w:val="00D6522C"/>
    <w:rsid w:val="00D652C5"/>
    <w:rsid w:val="00D65340"/>
    <w:rsid w:val="00D6550E"/>
    <w:rsid w:val="00D65537"/>
    <w:rsid w:val="00D6569F"/>
    <w:rsid w:val="00D65749"/>
    <w:rsid w:val="00D65A33"/>
    <w:rsid w:val="00D65B52"/>
    <w:rsid w:val="00D65C64"/>
    <w:rsid w:val="00D65CC8"/>
    <w:rsid w:val="00D65D20"/>
    <w:rsid w:val="00D65DD1"/>
    <w:rsid w:val="00D65E44"/>
    <w:rsid w:val="00D65E5C"/>
    <w:rsid w:val="00D65F31"/>
    <w:rsid w:val="00D65F5B"/>
    <w:rsid w:val="00D6603D"/>
    <w:rsid w:val="00D660B0"/>
    <w:rsid w:val="00D660C2"/>
    <w:rsid w:val="00D660C9"/>
    <w:rsid w:val="00D66195"/>
    <w:rsid w:val="00D66198"/>
    <w:rsid w:val="00D661C1"/>
    <w:rsid w:val="00D661F1"/>
    <w:rsid w:val="00D66222"/>
    <w:rsid w:val="00D6627F"/>
    <w:rsid w:val="00D66292"/>
    <w:rsid w:val="00D662FB"/>
    <w:rsid w:val="00D66439"/>
    <w:rsid w:val="00D66487"/>
    <w:rsid w:val="00D66540"/>
    <w:rsid w:val="00D665DA"/>
    <w:rsid w:val="00D6663E"/>
    <w:rsid w:val="00D6683D"/>
    <w:rsid w:val="00D668FF"/>
    <w:rsid w:val="00D66AC1"/>
    <w:rsid w:val="00D66B57"/>
    <w:rsid w:val="00D66B5A"/>
    <w:rsid w:val="00D66C1B"/>
    <w:rsid w:val="00D66D3C"/>
    <w:rsid w:val="00D66ECE"/>
    <w:rsid w:val="00D66F7D"/>
    <w:rsid w:val="00D66F9D"/>
    <w:rsid w:val="00D6704B"/>
    <w:rsid w:val="00D67097"/>
    <w:rsid w:val="00D6709E"/>
    <w:rsid w:val="00D6721D"/>
    <w:rsid w:val="00D6726E"/>
    <w:rsid w:val="00D6732D"/>
    <w:rsid w:val="00D67374"/>
    <w:rsid w:val="00D67375"/>
    <w:rsid w:val="00D673F6"/>
    <w:rsid w:val="00D67414"/>
    <w:rsid w:val="00D674CB"/>
    <w:rsid w:val="00D6752E"/>
    <w:rsid w:val="00D6766D"/>
    <w:rsid w:val="00D676DB"/>
    <w:rsid w:val="00D6781C"/>
    <w:rsid w:val="00D6783C"/>
    <w:rsid w:val="00D67971"/>
    <w:rsid w:val="00D67B0F"/>
    <w:rsid w:val="00D67BA4"/>
    <w:rsid w:val="00D67BE5"/>
    <w:rsid w:val="00D67C77"/>
    <w:rsid w:val="00D67D62"/>
    <w:rsid w:val="00D67D6D"/>
    <w:rsid w:val="00D67D85"/>
    <w:rsid w:val="00D67E08"/>
    <w:rsid w:val="00D67EA9"/>
    <w:rsid w:val="00D67EDE"/>
    <w:rsid w:val="00D7007D"/>
    <w:rsid w:val="00D700A5"/>
    <w:rsid w:val="00D7026B"/>
    <w:rsid w:val="00D7032A"/>
    <w:rsid w:val="00D70348"/>
    <w:rsid w:val="00D70386"/>
    <w:rsid w:val="00D70435"/>
    <w:rsid w:val="00D704AC"/>
    <w:rsid w:val="00D7052E"/>
    <w:rsid w:val="00D70557"/>
    <w:rsid w:val="00D705A9"/>
    <w:rsid w:val="00D705DE"/>
    <w:rsid w:val="00D7063F"/>
    <w:rsid w:val="00D70732"/>
    <w:rsid w:val="00D707A9"/>
    <w:rsid w:val="00D707DF"/>
    <w:rsid w:val="00D7082F"/>
    <w:rsid w:val="00D70983"/>
    <w:rsid w:val="00D7098D"/>
    <w:rsid w:val="00D709D9"/>
    <w:rsid w:val="00D70AD1"/>
    <w:rsid w:val="00D70ADE"/>
    <w:rsid w:val="00D70AEE"/>
    <w:rsid w:val="00D70AF2"/>
    <w:rsid w:val="00D70B1C"/>
    <w:rsid w:val="00D70D7D"/>
    <w:rsid w:val="00D70DA0"/>
    <w:rsid w:val="00D70F32"/>
    <w:rsid w:val="00D710EA"/>
    <w:rsid w:val="00D711CE"/>
    <w:rsid w:val="00D7125C"/>
    <w:rsid w:val="00D712F8"/>
    <w:rsid w:val="00D713EE"/>
    <w:rsid w:val="00D71434"/>
    <w:rsid w:val="00D714DF"/>
    <w:rsid w:val="00D71531"/>
    <w:rsid w:val="00D715B0"/>
    <w:rsid w:val="00D71615"/>
    <w:rsid w:val="00D716D2"/>
    <w:rsid w:val="00D7171D"/>
    <w:rsid w:val="00D7177A"/>
    <w:rsid w:val="00D71850"/>
    <w:rsid w:val="00D71905"/>
    <w:rsid w:val="00D719E4"/>
    <w:rsid w:val="00D71A59"/>
    <w:rsid w:val="00D71AC7"/>
    <w:rsid w:val="00D71B7C"/>
    <w:rsid w:val="00D71BE0"/>
    <w:rsid w:val="00D71C9F"/>
    <w:rsid w:val="00D71CDC"/>
    <w:rsid w:val="00D71D53"/>
    <w:rsid w:val="00D71D9F"/>
    <w:rsid w:val="00D71DC6"/>
    <w:rsid w:val="00D71DF6"/>
    <w:rsid w:val="00D71E21"/>
    <w:rsid w:val="00D71E2D"/>
    <w:rsid w:val="00D71EF9"/>
    <w:rsid w:val="00D71F61"/>
    <w:rsid w:val="00D72089"/>
    <w:rsid w:val="00D72094"/>
    <w:rsid w:val="00D720B0"/>
    <w:rsid w:val="00D720B5"/>
    <w:rsid w:val="00D72141"/>
    <w:rsid w:val="00D72190"/>
    <w:rsid w:val="00D722A3"/>
    <w:rsid w:val="00D723FE"/>
    <w:rsid w:val="00D7249E"/>
    <w:rsid w:val="00D725AB"/>
    <w:rsid w:val="00D72679"/>
    <w:rsid w:val="00D726A4"/>
    <w:rsid w:val="00D726B0"/>
    <w:rsid w:val="00D726E2"/>
    <w:rsid w:val="00D72767"/>
    <w:rsid w:val="00D72A78"/>
    <w:rsid w:val="00D72BFB"/>
    <w:rsid w:val="00D72CFE"/>
    <w:rsid w:val="00D72DAF"/>
    <w:rsid w:val="00D72DB9"/>
    <w:rsid w:val="00D73067"/>
    <w:rsid w:val="00D730B1"/>
    <w:rsid w:val="00D73143"/>
    <w:rsid w:val="00D73145"/>
    <w:rsid w:val="00D7319A"/>
    <w:rsid w:val="00D732EA"/>
    <w:rsid w:val="00D73365"/>
    <w:rsid w:val="00D735A3"/>
    <w:rsid w:val="00D73706"/>
    <w:rsid w:val="00D7372C"/>
    <w:rsid w:val="00D7372F"/>
    <w:rsid w:val="00D73777"/>
    <w:rsid w:val="00D7377F"/>
    <w:rsid w:val="00D73795"/>
    <w:rsid w:val="00D737DD"/>
    <w:rsid w:val="00D737F5"/>
    <w:rsid w:val="00D7384E"/>
    <w:rsid w:val="00D73856"/>
    <w:rsid w:val="00D7391F"/>
    <w:rsid w:val="00D739DE"/>
    <w:rsid w:val="00D73A57"/>
    <w:rsid w:val="00D73A76"/>
    <w:rsid w:val="00D73AFA"/>
    <w:rsid w:val="00D73B4E"/>
    <w:rsid w:val="00D73C38"/>
    <w:rsid w:val="00D73C5A"/>
    <w:rsid w:val="00D73D8F"/>
    <w:rsid w:val="00D73E1C"/>
    <w:rsid w:val="00D73E4F"/>
    <w:rsid w:val="00D73E76"/>
    <w:rsid w:val="00D73F1B"/>
    <w:rsid w:val="00D74018"/>
    <w:rsid w:val="00D74084"/>
    <w:rsid w:val="00D7414D"/>
    <w:rsid w:val="00D74244"/>
    <w:rsid w:val="00D7447B"/>
    <w:rsid w:val="00D7447C"/>
    <w:rsid w:val="00D7449F"/>
    <w:rsid w:val="00D744D6"/>
    <w:rsid w:val="00D745D8"/>
    <w:rsid w:val="00D74668"/>
    <w:rsid w:val="00D746E7"/>
    <w:rsid w:val="00D7470A"/>
    <w:rsid w:val="00D7473B"/>
    <w:rsid w:val="00D74740"/>
    <w:rsid w:val="00D74757"/>
    <w:rsid w:val="00D747DF"/>
    <w:rsid w:val="00D7489F"/>
    <w:rsid w:val="00D748FF"/>
    <w:rsid w:val="00D749E7"/>
    <w:rsid w:val="00D74B9A"/>
    <w:rsid w:val="00D74BC1"/>
    <w:rsid w:val="00D74BCC"/>
    <w:rsid w:val="00D74BF2"/>
    <w:rsid w:val="00D74C1A"/>
    <w:rsid w:val="00D74DB7"/>
    <w:rsid w:val="00D74E5B"/>
    <w:rsid w:val="00D74EEE"/>
    <w:rsid w:val="00D74EFC"/>
    <w:rsid w:val="00D7506B"/>
    <w:rsid w:val="00D750BF"/>
    <w:rsid w:val="00D75102"/>
    <w:rsid w:val="00D75155"/>
    <w:rsid w:val="00D751BC"/>
    <w:rsid w:val="00D752DD"/>
    <w:rsid w:val="00D75462"/>
    <w:rsid w:val="00D7547E"/>
    <w:rsid w:val="00D754C8"/>
    <w:rsid w:val="00D754E0"/>
    <w:rsid w:val="00D75577"/>
    <w:rsid w:val="00D75638"/>
    <w:rsid w:val="00D7569A"/>
    <w:rsid w:val="00D75729"/>
    <w:rsid w:val="00D7574C"/>
    <w:rsid w:val="00D757A1"/>
    <w:rsid w:val="00D757DF"/>
    <w:rsid w:val="00D757E7"/>
    <w:rsid w:val="00D7589D"/>
    <w:rsid w:val="00D758D5"/>
    <w:rsid w:val="00D758D6"/>
    <w:rsid w:val="00D75BBC"/>
    <w:rsid w:val="00D75BD5"/>
    <w:rsid w:val="00D75BD9"/>
    <w:rsid w:val="00D75CB9"/>
    <w:rsid w:val="00D75D9D"/>
    <w:rsid w:val="00D75E0D"/>
    <w:rsid w:val="00D75E99"/>
    <w:rsid w:val="00D75ED7"/>
    <w:rsid w:val="00D75F38"/>
    <w:rsid w:val="00D76104"/>
    <w:rsid w:val="00D7613E"/>
    <w:rsid w:val="00D7617C"/>
    <w:rsid w:val="00D761AA"/>
    <w:rsid w:val="00D76233"/>
    <w:rsid w:val="00D762F6"/>
    <w:rsid w:val="00D763FA"/>
    <w:rsid w:val="00D76400"/>
    <w:rsid w:val="00D764BE"/>
    <w:rsid w:val="00D764D1"/>
    <w:rsid w:val="00D764ED"/>
    <w:rsid w:val="00D7658D"/>
    <w:rsid w:val="00D765E7"/>
    <w:rsid w:val="00D76611"/>
    <w:rsid w:val="00D767A9"/>
    <w:rsid w:val="00D767DA"/>
    <w:rsid w:val="00D7680B"/>
    <w:rsid w:val="00D7689E"/>
    <w:rsid w:val="00D768D7"/>
    <w:rsid w:val="00D76A51"/>
    <w:rsid w:val="00D76A69"/>
    <w:rsid w:val="00D76AAF"/>
    <w:rsid w:val="00D76B11"/>
    <w:rsid w:val="00D76CEA"/>
    <w:rsid w:val="00D76D64"/>
    <w:rsid w:val="00D76F56"/>
    <w:rsid w:val="00D76F78"/>
    <w:rsid w:val="00D7700A"/>
    <w:rsid w:val="00D77029"/>
    <w:rsid w:val="00D770B0"/>
    <w:rsid w:val="00D770B4"/>
    <w:rsid w:val="00D77261"/>
    <w:rsid w:val="00D77371"/>
    <w:rsid w:val="00D77419"/>
    <w:rsid w:val="00D774CF"/>
    <w:rsid w:val="00D7754B"/>
    <w:rsid w:val="00D776F4"/>
    <w:rsid w:val="00D77856"/>
    <w:rsid w:val="00D77982"/>
    <w:rsid w:val="00D779B9"/>
    <w:rsid w:val="00D77A69"/>
    <w:rsid w:val="00D77AB3"/>
    <w:rsid w:val="00D77AD3"/>
    <w:rsid w:val="00D77B45"/>
    <w:rsid w:val="00D77B59"/>
    <w:rsid w:val="00D77B74"/>
    <w:rsid w:val="00D77C5C"/>
    <w:rsid w:val="00D77EAD"/>
    <w:rsid w:val="00D77EDB"/>
    <w:rsid w:val="00D77EF6"/>
    <w:rsid w:val="00D77F1B"/>
    <w:rsid w:val="00D800B8"/>
    <w:rsid w:val="00D80156"/>
    <w:rsid w:val="00D801F4"/>
    <w:rsid w:val="00D802D4"/>
    <w:rsid w:val="00D802DB"/>
    <w:rsid w:val="00D80431"/>
    <w:rsid w:val="00D8051E"/>
    <w:rsid w:val="00D805A1"/>
    <w:rsid w:val="00D809C4"/>
    <w:rsid w:val="00D80AD1"/>
    <w:rsid w:val="00D80CE5"/>
    <w:rsid w:val="00D80D0F"/>
    <w:rsid w:val="00D80DAF"/>
    <w:rsid w:val="00D80E33"/>
    <w:rsid w:val="00D80F8E"/>
    <w:rsid w:val="00D81034"/>
    <w:rsid w:val="00D811BC"/>
    <w:rsid w:val="00D811C7"/>
    <w:rsid w:val="00D811C9"/>
    <w:rsid w:val="00D81253"/>
    <w:rsid w:val="00D8126D"/>
    <w:rsid w:val="00D81280"/>
    <w:rsid w:val="00D812A2"/>
    <w:rsid w:val="00D812DF"/>
    <w:rsid w:val="00D812FF"/>
    <w:rsid w:val="00D8141A"/>
    <w:rsid w:val="00D814B5"/>
    <w:rsid w:val="00D8166B"/>
    <w:rsid w:val="00D8175E"/>
    <w:rsid w:val="00D81760"/>
    <w:rsid w:val="00D818A1"/>
    <w:rsid w:val="00D818A4"/>
    <w:rsid w:val="00D818D1"/>
    <w:rsid w:val="00D8192A"/>
    <w:rsid w:val="00D8192E"/>
    <w:rsid w:val="00D81A35"/>
    <w:rsid w:val="00D81B70"/>
    <w:rsid w:val="00D81C7F"/>
    <w:rsid w:val="00D81E99"/>
    <w:rsid w:val="00D81EA6"/>
    <w:rsid w:val="00D81F5C"/>
    <w:rsid w:val="00D81F78"/>
    <w:rsid w:val="00D8204D"/>
    <w:rsid w:val="00D82109"/>
    <w:rsid w:val="00D82126"/>
    <w:rsid w:val="00D82185"/>
    <w:rsid w:val="00D82233"/>
    <w:rsid w:val="00D8223C"/>
    <w:rsid w:val="00D82271"/>
    <w:rsid w:val="00D82381"/>
    <w:rsid w:val="00D823FB"/>
    <w:rsid w:val="00D82436"/>
    <w:rsid w:val="00D8246B"/>
    <w:rsid w:val="00D824DC"/>
    <w:rsid w:val="00D8253E"/>
    <w:rsid w:val="00D82553"/>
    <w:rsid w:val="00D8267C"/>
    <w:rsid w:val="00D8278B"/>
    <w:rsid w:val="00D827ED"/>
    <w:rsid w:val="00D828CA"/>
    <w:rsid w:val="00D828D5"/>
    <w:rsid w:val="00D82994"/>
    <w:rsid w:val="00D82BD4"/>
    <w:rsid w:val="00D82C0C"/>
    <w:rsid w:val="00D82C57"/>
    <w:rsid w:val="00D82C76"/>
    <w:rsid w:val="00D82C82"/>
    <w:rsid w:val="00D82C8B"/>
    <w:rsid w:val="00D82DB7"/>
    <w:rsid w:val="00D82E59"/>
    <w:rsid w:val="00D82F1D"/>
    <w:rsid w:val="00D82F73"/>
    <w:rsid w:val="00D82FE1"/>
    <w:rsid w:val="00D83116"/>
    <w:rsid w:val="00D83215"/>
    <w:rsid w:val="00D832B8"/>
    <w:rsid w:val="00D832BB"/>
    <w:rsid w:val="00D83383"/>
    <w:rsid w:val="00D833A8"/>
    <w:rsid w:val="00D83413"/>
    <w:rsid w:val="00D8347B"/>
    <w:rsid w:val="00D83510"/>
    <w:rsid w:val="00D83657"/>
    <w:rsid w:val="00D83706"/>
    <w:rsid w:val="00D83731"/>
    <w:rsid w:val="00D837C0"/>
    <w:rsid w:val="00D837D9"/>
    <w:rsid w:val="00D837FA"/>
    <w:rsid w:val="00D838DE"/>
    <w:rsid w:val="00D83AA8"/>
    <w:rsid w:val="00D83B38"/>
    <w:rsid w:val="00D83B61"/>
    <w:rsid w:val="00D83B65"/>
    <w:rsid w:val="00D83B87"/>
    <w:rsid w:val="00D83CE6"/>
    <w:rsid w:val="00D83D37"/>
    <w:rsid w:val="00D83DC6"/>
    <w:rsid w:val="00D83DE7"/>
    <w:rsid w:val="00D83E4B"/>
    <w:rsid w:val="00D83EF1"/>
    <w:rsid w:val="00D83EFB"/>
    <w:rsid w:val="00D83F37"/>
    <w:rsid w:val="00D83F74"/>
    <w:rsid w:val="00D83FC0"/>
    <w:rsid w:val="00D83FD5"/>
    <w:rsid w:val="00D84062"/>
    <w:rsid w:val="00D84141"/>
    <w:rsid w:val="00D8425F"/>
    <w:rsid w:val="00D8429D"/>
    <w:rsid w:val="00D843AE"/>
    <w:rsid w:val="00D843B3"/>
    <w:rsid w:val="00D84404"/>
    <w:rsid w:val="00D844B6"/>
    <w:rsid w:val="00D844CD"/>
    <w:rsid w:val="00D84502"/>
    <w:rsid w:val="00D84527"/>
    <w:rsid w:val="00D84552"/>
    <w:rsid w:val="00D84553"/>
    <w:rsid w:val="00D8455D"/>
    <w:rsid w:val="00D845F9"/>
    <w:rsid w:val="00D84614"/>
    <w:rsid w:val="00D84665"/>
    <w:rsid w:val="00D846D4"/>
    <w:rsid w:val="00D84993"/>
    <w:rsid w:val="00D84A8E"/>
    <w:rsid w:val="00D84B2A"/>
    <w:rsid w:val="00D84CC7"/>
    <w:rsid w:val="00D84E63"/>
    <w:rsid w:val="00D84E9E"/>
    <w:rsid w:val="00D85013"/>
    <w:rsid w:val="00D85084"/>
    <w:rsid w:val="00D85214"/>
    <w:rsid w:val="00D8523B"/>
    <w:rsid w:val="00D8527B"/>
    <w:rsid w:val="00D8530C"/>
    <w:rsid w:val="00D85351"/>
    <w:rsid w:val="00D853D9"/>
    <w:rsid w:val="00D855A3"/>
    <w:rsid w:val="00D85602"/>
    <w:rsid w:val="00D856DE"/>
    <w:rsid w:val="00D8578B"/>
    <w:rsid w:val="00D857FB"/>
    <w:rsid w:val="00D85897"/>
    <w:rsid w:val="00D858B2"/>
    <w:rsid w:val="00D85A53"/>
    <w:rsid w:val="00D85CC7"/>
    <w:rsid w:val="00D85CC8"/>
    <w:rsid w:val="00D85D21"/>
    <w:rsid w:val="00D85D57"/>
    <w:rsid w:val="00D85D86"/>
    <w:rsid w:val="00D85DD2"/>
    <w:rsid w:val="00D85E85"/>
    <w:rsid w:val="00D85F14"/>
    <w:rsid w:val="00D85F29"/>
    <w:rsid w:val="00D8600E"/>
    <w:rsid w:val="00D860F1"/>
    <w:rsid w:val="00D86157"/>
    <w:rsid w:val="00D861C2"/>
    <w:rsid w:val="00D861EC"/>
    <w:rsid w:val="00D862DF"/>
    <w:rsid w:val="00D86314"/>
    <w:rsid w:val="00D863FF"/>
    <w:rsid w:val="00D864B0"/>
    <w:rsid w:val="00D8652A"/>
    <w:rsid w:val="00D86797"/>
    <w:rsid w:val="00D86813"/>
    <w:rsid w:val="00D8681F"/>
    <w:rsid w:val="00D869FB"/>
    <w:rsid w:val="00D86AA1"/>
    <w:rsid w:val="00D86B63"/>
    <w:rsid w:val="00D86BB9"/>
    <w:rsid w:val="00D86BC8"/>
    <w:rsid w:val="00D86C2E"/>
    <w:rsid w:val="00D86DFD"/>
    <w:rsid w:val="00D86E5D"/>
    <w:rsid w:val="00D86EC2"/>
    <w:rsid w:val="00D86F21"/>
    <w:rsid w:val="00D87021"/>
    <w:rsid w:val="00D87047"/>
    <w:rsid w:val="00D870D6"/>
    <w:rsid w:val="00D87144"/>
    <w:rsid w:val="00D8736E"/>
    <w:rsid w:val="00D8749E"/>
    <w:rsid w:val="00D87559"/>
    <w:rsid w:val="00D8757C"/>
    <w:rsid w:val="00D875F1"/>
    <w:rsid w:val="00D876A2"/>
    <w:rsid w:val="00D87744"/>
    <w:rsid w:val="00D8777C"/>
    <w:rsid w:val="00D878B1"/>
    <w:rsid w:val="00D878BC"/>
    <w:rsid w:val="00D8791B"/>
    <w:rsid w:val="00D87936"/>
    <w:rsid w:val="00D87941"/>
    <w:rsid w:val="00D87992"/>
    <w:rsid w:val="00D87A49"/>
    <w:rsid w:val="00D87B78"/>
    <w:rsid w:val="00D87C9C"/>
    <w:rsid w:val="00D87EF4"/>
    <w:rsid w:val="00D87FBA"/>
    <w:rsid w:val="00D900E9"/>
    <w:rsid w:val="00D9010A"/>
    <w:rsid w:val="00D90153"/>
    <w:rsid w:val="00D90203"/>
    <w:rsid w:val="00D9024D"/>
    <w:rsid w:val="00D90283"/>
    <w:rsid w:val="00D90322"/>
    <w:rsid w:val="00D90344"/>
    <w:rsid w:val="00D90361"/>
    <w:rsid w:val="00D90369"/>
    <w:rsid w:val="00D903C0"/>
    <w:rsid w:val="00D90445"/>
    <w:rsid w:val="00D90513"/>
    <w:rsid w:val="00D905A1"/>
    <w:rsid w:val="00D9067F"/>
    <w:rsid w:val="00D9077E"/>
    <w:rsid w:val="00D90790"/>
    <w:rsid w:val="00D9088D"/>
    <w:rsid w:val="00D908F4"/>
    <w:rsid w:val="00D90A57"/>
    <w:rsid w:val="00D90A67"/>
    <w:rsid w:val="00D90A9F"/>
    <w:rsid w:val="00D90B1C"/>
    <w:rsid w:val="00D90C37"/>
    <w:rsid w:val="00D90CAF"/>
    <w:rsid w:val="00D910E7"/>
    <w:rsid w:val="00D91157"/>
    <w:rsid w:val="00D911AE"/>
    <w:rsid w:val="00D911DD"/>
    <w:rsid w:val="00D91239"/>
    <w:rsid w:val="00D91299"/>
    <w:rsid w:val="00D9144B"/>
    <w:rsid w:val="00D91524"/>
    <w:rsid w:val="00D9165F"/>
    <w:rsid w:val="00D91690"/>
    <w:rsid w:val="00D916AE"/>
    <w:rsid w:val="00D916B4"/>
    <w:rsid w:val="00D91749"/>
    <w:rsid w:val="00D917A1"/>
    <w:rsid w:val="00D917CD"/>
    <w:rsid w:val="00D917E2"/>
    <w:rsid w:val="00D918E9"/>
    <w:rsid w:val="00D918EA"/>
    <w:rsid w:val="00D9197D"/>
    <w:rsid w:val="00D919E9"/>
    <w:rsid w:val="00D919EC"/>
    <w:rsid w:val="00D91AF3"/>
    <w:rsid w:val="00D91B6B"/>
    <w:rsid w:val="00D91C71"/>
    <w:rsid w:val="00D91C8B"/>
    <w:rsid w:val="00D91D07"/>
    <w:rsid w:val="00D91D2E"/>
    <w:rsid w:val="00D91DBB"/>
    <w:rsid w:val="00D91E95"/>
    <w:rsid w:val="00D91F0B"/>
    <w:rsid w:val="00D91F84"/>
    <w:rsid w:val="00D91FD3"/>
    <w:rsid w:val="00D920BE"/>
    <w:rsid w:val="00D92148"/>
    <w:rsid w:val="00D9231C"/>
    <w:rsid w:val="00D923D5"/>
    <w:rsid w:val="00D92411"/>
    <w:rsid w:val="00D9250F"/>
    <w:rsid w:val="00D9252D"/>
    <w:rsid w:val="00D9254A"/>
    <w:rsid w:val="00D9254C"/>
    <w:rsid w:val="00D9259A"/>
    <w:rsid w:val="00D925D0"/>
    <w:rsid w:val="00D925D5"/>
    <w:rsid w:val="00D927B9"/>
    <w:rsid w:val="00D9296F"/>
    <w:rsid w:val="00D92A3E"/>
    <w:rsid w:val="00D92A91"/>
    <w:rsid w:val="00D92B63"/>
    <w:rsid w:val="00D92B81"/>
    <w:rsid w:val="00D92C43"/>
    <w:rsid w:val="00D92C8C"/>
    <w:rsid w:val="00D92CB4"/>
    <w:rsid w:val="00D92CBD"/>
    <w:rsid w:val="00D92CDA"/>
    <w:rsid w:val="00D92D3E"/>
    <w:rsid w:val="00D92DF3"/>
    <w:rsid w:val="00D92E08"/>
    <w:rsid w:val="00D92E34"/>
    <w:rsid w:val="00D92E68"/>
    <w:rsid w:val="00D92F52"/>
    <w:rsid w:val="00D92FB5"/>
    <w:rsid w:val="00D92FD2"/>
    <w:rsid w:val="00D93018"/>
    <w:rsid w:val="00D9303C"/>
    <w:rsid w:val="00D93066"/>
    <w:rsid w:val="00D930D9"/>
    <w:rsid w:val="00D931C8"/>
    <w:rsid w:val="00D93233"/>
    <w:rsid w:val="00D93263"/>
    <w:rsid w:val="00D932EA"/>
    <w:rsid w:val="00D93317"/>
    <w:rsid w:val="00D933AC"/>
    <w:rsid w:val="00D933D4"/>
    <w:rsid w:val="00D933EE"/>
    <w:rsid w:val="00D933F6"/>
    <w:rsid w:val="00D93554"/>
    <w:rsid w:val="00D937F1"/>
    <w:rsid w:val="00D93894"/>
    <w:rsid w:val="00D939F5"/>
    <w:rsid w:val="00D93A27"/>
    <w:rsid w:val="00D93AA5"/>
    <w:rsid w:val="00D93C1A"/>
    <w:rsid w:val="00D93CF5"/>
    <w:rsid w:val="00D93D7A"/>
    <w:rsid w:val="00D93DCB"/>
    <w:rsid w:val="00D93DE1"/>
    <w:rsid w:val="00D93E57"/>
    <w:rsid w:val="00D93F9D"/>
    <w:rsid w:val="00D93FA0"/>
    <w:rsid w:val="00D93FEC"/>
    <w:rsid w:val="00D93FF0"/>
    <w:rsid w:val="00D93FF5"/>
    <w:rsid w:val="00D9403E"/>
    <w:rsid w:val="00D9405C"/>
    <w:rsid w:val="00D9409F"/>
    <w:rsid w:val="00D94178"/>
    <w:rsid w:val="00D9417C"/>
    <w:rsid w:val="00D9426C"/>
    <w:rsid w:val="00D94289"/>
    <w:rsid w:val="00D942C8"/>
    <w:rsid w:val="00D942E8"/>
    <w:rsid w:val="00D942ED"/>
    <w:rsid w:val="00D943CF"/>
    <w:rsid w:val="00D94429"/>
    <w:rsid w:val="00D944A5"/>
    <w:rsid w:val="00D94503"/>
    <w:rsid w:val="00D94571"/>
    <w:rsid w:val="00D9458F"/>
    <w:rsid w:val="00D945C3"/>
    <w:rsid w:val="00D9464D"/>
    <w:rsid w:val="00D946AA"/>
    <w:rsid w:val="00D9470E"/>
    <w:rsid w:val="00D9479D"/>
    <w:rsid w:val="00D94856"/>
    <w:rsid w:val="00D9485B"/>
    <w:rsid w:val="00D948E6"/>
    <w:rsid w:val="00D94970"/>
    <w:rsid w:val="00D94A54"/>
    <w:rsid w:val="00D94ACC"/>
    <w:rsid w:val="00D94B68"/>
    <w:rsid w:val="00D94E14"/>
    <w:rsid w:val="00D94F57"/>
    <w:rsid w:val="00D94F84"/>
    <w:rsid w:val="00D94FB7"/>
    <w:rsid w:val="00D94FF8"/>
    <w:rsid w:val="00D95064"/>
    <w:rsid w:val="00D950F1"/>
    <w:rsid w:val="00D9516E"/>
    <w:rsid w:val="00D9518E"/>
    <w:rsid w:val="00D951BA"/>
    <w:rsid w:val="00D951EA"/>
    <w:rsid w:val="00D95200"/>
    <w:rsid w:val="00D95238"/>
    <w:rsid w:val="00D95284"/>
    <w:rsid w:val="00D952DF"/>
    <w:rsid w:val="00D952E3"/>
    <w:rsid w:val="00D952E7"/>
    <w:rsid w:val="00D9535D"/>
    <w:rsid w:val="00D953ED"/>
    <w:rsid w:val="00D9567C"/>
    <w:rsid w:val="00D956D4"/>
    <w:rsid w:val="00D9577A"/>
    <w:rsid w:val="00D957C8"/>
    <w:rsid w:val="00D957F2"/>
    <w:rsid w:val="00D95847"/>
    <w:rsid w:val="00D95898"/>
    <w:rsid w:val="00D95A96"/>
    <w:rsid w:val="00D95B0B"/>
    <w:rsid w:val="00D95B2D"/>
    <w:rsid w:val="00D95DCA"/>
    <w:rsid w:val="00D95E76"/>
    <w:rsid w:val="00D95E7A"/>
    <w:rsid w:val="00D95E99"/>
    <w:rsid w:val="00D95EB6"/>
    <w:rsid w:val="00D95FC6"/>
    <w:rsid w:val="00D96050"/>
    <w:rsid w:val="00D960C1"/>
    <w:rsid w:val="00D961F7"/>
    <w:rsid w:val="00D961FE"/>
    <w:rsid w:val="00D9628D"/>
    <w:rsid w:val="00D96317"/>
    <w:rsid w:val="00D9643A"/>
    <w:rsid w:val="00D96443"/>
    <w:rsid w:val="00D964AB"/>
    <w:rsid w:val="00D9654C"/>
    <w:rsid w:val="00D965D9"/>
    <w:rsid w:val="00D965FD"/>
    <w:rsid w:val="00D96631"/>
    <w:rsid w:val="00D967B7"/>
    <w:rsid w:val="00D96843"/>
    <w:rsid w:val="00D9694B"/>
    <w:rsid w:val="00D969BB"/>
    <w:rsid w:val="00D96A32"/>
    <w:rsid w:val="00D96CF1"/>
    <w:rsid w:val="00D96E2B"/>
    <w:rsid w:val="00D96E3D"/>
    <w:rsid w:val="00D96E5F"/>
    <w:rsid w:val="00D96EEA"/>
    <w:rsid w:val="00D96F04"/>
    <w:rsid w:val="00D96F63"/>
    <w:rsid w:val="00D97006"/>
    <w:rsid w:val="00D970BB"/>
    <w:rsid w:val="00D970EA"/>
    <w:rsid w:val="00D9733D"/>
    <w:rsid w:val="00D973E9"/>
    <w:rsid w:val="00D974C1"/>
    <w:rsid w:val="00D974C3"/>
    <w:rsid w:val="00D974D7"/>
    <w:rsid w:val="00D97604"/>
    <w:rsid w:val="00D97618"/>
    <w:rsid w:val="00D976A6"/>
    <w:rsid w:val="00D9776A"/>
    <w:rsid w:val="00D9781E"/>
    <w:rsid w:val="00D978A4"/>
    <w:rsid w:val="00D97932"/>
    <w:rsid w:val="00D9796C"/>
    <w:rsid w:val="00D979F2"/>
    <w:rsid w:val="00D97AD8"/>
    <w:rsid w:val="00D97ADB"/>
    <w:rsid w:val="00D97B4F"/>
    <w:rsid w:val="00D97B8B"/>
    <w:rsid w:val="00D97D10"/>
    <w:rsid w:val="00D97D1D"/>
    <w:rsid w:val="00D97DD6"/>
    <w:rsid w:val="00D97E08"/>
    <w:rsid w:val="00D97F49"/>
    <w:rsid w:val="00D9A47E"/>
    <w:rsid w:val="00DA03D0"/>
    <w:rsid w:val="00DA06A8"/>
    <w:rsid w:val="00DA0709"/>
    <w:rsid w:val="00DA07BA"/>
    <w:rsid w:val="00DA07FD"/>
    <w:rsid w:val="00DA0924"/>
    <w:rsid w:val="00DA0943"/>
    <w:rsid w:val="00DA0A5E"/>
    <w:rsid w:val="00DA0AB9"/>
    <w:rsid w:val="00DA0C26"/>
    <w:rsid w:val="00DA0DB6"/>
    <w:rsid w:val="00DA0DF5"/>
    <w:rsid w:val="00DA0E0B"/>
    <w:rsid w:val="00DA0E47"/>
    <w:rsid w:val="00DA0E74"/>
    <w:rsid w:val="00DA0F0A"/>
    <w:rsid w:val="00DA0F49"/>
    <w:rsid w:val="00DA0F4B"/>
    <w:rsid w:val="00DA0F88"/>
    <w:rsid w:val="00DA10C1"/>
    <w:rsid w:val="00DA10F1"/>
    <w:rsid w:val="00DA12E0"/>
    <w:rsid w:val="00DA12E7"/>
    <w:rsid w:val="00DA1376"/>
    <w:rsid w:val="00DA144B"/>
    <w:rsid w:val="00DA16D7"/>
    <w:rsid w:val="00DA1725"/>
    <w:rsid w:val="00DA1781"/>
    <w:rsid w:val="00DA1872"/>
    <w:rsid w:val="00DA18F8"/>
    <w:rsid w:val="00DA197D"/>
    <w:rsid w:val="00DA19BB"/>
    <w:rsid w:val="00DA1BBD"/>
    <w:rsid w:val="00DA1C26"/>
    <w:rsid w:val="00DA1DD9"/>
    <w:rsid w:val="00DA1EE9"/>
    <w:rsid w:val="00DA1F31"/>
    <w:rsid w:val="00DA1FB1"/>
    <w:rsid w:val="00DA1FC8"/>
    <w:rsid w:val="00DA2043"/>
    <w:rsid w:val="00DA217F"/>
    <w:rsid w:val="00DA21AF"/>
    <w:rsid w:val="00DA2237"/>
    <w:rsid w:val="00DA2304"/>
    <w:rsid w:val="00DA233A"/>
    <w:rsid w:val="00DA246F"/>
    <w:rsid w:val="00DA2548"/>
    <w:rsid w:val="00DA25DF"/>
    <w:rsid w:val="00DA25ED"/>
    <w:rsid w:val="00DA26C2"/>
    <w:rsid w:val="00DA26DC"/>
    <w:rsid w:val="00DA2848"/>
    <w:rsid w:val="00DA2905"/>
    <w:rsid w:val="00DA292A"/>
    <w:rsid w:val="00DA294A"/>
    <w:rsid w:val="00DA2A13"/>
    <w:rsid w:val="00DA2A55"/>
    <w:rsid w:val="00DA2A94"/>
    <w:rsid w:val="00DA2AAB"/>
    <w:rsid w:val="00DA2AFE"/>
    <w:rsid w:val="00DA2B7D"/>
    <w:rsid w:val="00DA2BA2"/>
    <w:rsid w:val="00DA2C2A"/>
    <w:rsid w:val="00DA2CAB"/>
    <w:rsid w:val="00DA2D5E"/>
    <w:rsid w:val="00DA2D64"/>
    <w:rsid w:val="00DA2E32"/>
    <w:rsid w:val="00DA2E83"/>
    <w:rsid w:val="00DA2F16"/>
    <w:rsid w:val="00DA2FB3"/>
    <w:rsid w:val="00DA2FFB"/>
    <w:rsid w:val="00DA3089"/>
    <w:rsid w:val="00DA308C"/>
    <w:rsid w:val="00DA30D0"/>
    <w:rsid w:val="00DA3253"/>
    <w:rsid w:val="00DA32C3"/>
    <w:rsid w:val="00DA32D7"/>
    <w:rsid w:val="00DA3357"/>
    <w:rsid w:val="00DA3393"/>
    <w:rsid w:val="00DA3441"/>
    <w:rsid w:val="00DA34B7"/>
    <w:rsid w:val="00DA3554"/>
    <w:rsid w:val="00DA3705"/>
    <w:rsid w:val="00DA379B"/>
    <w:rsid w:val="00DA37D7"/>
    <w:rsid w:val="00DA3882"/>
    <w:rsid w:val="00DA3886"/>
    <w:rsid w:val="00DA38E9"/>
    <w:rsid w:val="00DA3987"/>
    <w:rsid w:val="00DA3B11"/>
    <w:rsid w:val="00DA3B66"/>
    <w:rsid w:val="00DA3B70"/>
    <w:rsid w:val="00DA3CB2"/>
    <w:rsid w:val="00DA3D4B"/>
    <w:rsid w:val="00DA3DF5"/>
    <w:rsid w:val="00DA3DF6"/>
    <w:rsid w:val="00DA3E69"/>
    <w:rsid w:val="00DA4081"/>
    <w:rsid w:val="00DA40A9"/>
    <w:rsid w:val="00DA412F"/>
    <w:rsid w:val="00DA42CB"/>
    <w:rsid w:val="00DA43C2"/>
    <w:rsid w:val="00DA43CD"/>
    <w:rsid w:val="00DA446D"/>
    <w:rsid w:val="00DA45AA"/>
    <w:rsid w:val="00DA45F9"/>
    <w:rsid w:val="00DA463D"/>
    <w:rsid w:val="00DA4642"/>
    <w:rsid w:val="00DA4661"/>
    <w:rsid w:val="00DA46A3"/>
    <w:rsid w:val="00DA46B8"/>
    <w:rsid w:val="00DA4708"/>
    <w:rsid w:val="00DA4799"/>
    <w:rsid w:val="00DA48DD"/>
    <w:rsid w:val="00DA4B63"/>
    <w:rsid w:val="00DA4CA9"/>
    <w:rsid w:val="00DA4D52"/>
    <w:rsid w:val="00DA4E2B"/>
    <w:rsid w:val="00DA4EA5"/>
    <w:rsid w:val="00DA4EFD"/>
    <w:rsid w:val="00DA4F04"/>
    <w:rsid w:val="00DA4F0A"/>
    <w:rsid w:val="00DA4F9B"/>
    <w:rsid w:val="00DA505E"/>
    <w:rsid w:val="00DA505F"/>
    <w:rsid w:val="00DA50CE"/>
    <w:rsid w:val="00DA51DB"/>
    <w:rsid w:val="00DA5205"/>
    <w:rsid w:val="00DA523F"/>
    <w:rsid w:val="00DA5243"/>
    <w:rsid w:val="00DA52F7"/>
    <w:rsid w:val="00DA52FA"/>
    <w:rsid w:val="00DA5388"/>
    <w:rsid w:val="00DA53A5"/>
    <w:rsid w:val="00DA53BD"/>
    <w:rsid w:val="00DA53ED"/>
    <w:rsid w:val="00DA5406"/>
    <w:rsid w:val="00DA558C"/>
    <w:rsid w:val="00DA55B2"/>
    <w:rsid w:val="00DA5626"/>
    <w:rsid w:val="00DA5665"/>
    <w:rsid w:val="00DA56E9"/>
    <w:rsid w:val="00DA5727"/>
    <w:rsid w:val="00DA5798"/>
    <w:rsid w:val="00DA57DF"/>
    <w:rsid w:val="00DA5826"/>
    <w:rsid w:val="00DA58E2"/>
    <w:rsid w:val="00DA5931"/>
    <w:rsid w:val="00DA5956"/>
    <w:rsid w:val="00DA5AEC"/>
    <w:rsid w:val="00DA5D1B"/>
    <w:rsid w:val="00DA5D76"/>
    <w:rsid w:val="00DA5E37"/>
    <w:rsid w:val="00DA6004"/>
    <w:rsid w:val="00DA6031"/>
    <w:rsid w:val="00DA603D"/>
    <w:rsid w:val="00DA604D"/>
    <w:rsid w:val="00DA613B"/>
    <w:rsid w:val="00DA6186"/>
    <w:rsid w:val="00DA61C7"/>
    <w:rsid w:val="00DA61DF"/>
    <w:rsid w:val="00DA626D"/>
    <w:rsid w:val="00DA62C3"/>
    <w:rsid w:val="00DA635A"/>
    <w:rsid w:val="00DA63B1"/>
    <w:rsid w:val="00DA63DB"/>
    <w:rsid w:val="00DA65AC"/>
    <w:rsid w:val="00DA65C2"/>
    <w:rsid w:val="00DA6645"/>
    <w:rsid w:val="00DA67A9"/>
    <w:rsid w:val="00DA67FF"/>
    <w:rsid w:val="00DA6830"/>
    <w:rsid w:val="00DA6969"/>
    <w:rsid w:val="00DA6A07"/>
    <w:rsid w:val="00DA6A8D"/>
    <w:rsid w:val="00DA6B08"/>
    <w:rsid w:val="00DA6E09"/>
    <w:rsid w:val="00DA6E74"/>
    <w:rsid w:val="00DA6EB4"/>
    <w:rsid w:val="00DA6EEA"/>
    <w:rsid w:val="00DA6FAD"/>
    <w:rsid w:val="00DA70AC"/>
    <w:rsid w:val="00DA7101"/>
    <w:rsid w:val="00DA72CD"/>
    <w:rsid w:val="00DA730B"/>
    <w:rsid w:val="00DA7359"/>
    <w:rsid w:val="00DA7468"/>
    <w:rsid w:val="00DA746D"/>
    <w:rsid w:val="00DA76E4"/>
    <w:rsid w:val="00DA77A1"/>
    <w:rsid w:val="00DA77C5"/>
    <w:rsid w:val="00DA7901"/>
    <w:rsid w:val="00DA7961"/>
    <w:rsid w:val="00DA7A2A"/>
    <w:rsid w:val="00DA7A97"/>
    <w:rsid w:val="00DA7ACD"/>
    <w:rsid w:val="00DA7AE2"/>
    <w:rsid w:val="00DA7B11"/>
    <w:rsid w:val="00DA7C0C"/>
    <w:rsid w:val="00DA7D04"/>
    <w:rsid w:val="00DA7D77"/>
    <w:rsid w:val="00DA7D9F"/>
    <w:rsid w:val="00DA7DF8"/>
    <w:rsid w:val="00DA7E15"/>
    <w:rsid w:val="00DA7E20"/>
    <w:rsid w:val="00DA7ECA"/>
    <w:rsid w:val="00DA7F9D"/>
    <w:rsid w:val="00DA7FDA"/>
    <w:rsid w:val="00DAF97A"/>
    <w:rsid w:val="00DB0140"/>
    <w:rsid w:val="00DB0246"/>
    <w:rsid w:val="00DB02D2"/>
    <w:rsid w:val="00DB0315"/>
    <w:rsid w:val="00DB03EA"/>
    <w:rsid w:val="00DB0654"/>
    <w:rsid w:val="00DB0801"/>
    <w:rsid w:val="00DB08E1"/>
    <w:rsid w:val="00DB098C"/>
    <w:rsid w:val="00DB0A9F"/>
    <w:rsid w:val="00DB0AB9"/>
    <w:rsid w:val="00DB0ADC"/>
    <w:rsid w:val="00DB0AE0"/>
    <w:rsid w:val="00DB0CE5"/>
    <w:rsid w:val="00DB0D2D"/>
    <w:rsid w:val="00DB0E98"/>
    <w:rsid w:val="00DB0FBB"/>
    <w:rsid w:val="00DB0FC4"/>
    <w:rsid w:val="00DB0FEC"/>
    <w:rsid w:val="00DB1022"/>
    <w:rsid w:val="00DB104D"/>
    <w:rsid w:val="00DB1080"/>
    <w:rsid w:val="00DB1109"/>
    <w:rsid w:val="00DB111A"/>
    <w:rsid w:val="00DB1184"/>
    <w:rsid w:val="00DB11EA"/>
    <w:rsid w:val="00DB127B"/>
    <w:rsid w:val="00DB14C3"/>
    <w:rsid w:val="00DB1591"/>
    <w:rsid w:val="00DB159C"/>
    <w:rsid w:val="00DB166D"/>
    <w:rsid w:val="00DB1673"/>
    <w:rsid w:val="00DB16E0"/>
    <w:rsid w:val="00DB16F2"/>
    <w:rsid w:val="00DB175B"/>
    <w:rsid w:val="00DB17F0"/>
    <w:rsid w:val="00DB181A"/>
    <w:rsid w:val="00DB1832"/>
    <w:rsid w:val="00DB18D5"/>
    <w:rsid w:val="00DB1A2C"/>
    <w:rsid w:val="00DB1A4E"/>
    <w:rsid w:val="00DB1A90"/>
    <w:rsid w:val="00DB1AA9"/>
    <w:rsid w:val="00DB1B07"/>
    <w:rsid w:val="00DB1CE2"/>
    <w:rsid w:val="00DB1CE8"/>
    <w:rsid w:val="00DB1DD3"/>
    <w:rsid w:val="00DB1E06"/>
    <w:rsid w:val="00DB1FD1"/>
    <w:rsid w:val="00DB20F4"/>
    <w:rsid w:val="00DB2102"/>
    <w:rsid w:val="00DB2153"/>
    <w:rsid w:val="00DB21B1"/>
    <w:rsid w:val="00DB22ED"/>
    <w:rsid w:val="00DB2471"/>
    <w:rsid w:val="00DB249E"/>
    <w:rsid w:val="00DB2519"/>
    <w:rsid w:val="00DB251F"/>
    <w:rsid w:val="00DB2537"/>
    <w:rsid w:val="00DB25EF"/>
    <w:rsid w:val="00DB2652"/>
    <w:rsid w:val="00DB269C"/>
    <w:rsid w:val="00DB26C3"/>
    <w:rsid w:val="00DB26CF"/>
    <w:rsid w:val="00DB274C"/>
    <w:rsid w:val="00DB2806"/>
    <w:rsid w:val="00DB29B2"/>
    <w:rsid w:val="00DB2A19"/>
    <w:rsid w:val="00DB2DA4"/>
    <w:rsid w:val="00DB2E3F"/>
    <w:rsid w:val="00DB2EC3"/>
    <w:rsid w:val="00DB2EEC"/>
    <w:rsid w:val="00DB2F9B"/>
    <w:rsid w:val="00DB2FAA"/>
    <w:rsid w:val="00DB3159"/>
    <w:rsid w:val="00DB31C5"/>
    <w:rsid w:val="00DB330F"/>
    <w:rsid w:val="00DB341D"/>
    <w:rsid w:val="00DB347E"/>
    <w:rsid w:val="00DB3582"/>
    <w:rsid w:val="00DB37D9"/>
    <w:rsid w:val="00DB3896"/>
    <w:rsid w:val="00DB38E2"/>
    <w:rsid w:val="00DB3A4B"/>
    <w:rsid w:val="00DB3A7D"/>
    <w:rsid w:val="00DB3AB8"/>
    <w:rsid w:val="00DB3BB1"/>
    <w:rsid w:val="00DB3BE3"/>
    <w:rsid w:val="00DB3C26"/>
    <w:rsid w:val="00DB3CE1"/>
    <w:rsid w:val="00DB3DB1"/>
    <w:rsid w:val="00DB3E5D"/>
    <w:rsid w:val="00DB40CE"/>
    <w:rsid w:val="00DB4226"/>
    <w:rsid w:val="00DB427F"/>
    <w:rsid w:val="00DB42BF"/>
    <w:rsid w:val="00DB42C6"/>
    <w:rsid w:val="00DB4400"/>
    <w:rsid w:val="00DB4505"/>
    <w:rsid w:val="00DB4560"/>
    <w:rsid w:val="00DB4577"/>
    <w:rsid w:val="00DB45A2"/>
    <w:rsid w:val="00DB4633"/>
    <w:rsid w:val="00DB47AE"/>
    <w:rsid w:val="00DB47EF"/>
    <w:rsid w:val="00DB49EA"/>
    <w:rsid w:val="00DB49F1"/>
    <w:rsid w:val="00DB4A7C"/>
    <w:rsid w:val="00DB4B2B"/>
    <w:rsid w:val="00DB4B71"/>
    <w:rsid w:val="00DB4C85"/>
    <w:rsid w:val="00DB4CC6"/>
    <w:rsid w:val="00DB4D1F"/>
    <w:rsid w:val="00DB4D35"/>
    <w:rsid w:val="00DB5003"/>
    <w:rsid w:val="00DB5089"/>
    <w:rsid w:val="00DB5098"/>
    <w:rsid w:val="00DB50D7"/>
    <w:rsid w:val="00DB512D"/>
    <w:rsid w:val="00DB5139"/>
    <w:rsid w:val="00DB51CA"/>
    <w:rsid w:val="00DB51DA"/>
    <w:rsid w:val="00DB523F"/>
    <w:rsid w:val="00DB5243"/>
    <w:rsid w:val="00DB559D"/>
    <w:rsid w:val="00DB55C1"/>
    <w:rsid w:val="00DB5773"/>
    <w:rsid w:val="00DB57FF"/>
    <w:rsid w:val="00DB58ED"/>
    <w:rsid w:val="00DB59F7"/>
    <w:rsid w:val="00DB5C16"/>
    <w:rsid w:val="00DB5CEF"/>
    <w:rsid w:val="00DB5D21"/>
    <w:rsid w:val="00DB5DC6"/>
    <w:rsid w:val="00DB5DE2"/>
    <w:rsid w:val="00DB5E26"/>
    <w:rsid w:val="00DB5EE1"/>
    <w:rsid w:val="00DB5F4C"/>
    <w:rsid w:val="00DB5F6F"/>
    <w:rsid w:val="00DB5F9C"/>
    <w:rsid w:val="00DB60C9"/>
    <w:rsid w:val="00DB623D"/>
    <w:rsid w:val="00DB629B"/>
    <w:rsid w:val="00DB62C5"/>
    <w:rsid w:val="00DB6398"/>
    <w:rsid w:val="00DB650C"/>
    <w:rsid w:val="00DB653D"/>
    <w:rsid w:val="00DB65C8"/>
    <w:rsid w:val="00DB6774"/>
    <w:rsid w:val="00DB68D4"/>
    <w:rsid w:val="00DB6B21"/>
    <w:rsid w:val="00DB6BB9"/>
    <w:rsid w:val="00DB6BC1"/>
    <w:rsid w:val="00DB6D50"/>
    <w:rsid w:val="00DB6D7D"/>
    <w:rsid w:val="00DB6DB1"/>
    <w:rsid w:val="00DB6E36"/>
    <w:rsid w:val="00DB6E9C"/>
    <w:rsid w:val="00DB6F5C"/>
    <w:rsid w:val="00DB7033"/>
    <w:rsid w:val="00DB7136"/>
    <w:rsid w:val="00DB7148"/>
    <w:rsid w:val="00DB714E"/>
    <w:rsid w:val="00DB7274"/>
    <w:rsid w:val="00DB72FD"/>
    <w:rsid w:val="00DB7348"/>
    <w:rsid w:val="00DB73D7"/>
    <w:rsid w:val="00DB74B8"/>
    <w:rsid w:val="00DB7632"/>
    <w:rsid w:val="00DB769F"/>
    <w:rsid w:val="00DB76DB"/>
    <w:rsid w:val="00DB76FB"/>
    <w:rsid w:val="00DB7820"/>
    <w:rsid w:val="00DB7935"/>
    <w:rsid w:val="00DB7978"/>
    <w:rsid w:val="00DB79C4"/>
    <w:rsid w:val="00DB79CC"/>
    <w:rsid w:val="00DB7BB8"/>
    <w:rsid w:val="00DB7C20"/>
    <w:rsid w:val="00DB7C2D"/>
    <w:rsid w:val="00DB7D01"/>
    <w:rsid w:val="00DB7D40"/>
    <w:rsid w:val="00DB7D83"/>
    <w:rsid w:val="00DB7E59"/>
    <w:rsid w:val="00DB7EFF"/>
    <w:rsid w:val="00DB7FA1"/>
    <w:rsid w:val="00DC01A6"/>
    <w:rsid w:val="00DC01F3"/>
    <w:rsid w:val="00DC021F"/>
    <w:rsid w:val="00DC033F"/>
    <w:rsid w:val="00DC041A"/>
    <w:rsid w:val="00DC051A"/>
    <w:rsid w:val="00DC05DE"/>
    <w:rsid w:val="00DC05E3"/>
    <w:rsid w:val="00DC0627"/>
    <w:rsid w:val="00DC076B"/>
    <w:rsid w:val="00DC089A"/>
    <w:rsid w:val="00DC091C"/>
    <w:rsid w:val="00DC0922"/>
    <w:rsid w:val="00DC0A8E"/>
    <w:rsid w:val="00DC0ACF"/>
    <w:rsid w:val="00DC0AF2"/>
    <w:rsid w:val="00DC0B00"/>
    <w:rsid w:val="00DC0B9B"/>
    <w:rsid w:val="00DC0BCC"/>
    <w:rsid w:val="00DC0C22"/>
    <w:rsid w:val="00DC0CA6"/>
    <w:rsid w:val="00DC0CB1"/>
    <w:rsid w:val="00DC0CF1"/>
    <w:rsid w:val="00DC0CF8"/>
    <w:rsid w:val="00DC0DB1"/>
    <w:rsid w:val="00DC0DFF"/>
    <w:rsid w:val="00DC0E63"/>
    <w:rsid w:val="00DC0EFA"/>
    <w:rsid w:val="00DC0F1C"/>
    <w:rsid w:val="00DC1005"/>
    <w:rsid w:val="00DC101E"/>
    <w:rsid w:val="00DC120A"/>
    <w:rsid w:val="00DC12EC"/>
    <w:rsid w:val="00DC1422"/>
    <w:rsid w:val="00DC1427"/>
    <w:rsid w:val="00DC151E"/>
    <w:rsid w:val="00DC1546"/>
    <w:rsid w:val="00DC158E"/>
    <w:rsid w:val="00DC15AF"/>
    <w:rsid w:val="00DC1605"/>
    <w:rsid w:val="00DC1632"/>
    <w:rsid w:val="00DC16DC"/>
    <w:rsid w:val="00DC180E"/>
    <w:rsid w:val="00DC1838"/>
    <w:rsid w:val="00DC18C7"/>
    <w:rsid w:val="00DC192E"/>
    <w:rsid w:val="00DC1930"/>
    <w:rsid w:val="00DC19F3"/>
    <w:rsid w:val="00DC1A42"/>
    <w:rsid w:val="00DC1B38"/>
    <w:rsid w:val="00DC1D03"/>
    <w:rsid w:val="00DC1D20"/>
    <w:rsid w:val="00DC1D83"/>
    <w:rsid w:val="00DC1E13"/>
    <w:rsid w:val="00DC1ED4"/>
    <w:rsid w:val="00DC1F22"/>
    <w:rsid w:val="00DC1F2C"/>
    <w:rsid w:val="00DC1F7A"/>
    <w:rsid w:val="00DC1F9B"/>
    <w:rsid w:val="00DC2000"/>
    <w:rsid w:val="00DC2053"/>
    <w:rsid w:val="00DC20F1"/>
    <w:rsid w:val="00DC22F9"/>
    <w:rsid w:val="00DC2440"/>
    <w:rsid w:val="00DC2490"/>
    <w:rsid w:val="00DC2642"/>
    <w:rsid w:val="00DC265A"/>
    <w:rsid w:val="00DC2708"/>
    <w:rsid w:val="00DC295F"/>
    <w:rsid w:val="00DC29DB"/>
    <w:rsid w:val="00DC2A3C"/>
    <w:rsid w:val="00DC2CDC"/>
    <w:rsid w:val="00DC2D3C"/>
    <w:rsid w:val="00DC2D57"/>
    <w:rsid w:val="00DC2E7A"/>
    <w:rsid w:val="00DC301D"/>
    <w:rsid w:val="00DC3020"/>
    <w:rsid w:val="00DC3117"/>
    <w:rsid w:val="00DC322C"/>
    <w:rsid w:val="00DC322E"/>
    <w:rsid w:val="00DC3413"/>
    <w:rsid w:val="00DC3453"/>
    <w:rsid w:val="00DC349F"/>
    <w:rsid w:val="00DC356E"/>
    <w:rsid w:val="00DC3579"/>
    <w:rsid w:val="00DC357A"/>
    <w:rsid w:val="00DC35DD"/>
    <w:rsid w:val="00DC36BF"/>
    <w:rsid w:val="00DC3809"/>
    <w:rsid w:val="00DC3811"/>
    <w:rsid w:val="00DC3886"/>
    <w:rsid w:val="00DC39CC"/>
    <w:rsid w:val="00DC3A08"/>
    <w:rsid w:val="00DC3A10"/>
    <w:rsid w:val="00DC3A64"/>
    <w:rsid w:val="00DC3A6D"/>
    <w:rsid w:val="00DC3A8E"/>
    <w:rsid w:val="00DC3BAD"/>
    <w:rsid w:val="00DC3C60"/>
    <w:rsid w:val="00DC3CD1"/>
    <w:rsid w:val="00DC3CF4"/>
    <w:rsid w:val="00DC3D83"/>
    <w:rsid w:val="00DC3DAD"/>
    <w:rsid w:val="00DC3E43"/>
    <w:rsid w:val="00DC3EDD"/>
    <w:rsid w:val="00DC3FD2"/>
    <w:rsid w:val="00DC3FD9"/>
    <w:rsid w:val="00DC4038"/>
    <w:rsid w:val="00DC4084"/>
    <w:rsid w:val="00DC4106"/>
    <w:rsid w:val="00DC41C7"/>
    <w:rsid w:val="00DC4224"/>
    <w:rsid w:val="00DC4275"/>
    <w:rsid w:val="00DC42D3"/>
    <w:rsid w:val="00DC4335"/>
    <w:rsid w:val="00DC434A"/>
    <w:rsid w:val="00DC43E6"/>
    <w:rsid w:val="00DC441E"/>
    <w:rsid w:val="00DC4469"/>
    <w:rsid w:val="00DC4508"/>
    <w:rsid w:val="00DC4677"/>
    <w:rsid w:val="00DC468C"/>
    <w:rsid w:val="00DC46E0"/>
    <w:rsid w:val="00DC47A1"/>
    <w:rsid w:val="00DC47E1"/>
    <w:rsid w:val="00DC485F"/>
    <w:rsid w:val="00DC4986"/>
    <w:rsid w:val="00DC49A3"/>
    <w:rsid w:val="00DC4A28"/>
    <w:rsid w:val="00DC4B75"/>
    <w:rsid w:val="00DC4BA0"/>
    <w:rsid w:val="00DC4C0D"/>
    <w:rsid w:val="00DC4C67"/>
    <w:rsid w:val="00DC4D18"/>
    <w:rsid w:val="00DC4D31"/>
    <w:rsid w:val="00DC4D6F"/>
    <w:rsid w:val="00DC4DE5"/>
    <w:rsid w:val="00DC4E0B"/>
    <w:rsid w:val="00DC4F14"/>
    <w:rsid w:val="00DC4F29"/>
    <w:rsid w:val="00DC4F38"/>
    <w:rsid w:val="00DC4F47"/>
    <w:rsid w:val="00DC4FFD"/>
    <w:rsid w:val="00DC500A"/>
    <w:rsid w:val="00DC50B2"/>
    <w:rsid w:val="00DC51EA"/>
    <w:rsid w:val="00DC5209"/>
    <w:rsid w:val="00DC5220"/>
    <w:rsid w:val="00DC523A"/>
    <w:rsid w:val="00DC5248"/>
    <w:rsid w:val="00DC52EA"/>
    <w:rsid w:val="00DC54E7"/>
    <w:rsid w:val="00DC5553"/>
    <w:rsid w:val="00DC557A"/>
    <w:rsid w:val="00DC5702"/>
    <w:rsid w:val="00DC5862"/>
    <w:rsid w:val="00DC58F9"/>
    <w:rsid w:val="00DC593D"/>
    <w:rsid w:val="00DC59A9"/>
    <w:rsid w:val="00DC59AE"/>
    <w:rsid w:val="00DC5A7F"/>
    <w:rsid w:val="00DC5BBF"/>
    <w:rsid w:val="00DC5C68"/>
    <w:rsid w:val="00DC5F08"/>
    <w:rsid w:val="00DC5FAE"/>
    <w:rsid w:val="00DC5FC7"/>
    <w:rsid w:val="00DC6185"/>
    <w:rsid w:val="00DC61B1"/>
    <w:rsid w:val="00DC62B8"/>
    <w:rsid w:val="00DC6303"/>
    <w:rsid w:val="00DC6342"/>
    <w:rsid w:val="00DC6353"/>
    <w:rsid w:val="00DC63FD"/>
    <w:rsid w:val="00DC659F"/>
    <w:rsid w:val="00DC65B7"/>
    <w:rsid w:val="00DC6723"/>
    <w:rsid w:val="00DC67B0"/>
    <w:rsid w:val="00DC67DD"/>
    <w:rsid w:val="00DC68CA"/>
    <w:rsid w:val="00DC691B"/>
    <w:rsid w:val="00DC6922"/>
    <w:rsid w:val="00DC699D"/>
    <w:rsid w:val="00DC6B0B"/>
    <w:rsid w:val="00DC6BA5"/>
    <w:rsid w:val="00DC6E57"/>
    <w:rsid w:val="00DC6F98"/>
    <w:rsid w:val="00DC70AD"/>
    <w:rsid w:val="00DC70E2"/>
    <w:rsid w:val="00DC7215"/>
    <w:rsid w:val="00DC72A9"/>
    <w:rsid w:val="00DC72D1"/>
    <w:rsid w:val="00DC733A"/>
    <w:rsid w:val="00DC7429"/>
    <w:rsid w:val="00DC75FD"/>
    <w:rsid w:val="00DC767D"/>
    <w:rsid w:val="00DC7685"/>
    <w:rsid w:val="00DC7686"/>
    <w:rsid w:val="00DC76B5"/>
    <w:rsid w:val="00DC783B"/>
    <w:rsid w:val="00DC787D"/>
    <w:rsid w:val="00DC789E"/>
    <w:rsid w:val="00DC797C"/>
    <w:rsid w:val="00DC7A80"/>
    <w:rsid w:val="00DC7B14"/>
    <w:rsid w:val="00DC7B19"/>
    <w:rsid w:val="00DC7B34"/>
    <w:rsid w:val="00DC7B6B"/>
    <w:rsid w:val="00DC7B7A"/>
    <w:rsid w:val="00DC7C81"/>
    <w:rsid w:val="00DC7E1E"/>
    <w:rsid w:val="00DC7EF9"/>
    <w:rsid w:val="00DC7F40"/>
    <w:rsid w:val="00DCFD0A"/>
    <w:rsid w:val="00DD0049"/>
    <w:rsid w:val="00DD006E"/>
    <w:rsid w:val="00DD020D"/>
    <w:rsid w:val="00DD02C3"/>
    <w:rsid w:val="00DD03F7"/>
    <w:rsid w:val="00DD040A"/>
    <w:rsid w:val="00DD0433"/>
    <w:rsid w:val="00DD04D3"/>
    <w:rsid w:val="00DD04FA"/>
    <w:rsid w:val="00DD0575"/>
    <w:rsid w:val="00DD0591"/>
    <w:rsid w:val="00DD05AA"/>
    <w:rsid w:val="00DD0607"/>
    <w:rsid w:val="00DD06D8"/>
    <w:rsid w:val="00DD084E"/>
    <w:rsid w:val="00DD0886"/>
    <w:rsid w:val="00DD08C3"/>
    <w:rsid w:val="00DD0913"/>
    <w:rsid w:val="00DD097C"/>
    <w:rsid w:val="00DD09F6"/>
    <w:rsid w:val="00DD0A4D"/>
    <w:rsid w:val="00DD0C59"/>
    <w:rsid w:val="00DD0C99"/>
    <w:rsid w:val="00DD0CE0"/>
    <w:rsid w:val="00DD0DDF"/>
    <w:rsid w:val="00DD0E75"/>
    <w:rsid w:val="00DD0EBB"/>
    <w:rsid w:val="00DD0FDB"/>
    <w:rsid w:val="00DD1008"/>
    <w:rsid w:val="00DD109F"/>
    <w:rsid w:val="00DD110F"/>
    <w:rsid w:val="00DD121D"/>
    <w:rsid w:val="00DD15B6"/>
    <w:rsid w:val="00DD161B"/>
    <w:rsid w:val="00DD19C5"/>
    <w:rsid w:val="00DD1A0D"/>
    <w:rsid w:val="00DD1A1D"/>
    <w:rsid w:val="00DD1A34"/>
    <w:rsid w:val="00DD1BA4"/>
    <w:rsid w:val="00DD1BAE"/>
    <w:rsid w:val="00DD1BCF"/>
    <w:rsid w:val="00DD1C26"/>
    <w:rsid w:val="00DD1D0E"/>
    <w:rsid w:val="00DD1E71"/>
    <w:rsid w:val="00DD1E8A"/>
    <w:rsid w:val="00DD1FC0"/>
    <w:rsid w:val="00DD204D"/>
    <w:rsid w:val="00DD20DE"/>
    <w:rsid w:val="00DD2166"/>
    <w:rsid w:val="00DD2213"/>
    <w:rsid w:val="00DD2275"/>
    <w:rsid w:val="00DD22C4"/>
    <w:rsid w:val="00DD235C"/>
    <w:rsid w:val="00DD23CC"/>
    <w:rsid w:val="00DD2435"/>
    <w:rsid w:val="00DD243C"/>
    <w:rsid w:val="00DD2465"/>
    <w:rsid w:val="00DD2578"/>
    <w:rsid w:val="00DD25AC"/>
    <w:rsid w:val="00DD25F6"/>
    <w:rsid w:val="00DD27FE"/>
    <w:rsid w:val="00DD2A45"/>
    <w:rsid w:val="00DD2B4F"/>
    <w:rsid w:val="00DD2B5C"/>
    <w:rsid w:val="00DD2BA4"/>
    <w:rsid w:val="00DD2D90"/>
    <w:rsid w:val="00DD2DEC"/>
    <w:rsid w:val="00DD2E7F"/>
    <w:rsid w:val="00DD2F05"/>
    <w:rsid w:val="00DD2F39"/>
    <w:rsid w:val="00DD2F49"/>
    <w:rsid w:val="00DD30BD"/>
    <w:rsid w:val="00DD30C8"/>
    <w:rsid w:val="00DD30F4"/>
    <w:rsid w:val="00DD33FA"/>
    <w:rsid w:val="00DD35C7"/>
    <w:rsid w:val="00DD364D"/>
    <w:rsid w:val="00DD3677"/>
    <w:rsid w:val="00DD36BC"/>
    <w:rsid w:val="00DD3704"/>
    <w:rsid w:val="00DD3860"/>
    <w:rsid w:val="00DD3863"/>
    <w:rsid w:val="00DD387E"/>
    <w:rsid w:val="00DD390C"/>
    <w:rsid w:val="00DD3911"/>
    <w:rsid w:val="00DD3926"/>
    <w:rsid w:val="00DD397C"/>
    <w:rsid w:val="00DD398D"/>
    <w:rsid w:val="00DD3A1D"/>
    <w:rsid w:val="00DD3A24"/>
    <w:rsid w:val="00DD3D02"/>
    <w:rsid w:val="00DD3DCF"/>
    <w:rsid w:val="00DD3E77"/>
    <w:rsid w:val="00DD3E9C"/>
    <w:rsid w:val="00DD3F92"/>
    <w:rsid w:val="00DD3FD0"/>
    <w:rsid w:val="00DD41AB"/>
    <w:rsid w:val="00DD4230"/>
    <w:rsid w:val="00DD4302"/>
    <w:rsid w:val="00DD4338"/>
    <w:rsid w:val="00DD4349"/>
    <w:rsid w:val="00DD440C"/>
    <w:rsid w:val="00DD443C"/>
    <w:rsid w:val="00DD443F"/>
    <w:rsid w:val="00DD444B"/>
    <w:rsid w:val="00DD446B"/>
    <w:rsid w:val="00DD4494"/>
    <w:rsid w:val="00DD4495"/>
    <w:rsid w:val="00DD452A"/>
    <w:rsid w:val="00DD456E"/>
    <w:rsid w:val="00DD45C2"/>
    <w:rsid w:val="00DD45D3"/>
    <w:rsid w:val="00DD4610"/>
    <w:rsid w:val="00DD4701"/>
    <w:rsid w:val="00DD4729"/>
    <w:rsid w:val="00DD479B"/>
    <w:rsid w:val="00DD47BF"/>
    <w:rsid w:val="00DD4825"/>
    <w:rsid w:val="00DD4834"/>
    <w:rsid w:val="00DD4A51"/>
    <w:rsid w:val="00DD4D19"/>
    <w:rsid w:val="00DD4DB3"/>
    <w:rsid w:val="00DD4DCF"/>
    <w:rsid w:val="00DD4E99"/>
    <w:rsid w:val="00DD4F63"/>
    <w:rsid w:val="00DD5008"/>
    <w:rsid w:val="00DD503B"/>
    <w:rsid w:val="00DD50E4"/>
    <w:rsid w:val="00DD5154"/>
    <w:rsid w:val="00DD5176"/>
    <w:rsid w:val="00DD518D"/>
    <w:rsid w:val="00DD5235"/>
    <w:rsid w:val="00DD5299"/>
    <w:rsid w:val="00DD52A4"/>
    <w:rsid w:val="00DD530E"/>
    <w:rsid w:val="00DD5397"/>
    <w:rsid w:val="00DD5450"/>
    <w:rsid w:val="00DD546D"/>
    <w:rsid w:val="00DD5478"/>
    <w:rsid w:val="00DD54D1"/>
    <w:rsid w:val="00DD54DC"/>
    <w:rsid w:val="00DD552D"/>
    <w:rsid w:val="00DD5561"/>
    <w:rsid w:val="00DD5564"/>
    <w:rsid w:val="00DD5705"/>
    <w:rsid w:val="00DD5748"/>
    <w:rsid w:val="00DD57AC"/>
    <w:rsid w:val="00DD57C8"/>
    <w:rsid w:val="00DD586F"/>
    <w:rsid w:val="00DD596C"/>
    <w:rsid w:val="00DD598B"/>
    <w:rsid w:val="00DD5B23"/>
    <w:rsid w:val="00DD5B62"/>
    <w:rsid w:val="00DD5B79"/>
    <w:rsid w:val="00DD5C9A"/>
    <w:rsid w:val="00DD5CA7"/>
    <w:rsid w:val="00DD5D1B"/>
    <w:rsid w:val="00DD5D20"/>
    <w:rsid w:val="00DD5D39"/>
    <w:rsid w:val="00DD5D3C"/>
    <w:rsid w:val="00DD5D4F"/>
    <w:rsid w:val="00DD5E87"/>
    <w:rsid w:val="00DD5EE0"/>
    <w:rsid w:val="00DD610D"/>
    <w:rsid w:val="00DD6143"/>
    <w:rsid w:val="00DD6276"/>
    <w:rsid w:val="00DD6320"/>
    <w:rsid w:val="00DD6384"/>
    <w:rsid w:val="00DD6390"/>
    <w:rsid w:val="00DD63E2"/>
    <w:rsid w:val="00DD63ED"/>
    <w:rsid w:val="00DD6431"/>
    <w:rsid w:val="00DD64F8"/>
    <w:rsid w:val="00DD6585"/>
    <w:rsid w:val="00DD661C"/>
    <w:rsid w:val="00DD665E"/>
    <w:rsid w:val="00DD6749"/>
    <w:rsid w:val="00DD67EE"/>
    <w:rsid w:val="00DD6812"/>
    <w:rsid w:val="00DD6A92"/>
    <w:rsid w:val="00DD6ACC"/>
    <w:rsid w:val="00DD6C33"/>
    <w:rsid w:val="00DD6C76"/>
    <w:rsid w:val="00DD6CE3"/>
    <w:rsid w:val="00DD6D17"/>
    <w:rsid w:val="00DD6DFA"/>
    <w:rsid w:val="00DD6E56"/>
    <w:rsid w:val="00DD6E5D"/>
    <w:rsid w:val="00DD7116"/>
    <w:rsid w:val="00DD71AF"/>
    <w:rsid w:val="00DD7250"/>
    <w:rsid w:val="00DD7296"/>
    <w:rsid w:val="00DD72A9"/>
    <w:rsid w:val="00DD73C3"/>
    <w:rsid w:val="00DD74A3"/>
    <w:rsid w:val="00DD767F"/>
    <w:rsid w:val="00DD76B3"/>
    <w:rsid w:val="00DD7897"/>
    <w:rsid w:val="00DD7971"/>
    <w:rsid w:val="00DD79A2"/>
    <w:rsid w:val="00DD79D0"/>
    <w:rsid w:val="00DD7ACD"/>
    <w:rsid w:val="00DD7BC4"/>
    <w:rsid w:val="00DD7C71"/>
    <w:rsid w:val="00DD7CD8"/>
    <w:rsid w:val="00DD7D1F"/>
    <w:rsid w:val="00DD7D4F"/>
    <w:rsid w:val="00DD7D97"/>
    <w:rsid w:val="00DD7DAA"/>
    <w:rsid w:val="00DD7DB5"/>
    <w:rsid w:val="00DD7DD2"/>
    <w:rsid w:val="00DD7E38"/>
    <w:rsid w:val="00DD7EBF"/>
    <w:rsid w:val="00DD7FDB"/>
    <w:rsid w:val="00DE01F1"/>
    <w:rsid w:val="00DE0294"/>
    <w:rsid w:val="00DE02CC"/>
    <w:rsid w:val="00DE038F"/>
    <w:rsid w:val="00DE0447"/>
    <w:rsid w:val="00DE0492"/>
    <w:rsid w:val="00DE057C"/>
    <w:rsid w:val="00DE05DE"/>
    <w:rsid w:val="00DE0628"/>
    <w:rsid w:val="00DE063E"/>
    <w:rsid w:val="00DE0717"/>
    <w:rsid w:val="00DE0783"/>
    <w:rsid w:val="00DE0879"/>
    <w:rsid w:val="00DE08C4"/>
    <w:rsid w:val="00DE0B19"/>
    <w:rsid w:val="00DE0C44"/>
    <w:rsid w:val="00DE0FF3"/>
    <w:rsid w:val="00DE0FFE"/>
    <w:rsid w:val="00DE107E"/>
    <w:rsid w:val="00DE1096"/>
    <w:rsid w:val="00DE10BE"/>
    <w:rsid w:val="00DE1105"/>
    <w:rsid w:val="00DE129F"/>
    <w:rsid w:val="00DE130E"/>
    <w:rsid w:val="00DE1449"/>
    <w:rsid w:val="00DE14BF"/>
    <w:rsid w:val="00DE159B"/>
    <w:rsid w:val="00DE173F"/>
    <w:rsid w:val="00DE17AD"/>
    <w:rsid w:val="00DE17F8"/>
    <w:rsid w:val="00DE190A"/>
    <w:rsid w:val="00DE1927"/>
    <w:rsid w:val="00DE19CF"/>
    <w:rsid w:val="00DE19E8"/>
    <w:rsid w:val="00DE1AAF"/>
    <w:rsid w:val="00DE1BF6"/>
    <w:rsid w:val="00DE1C27"/>
    <w:rsid w:val="00DE1CE7"/>
    <w:rsid w:val="00DE1D2A"/>
    <w:rsid w:val="00DE1D98"/>
    <w:rsid w:val="00DE1DB7"/>
    <w:rsid w:val="00DE1F8D"/>
    <w:rsid w:val="00DE1FE8"/>
    <w:rsid w:val="00DE1FF8"/>
    <w:rsid w:val="00DE2065"/>
    <w:rsid w:val="00DE20BE"/>
    <w:rsid w:val="00DE20EB"/>
    <w:rsid w:val="00DE2177"/>
    <w:rsid w:val="00DE2311"/>
    <w:rsid w:val="00DE24A4"/>
    <w:rsid w:val="00DE2552"/>
    <w:rsid w:val="00DE26C9"/>
    <w:rsid w:val="00DE2757"/>
    <w:rsid w:val="00DE27D7"/>
    <w:rsid w:val="00DE2836"/>
    <w:rsid w:val="00DE2859"/>
    <w:rsid w:val="00DE289F"/>
    <w:rsid w:val="00DE28AA"/>
    <w:rsid w:val="00DE28D3"/>
    <w:rsid w:val="00DE28D4"/>
    <w:rsid w:val="00DE297B"/>
    <w:rsid w:val="00DE29DE"/>
    <w:rsid w:val="00DE29E7"/>
    <w:rsid w:val="00DE2C9A"/>
    <w:rsid w:val="00DE2D58"/>
    <w:rsid w:val="00DE2D61"/>
    <w:rsid w:val="00DE3002"/>
    <w:rsid w:val="00DE3175"/>
    <w:rsid w:val="00DE3216"/>
    <w:rsid w:val="00DE3280"/>
    <w:rsid w:val="00DE328B"/>
    <w:rsid w:val="00DE3417"/>
    <w:rsid w:val="00DE34E1"/>
    <w:rsid w:val="00DE3508"/>
    <w:rsid w:val="00DE3559"/>
    <w:rsid w:val="00DE373E"/>
    <w:rsid w:val="00DE37F3"/>
    <w:rsid w:val="00DE388C"/>
    <w:rsid w:val="00DE38C6"/>
    <w:rsid w:val="00DE3920"/>
    <w:rsid w:val="00DE398E"/>
    <w:rsid w:val="00DE3A3C"/>
    <w:rsid w:val="00DE3A62"/>
    <w:rsid w:val="00DE3A6E"/>
    <w:rsid w:val="00DE3AA9"/>
    <w:rsid w:val="00DE3B35"/>
    <w:rsid w:val="00DE3B3B"/>
    <w:rsid w:val="00DE3BB7"/>
    <w:rsid w:val="00DE3D37"/>
    <w:rsid w:val="00DE3D78"/>
    <w:rsid w:val="00DE3DF8"/>
    <w:rsid w:val="00DE3EC7"/>
    <w:rsid w:val="00DE3ECD"/>
    <w:rsid w:val="00DE3F03"/>
    <w:rsid w:val="00DE3FC9"/>
    <w:rsid w:val="00DE404B"/>
    <w:rsid w:val="00DE424C"/>
    <w:rsid w:val="00DE428D"/>
    <w:rsid w:val="00DE429A"/>
    <w:rsid w:val="00DE43B5"/>
    <w:rsid w:val="00DE43B6"/>
    <w:rsid w:val="00DE4402"/>
    <w:rsid w:val="00DE4465"/>
    <w:rsid w:val="00DE44AF"/>
    <w:rsid w:val="00DE454D"/>
    <w:rsid w:val="00DE4675"/>
    <w:rsid w:val="00DE472E"/>
    <w:rsid w:val="00DE47C2"/>
    <w:rsid w:val="00DE482D"/>
    <w:rsid w:val="00DE4897"/>
    <w:rsid w:val="00DE48BA"/>
    <w:rsid w:val="00DE495C"/>
    <w:rsid w:val="00DE4966"/>
    <w:rsid w:val="00DE49AB"/>
    <w:rsid w:val="00DE49EE"/>
    <w:rsid w:val="00DE4A8B"/>
    <w:rsid w:val="00DE4AC7"/>
    <w:rsid w:val="00DE4C60"/>
    <w:rsid w:val="00DE4C64"/>
    <w:rsid w:val="00DE4D66"/>
    <w:rsid w:val="00DE4ECB"/>
    <w:rsid w:val="00DE4FFE"/>
    <w:rsid w:val="00DE5227"/>
    <w:rsid w:val="00DE5336"/>
    <w:rsid w:val="00DE537B"/>
    <w:rsid w:val="00DE53C5"/>
    <w:rsid w:val="00DE5441"/>
    <w:rsid w:val="00DE547A"/>
    <w:rsid w:val="00DE55A0"/>
    <w:rsid w:val="00DE55C9"/>
    <w:rsid w:val="00DE55D3"/>
    <w:rsid w:val="00DE560D"/>
    <w:rsid w:val="00DE5636"/>
    <w:rsid w:val="00DE563E"/>
    <w:rsid w:val="00DE566D"/>
    <w:rsid w:val="00DE568D"/>
    <w:rsid w:val="00DE56B8"/>
    <w:rsid w:val="00DE56EE"/>
    <w:rsid w:val="00DE57A0"/>
    <w:rsid w:val="00DE57BA"/>
    <w:rsid w:val="00DE595F"/>
    <w:rsid w:val="00DE597E"/>
    <w:rsid w:val="00DE5A62"/>
    <w:rsid w:val="00DE5A95"/>
    <w:rsid w:val="00DE5B19"/>
    <w:rsid w:val="00DE5B78"/>
    <w:rsid w:val="00DE5BB5"/>
    <w:rsid w:val="00DE5C1D"/>
    <w:rsid w:val="00DE5D68"/>
    <w:rsid w:val="00DE5E22"/>
    <w:rsid w:val="00DE5ED5"/>
    <w:rsid w:val="00DE5F86"/>
    <w:rsid w:val="00DE6326"/>
    <w:rsid w:val="00DE638E"/>
    <w:rsid w:val="00DE63B5"/>
    <w:rsid w:val="00DE63C1"/>
    <w:rsid w:val="00DE63E4"/>
    <w:rsid w:val="00DE63ED"/>
    <w:rsid w:val="00DE63F8"/>
    <w:rsid w:val="00DE6590"/>
    <w:rsid w:val="00DE65CA"/>
    <w:rsid w:val="00DE65D5"/>
    <w:rsid w:val="00DE6760"/>
    <w:rsid w:val="00DE684B"/>
    <w:rsid w:val="00DE6862"/>
    <w:rsid w:val="00DE69A1"/>
    <w:rsid w:val="00DE6A4F"/>
    <w:rsid w:val="00DE6AB2"/>
    <w:rsid w:val="00DE6B19"/>
    <w:rsid w:val="00DE6B35"/>
    <w:rsid w:val="00DE6D6F"/>
    <w:rsid w:val="00DE6D90"/>
    <w:rsid w:val="00DE6E2E"/>
    <w:rsid w:val="00DE6F02"/>
    <w:rsid w:val="00DE6FE6"/>
    <w:rsid w:val="00DE711B"/>
    <w:rsid w:val="00DE7181"/>
    <w:rsid w:val="00DE71BA"/>
    <w:rsid w:val="00DE7211"/>
    <w:rsid w:val="00DE72FA"/>
    <w:rsid w:val="00DE7331"/>
    <w:rsid w:val="00DE741A"/>
    <w:rsid w:val="00DE7438"/>
    <w:rsid w:val="00DE75ED"/>
    <w:rsid w:val="00DE76BD"/>
    <w:rsid w:val="00DE7708"/>
    <w:rsid w:val="00DE7798"/>
    <w:rsid w:val="00DE78DF"/>
    <w:rsid w:val="00DE795D"/>
    <w:rsid w:val="00DE7975"/>
    <w:rsid w:val="00DE7A13"/>
    <w:rsid w:val="00DE7AF2"/>
    <w:rsid w:val="00DE7CAD"/>
    <w:rsid w:val="00DE7E89"/>
    <w:rsid w:val="00DE7E9C"/>
    <w:rsid w:val="00DE7F0F"/>
    <w:rsid w:val="00DE7F31"/>
    <w:rsid w:val="00DE7F69"/>
    <w:rsid w:val="00DE7FF9"/>
    <w:rsid w:val="00DF007C"/>
    <w:rsid w:val="00DF00F9"/>
    <w:rsid w:val="00DF0107"/>
    <w:rsid w:val="00DF0175"/>
    <w:rsid w:val="00DF032B"/>
    <w:rsid w:val="00DF03E1"/>
    <w:rsid w:val="00DF0417"/>
    <w:rsid w:val="00DF0447"/>
    <w:rsid w:val="00DF04CE"/>
    <w:rsid w:val="00DF0540"/>
    <w:rsid w:val="00DF05DC"/>
    <w:rsid w:val="00DF0664"/>
    <w:rsid w:val="00DF0858"/>
    <w:rsid w:val="00DF086A"/>
    <w:rsid w:val="00DF0914"/>
    <w:rsid w:val="00DF094B"/>
    <w:rsid w:val="00DF09DA"/>
    <w:rsid w:val="00DF09DB"/>
    <w:rsid w:val="00DF0A8F"/>
    <w:rsid w:val="00DF0B68"/>
    <w:rsid w:val="00DF0B7B"/>
    <w:rsid w:val="00DF0BBE"/>
    <w:rsid w:val="00DF0C73"/>
    <w:rsid w:val="00DF0C90"/>
    <w:rsid w:val="00DF0ED2"/>
    <w:rsid w:val="00DF1053"/>
    <w:rsid w:val="00DF1071"/>
    <w:rsid w:val="00DF115F"/>
    <w:rsid w:val="00DF11B9"/>
    <w:rsid w:val="00DF126A"/>
    <w:rsid w:val="00DF1326"/>
    <w:rsid w:val="00DF139D"/>
    <w:rsid w:val="00DF1409"/>
    <w:rsid w:val="00DF143A"/>
    <w:rsid w:val="00DF147D"/>
    <w:rsid w:val="00DF1494"/>
    <w:rsid w:val="00DF14C3"/>
    <w:rsid w:val="00DF175A"/>
    <w:rsid w:val="00DF1816"/>
    <w:rsid w:val="00DF1904"/>
    <w:rsid w:val="00DF1962"/>
    <w:rsid w:val="00DF1A3D"/>
    <w:rsid w:val="00DF1A46"/>
    <w:rsid w:val="00DF1AC5"/>
    <w:rsid w:val="00DF1B69"/>
    <w:rsid w:val="00DF1C34"/>
    <w:rsid w:val="00DF1E68"/>
    <w:rsid w:val="00DF1F2E"/>
    <w:rsid w:val="00DF1FFF"/>
    <w:rsid w:val="00DF2087"/>
    <w:rsid w:val="00DF219A"/>
    <w:rsid w:val="00DF21B9"/>
    <w:rsid w:val="00DF2230"/>
    <w:rsid w:val="00DF2286"/>
    <w:rsid w:val="00DF2305"/>
    <w:rsid w:val="00DF2355"/>
    <w:rsid w:val="00DF24B2"/>
    <w:rsid w:val="00DF2512"/>
    <w:rsid w:val="00DF2683"/>
    <w:rsid w:val="00DF2714"/>
    <w:rsid w:val="00DF274B"/>
    <w:rsid w:val="00DF27C2"/>
    <w:rsid w:val="00DF27E6"/>
    <w:rsid w:val="00DF281D"/>
    <w:rsid w:val="00DF282E"/>
    <w:rsid w:val="00DF287C"/>
    <w:rsid w:val="00DF28C8"/>
    <w:rsid w:val="00DF28F7"/>
    <w:rsid w:val="00DF2979"/>
    <w:rsid w:val="00DF29E5"/>
    <w:rsid w:val="00DF2AEA"/>
    <w:rsid w:val="00DF2D71"/>
    <w:rsid w:val="00DF2DF8"/>
    <w:rsid w:val="00DF2E63"/>
    <w:rsid w:val="00DF2ECC"/>
    <w:rsid w:val="00DF2F53"/>
    <w:rsid w:val="00DF3040"/>
    <w:rsid w:val="00DF305D"/>
    <w:rsid w:val="00DF3066"/>
    <w:rsid w:val="00DF3148"/>
    <w:rsid w:val="00DF31AD"/>
    <w:rsid w:val="00DF334A"/>
    <w:rsid w:val="00DF3368"/>
    <w:rsid w:val="00DF33C1"/>
    <w:rsid w:val="00DF33DD"/>
    <w:rsid w:val="00DF3454"/>
    <w:rsid w:val="00DF3574"/>
    <w:rsid w:val="00DF3659"/>
    <w:rsid w:val="00DF3790"/>
    <w:rsid w:val="00DF37D9"/>
    <w:rsid w:val="00DF3833"/>
    <w:rsid w:val="00DF3845"/>
    <w:rsid w:val="00DF38C1"/>
    <w:rsid w:val="00DF3926"/>
    <w:rsid w:val="00DF39D8"/>
    <w:rsid w:val="00DF3A6C"/>
    <w:rsid w:val="00DF3A6D"/>
    <w:rsid w:val="00DF3AC5"/>
    <w:rsid w:val="00DF3ACC"/>
    <w:rsid w:val="00DF3B58"/>
    <w:rsid w:val="00DF3BA2"/>
    <w:rsid w:val="00DF3CA8"/>
    <w:rsid w:val="00DF3CE8"/>
    <w:rsid w:val="00DF3D6C"/>
    <w:rsid w:val="00DF3E52"/>
    <w:rsid w:val="00DF3E72"/>
    <w:rsid w:val="00DF3E8B"/>
    <w:rsid w:val="00DF3FE6"/>
    <w:rsid w:val="00DF406C"/>
    <w:rsid w:val="00DF40E3"/>
    <w:rsid w:val="00DF4252"/>
    <w:rsid w:val="00DF4261"/>
    <w:rsid w:val="00DF42B6"/>
    <w:rsid w:val="00DF4383"/>
    <w:rsid w:val="00DF43F6"/>
    <w:rsid w:val="00DF441D"/>
    <w:rsid w:val="00DF453E"/>
    <w:rsid w:val="00DF4556"/>
    <w:rsid w:val="00DF45A8"/>
    <w:rsid w:val="00DF463E"/>
    <w:rsid w:val="00DF4689"/>
    <w:rsid w:val="00DF4719"/>
    <w:rsid w:val="00DF47EE"/>
    <w:rsid w:val="00DF4890"/>
    <w:rsid w:val="00DF48AD"/>
    <w:rsid w:val="00DF4951"/>
    <w:rsid w:val="00DF4A27"/>
    <w:rsid w:val="00DF4C3A"/>
    <w:rsid w:val="00DF4D98"/>
    <w:rsid w:val="00DF4E1E"/>
    <w:rsid w:val="00DF4E21"/>
    <w:rsid w:val="00DF4E5D"/>
    <w:rsid w:val="00DF4F67"/>
    <w:rsid w:val="00DF4F97"/>
    <w:rsid w:val="00DF4FB2"/>
    <w:rsid w:val="00DF4FDE"/>
    <w:rsid w:val="00DF4FE8"/>
    <w:rsid w:val="00DF5046"/>
    <w:rsid w:val="00DF50CA"/>
    <w:rsid w:val="00DF51EB"/>
    <w:rsid w:val="00DF5541"/>
    <w:rsid w:val="00DF5542"/>
    <w:rsid w:val="00DF55CF"/>
    <w:rsid w:val="00DF5645"/>
    <w:rsid w:val="00DF566B"/>
    <w:rsid w:val="00DF5721"/>
    <w:rsid w:val="00DF5783"/>
    <w:rsid w:val="00DF58AB"/>
    <w:rsid w:val="00DF5983"/>
    <w:rsid w:val="00DF5C12"/>
    <w:rsid w:val="00DF5CA2"/>
    <w:rsid w:val="00DF5CAE"/>
    <w:rsid w:val="00DF5D49"/>
    <w:rsid w:val="00DF5D50"/>
    <w:rsid w:val="00DF5E66"/>
    <w:rsid w:val="00DF5F03"/>
    <w:rsid w:val="00DF5F78"/>
    <w:rsid w:val="00DF608B"/>
    <w:rsid w:val="00DF60E1"/>
    <w:rsid w:val="00DF6218"/>
    <w:rsid w:val="00DF6231"/>
    <w:rsid w:val="00DF629B"/>
    <w:rsid w:val="00DF62D4"/>
    <w:rsid w:val="00DF641E"/>
    <w:rsid w:val="00DF642C"/>
    <w:rsid w:val="00DF6452"/>
    <w:rsid w:val="00DF6455"/>
    <w:rsid w:val="00DF645D"/>
    <w:rsid w:val="00DF64AB"/>
    <w:rsid w:val="00DF64EC"/>
    <w:rsid w:val="00DF656F"/>
    <w:rsid w:val="00DF65A7"/>
    <w:rsid w:val="00DF65FA"/>
    <w:rsid w:val="00DF669B"/>
    <w:rsid w:val="00DF6764"/>
    <w:rsid w:val="00DF676E"/>
    <w:rsid w:val="00DF689B"/>
    <w:rsid w:val="00DF694A"/>
    <w:rsid w:val="00DF697A"/>
    <w:rsid w:val="00DF69FF"/>
    <w:rsid w:val="00DF6B27"/>
    <w:rsid w:val="00DF6BA6"/>
    <w:rsid w:val="00DF6C34"/>
    <w:rsid w:val="00DF6C82"/>
    <w:rsid w:val="00DF6DAF"/>
    <w:rsid w:val="00DF6E17"/>
    <w:rsid w:val="00DF6FF5"/>
    <w:rsid w:val="00DF7020"/>
    <w:rsid w:val="00DF70B7"/>
    <w:rsid w:val="00DF70E0"/>
    <w:rsid w:val="00DF719E"/>
    <w:rsid w:val="00DF726E"/>
    <w:rsid w:val="00DF7352"/>
    <w:rsid w:val="00DF73AC"/>
    <w:rsid w:val="00DF7489"/>
    <w:rsid w:val="00DF74C1"/>
    <w:rsid w:val="00DF7581"/>
    <w:rsid w:val="00DF75D8"/>
    <w:rsid w:val="00DF75EB"/>
    <w:rsid w:val="00DF7626"/>
    <w:rsid w:val="00DF76C2"/>
    <w:rsid w:val="00DF7713"/>
    <w:rsid w:val="00DF777A"/>
    <w:rsid w:val="00DF777E"/>
    <w:rsid w:val="00DF77A7"/>
    <w:rsid w:val="00DF781F"/>
    <w:rsid w:val="00DF78E3"/>
    <w:rsid w:val="00DF7936"/>
    <w:rsid w:val="00DF79DF"/>
    <w:rsid w:val="00DF7A8D"/>
    <w:rsid w:val="00DF7AE8"/>
    <w:rsid w:val="00DF7B7E"/>
    <w:rsid w:val="00DF7BCF"/>
    <w:rsid w:val="00DF7C13"/>
    <w:rsid w:val="00DF7C1D"/>
    <w:rsid w:val="00DF7C91"/>
    <w:rsid w:val="00DF7DCC"/>
    <w:rsid w:val="00DF7E13"/>
    <w:rsid w:val="00DF7EC4"/>
    <w:rsid w:val="00DF7EFB"/>
    <w:rsid w:val="00DF7F9F"/>
    <w:rsid w:val="00DF7FCA"/>
    <w:rsid w:val="00E0003B"/>
    <w:rsid w:val="00E00078"/>
    <w:rsid w:val="00E00165"/>
    <w:rsid w:val="00E001F9"/>
    <w:rsid w:val="00E00248"/>
    <w:rsid w:val="00E00274"/>
    <w:rsid w:val="00E002AC"/>
    <w:rsid w:val="00E0033B"/>
    <w:rsid w:val="00E00424"/>
    <w:rsid w:val="00E00487"/>
    <w:rsid w:val="00E00676"/>
    <w:rsid w:val="00E006FD"/>
    <w:rsid w:val="00E00769"/>
    <w:rsid w:val="00E00773"/>
    <w:rsid w:val="00E00806"/>
    <w:rsid w:val="00E00857"/>
    <w:rsid w:val="00E008FF"/>
    <w:rsid w:val="00E00912"/>
    <w:rsid w:val="00E009D0"/>
    <w:rsid w:val="00E009F2"/>
    <w:rsid w:val="00E00AEF"/>
    <w:rsid w:val="00E00B6F"/>
    <w:rsid w:val="00E00CA6"/>
    <w:rsid w:val="00E00CF2"/>
    <w:rsid w:val="00E00D77"/>
    <w:rsid w:val="00E00D7B"/>
    <w:rsid w:val="00E00E59"/>
    <w:rsid w:val="00E00F00"/>
    <w:rsid w:val="00E00FC2"/>
    <w:rsid w:val="00E00FF1"/>
    <w:rsid w:val="00E0104D"/>
    <w:rsid w:val="00E01088"/>
    <w:rsid w:val="00E01110"/>
    <w:rsid w:val="00E01171"/>
    <w:rsid w:val="00E0123D"/>
    <w:rsid w:val="00E012A4"/>
    <w:rsid w:val="00E01407"/>
    <w:rsid w:val="00E01445"/>
    <w:rsid w:val="00E0175B"/>
    <w:rsid w:val="00E0179E"/>
    <w:rsid w:val="00E017EF"/>
    <w:rsid w:val="00E01870"/>
    <w:rsid w:val="00E01957"/>
    <w:rsid w:val="00E01ABA"/>
    <w:rsid w:val="00E01C21"/>
    <w:rsid w:val="00E01CB9"/>
    <w:rsid w:val="00E01D13"/>
    <w:rsid w:val="00E01EEC"/>
    <w:rsid w:val="00E01EF4"/>
    <w:rsid w:val="00E01F02"/>
    <w:rsid w:val="00E02019"/>
    <w:rsid w:val="00E020EF"/>
    <w:rsid w:val="00E02113"/>
    <w:rsid w:val="00E02143"/>
    <w:rsid w:val="00E02203"/>
    <w:rsid w:val="00E0226C"/>
    <w:rsid w:val="00E023D8"/>
    <w:rsid w:val="00E0240D"/>
    <w:rsid w:val="00E02425"/>
    <w:rsid w:val="00E0242E"/>
    <w:rsid w:val="00E02606"/>
    <w:rsid w:val="00E026D2"/>
    <w:rsid w:val="00E026D9"/>
    <w:rsid w:val="00E0274A"/>
    <w:rsid w:val="00E02822"/>
    <w:rsid w:val="00E02A2B"/>
    <w:rsid w:val="00E02A88"/>
    <w:rsid w:val="00E02B24"/>
    <w:rsid w:val="00E02C09"/>
    <w:rsid w:val="00E02C29"/>
    <w:rsid w:val="00E02C8B"/>
    <w:rsid w:val="00E02CEF"/>
    <w:rsid w:val="00E02D8B"/>
    <w:rsid w:val="00E02DC7"/>
    <w:rsid w:val="00E02DC9"/>
    <w:rsid w:val="00E02EE5"/>
    <w:rsid w:val="00E02F76"/>
    <w:rsid w:val="00E02F97"/>
    <w:rsid w:val="00E02FC0"/>
    <w:rsid w:val="00E03019"/>
    <w:rsid w:val="00E03064"/>
    <w:rsid w:val="00E030B9"/>
    <w:rsid w:val="00E030F1"/>
    <w:rsid w:val="00E03184"/>
    <w:rsid w:val="00E0321A"/>
    <w:rsid w:val="00E03252"/>
    <w:rsid w:val="00E0325C"/>
    <w:rsid w:val="00E032F7"/>
    <w:rsid w:val="00E03488"/>
    <w:rsid w:val="00E034C1"/>
    <w:rsid w:val="00E03550"/>
    <w:rsid w:val="00E03587"/>
    <w:rsid w:val="00E03619"/>
    <w:rsid w:val="00E03647"/>
    <w:rsid w:val="00E03657"/>
    <w:rsid w:val="00E03665"/>
    <w:rsid w:val="00E0366F"/>
    <w:rsid w:val="00E037A9"/>
    <w:rsid w:val="00E03914"/>
    <w:rsid w:val="00E03A0D"/>
    <w:rsid w:val="00E03A54"/>
    <w:rsid w:val="00E03BB2"/>
    <w:rsid w:val="00E03BDD"/>
    <w:rsid w:val="00E03D12"/>
    <w:rsid w:val="00E03E7E"/>
    <w:rsid w:val="00E03FB5"/>
    <w:rsid w:val="00E04121"/>
    <w:rsid w:val="00E04203"/>
    <w:rsid w:val="00E0430E"/>
    <w:rsid w:val="00E04392"/>
    <w:rsid w:val="00E043EE"/>
    <w:rsid w:val="00E04444"/>
    <w:rsid w:val="00E04485"/>
    <w:rsid w:val="00E0448F"/>
    <w:rsid w:val="00E044BB"/>
    <w:rsid w:val="00E04589"/>
    <w:rsid w:val="00E045DC"/>
    <w:rsid w:val="00E0464A"/>
    <w:rsid w:val="00E04698"/>
    <w:rsid w:val="00E046F2"/>
    <w:rsid w:val="00E04700"/>
    <w:rsid w:val="00E04716"/>
    <w:rsid w:val="00E047F2"/>
    <w:rsid w:val="00E04856"/>
    <w:rsid w:val="00E048C7"/>
    <w:rsid w:val="00E048EF"/>
    <w:rsid w:val="00E04A1B"/>
    <w:rsid w:val="00E04AEC"/>
    <w:rsid w:val="00E04B4B"/>
    <w:rsid w:val="00E04C8C"/>
    <w:rsid w:val="00E04D67"/>
    <w:rsid w:val="00E04E89"/>
    <w:rsid w:val="00E04E96"/>
    <w:rsid w:val="00E04ED1"/>
    <w:rsid w:val="00E04EE0"/>
    <w:rsid w:val="00E04F09"/>
    <w:rsid w:val="00E04FAA"/>
    <w:rsid w:val="00E050F0"/>
    <w:rsid w:val="00E052AD"/>
    <w:rsid w:val="00E0534A"/>
    <w:rsid w:val="00E05363"/>
    <w:rsid w:val="00E053E6"/>
    <w:rsid w:val="00E05415"/>
    <w:rsid w:val="00E05464"/>
    <w:rsid w:val="00E055C5"/>
    <w:rsid w:val="00E0564A"/>
    <w:rsid w:val="00E05674"/>
    <w:rsid w:val="00E05678"/>
    <w:rsid w:val="00E05693"/>
    <w:rsid w:val="00E0571E"/>
    <w:rsid w:val="00E0573D"/>
    <w:rsid w:val="00E05761"/>
    <w:rsid w:val="00E05787"/>
    <w:rsid w:val="00E057D6"/>
    <w:rsid w:val="00E058A6"/>
    <w:rsid w:val="00E058B0"/>
    <w:rsid w:val="00E058EC"/>
    <w:rsid w:val="00E058F7"/>
    <w:rsid w:val="00E059B1"/>
    <w:rsid w:val="00E05A78"/>
    <w:rsid w:val="00E05AD1"/>
    <w:rsid w:val="00E05AF4"/>
    <w:rsid w:val="00E05E51"/>
    <w:rsid w:val="00E05F14"/>
    <w:rsid w:val="00E0606F"/>
    <w:rsid w:val="00E0626B"/>
    <w:rsid w:val="00E06374"/>
    <w:rsid w:val="00E063BE"/>
    <w:rsid w:val="00E0645E"/>
    <w:rsid w:val="00E064A1"/>
    <w:rsid w:val="00E065F4"/>
    <w:rsid w:val="00E0660B"/>
    <w:rsid w:val="00E066F1"/>
    <w:rsid w:val="00E06836"/>
    <w:rsid w:val="00E068F2"/>
    <w:rsid w:val="00E06982"/>
    <w:rsid w:val="00E06993"/>
    <w:rsid w:val="00E069DF"/>
    <w:rsid w:val="00E06A49"/>
    <w:rsid w:val="00E06AB4"/>
    <w:rsid w:val="00E06B89"/>
    <w:rsid w:val="00E06BA1"/>
    <w:rsid w:val="00E06C0B"/>
    <w:rsid w:val="00E06CD8"/>
    <w:rsid w:val="00E06E09"/>
    <w:rsid w:val="00E06EEE"/>
    <w:rsid w:val="00E07178"/>
    <w:rsid w:val="00E0722F"/>
    <w:rsid w:val="00E07277"/>
    <w:rsid w:val="00E072FB"/>
    <w:rsid w:val="00E0732D"/>
    <w:rsid w:val="00E07429"/>
    <w:rsid w:val="00E0748D"/>
    <w:rsid w:val="00E07538"/>
    <w:rsid w:val="00E07559"/>
    <w:rsid w:val="00E075DB"/>
    <w:rsid w:val="00E07697"/>
    <w:rsid w:val="00E076E2"/>
    <w:rsid w:val="00E07754"/>
    <w:rsid w:val="00E077A6"/>
    <w:rsid w:val="00E07809"/>
    <w:rsid w:val="00E0784B"/>
    <w:rsid w:val="00E07925"/>
    <w:rsid w:val="00E07951"/>
    <w:rsid w:val="00E079CD"/>
    <w:rsid w:val="00E07A12"/>
    <w:rsid w:val="00E07A22"/>
    <w:rsid w:val="00E07A5E"/>
    <w:rsid w:val="00E07A66"/>
    <w:rsid w:val="00E07A9B"/>
    <w:rsid w:val="00E07C72"/>
    <w:rsid w:val="00E07C78"/>
    <w:rsid w:val="00E07C92"/>
    <w:rsid w:val="00E07C99"/>
    <w:rsid w:val="00E07DEC"/>
    <w:rsid w:val="00E07E32"/>
    <w:rsid w:val="00E07EC6"/>
    <w:rsid w:val="00E07EE3"/>
    <w:rsid w:val="00E07F8D"/>
    <w:rsid w:val="00E07FE1"/>
    <w:rsid w:val="00E1001F"/>
    <w:rsid w:val="00E100C5"/>
    <w:rsid w:val="00E100F8"/>
    <w:rsid w:val="00E10123"/>
    <w:rsid w:val="00E10160"/>
    <w:rsid w:val="00E101DE"/>
    <w:rsid w:val="00E10229"/>
    <w:rsid w:val="00E10231"/>
    <w:rsid w:val="00E10319"/>
    <w:rsid w:val="00E1032E"/>
    <w:rsid w:val="00E10356"/>
    <w:rsid w:val="00E1038B"/>
    <w:rsid w:val="00E1038C"/>
    <w:rsid w:val="00E10435"/>
    <w:rsid w:val="00E1052D"/>
    <w:rsid w:val="00E106F7"/>
    <w:rsid w:val="00E1070F"/>
    <w:rsid w:val="00E1075F"/>
    <w:rsid w:val="00E1076B"/>
    <w:rsid w:val="00E1077E"/>
    <w:rsid w:val="00E108D0"/>
    <w:rsid w:val="00E108D2"/>
    <w:rsid w:val="00E10A40"/>
    <w:rsid w:val="00E10AFD"/>
    <w:rsid w:val="00E10C27"/>
    <w:rsid w:val="00E10C87"/>
    <w:rsid w:val="00E10CFF"/>
    <w:rsid w:val="00E10E81"/>
    <w:rsid w:val="00E10EBD"/>
    <w:rsid w:val="00E1112E"/>
    <w:rsid w:val="00E111B4"/>
    <w:rsid w:val="00E1122E"/>
    <w:rsid w:val="00E112D8"/>
    <w:rsid w:val="00E112DC"/>
    <w:rsid w:val="00E11377"/>
    <w:rsid w:val="00E11381"/>
    <w:rsid w:val="00E1146F"/>
    <w:rsid w:val="00E114B8"/>
    <w:rsid w:val="00E11577"/>
    <w:rsid w:val="00E116D1"/>
    <w:rsid w:val="00E1192D"/>
    <w:rsid w:val="00E11937"/>
    <w:rsid w:val="00E11A44"/>
    <w:rsid w:val="00E11AEE"/>
    <w:rsid w:val="00E11BDA"/>
    <w:rsid w:val="00E11C40"/>
    <w:rsid w:val="00E11C44"/>
    <w:rsid w:val="00E11C99"/>
    <w:rsid w:val="00E11D0E"/>
    <w:rsid w:val="00E11D0F"/>
    <w:rsid w:val="00E11E2D"/>
    <w:rsid w:val="00E11E78"/>
    <w:rsid w:val="00E11E87"/>
    <w:rsid w:val="00E11E9E"/>
    <w:rsid w:val="00E11F42"/>
    <w:rsid w:val="00E12050"/>
    <w:rsid w:val="00E1209A"/>
    <w:rsid w:val="00E120D9"/>
    <w:rsid w:val="00E1213C"/>
    <w:rsid w:val="00E12200"/>
    <w:rsid w:val="00E1225A"/>
    <w:rsid w:val="00E122E2"/>
    <w:rsid w:val="00E12383"/>
    <w:rsid w:val="00E12569"/>
    <w:rsid w:val="00E1265F"/>
    <w:rsid w:val="00E126C2"/>
    <w:rsid w:val="00E1274F"/>
    <w:rsid w:val="00E12785"/>
    <w:rsid w:val="00E12786"/>
    <w:rsid w:val="00E128B9"/>
    <w:rsid w:val="00E12907"/>
    <w:rsid w:val="00E12A5D"/>
    <w:rsid w:val="00E12A8F"/>
    <w:rsid w:val="00E12A91"/>
    <w:rsid w:val="00E12CAA"/>
    <w:rsid w:val="00E12E18"/>
    <w:rsid w:val="00E12E71"/>
    <w:rsid w:val="00E12EBA"/>
    <w:rsid w:val="00E13041"/>
    <w:rsid w:val="00E130E7"/>
    <w:rsid w:val="00E13135"/>
    <w:rsid w:val="00E131AB"/>
    <w:rsid w:val="00E131BE"/>
    <w:rsid w:val="00E131DC"/>
    <w:rsid w:val="00E132B6"/>
    <w:rsid w:val="00E132F3"/>
    <w:rsid w:val="00E133E2"/>
    <w:rsid w:val="00E13471"/>
    <w:rsid w:val="00E13476"/>
    <w:rsid w:val="00E1354D"/>
    <w:rsid w:val="00E13632"/>
    <w:rsid w:val="00E1363E"/>
    <w:rsid w:val="00E136A3"/>
    <w:rsid w:val="00E1375D"/>
    <w:rsid w:val="00E13763"/>
    <w:rsid w:val="00E13771"/>
    <w:rsid w:val="00E13872"/>
    <w:rsid w:val="00E138BF"/>
    <w:rsid w:val="00E13A06"/>
    <w:rsid w:val="00E13A0D"/>
    <w:rsid w:val="00E13B14"/>
    <w:rsid w:val="00E13B3E"/>
    <w:rsid w:val="00E13EC2"/>
    <w:rsid w:val="00E13F5B"/>
    <w:rsid w:val="00E13FC3"/>
    <w:rsid w:val="00E13FE3"/>
    <w:rsid w:val="00E14092"/>
    <w:rsid w:val="00E140F1"/>
    <w:rsid w:val="00E141CE"/>
    <w:rsid w:val="00E141FE"/>
    <w:rsid w:val="00E14249"/>
    <w:rsid w:val="00E14327"/>
    <w:rsid w:val="00E14397"/>
    <w:rsid w:val="00E1447B"/>
    <w:rsid w:val="00E1447D"/>
    <w:rsid w:val="00E144F2"/>
    <w:rsid w:val="00E14522"/>
    <w:rsid w:val="00E14537"/>
    <w:rsid w:val="00E1456C"/>
    <w:rsid w:val="00E145ED"/>
    <w:rsid w:val="00E1465F"/>
    <w:rsid w:val="00E146A8"/>
    <w:rsid w:val="00E146C7"/>
    <w:rsid w:val="00E14895"/>
    <w:rsid w:val="00E148A7"/>
    <w:rsid w:val="00E148B5"/>
    <w:rsid w:val="00E149BC"/>
    <w:rsid w:val="00E14A42"/>
    <w:rsid w:val="00E14A55"/>
    <w:rsid w:val="00E14C9C"/>
    <w:rsid w:val="00E14D28"/>
    <w:rsid w:val="00E14D6E"/>
    <w:rsid w:val="00E14D7A"/>
    <w:rsid w:val="00E14DD5"/>
    <w:rsid w:val="00E14DE4"/>
    <w:rsid w:val="00E14DF6"/>
    <w:rsid w:val="00E14E07"/>
    <w:rsid w:val="00E14E1E"/>
    <w:rsid w:val="00E14F6E"/>
    <w:rsid w:val="00E1501A"/>
    <w:rsid w:val="00E15236"/>
    <w:rsid w:val="00E152D1"/>
    <w:rsid w:val="00E15304"/>
    <w:rsid w:val="00E15383"/>
    <w:rsid w:val="00E15385"/>
    <w:rsid w:val="00E15424"/>
    <w:rsid w:val="00E154E5"/>
    <w:rsid w:val="00E15539"/>
    <w:rsid w:val="00E15600"/>
    <w:rsid w:val="00E1562C"/>
    <w:rsid w:val="00E15634"/>
    <w:rsid w:val="00E15656"/>
    <w:rsid w:val="00E15682"/>
    <w:rsid w:val="00E156B0"/>
    <w:rsid w:val="00E15707"/>
    <w:rsid w:val="00E15783"/>
    <w:rsid w:val="00E157F6"/>
    <w:rsid w:val="00E15805"/>
    <w:rsid w:val="00E1592C"/>
    <w:rsid w:val="00E15995"/>
    <w:rsid w:val="00E15B15"/>
    <w:rsid w:val="00E15BF0"/>
    <w:rsid w:val="00E15C4A"/>
    <w:rsid w:val="00E15D14"/>
    <w:rsid w:val="00E15D18"/>
    <w:rsid w:val="00E15DAF"/>
    <w:rsid w:val="00E15F13"/>
    <w:rsid w:val="00E15F35"/>
    <w:rsid w:val="00E15F6E"/>
    <w:rsid w:val="00E15FBA"/>
    <w:rsid w:val="00E16036"/>
    <w:rsid w:val="00E16070"/>
    <w:rsid w:val="00E16081"/>
    <w:rsid w:val="00E1615C"/>
    <w:rsid w:val="00E1616B"/>
    <w:rsid w:val="00E164C0"/>
    <w:rsid w:val="00E164E1"/>
    <w:rsid w:val="00E16676"/>
    <w:rsid w:val="00E166AC"/>
    <w:rsid w:val="00E1673C"/>
    <w:rsid w:val="00E16992"/>
    <w:rsid w:val="00E169BB"/>
    <w:rsid w:val="00E16A00"/>
    <w:rsid w:val="00E16A39"/>
    <w:rsid w:val="00E16A5D"/>
    <w:rsid w:val="00E16A6F"/>
    <w:rsid w:val="00E16AF7"/>
    <w:rsid w:val="00E16AF8"/>
    <w:rsid w:val="00E16B40"/>
    <w:rsid w:val="00E16DF7"/>
    <w:rsid w:val="00E16F40"/>
    <w:rsid w:val="00E16F7B"/>
    <w:rsid w:val="00E1715F"/>
    <w:rsid w:val="00E171BD"/>
    <w:rsid w:val="00E1729E"/>
    <w:rsid w:val="00E173FF"/>
    <w:rsid w:val="00E1745E"/>
    <w:rsid w:val="00E17586"/>
    <w:rsid w:val="00E175B4"/>
    <w:rsid w:val="00E1779C"/>
    <w:rsid w:val="00E177BD"/>
    <w:rsid w:val="00E177ED"/>
    <w:rsid w:val="00E178B0"/>
    <w:rsid w:val="00E179E2"/>
    <w:rsid w:val="00E17B38"/>
    <w:rsid w:val="00E17B73"/>
    <w:rsid w:val="00E17BFA"/>
    <w:rsid w:val="00E17C36"/>
    <w:rsid w:val="00E17C49"/>
    <w:rsid w:val="00E17D73"/>
    <w:rsid w:val="00E17DF4"/>
    <w:rsid w:val="00E17E08"/>
    <w:rsid w:val="00E17E62"/>
    <w:rsid w:val="00E17ECD"/>
    <w:rsid w:val="00E17EDF"/>
    <w:rsid w:val="00E20006"/>
    <w:rsid w:val="00E200A8"/>
    <w:rsid w:val="00E20123"/>
    <w:rsid w:val="00E2018F"/>
    <w:rsid w:val="00E2026F"/>
    <w:rsid w:val="00E20285"/>
    <w:rsid w:val="00E2034D"/>
    <w:rsid w:val="00E203BF"/>
    <w:rsid w:val="00E203CD"/>
    <w:rsid w:val="00E205D9"/>
    <w:rsid w:val="00E20605"/>
    <w:rsid w:val="00E2069C"/>
    <w:rsid w:val="00E208BE"/>
    <w:rsid w:val="00E20902"/>
    <w:rsid w:val="00E20999"/>
    <w:rsid w:val="00E20B46"/>
    <w:rsid w:val="00E20C1A"/>
    <w:rsid w:val="00E20C5D"/>
    <w:rsid w:val="00E20CE6"/>
    <w:rsid w:val="00E20D82"/>
    <w:rsid w:val="00E20DD8"/>
    <w:rsid w:val="00E20DFD"/>
    <w:rsid w:val="00E20E2A"/>
    <w:rsid w:val="00E20E81"/>
    <w:rsid w:val="00E20EC8"/>
    <w:rsid w:val="00E2102D"/>
    <w:rsid w:val="00E211C8"/>
    <w:rsid w:val="00E212A3"/>
    <w:rsid w:val="00E212BC"/>
    <w:rsid w:val="00E2146A"/>
    <w:rsid w:val="00E215A4"/>
    <w:rsid w:val="00E2166F"/>
    <w:rsid w:val="00E2169D"/>
    <w:rsid w:val="00E2179E"/>
    <w:rsid w:val="00E21800"/>
    <w:rsid w:val="00E21980"/>
    <w:rsid w:val="00E21984"/>
    <w:rsid w:val="00E21A3A"/>
    <w:rsid w:val="00E21A68"/>
    <w:rsid w:val="00E21A95"/>
    <w:rsid w:val="00E21B4A"/>
    <w:rsid w:val="00E21B6B"/>
    <w:rsid w:val="00E21BCA"/>
    <w:rsid w:val="00E21BFB"/>
    <w:rsid w:val="00E21C25"/>
    <w:rsid w:val="00E21C4B"/>
    <w:rsid w:val="00E21C6B"/>
    <w:rsid w:val="00E21D61"/>
    <w:rsid w:val="00E21F5E"/>
    <w:rsid w:val="00E21FF2"/>
    <w:rsid w:val="00E22056"/>
    <w:rsid w:val="00E22071"/>
    <w:rsid w:val="00E220A9"/>
    <w:rsid w:val="00E22163"/>
    <w:rsid w:val="00E22197"/>
    <w:rsid w:val="00E222DC"/>
    <w:rsid w:val="00E2232B"/>
    <w:rsid w:val="00E22377"/>
    <w:rsid w:val="00E22399"/>
    <w:rsid w:val="00E2246A"/>
    <w:rsid w:val="00E2246B"/>
    <w:rsid w:val="00E22540"/>
    <w:rsid w:val="00E22557"/>
    <w:rsid w:val="00E2284A"/>
    <w:rsid w:val="00E228F2"/>
    <w:rsid w:val="00E22929"/>
    <w:rsid w:val="00E22C73"/>
    <w:rsid w:val="00E22CDA"/>
    <w:rsid w:val="00E22DD2"/>
    <w:rsid w:val="00E22DEB"/>
    <w:rsid w:val="00E22E4C"/>
    <w:rsid w:val="00E22EAB"/>
    <w:rsid w:val="00E232E5"/>
    <w:rsid w:val="00E234E1"/>
    <w:rsid w:val="00E23564"/>
    <w:rsid w:val="00E2359C"/>
    <w:rsid w:val="00E235A5"/>
    <w:rsid w:val="00E23621"/>
    <w:rsid w:val="00E23677"/>
    <w:rsid w:val="00E237B0"/>
    <w:rsid w:val="00E23841"/>
    <w:rsid w:val="00E239F6"/>
    <w:rsid w:val="00E23A7E"/>
    <w:rsid w:val="00E23B14"/>
    <w:rsid w:val="00E23B9C"/>
    <w:rsid w:val="00E23CA9"/>
    <w:rsid w:val="00E23CD6"/>
    <w:rsid w:val="00E23D3D"/>
    <w:rsid w:val="00E23DCA"/>
    <w:rsid w:val="00E23DF1"/>
    <w:rsid w:val="00E23ED1"/>
    <w:rsid w:val="00E23EE7"/>
    <w:rsid w:val="00E23F20"/>
    <w:rsid w:val="00E24054"/>
    <w:rsid w:val="00E24131"/>
    <w:rsid w:val="00E2429D"/>
    <w:rsid w:val="00E243D4"/>
    <w:rsid w:val="00E2441D"/>
    <w:rsid w:val="00E24423"/>
    <w:rsid w:val="00E245B3"/>
    <w:rsid w:val="00E2462D"/>
    <w:rsid w:val="00E24679"/>
    <w:rsid w:val="00E24720"/>
    <w:rsid w:val="00E24905"/>
    <w:rsid w:val="00E24914"/>
    <w:rsid w:val="00E24A7E"/>
    <w:rsid w:val="00E24D11"/>
    <w:rsid w:val="00E24D45"/>
    <w:rsid w:val="00E24DA9"/>
    <w:rsid w:val="00E24DF8"/>
    <w:rsid w:val="00E24F24"/>
    <w:rsid w:val="00E24F28"/>
    <w:rsid w:val="00E24F7E"/>
    <w:rsid w:val="00E24FE0"/>
    <w:rsid w:val="00E25057"/>
    <w:rsid w:val="00E250D5"/>
    <w:rsid w:val="00E2529E"/>
    <w:rsid w:val="00E252B1"/>
    <w:rsid w:val="00E252D6"/>
    <w:rsid w:val="00E252F2"/>
    <w:rsid w:val="00E2544A"/>
    <w:rsid w:val="00E25510"/>
    <w:rsid w:val="00E25666"/>
    <w:rsid w:val="00E25778"/>
    <w:rsid w:val="00E2588E"/>
    <w:rsid w:val="00E258A3"/>
    <w:rsid w:val="00E258FD"/>
    <w:rsid w:val="00E2598E"/>
    <w:rsid w:val="00E25AC3"/>
    <w:rsid w:val="00E25C26"/>
    <w:rsid w:val="00E25C95"/>
    <w:rsid w:val="00E25EC3"/>
    <w:rsid w:val="00E25EE3"/>
    <w:rsid w:val="00E25FDA"/>
    <w:rsid w:val="00E25FDC"/>
    <w:rsid w:val="00E26069"/>
    <w:rsid w:val="00E2608B"/>
    <w:rsid w:val="00E261BB"/>
    <w:rsid w:val="00E262C4"/>
    <w:rsid w:val="00E262C6"/>
    <w:rsid w:val="00E264AD"/>
    <w:rsid w:val="00E264D0"/>
    <w:rsid w:val="00E26526"/>
    <w:rsid w:val="00E265B4"/>
    <w:rsid w:val="00E26647"/>
    <w:rsid w:val="00E266F2"/>
    <w:rsid w:val="00E26752"/>
    <w:rsid w:val="00E26896"/>
    <w:rsid w:val="00E26945"/>
    <w:rsid w:val="00E269AE"/>
    <w:rsid w:val="00E26A45"/>
    <w:rsid w:val="00E26C52"/>
    <w:rsid w:val="00E26C6C"/>
    <w:rsid w:val="00E26CF4"/>
    <w:rsid w:val="00E26E5E"/>
    <w:rsid w:val="00E26EFD"/>
    <w:rsid w:val="00E26FA5"/>
    <w:rsid w:val="00E26FA8"/>
    <w:rsid w:val="00E26FE1"/>
    <w:rsid w:val="00E27053"/>
    <w:rsid w:val="00E27065"/>
    <w:rsid w:val="00E270A9"/>
    <w:rsid w:val="00E270C2"/>
    <w:rsid w:val="00E270CE"/>
    <w:rsid w:val="00E27158"/>
    <w:rsid w:val="00E2722D"/>
    <w:rsid w:val="00E272AF"/>
    <w:rsid w:val="00E27399"/>
    <w:rsid w:val="00E273C2"/>
    <w:rsid w:val="00E27459"/>
    <w:rsid w:val="00E275E0"/>
    <w:rsid w:val="00E2761D"/>
    <w:rsid w:val="00E276C4"/>
    <w:rsid w:val="00E2771B"/>
    <w:rsid w:val="00E2775D"/>
    <w:rsid w:val="00E27816"/>
    <w:rsid w:val="00E278D0"/>
    <w:rsid w:val="00E27B19"/>
    <w:rsid w:val="00E27B1B"/>
    <w:rsid w:val="00E27BC6"/>
    <w:rsid w:val="00E27BF7"/>
    <w:rsid w:val="00E27D3F"/>
    <w:rsid w:val="00E27D76"/>
    <w:rsid w:val="00E27E19"/>
    <w:rsid w:val="00E27E22"/>
    <w:rsid w:val="00E27E60"/>
    <w:rsid w:val="00E27F26"/>
    <w:rsid w:val="00E27F93"/>
    <w:rsid w:val="00E2B26E"/>
    <w:rsid w:val="00E3002B"/>
    <w:rsid w:val="00E300AE"/>
    <w:rsid w:val="00E30247"/>
    <w:rsid w:val="00E303D1"/>
    <w:rsid w:val="00E304BA"/>
    <w:rsid w:val="00E3052B"/>
    <w:rsid w:val="00E30570"/>
    <w:rsid w:val="00E305AA"/>
    <w:rsid w:val="00E30643"/>
    <w:rsid w:val="00E30681"/>
    <w:rsid w:val="00E3069E"/>
    <w:rsid w:val="00E306C1"/>
    <w:rsid w:val="00E30724"/>
    <w:rsid w:val="00E30782"/>
    <w:rsid w:val="00E30831"/>
    <w:rsid w:val="00E30927"/>
    <w:rsid w:val="00E30962"/>
    <w:rsid w:val="00E309AA"/>
    <w:rsid w:val="00E30AC4"/>
    <w:rsid w:val="00E30CEA"/>
    <w:rsid w:val="00E30DDC"/>
    <w:rsid w:val="00E30E0C"/>
    <w:rsid w:val="00E30EE6"/>
    <w:rsid w:val="00E30F5E"/>
    <w:rsid w:val="00E31149"/>
    <w:rsid w:val="00E3126D"/>
    <w:rsid w:val="00E312C0"/>
    <w:rsid w:val="00E313D4"/>
    <w:rsid w:val="00E31452"/>
    <w:rsid w:val="00E31480"/>
    <w:rsid w:val="00E31573"/>
    <w:rsid w:val="00E3158B"/>
    <w:rsid w:val="00E315BD"/>
    <w:rsid w:val="00E3161E"/>
    <w:rsid w:val="00E316BB"/>
    <w:rsid w:val="00E316F7"/>
    <w:rsid w:val="00E3178C"/>
    <w:rsid w:val="00E317FB"/>
    <w:rsid w:val="00E31893"/>
    <w:rsid w:val="00E3189E"/>
    <w:rsid w:val="00E318A8"/>
    <w:rsid w:val="00E31909"/>
    <w:rsid w:val="00E31C14"/>
    <w:rsid w:val="00E31C64"/>
    <w:rsid w:val="00E31D4F"/>
    <w:rsid w:val="00E31DB8"/>
    <w:rsid w:val="00E31DDF"/>
    <w:rsid w:val="00E31E06"/>
    <w:rsid w:val="00E31E2D"/>
    <w:rsid w:val="00E31EF7"/>
    <w:rsid w:val="00E31F73"/>
    <w:rsid w:val="00E32011"/>
    <w:rsid w:val="00E32025"/>
    <w:rsid w:val="00E320A8"/>
    <w:rsid w:val="00E320AD"/>
    <w:rsid w:val="00E320C2"/>
    <w:rsid w:val="00E320D0"/>
    <w:rsid w:val="00E32115"/>
    <w:rsid w:val="00E3211C"/>
    <w:rsid w:val="00E32121"/>
    <w:rsid w:val="00E321C2"/>
    <w:rsid w:val="00E3233C"/>
    <w:rsid w:val="00E3240B"/>
    <w:rsid w:val="00E324D8"/>
    <w:rsid w:val="00E3265E"/>
    <w:rsid w:val="00E32700"/>
    <w:rsid w:val="00E3270C"/>
    <w:rsid w:val="00E3271F"/>
    <w:rsid w:val="00E32856"/>
    <w:rsid w:val="00E32AA4"/>
    <w:rsid w:val="00E32B33"/>
    <w:rsid w:val="00E32B94"/>
    <w:rsid w:val="00E32BB7"/>
    <w:rsid w:val="00E32E35"/>
    <w:rsid w:val="00E32E4A"/>
    <w:rsid w:val="00E32E7D"/>
    <w:rsid w:val="00E32E8F"/>
    <w:rsid w:val="00E32ED8"/>
    <w:rsid w:val="00E32EF4"/>
    <w:rsid w:val="00E32EFF"/>
    <w:rsid w:val="00E32F23"/>
    <w:rsid w:val="00E32FFF"/>
    <w:rsid w:val="00E33046"/>
    <w:rsid w:val="00E330BE"/>
    <w:rsid w:val="00E3315C"/>
    <w:rsid w:val="00E33204"/>
    <w:rsid w:val="00E3322D"/>
    <w:rsid w:val="00E3325C"/>
    <w:rsid w:val="00E3349D"/>
    <w:rsid w:val="00E33563"/>
    <w:rsid w:val="00E33634"/>
    <w:rsid w:val="00E3369D"/>
    <w:rsid w:val="00E336DE"/>
    <w:rsid w:val="00E33728"/>
    <w:rsid w:val="00E33749"/>
    <w:rsid w:val="00E337BA"/>
    <w:rsid w:val="00E337C0"/>
    <w:rsid w:val="00E33842"/>
    <w:rsid w:val="00E3384C"/>
    <w:rsid w:val="00E338D8"/>
    <w:rsid w:val="00E338E7"/>
    <w:rsid w:val="00E338FB"/>
    <w:rsid w:val="00E3390A"/>
    <w:rsid w:val="00E339D4"/>
    <w:rsid w:val="00E33C06"/>
    <w:rsid w:val="00E33C07"/>
    <w:rsid w:val="00E33C15"/>
    <w:rsid w:val="00E33C71"/>
    <w:rsid w:val="00E33E3B"/>
    <w:rsid w:val="00E33EC7"/>
    <w:rsid w:val="00E3413E"/>
    <w:rsid w:val="00E34268"/>
    <w:rsid w:val="00E342F3"/>
    <w:rsid w:val="00E342F8"/>
    <w:rsid w:val="00E34325"/>
    <w:rsid w:val="00E343E7"/>
    <w:rsid w:val="00E3444B"/>
    <w:rsid w:val="00E344B8"/>
    <w:rsid w:val="00E347A7"/>
    <w:rsid w:val="00E3481C"/>
    <w:rsid w:val="00E34835"/>
    <w:rsid w:val="00E348ED"/>
    <w:rsid w:val="00E34BEA"/>
    <w:rsid w:val="00E34CC9"/>
    <w:rsid w:val="00E34CD1"/>
    <w:rsid w:val="00E34D00"/>
    <w:rsid w:val="00E34D5E"/>
    <w:rsid w:val="00E34D88"/>
    <w:rsid w:val="00E34EE3"/>
    <w:rsid w:val="00E34F3D"/>
    <w:rsid w:val="00E34FB5"/>
    <w:rsid w:val="00E35097"/>
    <w:rsid w:val="00E350A1"/>
    <w:rsid w:val="00E350C8"/>
    <w:rsid w:val="00E35272"/>
    <w:rsid w:val="00E352E3"/>
    <w:rsid w:val="00E3531D"/>
    <w:rsid w:val="00E3534A"/>
    <w:rsid w:val="00E35371"/>
    <w:rsid w:val="00E354C5"/>
    <w:rsid w:val="00E35523"/>
    <w:rsid w:val="00E35527"/>
    <w:rsid w:val="00E355E4"/>
    <w:rsid w:val="00E357F9"/>
    <w:rsid w:val="00E3584A"/>
    <w:rsid w:val="00E358C7"/>
    <w:rsid w:val="00E35ABE"/>
    <w:rsid w:val="00E35B16"/>
    <w:rsid w:val="00E35B2B"/>
    <w:rsid w:val="00E35B5A"/>
    <w:rsid w:val="00E35B90"/>
    <w:rsid w:val="00E35CF9"/>
    <w:rsid w:val="00E35E1C"/>
    <w:rsid w:val="00E35E73"/>
    <w:rsid w:val="00E35EAD"/>
    <w:rsid w:val="00E3602B"/>
    <w:rsid w:val="00E3615C"/>
    <w:rsid w:val="00E361F5"/>
    <w:rsid w:val="00E36236"/>
    <w:rsid w:val="00E36286"/>
    <w:rsid w:val="00E362B3"/>
    <w:rsid w:val="00E363E4"/>
    <w:rsid w:val="00E363E6"/>
    <w:rsid w:val="00E3647F"/>
    <w:rsid w:val="00E365B1"/>
    <w:rsid w:val="00E365E3"/>
    <w:rsid w:val="00E365EE"/>
    <w:rsid w:val="00E366A7"/>
    <w:rsid w:val="00E366B5"/>
    <w:rsid w:val="00E368B0"/>
    <w:rsid w:val="00E36954"/>
    <w:rsid w:val="00E36AA6"/>
    <w:rsid w:val="00E36BE2"/>
    <w:rsid w:val="00E36D56"/>
    <w:rsid w:val="00E36DFB"/>
    <w:rsid w:val="00E36E1B"/>
    <w:rsid w:val="00E36E30"/>
    <w:rsid w:val="00E36FED"/>
    <w:rsid w:val="00E37023"/>
    <w:rsid w:val="00E37091"/>
    <w:rsid w:val="00E370DF"/>
    <w:rsid w:val="00E370F6"/>
    <w:rsid w:val="00E3711A"/>
    <w:rsid w:val="00E371FB"/>
    <w:rsid w:val="00E37312"/>
    <w:rsid w:val="00E3731B"/>
    <w:rsid w:val="00E373C4"/>
    <w:rsid w:val="00E373D6"/>
    <w:rsid w:val="00E37423"/>
    <w:rsid w:val="00E3745C"/>
    <w:rsid w:val="00E375C9"/>
    <w:rsid w:val="00E375CC"/>
    <w:rsid w:val="00E375EC"/>
    <w:rsid w:val="00E37676"/>
    <w:rsid w:val="00E37794"/>
    <w:rsid w:val="00E3780E"/>
    <w:rsid w:val="00E37875"/>
    <w:rsid w:val="00E37902"/>
    <w:rsid w:val="00E37A90"/>
    <w:rsid w:val="00E37AD8"/>
    <w:rsid w:val="00E37B62"/>
    <w:rsid w:val="00E37CE2"/>
    <w:rsid w:val="00E37CFB"/>
    <w:rsid w:val="00E37D4A"/>
    <w:rsid w:val="00E37E72"/>
    <w:rsid w:val="00E37EBC"/>
    <w:rsid w:val="00E4015D"/>
    <w:rsid w:val="00E40177"/>
    <w:rsid w:val="00E40205"/>
    <w:rsid w:val="00E40349"/>
    <w:rsid w:val="00E40401"/>
    <w:rsid w:val="00E40410"/>
    <w:rsid w:val="00E40495"/>
    <w:rsid w:val="00E4062B"/>
    <w:rsid w:val="00E406E6"/>
    <w:rsid w:val="00E407FD"/>
    <w:rsid w:val="00E40828"/>
    <w:rsid w:val="00E4085F"/>
    <w:rsid w:val="00E4090C"/>
    <w:rsid w:val="00E4093E"/>
    <w:rsid w:val="00E40A77"/>
    <w:rsid w:val="00E40A92"/>
    <w:rsid w:val="00E40B41"/>
    <w:rsid w:val="00E40C16"/>
    <w:rsid w:val="00E40D08"/>
    <w:rsid w:val="00E40D93"/>
    <w:rsid w:val="00E40DFF"/>
    <w:rsid w:val="00E40EAC"/>
    <w:rsid w:val="00E40FA1"/>
    <w:rsid w:val="00E4101D"/>
    <w:rsid w:val="00E41064"/>
    <w:rsid w:val="00E410C8"/>
    <w:rsid w:val="00E411A5"/>
    <w:rsid w:val="00E413CF"/>
    <w:rsid w:val="00E4140B"/>
    <w:rsid w:val="00E414D3"/>
    <w:rsid w:val="00E4150D"/>
    <w:rsid w:val="00E41534"/>
    <w:rsid w:val="00E41559"/>
    <w:rsid w:val="00E415A0"/>
    <w:rsid w:val="00E415A1"/>
    <w:rsid w:val="00E415B7"/>
    <w:rsid w:val="00E41612"/>
    <w:rsid w:val="00E41648"/>
    <w:rsid w:val="00E4173E"/>
    <w:rsid w:val="00E417FB"/>
    <w:rsid w:val="00E418CE"/>
    <w:rsid w:val="00E419A0"/>
    <w:rsid w:val="00E41A5C"/>
    <w:rsid w:val="00E41A97"/>
    <w:rsid w:val="00E41B13"/>
    <w:rsid w:val="00E41B83"/>
    <w:rsid w:val="00E41BD8"/>
    <w:rsid w:val="00E41D59"/>
    <w:rsid w:val="00E41DE0"/>
    <w:rsid w:val="00E41E64"/>
    <w:rsid w:val="00E41F5A"/>
    <w:rsid w:val="00E41F7F"/>
    <w:rsid w:val="00E42181"/>
    <w:rsid w:val="00E423B6"/>
    <w:rsid w:val="00E4242F"/>
    <w:rsid w:val="00E424BC"/>
    <w:rsid w:val="00E425AD"/>
    <w:rsid w:val="00E4272D"/>
    <w:rsid w:val="00E42780"/>
    <w:rsid w:val="00E4279F"/>
    <w:rsid w:val="00E427E1"/>
    <w:rsid w:val="00E42858"/>
    <w:rsid w:val="00E42874"/>
    <w:rsid w:val="00E4294D"/>
    <w:rsid w:val="00E4294E"/>
    <w:rsid w:val="00E4298E"/>
    <w:rsid w:val="00E42A0D"/>
    <w:rsid w:val="00E42CBB"/>
    <w:rsid w:val="00E42DF4"/>
    <w:rsid w:val="00E42DF7"/>
    <w:rsid w:val="00E42E4D"/>
    <w:rsid w:val="00E42E9D"/>
    <w:rsid w:val="00E42EFE"/>
    <w:rsid w:val="00E42FE6"/>
    <w:rsid w:val="00E4300E"/>
    <w:rsid w:val="00E4313D"/>
    <w:rsid w:val="00E4324C"/>
    <w:rsid w:val="00E43284"/>
    <w:rsid w:val="00E43479"/>
    <w:rsid w:val="00E434EB"/>
    <w:rsid w:val="00E43506"/>
    <w:rsid w:val="00E435DB"/>
    <w:rsid w:val="00E43662"/>
    <w:rsid w:val="00E436EE"/>
    <w:rsid w:val="00E43758"/>
    <w:rsid w:val="00E43797"/>
    <w:rsid w:val="00E437B9"/>
    <w:rsid w:val="00E437EE"/>
    <w:rsid w:val="00E43850"/>
    <w:rsid w:val="00E43894"/>
    <w:rsid w:val="00E4391E"/>
    <w:rsid w:val="00E43969"/>
    <w:rsid w:val="00E439CB"/>
    <w:rsid w:val="00E439E3"/>
    <w:rsid w:val="00E439EB"/>
    <w:rsid w:val="00E43A09"/>
    <w:rsid w:val="00E43A90"/>
    <w:rsid w:val="00E43AFA"/>
    <w:rsid w:val="00E43B15"/>
    <w:rsid w:val="00E43BB2"/>
    <w:rsid w:val="00E43CCD"/>
    <w:rsid w:val="00E43D21"/>
    <w:rsid w:val="00E43E96"/>
    <w:rsid w:val="00E43F01"/>
    <w:rsid w:val="00E43F19"/>
    <w:rsid w:val="00E44019"/>
    <w:rsid w:val="00E4424D"/>
    <w:rsid w:val="00E4439A"/>
    <w:rsid w:val="00E44463"/>
    <w:rsid w:val="00E444B0"/>
    <w:rsid w:val="00E444BC"/>
    <w:rsid w:val="00E445D3"/>
    <w:rsid w:val="00E4462D"/>
    <w:rsid w:val="00E44685"/>
    <w:rsid w:val="00E446AC"/>
    <w:rsid w:val="00E4470E"/>
    <w:rsid w:val="00E44756"/>
    <w:rsid w:val="00E44793"/>
    <w:rsid w:val="00E447BE"/>
    <w:rsid w:val="00E447C9"/>
    <w:rsid w:val="00E44B26"/>
    <w:rsid w:val="00E44B9C"/>
    <w:rsid w:val="00E44C29"/>
    <w:rsid w:val="00E44C32"/>
    <w:rsid w:val="00E44C36"/>
    <w:rsid w:val="00E44C65"/>
    <w:rsid w:val="00E44C72"/>
    <w:rsid w:val="00E44D5B"/>
    <w:rsid w:val="00E44DD1"/>
    <w:rsid w:val="00E44EFF"/>
    <w:rsid w:val="00E44F00"/>
    <w:rsid w:val="00E44F2C"/>
    <w:rsid w:val="00E44F3F"/>
    <w:rsid w:val="00E44FDA"/>
    <w:rsid w:val="00E45023"/>
    <w:rsid w:val="00E451A6"/>
    <w:rsid w:val="00E452B1"/>
    <w:rsid w:val="00E452DB"/>
    <w:rsid w:val="00E452F2"/>
    <w:rsid w:val="00E45405"/>
    <w:rsid w:val="00E45469"/>
    <w:rsid w:val="00E454C9"/>
    <w:rsid w:val="00E455B0"/>
    <w:rsid w:val="00E455EE"/>
    <w:rsid w:val="00E456FF"/>
    <w:rsid w:val="00E457D9"/>
    <w:rsid w:val="00E45848"/>
    <w:rsid w:val="00E45860"/>
    <w:rsid w:val="00E458B7"/>
    <w:rsid w:val="00E458BC"/>
    <w:rsid w:val="00E458ED"/>
    <w:rsid w:val="00E4595F"/>
    <w:rsid w:val="00E45988"/>
    <w:rsid w:val="00E45A03"/>
    <w:rsid w:val="00E45A73"/>
    <w:rsid w:val="00E45A8E"/>
    <w:rsid w:val="00E45AA9"/>
    <w:rsid w:val="00E45B1A"/>
    <w:rsid w:val="00E45B90"/>
    <w:rsid w:val="00E45C0A"/>
    <w:rsid w:val="00E45C3D"/>
    <w:rsid w:val="00E45CE7"/>
    <w:rsid w:val="00E45D21"/>
    <w:rsid w:val="00E45DF5"/>
    <w:rsid w:val="00E45E0C"/>
    <w:rsid w:val="00E45E2F"/>
    <w:rsid w:val="00E45E8D"/>
    <w:rsid w:val="00E45F57"/>
    <w:rsid w:val="00E460D4"/>
    <w:rsid w:val="00E46102"/>
    <w:rsid w:val="00E46255"/>
    <w:rsid w:val="00E46269"/>
    <w:rsid w:val="00E462B1"/>
    <w:rsid w:val="00E46381"/>
    <w:rsid w:val="00E46431"/>
    <w:rsid w:val="00E46475"/>
    <w:rsid w:val="00E465CD"/>
    <w:rsid w:val="00E46659"/>
    <w:rsid w:val="00E46688"/>
    <w:rsid w:val="00E466BA"/>
    <w:rsid w:val="00E46764"/>
    <w:rsid w:val="00E467C9"/>
    <w:rsid w:val="00E467FA"/>
    <w:rsid w:val="00E467FF"/>
    <w:rsid w:val="00E469AA"/>
    <w:rsid w:val="00E46ACE"/>
    <w:rsid w:val="00E46AD1"/>
    <w:rsid w:val="00E46B7B"/>
    <w:rsid w:val="00E46BC9"/>
    <w:rsid w:val="00E46C82"/>
    <w:rsid w:val="00E46D68"/>
    <w:rsid w:val="00E46E35"/>
    <w:rsid w:val="00E46E74"/>
    <w:rsid w:val="00E47020"/>
    <w:rsid w:val="00E47134"/>
    <w:rsid w:val="00E47179"/>
    <w:rsid w:val="00E47238"/>
    <w:rsid w:val="00E47295"/>
    <w:rsid w:val="00E472D9"/>
    <w:rsid w:val="00E47305"/>
    <w:rsid w:val="00E47317"/>
    <w:rsid w:val="00E474C5"/>
    <w:rsid w:val="00E476F2"/>
    <w:rsid w:val="00E47873"/>
    <w:rsid w:val="00E47CEF"/>
    <w:rsid w:val="00E47D85"/>
    <w:rsid w:val="00E47DD3"/>
    <w:rsid w:val="00E47DD8"/>
    <w:rsid w:val="00E47EB4"/>
    <w:rsid w:val="00E47EE0"/>
    <w:rsid w:val="00E47F17"/>
    <w:rsid w:val="00E47F2C"/>
    <w:rsid w:val="00E50046"/>
    <w:rsid w:val="00E50047"/>
    <w:rsid w:val="00E5015D"/>
    <w:rsid w:val="00E504D3"/>
    <w:rsid w:val="00E504EF"/>
    <w:rsid w:val="00E50630"/>
    <w:rsid w:val="00E50644"/>
    <w:rsid w:val="00E50669"/>
    <w:rsid w:val="00E5070B"/>
    <w:rsid w:val="00E50795"/>
    <w:rsid w:val="00E50884"/>
    <w:rsid w:val="00E50886"/>
    <w:rsid w:val="00E508B4"/>
    <w:rsid w:val="00E50969"/>
    <w:rsid w:val="00E50A82"/>
    <w:rsid w:val="00E50AEF"/>
    <w:rsid w:val="00E50BE5"/>
    <w:rsid w:val="00E50BFC"/>
    <w:rsid w:val="00E50D11"/>
    <w:rsid w:val="00E50D71"/>
    <w:rsid w:val="00E50EA6"/>
    <w:rsid w:val="00E50F70"/>
    <w:rsid w:val="00E5101F"/>
    <w:rsid w:val="00E510E5"/>
    <w:rsid w:val="00E51129"/>
    <w:rsid w:val="00E511D0"/>
    <w:rsid w:val="00E51244"/>
    <w:rsid w:val="00E51285"/>
    <w:rsid w:val="00E51479"/>
    <w:rsid w:val="00E51566"/>
    <w:rsid w:val="00E51614"/>
    <w:rsid w:val="00E516F9"/>
    <w:rsid w:val="00E5179F"/>
    <w:rsid w:val="00E51859"/>
    <w:rsid w:val="00E51A52"/>
    <w:rsid w:val="00E51A62"/>
    <w:rsid w:val="00E51A69"/>
    <w:rsid w:val="00E51CB3"/>
    <w:rsid w:val="00E51CDC"/>
    <w:rsid w:val="00E51CF2"/>
    <w:rsid w:val="00E51D0A"/>
    <w:rsid w:val="00E51E0D"/>
    <w:rsid w:val="00E51EA5"/>
    <w:rsid w:val="00E51EC8"/>
    <w:rsid w:val="00E51FB1"/>
    <w:rsid w:val="00E520AE"/>
    <w:rsid w:val="00E520BA"/>
    <w:rsid w:val="00E52125"/>
    <w:rsid w:val="00E5213E"/>
    <w:rsid w:val="00E52205"/>
    <w:rsid w:val="00E52240"/>
    <w:rsid w:val="00E52254"/>
    <w:rsid w:val="00E52281"/>
    <w:rsid w:val="00E522AE"/>
    <w:rsid w:val="00E5231C"/>
    <w:rsid w:val="00E52428"/>
    <w:rsid w:val="00E5273F"/>
    <w:rsid w:val="00E52747"/>
    <w:rsid w:val="00E527AC"/>
    <w:rsid w:val="00E527B0"/>
    <w:rsid w:val="00E528AA"/>
    <w:rsid w:val="00E528FA"/>
    <w:rsid w:val="00E529C2"/>
    <w:rsid w:val="00E529ED"/>
    <w:rsid w:val="00E52A07"/>
    <w:rsid w:val="00E52A46"/>
    <w:rsid w:val="00E52BFA"/>
    <w:rsid w:val="00E52CBC"/>
    <w:rsid w:val="00E52DAA"/>
    <w:rsid w:val="00E52DCD"/>
    <w:rsid w:val="00E52DEB"/>
    <w:rsid w:val="00E52E1A"/>
    <w:rsid w:val="00E52FC9"/>
    <w:rsid w:val="00E5306D"/>
    <w:rsid w:val="00E5307E"/>
    <w:rsid w:val="00E53104"/>
    <w:rsid w:val="00E531EA"/>
    <w:rsid w:val="00E5327D"/>
    <w:rsid w:val="00E532C0"/>
    <w:rsid w:val="00E532C8"/>
    <w:rsid w:val="00E532F3"/>
    <w:rsid w:val="00E53309"/>
    <w:rsid w:val="00E53322"/>
    <w:rsid w:val="00E5338E"/>
    <w:rsid w:val="00E5341E"/>
    <w:rsid w:val="00E53460"/>
    <w:rsid w:val="00E5347D"/>
    <w:rsid w:val="00E5354D"/>
    <w:rsid w:val="00E53597"/>
    <w:rsid w:val="00E535CF"/>
    <w:rsid w:val="00E53627"/>
    <w:rsid w:val="00E5376D"/>
    <w:rsid w:val="00E5377E"/>
    <w:rsid w:val="00E537A8"/>
    <w:rsid w:val="00E537F3"/>
    <w:rsid w:val="00E5381C"/>
    <w:rsid w:val="00E53859"/>
    <w:rsid w:val="00E539C0"/>
    <w:rsid w:val="00E53A2A"/>
    <w:rsid w:val="00E53B24"/>
    <w:rsid w:val="00E53B86"/>
    <w:rsid w:val="00E53C2E"/>
    <w:rsid w:val="00E53C8E"/>
    <w:rsid w:val="00E53CB6"/>
    <w:rsid w:val="00E53CF9"/>
    <w:rsid w:val="00E53FEF"/>
    <w:rsid w:val="00E54165"/>
    <w:rsid w:val="00E5418C"/>
    <w:rsid w:val="00E541CA"/>
    <w:rsid w:val="00E541F1"/>
    <w:rsid w:val="00E5429F"/>
    <w:rsid w:val="00E543BA"/>
    <w:rsid w:val="00E54416"/>
    <w:rsid w:val="00E54474"/>
    <w:rsid w:val="00E547DA"/>
    <w:rsid w:val="00E547F0"/>
    <w:rsid w:val="00E54839"/>
    <w:rsid w:val="00E548EA"/>
    <w:rsid w:val="00E54A25"/>
    <w:rsid w:val="00E54A94"/>
    <w:rsid w:val="00E54AF6"/>
    <w:rsid w:val="00E54C02"/>
    <w:rsid w:val="00E54C18"/>
    <w:rsid w:val="00E54E41"/>
    <w:rsid w:val="00E54F74"/>
    <w:rsid w:val="00E55061"/>
    <w:rsid w:val="00E550FA"/>
    <w:rsid w:val="00E5530A"/>
    <w:rsid w:val="00E553FB"/>
    <w:rsid w:val="00E5544F"/>
    <w:rsid w:val="00E55469"/>
    <w:rsid w:val="00E55720"/>
    <w:rsid w:val="00E557F2"/>
    <w:rsid w:val="00E55856"/>
    <w:rsid w:val="00E5589A"/>
    <w:rsid w:val="00E5589C"/>
    <w:rsid w:val="00E558EF"/>
    <w:rsid w:val="00E5595E"/>
    <w:rsid w:val="00E559BF"/>
    <w:rsid w:val="00E55A0D"/>
    <w:rsid w:val="00E55A1C"/>
    <w:rsid w:val="00E55A5C"/>
    <w:rsid w:val="00E55AA4"/>
    <w:rsid w:val="00E55AB6"/>
    <w:rsid w:val="00E55C37"/>
    <w:rsid w:val="00E55CC9"/>
    <w:rsid w:val="00E55CF7"/>
    <w:rsid w:val="00E55EB2"/>
    <w:rsid w:val="00E55F46"/>
    <w:rsid w:val="00E5612D"/>
    <w:rsid w:val="00E56249"/>
    <w:rsid w:val="00E562D0"/>
    <w:rsid w:val="00E562E1"/>
    <w:rsid w:val="00E563F7"/>
    <w:rsid w:val="00E5645F"/>
    <w:rsid w:val="00E5662F"/>
    <w:rsid w:val="00E56649"/>
    <w:rsid w:val="00E5670C"/>
    <w:rsid w:val="00E56821"/>
    <w:rsid w:val="00E56841"/>
    <w:rsid w:val="00E5685E"/>
    <w:rsid w:val="00E56924"/>
    <w:rsid w:val="00E5697C"/>
    <w:rsid w:val="00E569A5"/>
    <w:rsid w:val="00E56B0A"/>
    <w:rsid w:val="00E56B39"/>
    <w:rsid w:val="00E56C61"/>
    <w:rsid w:val="00E56C68"/>
    <w:rsid w:val="00E56DE6"/>
    <w:rsid w:val="00E56E1A"/>
    <w:rsid w:val="00E56E1B"/>
    <w:rsid w:val="00E56E49"/>
    <w:rsid w:val="00E56F14"/>
    <w:rsid w:val="00E56F67"/>
    <w:rsid w:val="00E56F8C"/>
    <w:rsid w:val="00E57021"/>
    <w:rsid w:val="00E57055"/>
    <w:rsid w:val="00E57090"/>
    <w:rsid w:val="00E57249"/>
    <w:rsid w:val="00E572AE"/>
    <w:rsid w:val="00E5730E"/>
    <w:rsid w:val="00E57405"/>
    <w:rsid w:val="00E57474"/>
    <w:rsid w:val="00E57482"/>
    <w:rsid w:val="00E57584"/>
    <w:rsid w:val="00E576FB"/>
    <w:rsid w:val="00E5774C"/>
    <w:rsid w:val="00E57774"/>
    <w:rsid w:val="00E5780E"/>
    <w:rsid w:val="00E57850"/>
    <w:rsid w:val="00E57911"/>
    <w:rsid w:val="00E579D9"/>
    <w:rsid w:val="00E579FB"/>
    <w:rsid w:val="00E57A47"/>
    <w:rsid w:val="00E57A81"/>
    <w:rsid w:val="00E57B1C"/>
    <w:rsid w:val="00E57B5C"/>
    <w:rsid w:val="00E57B78"/>
    <w:rsid w:val="00E57BA5"/>
    <w:rsid w:val="00E57BD9"/>
    <w:rsid w:val="00E57C15"/>
    <w:rsid w:val="00E57C90"/>
    <w:rsid w:val="00E57D05"/>
    <w:rsid w:val="00E57D15"/>
    <w:rsid w:val="00E57D80"/>
    <w:rsid w:val="00E57E69"/>
    <w:rsid w:val="00E57E82"/>
    <w:rsid w:val="00E57E99"/>
    <w:rsid w:val="00E57F7F"/>
    <w:rsid w:val="00E5FC59"/>
    <w:rsid w:val="00E60052"/>
    <w:rsid w:val="00E600F5"/>
    <w:rsid w:val="00E60111"/>
    <w:rsid w:val="00E601F8"/>
    <w:rsid w:val="00E60287"/>
    <w:rsid w:val="00E602CE"/>
    <w:rsid w:val="00E60332"/>
    <w:rsid w:val="00E60338"/>
    <w:rsid w:val="00E603B8"/>
    <w:rsid w:val="00E603E5"/>
    <w:rsid w:val="00E60527"/>
    <w:rsid w:val="00E6053D"/>
    <w:rsid w:val="00E605A5"/>
    <w:rsid w:val="00E605FA"/>
    <w:rsid w:val="00E60634"/>
    <w:rsid w:val="00E6063F"/>
    <w:rsid w:val="00E60668"/>
    <w:rsid w:val="00E60675"/>
    <w:rsid w:val="00E606AF"/>
    <w:rsid w:val="00E60735"/>
    <w:rsid w:val="00E6080A"/>
    <w:rsid w:val="00E608AF"/>
    <w:rsid w:val="00E608C6"/>
    <w:rsid w:val="00E6094C"/>
    <w:rsid w:val="00E6098F"/>
    <w:rsid w:val="00E60A9C"/>
    <w:rsid w:val="00E60B29"/>
    <w:rsid w:val="00E60C56"/>
    <w:rsid w:val="00E60C62"/>
    <w:rsid w:val="00E60CE3"/>
    <w:rsid w:val="00E60D78"/>
    <w:rsid w:val="00E60DBF"/>
    <w:rsid w:val="00E60E19"/>
    <w:rsid w:val="00E60F50"/>
    <w:rsid w:val="00E61040"/>
    <w:rsid w:val="00E61050"/>
    <w:rsid w:val="00E61196"/>
    <w:rsid w:val="00E612C3"/>
    <w:rsid w:val="00E612CC"/>
    <w:rsid w:val="00E61333"/>
    <w:rsid w:val="00E61401"/>
    <w:rsid w:val="00E614A4"/>
    <w:rsid w:val="00E614B6"/>
    <w:rsid w:val="00E61534"/>
    <w:rsid w:val="00E61733"/>
    <w:rsid w:val="00E6175A"/>
    <w:rsid w:val="00E617D1"/>
    <w:rsid w:val="00E6185D"/>
    <w:rsid w:val="00E619DC"/>
    <w:rsid w:val="00E61AB6"/>
    <w:rsid w:val="00E61AE0"/>
    <w:rsid w:val="00E61B1A"/>
    <w:rsid w:val="00E61C2D"/>
    <w:rsid w:val="00E61C2F"/>
    <w:rsid w:val="00E61C53"/>
    <w:rsid w:val="00E61C71"/>
    <w:rsid w:val="00E61C7D"/>
    <w:rsid w:val="00E61C8F"/>
    <w:rsid w:val="00E61CCF"/>
    <w:rsid w:val="00E61CF6"/>
    <w:rsid w:val="00E61D29"/>
    <w:rsid w:val="00E61D54"/>
    <w:rsid w:val="00E61E24"/>
    <w:rsid w:val="00E61F02"/>
    <w:rsid w:val="00E61F82"/>
    <w:rsid w:val="00E62065"/>
    <w:rsid w:val="00E62084"/>
    <w:rsid w:val="00E6215E"/>
    <w:rsid w:val="00E621A9"/>
    <w:rsid w:val="00E621AE"/>
    <w:rsid w:val="00E62349"/>
    <w:rsid w:val="00E6235F"/>
    <w:rsid w:val="00E6237E"/>
    <w:rsid w:val="00E62420"/>
    <w:rsid w:val="00E62428"/>
    <w:rsid w:val="00E62433"/>
    <w:rsid w:val="00E624CE"/>
    <w:rsid w:val="00E6256B"/>
    <w:rsid w:val="00E6256E"/>
    <w:rsid w:val="00E62621"/>
    <w:rsid w:val="00E62657"/>
    <w:rsid w:val="00E626C5"/>
    <w:rsid w:val="00E626FE"/>
    <w:rsid w:val="00E6275F"/>
    <w:rsid w:val="00E62868"/>
    <w:rsid w:val="00E62A15"/>
    <w:rsid w:val="00E62ABD"/>
    <w:rsid w:val="00E62AF0"/>
    <w:rsid w:val="00E62B99"/>
    <w:rsid w:val="00E62C94"/>
    <w:rsid w:val="00E62E5E"/>
    <w:rsid w:val="00E62E69"/>
    <w:rsid w:val="00E62FDD"/>
    <w:rsid w:val="00E63058"/>
    <w:rsid w:val="00E6314A"/>
    <w:rsid w:val="00E63156"/>
    <w:rsid w:val="00E63189"/>
    <w:rsid w:val="00E6323B"/>
    <w:rsid w:val="00E632CD"/>
    <w:rsid w:val="00E63368"/>
    <w:rsid w:val="00E633CF"/>
    <w:rsid w:val="00E6370B"/>
    <w:rsid w:val="00E6374D"/>
    <w:rsid w:val="00E637A5"/>
    <w:rsid w:val="00E63844"/>
    <w:rsid w:val="00E6388F"/>
    <w:rsid w:val="00E63A0B"/>
    <w:rsid w:val="00E63A1F"/>
    <w:rsid w:val="00E63B3E"/>
    <w:rsid w:val="00E63B57"/>
    <w:rsid w:val="00E63BDC"/>
    <w:rsid w:val="00E63BE8"/>
    <w:rsid w:val="00E63C52"/>
    <w:rsid w:val="00E63C7E"/>
    <w:rsid w:val="00E63E0B"/>
    <w:rsid w:val="00E63E23"/>
    <w:rsid w:val="00E63E93"/>
    <w:rsid w:val="00E63E9E"/>
    <w:rsid w:val="00E63EBA"/>
    <w:rsid w:val="00E63F1D"/>
    <w:rsid w:val="00E6405D"/>
    <w:rsid w:val="00E641CA"/>
    <w:rsid w:val="00E64295"/>
    <w:rsid w:val="00E64337"/>
    <w:rsid w:val="00E64347"/>
    <w:rsid w:val="00E64370"/>
    <w:rsid w:val="00E643FF"/>
    <w:rsid w:val="00E6447B"/>
    <w:rsid w:val="00E644BC"/>
    <w:rsid w:val="00E64584"/>
    <w:rsid w:val="00E64588"/>
    <w:rsid w:val="00E645D8"/>
    <w:rsid w:val="00E647A0"/>
    <w:rsid w:val="00E64928"/>
    <w:rsid w:val="00E64944"/>
    <w:rsid w:val="00E64AD9"/>
    <w:rsid w:val="00E64C83"/>
    <w:rsid w:val="00E64C91"/>
    <w:rsid w:val="00E64C9F"/>
    <w:rsid w:val="00E64D5E"/>
    <w:rsid w:val="00E64D70"/>
    <w:rsid w:val="00E64E26"/>
    <w:rsid w:val="00E64E69"/>
    <w:rsid w:val="00E64ED9"/>
    <w:rsid w:val="00E64EE1"/>
    <w:rsid w:val="00E64F21"/>
    <w:rsid w:val="00E64F27"/>
    <w:rsid w:val="00E64F2A"/>
    <w:rsid w:val="00E64F38"/>
    <w:rsid w:val="00E64F57"/>
    <w:rsid w:val="00E64F89"/>
    <w:rsid w:val="00E64FBD"/>
    <w:rsid w:val="00E654DE"/>
    <w:rsid w:val="00E657A5"/>
    <w:rsid w:val="00E657FA"/>
    <w:rsid w:val="00E65808"/>
    <w:rsid w:val="00E6588E"/>
    <w:rsid w:val="00E65AEC"/>
    <w:rsid w:val="00E65B36"/>
    <w:rsid w:val="00E65C62"/>
    <w:rsid w:val="00E65CF4"/>
    <w:rsid w:val="00E65D0F"/>
    <w:rsid w:val="00E65D22"/>
    <w:rsid w:val="00E65D44"/>
    <w:rsid w:val="00E65D8F"/>
    <w:rsid w:val="00E65F23"/>
    <w:rsid w:val="00E660EC"/>
    <w:rsid w:val="00E6618F"/>
    <w:rsid w:val="00E661A1"/>
    <w:rsid w:val="00E661EF"/>
    <w:rsid w:val="00E66238"/>
    <w:rsid w:val="00E66372"/>
    <w:rsid w:val="00E663C3"/>
    <w:rsid w:val="00E663E6"/>
    <w:rsid w:val="00E663F4"/>
    <w:rsid w:val="00E66495"/>
    <w:rsid w:val="00E66500"/>
    <w:rsid w:val="00E66505"/>
    <w:rsid w:val="00E66826"/>
    <w:rsid w:val="00E668CC"/>
    <w:rsid w:val="00E668D5"/>
    <w:rsid w:val="00E66916"/>
    <w:rsid w:val="00E669FB"/>
    <w:rsid w:val="00E66A2C"/>
    <w:rsid w:val="00E66A45"/>
    <w:rsid w:val="00E66AD4"/>
    <w:rsid w:val="00E66F3A"/>
    <w:rsid w:val="00E66FBC"/>
    <w:rsid w:val="00E67067"/>
    <w:rsid w:val="00E67082"/>
    <w:rsid w:val="00E670A2"/>
    <w:rsid w:val="00E67108"/>
    <w:rsid w:val="00E67127"/>
    <w:rsid w:val="00E67189"/>
    <w:rsid w:val="00E671EB"/>
    <w:rsid w:val="00E6720A"/>
    <w:rsid w:val="00E6729F"/>
    <w:rsid w:val="00E672D2"/>
    <w:rsid w:val="00E673AC"/>
    <w:rsid w:val="00E67472"/>
    <w:rsid w:val="00E675DD"/>
    <w:rsid w:val="00E6763D"/>
    <w:rsid w:val="00E677A7"/>
    <w:rsid w:val="00E6794F"/>
    <w:rsid w:val="00E67985"/>
    <w:rsid w:val="00E67AA3"/>
    <w:rsid w:val="00E67BD5"/>
    <w:rsid w:val="00E67D14"/>
    <w:rsid w:val="00E67FA7"/>
    <w:rsid w:val="00E7012E"/>
    <w:rsid w:val="00E701D7"/>
    <w:rsid w:val="00E70245"/>
    <w:rsid w:val="00E7033B"/>
    <w:rsid w:val="00E704B4"/>
    <w:rsid w:val="00E705A2"/>
    <w:rsid w:val="00E705A9"/>
    <w:rsid w:val="00E705D7"/>
    <w:rsid w:val="00E705FE"/>
    <w:rsid w:val="00E7066F"/>
    <w:rsid w:val="00E706C5"/>
    <w:rsid w:val="00E70745"/>
    <w:rsid w:val="00E70792"/>
    <w:rsid w:val="00E7079D"/>
    <w:rsid w:val="00E70ABB"/>
    <w:rsid w:val="00E70C7D"/>
    <w:rsid w:val="00E70CD3"/>
    <w:rsid w:val="00E70D3E"/>
    <w:rsid w:val="00E70DBA"/>
    <w:rsid w:val="00E70E55"/>
    <w:rsid w:val="00E70E60"/>
    <w:rsid w:val="00E71079"/>
    <w:rsid w:val="00E7109C"/>
    <w:rsid w:val="00E710BD"/>
    <w:rsid w:val="00E711A1"/>
    <w:rsid w:val="00E71223"/>
    <w:rsid w:val="00E71351"/>
    <w:rsid w:val="00E713DC"/>
    <w:rsid w:val="00E71445"/>
    <w:rsid w:val="00E715D2"/>
    <w:rsid w:val="00E7169B"/>
    <w:rsid w:val="00E716E5"/>
    <w:rsid w:val="00E716F9"/>
    <w:rsid w:val="00E71725"/>
    <w:rsid w:val="00E7179A"/>
    <w:rsid w:val="00E7180F"/>
    <w:rsid w:val="00E718A9"/>
    <w:rsid w:val="00E718EF"/>
    <w:rsid w:val="00E71900"/>
    <w:rsid w:val="00E71949"/>
    <w:rsid w:val="00E71950"/>
    <w:rsid w:val="00E719C8"/>
    <w:rsid w:val="00E719F3"/>
    <w:rsid w:val="00E719FA"/>
    <w:rsid w:val="00E71A86"/>
    <w:rsid w:val="00E71AD5"/>
    <w:rsid w:val="00E71ADE"/>
    <w:rsid w:val="00E71BFD"/>
    <w:rsid w:val="00E71C81"/>
    <w:rsid w:val="00E71CAF"/>
    <w:rsid w:val="00E71E2B"/>
    <w:rsid w:val="00E71E69"/>
    <w:rsid w:val="00E71E8D"/>
    <w:rsid w:val="00E71ECD"/>
    <w:rsid w:val="00E71F23"/>
    <w:rsid w:val="00E71F41"/>
    <w:rsid w:val="00E71F86"/>
    <w:rsid w:val="00E72057"/>
    <w:rsid w:val="00E72088"/>
    <w:rsid w:val="00E720D4"/>
    <w:rsid w:val="00E720F8"/>
    <w:rsid w:val="00E7213B"/>
    <w:rsid w:val="00E7216A"/>
    <w:rsid w:val="00E72191"/>
    <w:rsid w:val="00E72193"/>
    <w:rsid w:val="00E721BD"/>
    <w:rsid w:val="00E72242"/>
    <w:rsid w:val="00E722E9"/>
    <w:rsid w:val="00E723E0"/>
    <w:rsid w:val="00E72450"/>
    <w:rsid w:val="00E72538"/>
    <w:rsid w:val="00E72581"/>
    <w:rsid w:val="00E72609"/>
    <w:rsid w:val="00E72785"/>
    <w:rsid w:val="00E727CD"/>
    <w:rsid w:val="00E728AE"/>
    <w:rsid w:val="00E729AB"/>
    <w:rsid w:val="00E72A5B"/>
    <w:rsid w:val="00E72A8A"/>
    <w:rsid w:val="00E72ACA"/>
    <w:rsid w:val="00E72ADD"/>
    <w:rsid w:val="00E72B87"/>
    <w:rsid w:val="00E72B96"/>
    <w:rsid w:val="00E72BBA"/>
    <w:rsid w:val="00E72CC2"/>
    <w:rsid w:val="00E72CF9"/>
    <w:rsid w:val="00E72DA0"/>
    <w:rsid w:val="00E72DC1"/>
    <w:rsid w:val="00E72DDA"/>
    <w:rsid w:val="00E72DFF"/>
    <w:rsid w:val="00E72E1B"/>
    <w:rsid w:val="00E72EE4"/>
    <w:rsid w:val="00E73065"/>
    <w:rsid w:val="00E73111"/>
    <w:rsid w:val="00E7324D"/>
    <w:rsid w:val="00E732A7"/>
    <w:rsid w:val="00E732F6"/>
    <w:rsid w:val="00E73574"/>
    <w:rsid w:val="00E7361C"/>
    <w:rsid w:val="00E736FA"/>
    <w:rsid w:val="00E7371E"/>
    <w:rsid w:val="00E7376F"/>
    <w:rsid w:val="00E7377F"/>
    <w:rsid w:val="00E737A7"/>
    <w:rsid w:val="00E737B6"/>
    <w:rsid w:val="00E737E9"/>
    <w:rsid w:val="00E73925"/>
    <w:rsid w:val="00E73981"/>
    <w:rsid w:val="00E73A1D"/>
    <w:rsid w:val="00E73A56"/>
    <w:rsid w:val="00E73ADD"/>
    <w:rsid w:val="00E73AEE"/>
    <w:rsid w:val="00E73B02"/>
    <w:rsid w:val="00E73CF5"/>
    <w:rsid w:val="00E73D7C"/>
    <w:rsid w:val="00E73EDD"/>
    <w:rsid w:val="00E73F09"/>
    <w:rsid w:val="00E73F35"/>
    <w:rsid w:val="00E73F41"/>
    <w:rsid w:val="00E740AA"/>
    <w:rsid w:val="00E7426F"/>
    <w:rsid w:val="00E74291"/>
    <w:rsid w:val="00E742E2"/>
    <w:rsid w:val="00E74322"/>
    <w:rsid w:val="00E743D1"/>
    <w:rsid w:val="00E74418"/>
    <w:rsid w:val="00E7449C"/>
    <w:rsid w:val="00E746AE"/>
    <w:rsid w:val="00E74730"/>
    <w:rsid w:val="00E7480E"/>
    <w:rsid w:val="00E7482B"/>
    <w:rsid w:val="00E748AE"/>
    <w:rsid w:val="00E748D1"/>
    <w:rsid w:val="00E74952"/>
    <w:rsid w:val="00E74A33"/>
    <w:rsid w:val="00E74ABB"/>
    <w:rsid w:val="00E74ABD"/>
    <w:rsid w:val="00E74AD8"/>
    <w:rsid w:val="00E74BE2"/>
    <w:rsid w:val="00E74C66"/>
    <w:rsid w:val="00E74C71"/>
    <w:rsid w:val="00E74D71"/>
    <w:rsid w:val="00E74E81"/>
    <w:rsid w:val="00E74EEC"/>
    <w:rsid w:val="00E74F57"/>
    <w:rsid w:val="00E750B0"/>
    <w:rsid w:val="00E75129"/>
    <w:rsid w:val="00E75305"/>
    <w:rsid w:val="00E75317"/>
    <w:rsid w:val="00E7538C"/>
    <w:rsid w:val="00E75507"/>
    <w:rsid w:val="00E75529"/>
    <w:rsid w:val="00E7558F"/>
    <w:rsid w:val="00E755A0"/>
    <w:rsid w:val="00E75633"/>
    <w:rsid w:val="00E75658"/>
    <w:rsid w:val="00E756EE"/>
    <w:rsid w:val="00E75812"/>
    <w:rsid w:val="00E75A2C"/>
    <w:rsid w:val="00E75B5E"/>
    <w:rsid w:val="00E75C53"/>
    <w:rsid w:val="00E75CB2"/>
    <w:rsid w:val="00E75E88"/>
    <w:rsid w:val="00E75ED6"/>
    <w:rsid w:val="00E75EED"/>
    <w:rsid w:val="00E76043"/>
    <w:rsid w:val="00E76125"/>
    <w:rsid w:val="00E7617B"/>
    <w:rsid w:val="00E762F3"/>
    <w:rsid w:val="00E76465"/>
    <w:rsid w:val="00E76587"/>
    <w:rsid w:val="00E76616"/>
    <w:rsid w:val="00E7683B"/>
    <w:rsid w:val="00E7697C"/>
    <w:rsid w:val="00E76A6F"/>
    <w:rsid w:val="00E76A97"/>
    <w:rsid w:val="00E76AF5"/>
    <w:rsid w:val="00E76B68"/>
    <w:rsid w:val="00E76B89"/>
    <w:rsid w:val="00E76C47"/>
    <w:rsid w:val="00E76D23"/>
    <w:rsid w:val="00E76D3D"/>
    <w:rsid w:val="00E76D6E"/>
    <w:rsid w:val="00E76E1B"/>
    <w:rsid w:val="00E76E54"/>
    <w:rsid w:val="00E76F0E"/>
    <w:rsid w:val="00E77018"/>
    <w:rsid w:val="00E77047"/>
    <w:rsid w:val="00E7705E"/>
    <w:rsid w:val="00E7708D"/>
    <w:rsid w:val="00E77147"/>
    <w:rsid w:val="00E771F8"/>
    <w:rsid w:val="00E7734C"/>
    <w:rsid w:val="00E77408"/>
    <w:rsid w:val="00E7749E"/>
    <w:rsid w:val="00E774DD"/>
    <w:rsid w:val="00E77560"/>
    <w:rsid w:val="00E775DF"/>
    <w:rsid w:val="00E776C1"/>
    <w:rsid w:val="00E776F1"/>
    <w:rsid w:val="00E778D2"/>
    <w:rsid w:val="00E778F6"/>
    <w:rsid w:val="00E77B0E"/>
    <w:rsid w:val="00E77B79"/>
    <w:rsid w:val="00E77BF9"/>
    <w:rsid w:val="00E77D87"/>
    <w:rsid w:val="00E77E90"/>
    <w:rsid w:val="00E77E9D"/>
    <w:rsid w:val="00E77EA6"/>
    <w:rsid w:val="00E77EB3"/>
    <w:rsid w:val="00E77F36"/>
    <w:rsid w:val="00E77F9E"/>
    <w:rsid w:val="00E77FF4"/>
    <w:rsid w:val="00E8008B"/>
    <w:rsid w:val="00E8009A"/>
    <w:rsid w:val="00E800A4"/>
    <w:rsid w:val="00E8019E"/>
    <w:rsid w:val="00E801D0"/>
    <w:rsid w:val="00E802AB"/>
    <w:rsid w:val="00E802D3"/>
    <w:rsid w:val="00E80635"/>
    <w:rsid w:val="00E80718"/>
    <w:rsid w:val="00E807E1"/>
    <w:rsid w:val="00E8081F"/>
    <w:rsid w:val="00E80990"/>
    <w:rsid w:val="00E80A3C"/>
    <w:rsid w:val="00E80ABB"/>
    <w:rsid w:val="00E80BA3"/>
    <w:rsid w:val="00E80CA3"/>
    <w:rsid w:val="00E80D58"/>
    <w:rsid w:val="00E80DA7"/>
    <w:rsid w:val="00E80E6C"/>
    <w:rsid w:val="00E80F26"/>
    <w:rsid w:val="00E80F6E"/>
    <w:rsid w:val="00E80F7C"/>
    <w:rsid w:val="00E80FCA"/>
    <w:rsid w:val="00E80FD1"/>
    <w:rsid w:val="00E80FED"/>
    <w:rsid w:val="00E8101F"/>
    <w:rsid w:val="00E810A0"/>
    <w:rsid w:val="00E810DB"/>
    <w:rsid w:val="00E810E2"/>
    <w:rsid w:val="00E81145"/>
    <w:rsid w:val="00E81146"/>
    <w:rsid w:val="00E81197"/>
    <w:rsid w:val="00E81376"/>
    <w:rsid w:val="00E8138E"/>
    <w:rsid w:val="00E81409"/>
    <w:rsid w:val="00E8142A"/>
    <w:rsid w:val="00E81513"/>
    <w:rsid w:val="00E815CC"/>
    <w:rsid w:val="00E815E6"/>
    <w:rsid w:val="00E81665"/>
    <w:rsid w:val="00E8175A"/>
    <w:rsid w:val="00E81826"/>
    <w:rsid w:val="00E818C9"/>
    <w:rsid w:val="00E818D0"/>
    <w:rsid w:val="00E81913"/>
    <w:rsid w:val="00E81981"/>
    <w:rsid w:val="00E8198A"/>
    <w:rsid w:val="00E81A3B"/>
    <w:rsid w:val="00E81A8C"/>
    <w:rsid w:val="00E81B19"/>
    <w:rsid w:val="00E81BCF"/>
    <w:rsid w:val="00E81E1E"/>
    <w:rsid w:val="00E81F5C"/>
    <w:rsid w:val="00E81F99"/>
    <w:rsid w:val="00E81FD9"/>
    <w:rsid w:val="00E81FE7"/>
    <w:rsid w:val="00E822A0"/>
    <w:rsid w:val="00E82303"/>
    <w:rsid w:val="00E8231E"/>
    <w:rsid w:val="00E823CF"/>
    <w:rsid w:val="00E824C8"/>
    <w:rsid w:val="00E825DC"/>
    <w:rsid w:val="00E82674"/>
    <w:rsid w:val="00E826BA"/>
    <w:rsid w:val="00E826C9"/>
    <w:rsid w:val="00E82703"/>
    <w:rsid w:val="00E8270F"/>
    <w:rsid w:val="00E82754"/>
    <w:rsid w:val="00E827A6"/>
    <w:rsid w:val="00E82844"/>
    <w:rsid w:val="00E82851"/>
    <w:rsid w:val="00E82885"/>
    <w:rsid w:val="00E82ADA"/>
    <w:rsid w:val="00E82B86"/>
    <w:rsid w:val="00E82C3A"/>
    <w:rsid w:val="00E82C55"/>
    <w:rsid w:val="00E82DAA"/>
    <w:rsid w:val="00E82DB5"/>
    <w:rsid w:val="00E82E69"/>
    <w:rsid w:val="00E82E8F"/>
    <w:rsid w:val="00E82FBF"/>
    <w:rsid w:val="00E83074"/>
    <w:rsid w:val="00E8317E"/>
    <w:rsid w:val="00E831C3"/>
    <w:rsid w:val="00E8331A"/>
    <w:rsid w:val="00E83448"/>
    <w:rsid w:val="00E834B5"/>
    <w:rsid w:val="00E834C5"/>
    <w:rsid w:val="00E8354A"/>
    <w:rsid w:val="00E83599"/>
    <w:rsid w:val="00E836C3"/>
    <w:rsid w:val="00E83753"/>
    <w:rsid w:val="00E83773"/>
    <w:rsid w:val="00E837BD"/>
    <w:rsid w:val="00E8380F"/>
    <w:rsid w:val="00E83AB8"/>
    <w:rsid w:val="00E83B1F"/>
    <w:rsid w:val="00E83BBA"/>
    <w:rsid w:val="00E83BC4"/>
    <w:rsid w:val="00E83CD3"/>
    <w:rsid w:val="00E83DF4"/>
    <w:rsid w:val="00E83E65"/>
    <w:rsid w:val="00E83E7E"/>
    <w:rsid w:val="00E83F03"/>
    <w:rsid w:val="00E83F80"/>
    <w:rsid w:val="00E8405F"/>
    <w:rsid w:val="00E840BD"/>
    <w:rsid w:val="00E840EA"/>
    <w:rsid w:val="00E84160"/>
    <w:rsid w:val="00E841B5"/>
    <w:rsid w:val="00E841C5"/>
    <w:rsid w:val="00E841D7"/>
    <w:rsid w:val="00E84222"/>
    <w:rsid w:val="00E84243"/>
    <w:rsid w:val="00E84264"/>
    <w:rsid w:val="00E84338"/>
    <w:rsid w:val="00E8433B"/>
    <w:rsid w:val="00E84493"/>
    <w:rsid w:val="00E845B3"/>
    <w:rsid w:val="00E84633"/>
    <w:rsid w:val="00E846B8"/>
    <w:rsid w:val="00E847A4"/>
    <w:rsid w:val="00E847F9"/>
    <w:rsid w:val="00E8486F"/>
    <w:rsid w:val="00E848C3"/>
    <w:rsid w:val="00E848F3"/>
    <w:rsid w:val="00E84938"/>
    <w:rsid w:val="00E84C05"/>
    <w:rsid w:val="00E84C0D"/>
    <w:rsid w:val="00E84CA3"/>
    <w:rsid w:val="00E84CC2"/>
    <w:rsid w:val="00E84E14"/>
    <w:rsid w:val="00E84F16"/>
    <w:rsid w:val="00E84F33"/>
    <w:rsid w:val="00E84F58"/>
    <w:rsid w:val="00E8501E"/>
    <w:rsid w:val="00E850B0"/>
    <w:rsid w:val="00E8517F"/>
    <w:rsid w:val="00E851DE"/>
    <w:rsid w:val="00E85269"/>
    <w:rsid w:val="00E852CC"/>
    <w:rsid w:val="00E8531D"/>
    <w:rsid w:val="00E854B3"/>
    <w:rsid w:val="00E854EE"/>
    <w:rsid w:val="00E855D3"/>
    <w:rsid w:val="00E85838"/>
    <w:rsid w:val="00E85970"/>
    <w:rsid w:val="00E859EE"/>
    <w:rsid w:val="00E85A2A"/>
    <w:rsid w:val="00E85A3D"/>
    <w:rsid w:val="00E85AB1"/>
    <w:rsid w:val="00E85ABE"/>
    <w:rsid w:val="00E85ACD"/>
    <w:rsid w:val="00E85B45"/>
    <w:rsid w:val="00E85D2B"/>
    <w:rsid w:val="00E85EA0"/>
    <w:rsid w:val="00E85EF4"/>
    <w:rsid w:val="00E85F4B"/>
    <w:rsid w:val="00E86213"/>
    <w:rsid w:val="00E86242"/>
    <w:rsid w:val="00E863A3"/>
    <w:rsid w:val="00E863E5"/>
    <w:rsid w:val="00E864C8"/>
    <w:rsid w:val="00E864CF"/>
    <w:rsid w:val="00E864E8"/>
    <w:rsid w:val="00E86546"/>
    <w:rsid w:val="00E8654E"/>
    <w:rsid w:val="00E865B5"/>
    <w:rsid w:val="00E8663A"/>
    <w:rsid w:val="00E8675E"/>
    <w:rsid w:val="00E8679D"/>
    <w:rsid w:val="00E86819"/>
    <w:rsid w:val="00E8694B"/>
    <w:rsid w:val="00E8697E"/>
    <w:rsid w:val="00E86A73"/>
    <w:rsid w:val="00E86CAC"/>
    <w:rsid w:val="00E86D7A"/>
    <w:rsid w:val="00E86D86"/>
    <w:rsid w:val="00E86DFC"/>
    <w:rsid w:val="00E86E62"/>
    <w:rsid w:val="00E86ED4"/>
    <w:rsid w:val="00E86F28"/>
    <w:rsid w:val="00E86F4E"/>
    <w:rsid w:val="00E86F92"/>
    <w:rsid w:val="00E87052"/>
    <w:rsid w:val="00E87104"/>
    <w:rsid w:val="00E87251"/>
    <w:rsid w:val="00E87269"/>
    <w:rsid w:val="00E872A0"/>
    <w:rsid w:val="00E872A9"/>
    <w:rsid w:val="00E8733C"/>
    <w:rsid w:val="00E8737D"/>
    <w:rsid w:val="00E87484"/>
    <w:rsid w:val="00E875D0"/>
    <w:rsid w:val="00E875FA"/>
    <w:rsid w:val="00E87663"/>
    <w:rsid w:val="00E87745"/>
    <w:rsid w:val="00E877E3"/>
    <w:rsid w:val="00E8783A"/>
    <w:rsid w:val="00E878B3"/>
    <w:rsid w:val="00E878F2"/>
    <w:rsid w:val="00E87934"/>
    <w:rsid w:val="00E87A55"/>
    <w:rsid w:val="00E87A5D"/>
    <w:rsid w:val="00E87AF0"/>
    <w:rsid w:val="00E87B30"/>
    <w:rsid w:val="00E87B36"/>
    <w:rsid w:val="00E87B58"/>
    <w:rsid w:val="00E87CD1"/>
    <w:rsid w:val="00E87D4B"/>
    <w:rsid w:val="00E87F24"/>
    <w:rsid w:val="00E900C4"/>
    <w:rsid w:val="00E9011E"/>
    <w:rsid w:val="00E90125"/>
    <w:rsid w:val="00E901ED"/>
    <w:rsid w:val="00E902B4"/>
    <w:rsid w:val="00E903B0"/>
    <w:rsid w:val="00E9077E"/>
    <w:rsid w:val="00E90796"/>
    <w:rsid w:val="00E90814"/>
    <w:rsid w:val="00E90823"/>
    <w:rsid w:val="00E90871"/>
    <w:rsid w:val="00E908A6"/>
    <w:rsid w:val="00E908D3"/>
    <w:rsid w:val="00E908DF"/>
    <w:rsid w:val="00E9092D"/>
    <w:rsid w:val="00E90A24"/>
    <w:rsid w:val="00E90AAC"/>
    <w:rsid w:val="00E90AB5"/>
    <w:rsid w:val="00E90AC0"/>
    <w:rsid w:val="00E90AF7"/>
    <w:rsid w:val="00E90B25"/>
    <w:rsid w:val="00E90B85"/>
    <w:rsid w:val="00E90B92"/>
    <w:rsid w:val="00E90BD8"/>
    <w:rsid w:val="00E90C63"/>
    <w:rsid w:val="00E90C7A"/>
    <w:rsid w:val="00E90CBF"/>
    <w:rsid w:val="00E90D54"/>
    <w:rsid w:val="00E90D5B"/>
    <w:rsid w:val="00E90E4E"/>
    <w:rsid w:val="00E90E73"/>
    <w:rsid w:val="00E90F85"/>
    <w:rsid w:val="00E91136"/>
    <w:rsid w:val="00E9119A"/>
    <w:rsid w:val="00E91238"/>
    <w:rsid w:val="00E91263"/>
    <w:rsid w:val="00E9137B"/>
    <w:rsid w:val="00E91422"/>
    <w:rsid w:val="00E9144E"/>
    <w:rsid w:val="00E914CA"/>
    <w:rsid w:val="00E914F9"/>
    <w:rsid w:val="00E91565"/>
    <w:rsid w:val="00E915CE"/>
    <w:rsid w:val="00E91695"/>
    <w:rsid w:val="00E916A7"/>
    <w:rsid w:val="00E916AE"/>
    <w:rsid w:val="00E91703"/>
    <w:rsid w:val="00E91713"/>
    <w:rsid w:val="00E917FA"/>
    <w:rsid w:val="00E91802"/>
    <w:rsid w:val="00E91848"/>
    <w:rsid w:val="00E91AD8"/>
    <w:rsid w:val="00E91AF1"/>
    <w:rsid w:val="00E91C16"/>
    <w:rsid w:val="00E91C1A"/>
    <w:rsid w:val="00E91C8E"/>
    <w:rsid w:val="00E91CD8"/>
    <w:rsid w:val="00E91E9C"/>
    <w:rsid w:val="00E91EB7"/>
    <w:rsid w:val="00E91F1B"/>
    <w:rsid w:val="00E91FC9"/>
    <w:rsid w:val="00E92126"/>
    <w:rsid w:val="00E92133"/>
    <w:rsid w:val="00E9218D"/>
    <w:rsid w:val="00E92192"/>
    <w:rsid w:val="00E921B0"/>
    <w:rsid w:val="00E921D5"/>
    <w:rsid w:val="00E9238A"/>
    <w:rsid w:val="00E923B2"/>
    <w:rsid w:val="00E9242F"/>
    <w:rsid w:val="00E9271B"/>
    <w:rsid w:val="00E928FB"/>
    <w:rsid w:val="00E928FF"/>
    <w:rsid w:val="00E92902"/>
    <w:rsid w:val="00E929B0"/>
    <w:rsid w:val="00E92A2F"/>
    <w:rsid w:val="00E92A62"/>
    <w:rsid w:val="00E92A6F"/>
    <w:rsid w:val="00E92B55"/>
    <w:rsid w:val="00E92C61"/>
    <w:rsid w:val="00E92D60"/>
    <w:rsid w:val="00E92D7C"/>
    <w:rsid w:val="00E92DA9"/>
    <w:rsid w:val="00E92E13"/>
    <w:rsid w:val="00E92E6C"/>
    <w:rsid w:val="00E92E95"/>
    <w:rsid w:val="00E92EFB"/>
    <w:rsid w:val="00E93007"/>
    <w:rsid w:val="00E930FD"/>
    <w:rsid w:val="00E9347B"/>
    <w:rsid w:val="00E935FC"/>
    <w:rsid w:val="00E93681"/>
    <w:rsid w:val="00E936A8"/>
    <w:rsid w:val="00E936F8"/>
    <w:rsid w:val="00E9372B"/>
    <w:rsid w:val="00E93740"/>
    <w:rsid w:val="00E937BD"/>
    <w:rsid w:val="00E937DA"/>
    <w:rsid w:val="00E93801"/>
    <w:rsid w:val="00E9385B"/>
    <w:rsid w:val="00E93902"/>
    <w:rsid w:val="00E939E6"/>
    <w:rsid w:val="00E93B0E"/>
    <w:rsid w:val="00E93B74"/>
    <w:rsid w:val="00E93B90"/>
    <w:rsid w:val="00E93BD4"/>
    <w:rsid w:val="00E93CF4"/>
    <w:rsid w:val="00E93D27"/>
    <w:rsid w:val="00E93E7A"/>
    <w:rsid w:val="00E93ECA"/>
    <w:rsid w:val="00E93EFB"/>
    <w:rsid w:val="00E93F78"/>
    <w:rsid w:val="00E93FE6"/>
    <w:rsid w:val="00E94102"/>
    <w:rsid w:val="00E94139"/>
    <w:rsid w:val="00E9427E"/>
    <w:rsid w:val="00E942D9"/>
    <w:rsid w:val="00E9441B"/>
    <w:rsid w:val="00E94428"/>
    <w:rsid w:val="00E94450"/>
    <w:rsid w:val="00E94479"/>
    <w:rsid w:val="00E944C9"/>
    <w:rsid w:val="00E94552"/>
    <w:rsid w:val="00E947A2"/>
    <w:rsid w:val="00E947F0"/>
    <w:rsid w:val="00E9490D"/>
    <w:rsid w:val="00E94AAD"/>
    <w:rsid w:val="00E94AB2"/>
    <w:rsid w:val="00E94AF6"/>
    <w:rsid w:val="00E94BA8"/>
    <w:rsid w:val="00E94BB1"/>
    <w:rsid w:val="00E94C4A"/>
    <w:rsid w:val="00E94D63"/>
    <w:rsid w:val="00E94E5F"/>
    <w:rsid w:val="00E94E96"/>
    <w:rsid w:val="00E94ECF"/>
    <w:rsid w:val="00E94F4C"/>
    <w:rsid w:val="00E94FBE"/>
    <w:rsid w:val="00E94FE2"/>
    <w:rsid w:val="00E950EC"/>
    <w:rsid w:val="00E9510A"/>
    <w:rsid w:val="00E95230"/>
    <w:rsid w:val="00E9527F"/>
    <w:rsid w:val="00E952BF"/>
    <w:rsid w:val="00E9534B"/>
    <w:rsid w:val="00E9535D"/>
    <w:rsid w:val="00E95368"/>
    <w:rsid w:val="00E953A8"/>
    <w:rsid w:val="00E953B7"/>
    <w:rsid w:val="00E953F0"/>
    <w:rsid w:val="00E954AD"/>
    <w:rsid w:val="00E954D6"/>
    <w:rsid w:val="00E9553C"/>
    <w:rsid w:val="00E95564"/>
    <w:rsid w:val="00E9557C"/>
    <w:rsid w:val="00E9560C"/>
    <w:rsid w:val="00E956B8"/>
    <w:rsid w:val="00E9571A"/>
    <w:rsid w:val="00E957F7"/>
    <w:rsid w:val="00E958AA"/>
    <w:rsid w:val="00E958CF"/>
    <w:rsid w:val="00E958E9"/>
    <w:rsid w:val="00E95953"/>
    <w:rsid w:val="00E9596B"/>
    <w:rsid w:val="00E95AC9"/>
    <w:rsid w:val="00E95AE8"/>
    <w:rsid w:val="00E95AFB"/>
    <w:rsid w:val="00E95B02"/>
    <w:rsid w:val="00E95C51"/>
    <w:rsid w:val="00E95C82"/>
    <w:rsid w:val="00E95CA6"/>
    <w:rsid w:val="00E95D70"/>
    <w:rsid w:val="00E95F41"/>
    <w:rsid w:val="00E95FA9"/>
    <w:rsid w:val="00E96040"/>
    <w:rsid w:val="00E960A7"/>
    <w:rsid w:val="00E960D6"/>
    <w:rsid w:val="00E96366"/>
    <w:rsid w:val="00E963A6"/>
    <w:rsid w:val="00E963FD"/>
    <w:rsid w:val="00E96470"/>
    <w:rsid w:val="00E96671"/>
    <w:rsid w:val="00E966B0"/>
    <w:rsid w:val="00E966C7"/>
    <w:rsid w:val="00E9686C"/>
    <w:rsid w:val="00E96879"/>
    <w:rsid w:val="00E96980"/>
    <w:rsid w:val="00E96990"/>
    <w:rsid w:val="00E96B13"/>
    <w:rsid w:val="00E96B9F"/>
    <w:rsid w:val="00E96D86"/>
    <w:rsid w:val="00E96E0B"/>
    <w:rsid w:val="00E96EC5"/>
    <w:rsid w:val="00E96ED7"/>
    <w:rsid w:val="00E96F9C"/>
    <w:rsid w:val="00E97049"/>
    <w:rsid w:val="00E97169"/>
    <w:rsid w:val="00E97293"/>
    <w:rsid w:val="00E9734F"/>
    <w:rsid w:val="00E97357"/>
    <w:rsid w:val="00E973B7"/>
    <w:rsid w:val="00E9744C"/>
    <w:rsid w:val="00E97465"/>
    <w:rsid w:val="00E9748C"/>
    <w:rsid w:val="00E974B9"/>
    <w:rsid w:val="00E974CA"/>
    <w:rsid w:val="00E97599"/>
    <w:rsid w:val="00E975B0"/>
    <w:rsid w:val="00E97682"/>
    <w:rsid w:val="00E9771C"/>
    <w:rsid w:val="00E9778B"/>
    <w:rsid w:val="00E977C1"/>
    <w:rsid w:val="00E9790B"/>
    <w:rsid w:val="00E97A1A"/>
    <w:rsid w:val="00E97A83"/>
    <w:rsid w:val="00E97AFC"/>
    <w:rsid w:val="00E97B17"/>
    <w:rsid w:val="00E97B4E"/>
    <w:rsid w:val="00E97B51"/>
    <w:rsid w:val="00E97C25"/>
    <w:rsid w:val="00E97D34"/>
    <w:rsid w:val="00E97D39"/>
    <w:rsid w:val="00E97EBA"/>
    <w:rsid w:val="00E97F62"/>
    <w:rsid w:val="00EA0070"/>
    <w:rsid w:val="00EA0276"/>
    <w:rsid w:val="00EA02F7"/>
    <w:rsid w:val="00EA035F"/>
    <w:rsid w:val="00EA06D3"/>
    <w:rsid w:val="00EA075D"/>
    <w:rsid w:val="00EA086E"/>
    <w:rsid w:val="00EA0984"/>
    <w:rsid w:val="00EA0BE7"/>
    <w:rsid w:val="00EA0C89"/>
    <w:rsid w:val="00EA0D90"/>
    <w:rsid w:val="00EA0E73"/>
    <w:rsid w:val="00EA0F18"/>
    <w:rsid w:val="00EA0FED"/>
    <w:rsid w:val="00EA10DE"/>
    <w:rsid w:val="00EA1181"/>
    <w:rsid w:val="00EA1199"/>
    <w:rsid w:val="00EA1522"/>
    <w:rsid w:val="00EA152F"/>
    <w:rsid w:val="00EA15D5"/>
    <w:rsid w:val="00EA170F"/>
    <w:rsid w:val="00EA180C"/>
    <w:rsid w:val="00EA1833"/>
    <w:rsid w:val="00EA1935"/>
    <w:rsid w:val="00EA195A"/>
    <w:rsid w:val="00EA19C7"/>
    <w:rsid w:val="00EA1B81"/>
    <w:rsid w:val="00EA1CA0"/>
    <w:rsid w:val="00EA1CC1"/>
    <w:rsid w:val="00EA1DE4"/>
    <w:rsid w:val="00EA1E0B"/>
    <w:rsid w:val="00EA1E37"/>
    <w:rsid w:val="00EA1E4C"/>
    <w:rsid w:val="00EA1E89"/>
    <w:rsid w:val="00EA1E8D"/>
    <w:rsid w:val="00EA1EEF"/>
    <w:rsid w:val="00EA1FCA"/>
    <w:rsid w:val="00EA1FEB"/>
    <w:rsid w:val="00EA202C"/>
    <w:rsid w:val="00EA21C6"/>
    <w:rsid w:val="00EA2222"/>
    <w:rsid w:val="00EA229E"/>
    <w:rsid w:val="00EA22F3"/>
    <w:rsid w:val="00EA233F"/>
    <w:rsid w:val="00EA23B6"/>
    <w:rsid w:val="00EA247C"/>
    <w:rsid w:val="00EA2495"/>
    <w:rsid w:val="00EA24B6"/>
    <w:rsid w:val="00EA25C3"/>
    <w:rsid w:val="00EA273E"/>
    <w:rsid w:val="00EA281E"/>
    <w:rsid w:val="00EA28C3"/>
    <w:rsid w:val="00EA28CC"/>
    <w:rsid w:val="00EA2912"/>
    <w:rsid w:val="00EA29F2"/>
    <w:rsid w:val="00EA2A68"/>
    <w:rsid w:val="00EA2AA1"/>
    <w:rsid w:val="00EA2ABA"/>
    <w:rsid w:val="00EA2C60"/>
    <w:rsid w:val="00EA2D50"/>
    <w:rsid w:val="00EA2F79"/>
    <w:rsid w:val="00EA30F7"/>
    <w:rsid w:val="00EA30FE"/>
    <w:rsid w:val="00EA3151"/>
    <w:rsid w:val="00EA31C8"/>
    <w:rsid w:val="00EA31CE"/>
    <w:rsid w:val="00EA31D0"/>
    <w:rsid w:val="00EA3274"/>
    <w:rsid w:val="00EA3277"/>
    <w:rsid w:val="00EA32E0"/>
    <w:rsid w:val="00EA32F8"/>
    <w:rsid w:val="00EA32F9"/>
    <w:rsid w:val="00EA338A"/>
    <w:rsid w:val="00EA3392"/>
    <w:rsid w:val="00EA3437"/>
    <w:rsid w:val="00EA345B"/>
    <w:rsid w:val="00EA347D"/>
    <w:rsid w:val="00EA34AA"/>
    <w:rsid w:val="00EA366E"/>
    <w:rsid w:val="00EA3959"/>
    <w:rsid w:val="00EA3969"/>
    <w:rsid w:val="00EA3970"/>
    <w:rsid w:val="00EA399E"/>
    <w:rsid w:val="00EA3A10"/>
    <w:rsid w:val="00EA3B22"/>
    <w:rsid w:val="00EA3C1D"/>
    <w:rsid w:val="00EA3DAF"/>
    <w:rsid w:val="00EA3E98"/>
    <w:rsid w:val="00EA404B"/>
    <w:rsid w:val="00EA4066"/>
    <w:rsid w:val="00EA40AE"/>
    <w:rsid w:val="00EA412E"/>
    <w:rsid w:val="00EA41F1"/>
    <w:rsid w:val="00EA424F"/>
    <w:rsid w:val="00EA42E1"/>
    <w:rsid w:val="00EA4365"/>
    <w:rsid w:val="00EA43F4"/>
    <w:rsid w:val="00EA45A6"/>
    <w:rsid w:val="00EA45FF"/>
    <w:rsid w:val="00EA464E"/>
    <w:rsid w:val="00EA473E"/>
    <w:rsid w:val="00EA4850"/>
    <w:rsid w:val="00EA4A77"/>
    <w:rsid w:val="00EA4B5B"/>
    <w:rsid w:val="00EA4BEA"/>
    <w:rsid w:val="00EA4C16"/>
    <w:rsid w:val="00EA4C97"/>
    <w:rsid w:val="00EA4D2A"/>
    <w:rsid w:val="00EA4D99"/>
    <w:rsid w:val="00EA4EC0"/>
    <w:rsid w:val="00EA4F04"/>
    <w:rsid w:val="00EA4F89"/>
    <w:rsid w:val="00EA5014"/>
    <w:rsid w:val="00EA518B"/>
    <w:rsid w:val="00EA51D7"/>
    <w:rsid w:val="00EA542B"/>
    <w:rsid w:val="00EA5433"/>
    <w:rsid w:val="00EA549B"/>
    <w:rsid w:val="00EA5509"/>
    <w:rsid w:val="00EA557D"/>
    <w:rsid w:val="00EA5597"/>
    <w:rsid w:val="00EA560C"/>
    <w:rsid w:val="00EA5649"/>
    <w:rsid w:val="00EA567F"/>
    <w:rsid w:val="00EA5706"/>
    <w:rsid w:val="00EA5787"/>
    <w:rsid w:val="00EA57AF"/>
    <w:rsid w:val="00EA5813"/>
    <w:rsid w:val="00EA58C2"/>
    <w:rsid w:val="00EA58C6"/>
    <w:rsid w:val="00EA594F"/>
    <w:rsid w:val="00EA5A45"/>
    <w:rsid w:val="00EA5ACE"/>
    <w:rsid w:val="00EA5AFB"/>
    <w:rsid w:val="00EA5C8F"/>
    <w:rsid w:val="00EA5CBF"/>
    <w:rsid w:val="00EA5CEB"/>
    <w:rsid w:val="00EA5D6A"/>
    <w:rsid w:val="00EA5E9C"/>
    <w:rsid w:val="00EA5FAE"/>
    <w:rsid w:val="00EA6054"/>
    <w:rsid w:val="00EA607E"/>
    <w:rsid w:val="00EA616B"/>
    <w:rsid w:val="00EA62DD"/>
    <w:rsid w:val="00EA630E"/>
    <w:rsid w:val="00EA6359"/>
    <w:rsid w:val="00EA63FF"/>
    <w:rsid w:val="00EA6524"/>
    <w:rsid w:val="00EA6540"/>
    <w:rsid w:val="00EA6562"/>
    <w:rsid w:val="00EA67F8"/>
    <w:rsid w:val="00EA685D"/>
    <w:rsid w:val="00EA6972"/>
    <w:rsid w:val="00EA69F1"/>
    <w:rsid w:val="00EA6A06"/>
    <w:rsid w:val="00EA6A6B"/>
    <w:rsid w:val="00EA6AFB"/>
    <w:rsid w:val="00EA6AFE"/>
    <w:rsid w:val="00EA6BBB"/>
    <w:rsid w:val="00EA6D8C"/>
    <w:rsid w:val="00EA6DC6"/>
    <w:rsid w:val="00EA6FA4"/>
    <w:rsid w:val="00EA6FE2"/>
    <w:rsid w:val="00EA702A"/>
    <w:rsid w:val="00EA7068"/>
    <w:rsid w:val="00EA712F"/>
    <w:rsid w:val="00EA7251"/>
    <w:rsid w:val="00EA727E"/>
    <w:rsid w:val="00EA7280"/>
    <w:rsid w:val="00EA72AE"/>
    <w:rsid w:val="00EA737B"/>
    <w:rsid w:val="00EA73CE"/>
    <w:rsid w:val="00EA7444"/>
    <w:rsid w:val="00EA7519"/>
    <w:rsid w:val="00EA75AD"/>
    <w:rsid w:val="00EA75C5"/>
    <w:rsid w:val="00EA7604"/>
    <w:rsid w:val="00EA766B"/>
    <w:rsid w:val="00EA76A0"/>
    <w:rsid w:val="00EA7702"/>
    <w:rsid w:val="00EA777B"/>
    <w:rsid w:val="00EA7873"/>
    <w:rsid w:val="00EA7935"/>
    <w:rsid w:val="00EA7978"/>
    <w:rsid w:val="00EA7A19"/>
    <w:rsid w:val="00EA7B7A"/>
    <w:rsid w:val="00EA7BC7"/>
    <w:rsid w:val="00EA7BFB"/>
    <w:rsid w:val="00EA7CC0"/>
    <w:rsid w:val="00EA7CEE"/>
    <w:rsid w:val="00EA7D11"/>
    <w:rsid w:val="00EA7D5F"/>
    <w:rsid w:val="00EA7D68"/>
    <w:rsid w:val="00EA7F0E"/>
    <w:rsid w:val="00EA7F16"/>
    <w:rsid w:val="00EA7FE5"/>
    <w:rsid w:val="00EB00BA"/>
    <w:rsid w:val="00EB00E1"/>
    <w:rsid w:val="00EB0224"/>
    <w:rsid w:val="00EB0266"/>
    <w:rsid w:val="00EB02B8"/>
    <w:rsid w:val="00EB031E"/>
    <w:rsid w:val="00EB0572"/>
    <w:rsid w:val="00EB058F"/>
    <w:rsid w:val="00EB066E"/>
    <w:rsid w:val="00EB06E0"/>
    <w:rsid w:val="00EB072F"/>
    <w:rsid w:val="00EB0750"/>
    <w:rsid w:val="00EB0780"/>
    <w:rsid w:val="00EB094F"/>
    <w:rsid w:val="00EB096C"/>
    <w:rsid w:val="00EB09EE"/>
    <w:rsid w:val="00EB0A33"/>
    <w:rsid w:val="00EB0AB0"/>
    <w:rsid w:val="00EB0B2D"/>
    <w:rsid w:val="00EB0BE6"/>
    <w:rsid w:val="00EB0DA4"/>
    <w:rsid w:val="00EB0F10"/>
    <w:rsid w:val="00EB0F4A"/>
    <w:rsid w:val="00EB0F75"/>
    <w:rsid w:val="00EB0FA4"/>
    <w:rsid w:val="00EB1006"/>
    <w:rsid w:val="00EB1024"/>
    <w:rsid w:val="00EB10ED"/>
    <w:rsid w:val="00EB10FF"/>
    <w:rsid w:val="00EB126A"/>
    <w:rsid w:val="00EB12E0"/>
    <w:rsid w:val="00EB1301"/>
    <w:rsid w:val="00EB1360"/>
    <w:rsid w:val="00EB154D"/>
    <w:rsid w:val="00EB15C4"/>
    <w:rsid w:val="00EB161D"/>
    <w:rsid w:val="00EB17EB"/>
    <w:rsid w:val="00EB198A"/>
    <w:rsid w:val="00EB19E3"/>
    <w:rsid w:val="00EB1A45"/>
    <w:rsid w:val="00EB1A69"/>
    <w:rsid w:val="00EB1A70"/>
    <w:rsid w:val="00EB1AD5"/>
    <w:rsid w:val="00EB1BBB"/>
    <w:rsid w:val="00EB1C96"/>
    <w:rsid w:val="00EB1D03"/>
    <w:rsid w:val="00EB1F06"/>
    <w:rsid w:val="00EB1F20"/>
    <w:rsid w:val="00EB1FC9"/>
    <w:rsid w:val="00EB1FD3"/>
    <w:rsid w:val="00EB2015"/>
    <w:rsid w:val="00EB20B6"/>
    <w:rsid w:val="00EB20D7"/>
    <w:rsid w:val="00EB2109"/>
    <w:rsid w:val="00EB2160"/>
    <w:rsid w:val="00EB2426"/>
    <w:rsid w:val="00EB2442"/>
    <w:rsid w:val="00EB269E"/>
    <w:rsid w:val="00EB26E1"/>
    <w:rsid w:val="00EB26F2"/>
    <w:rsid w:val="00EB27ED"/>
    <w:rsid w:val="00EB284B"/>
    <w:rsid w:val="00EB285C"/>
    <w:rsid w:val="00EB29A8"/>
    <w:rsid w:val="00EB2B94"/>
    <w:rsid w:val="00EB2C92"/>
    <w:rsid w:val="00EB2EA5"/>
    <w:rsid w:val="00EB2EEE"/>
    <w:rsid w:val="00EB2EF1"/>
    <w:rsid w:val="00EB31E1"/>
    <w:rsid w:val="00EB324B"/>
    <w:rsid w:val="00EB32AD"/>
    <w:rsid w:val="00EB3445"/>
    <w:rsid w:val="00EB3465"/>
    <w:rsid w:val="00EB34F6"/>
    <w:rsid w:val="00EB3564"/>
    <w:rsid w:val="00EB35FF"/>
    <w:rsid w:val="00EB3662"/>
    <w:rsid w:val="00EB36F8"/>
    <w:rsid w:val="00EB372D"/>
    <w:rsid w:val="00EB37C2"/>
    <w:rsid w:val="00EB390D"/>
    <w:rsid w:val="00EB3978"/>
    <w:rsid w:val="00EB3A03"/>
    <w:rsid w:val="00EB3A82"/>
    <w:rsid w:val="00EB3AF8"/>
    <w:rsid w:val="00EB3C80"/>
    <w:rsid w:val="00EB3CCB"/>
    <w:rsid w:val="00EB3D08"/>
    <w:rsid w:val="00EB3D2D"/>
    <w:rsid w:val="00EB3DFA"/>
    <w:rsid w:val="00EB3E8C"/>
    <w:rsid w:val="00EB3F10"/>
    <w:rsid w:val="00EB3F72"/>
    <w:rsid w:val="00EB3FC0"/>
    <w:rsid w:val="00EB406D"/>
    <w:rsid w:val="00EB4269"/>
    <w:rsid w:val="00EB4281"/>
    <w:rsid w:val="00EB429E"/>
    <w:rsid w:val="00EB4344"/>
    <w:rsid w:val="00EB4387"/>
    <w:rsid w:val="00EB43F4"/>
    <w:rsid w:val="00EB44C6"/>
    <w:rsid w:val="00EB4699"/>
    <w:rsid w:val="00EB46B5"/>
    <w:rsid w:val="00EB46FE"/>
    <w:rsid w:val="00EB4705"/>
    <w:rsid w:val="00EB4728"/>
    <w:rsid w:val="00EB478D"/>
    <w:rsid w:val="00EB47CE"/>
    <w:rsid w:val="00EB47FA"/>
    <w:rsid w:val="00EB4828"/>
    <w:rsid w:val="00EB487E"/>
    <w:rsid w:val="00EB4A0B"/>
    <w:rsid w:val="00EB4B5C"/>
    <w:rsid w:val="00EB4B74"/>
    <w:rsid w:val="00EB4C07"/>
    <w:rsid w:val="00EB4C0D"/>
    <w:rsid w:val="00EB4DCA"/>
    <w:rsid w:val="00EB4E9C"/>
    <w:rsid w:val="00EB5048"/>
    <w:rsid w:val="00EB50BF"/>
    <w:rsid w:val="00EB50D9"/>
    <w:rsid w:val="00EB50FC"/>
    <w:rsid w:val="00EB5188"/>
    <w:rsid w:val="00EB52F5"/>
    <w:rsid w:val="00EB537A"/>
    <w:rsid w:val="00EB5492"/>
    <w:rsid w:val="00EB54B8"/>
    <w:rsid w:val="00EB5531"/>
    <w:rsid w:val="00EB5740"/>
    <w:rsid w:val="00EB57A0"/>
    <w:rsid w:val="00EB5B4D"/>
    <w:rsid w:val="00EB5E09"/>
    <w:rsid w:val="00EB6041"/>
    <w:rsid w:val="00EB60F8"/>
    <w:rsid w:val="00EB6163"/>
    <w:rsid w:val="00EB620D"/>
    <w:rsid w:val="00EB623E"/>
    <w:rsid w:val="00EB6247"/>
    <w:rsid w:val="00EB6268"/>
    <w:rsid w:val="00EB6374"/>
    <w:rsid w:val="00EB6384"/>
    <w:rsid w:val="00EB639A"/>
    <w:rsid w:val="00EB641F"/>
    <w:rsid w:val="00EB6502"/>
    <w:rsid w:val="00EB6503"/>
    <w:rsid w:val="00EB6504"/>
    <w:rsid w:val="00EB693F"/>
    <w:rsid w:val="00EB69D6"/>
    <w:rsid w:val="00EB6A16"/>
    <w:rsid w:val="00EB6A99"/>
    <w:rsid w:val="00EB6B17"/>
    <w:rsid w:val="00EB6B6E"/>
    <w:rsid w:val="00EB6BE3"/>
    <w:rsid w:val="00EB6BEE"/>
    <w:rsid w:val="00EB6D8C"/>
    <w:rsid w:val="00EB6D9D"/>
    <w:rsid w:val="00EB6DB3"/>
    <w:rsid w:val="00EB70F3"/>
    <w:rsid w:val="00EB7153"/>
    <w:rsid w:val="00EB7196"/>
    <w:rsid w:val="00EB71B1"/>
    <w:rsid w:val="00EB71D5"/>
    <w:rsid w:val="00EB71E6"/>
    <w:rsid w:val="00EB72FC"/>
    <w:rsid w:val="00EB743E"/>
    <w:rsid w:val="00EB7580"/>
    <w:rsid w:val="00EB76AC"/>
    <w:rsid w:val="00EB76D7"/>
    <w:rsid w:val="00EB7711"/>
    <w:rsid w:val="00EB779A"/>
    <w:rsid w:val="00EB7832"/>
    <w:rsid w:val="00EB7858"/>
    <w:rsid w:val="00EB7978"/>
    <w:rsid w:val="00EB79A7"/>
    <w:rsid w:val="00EB7B55"/>
    <w:rsid w:val="00EB7B60"/>
    <w:rsid w:val="00EB7B70"/>
    <w:rsid w:val="00EB7BFA"/>
    <w:rsid w:val="00EB7C19"/>
    <w:rsid w:val="00EB7C4F"/>
    <w:rsid w:val="00EB7D57"/>
    <w:rsid w:val="00EB7D97"/>
    <w:rsid w:val="00EB7DF4"/>
    <w:rsid w:val="00EB7E0B"/>
    <w:rsid w:val="00EBB39D"/>
    <w:rsid w:val="00EC014B"/>
    <w:rsid w:val="00EC01C9"/>
    <w:rsid w:val="00EC0253"/>
    <w:rsid w:val="00EC026B"/>
    <w:rsid w:val="00EC02EA"/>
    <w:rsid w:val="00EC0339"/>
    <w:rsid w:val="00EC0379"/>
    <w:rsid w:val="00EC0573"/>
    <w:rsid w:val="00EC0577"/>
    <w:rsid w:val="00EC0614"/>
    <w:rsid w:val="00EC064C"/>
    <w:rsid w:val="00EC0714"/>
    <w:rsid w:val="00EC0823"/>
    <w:rsid w:val="00EC0850"/>
    <w:rsid w:val="00EC0977"/>
    <w:rsid w:val="00EC0A6F"/>
    <w:rsid w:val="00EC0C02"/>
    <w:rsid w:val="00EC0D6E"/>
    <w:rsid w:val="00EC0DDC"/>
    <w:rsid w:val="00EC0E36"/>
    <w:rsid w:val="00EC0E4F"/>
    <w:rsid w:val="00EC0EDB"/>
    <w:rsid w:val="00EC0FBC"/>
    <w:rsid w:val="00EC0FCC"/>
    <w:rsid w:val="00EC1050"/>
    <w:rsid w:val="00EC1108"/>
    <w:rsid w:val="00EC11BF"/>
    <w:rsid w:val="00EC12B2"/>
    <w:rsid w:val="00EC12D2"/>
    <w:rsid w:val="00EC1350"/>
    <w:rsid w:val="00EC136F"/>
    <w:rsid w:val="00EC13E8"/>
    <w:rsid w:val="00EC1425"/>
    <w:rsid w:val="00EC1478"/>
    <w:rsid w:val="00EC1481"/>
    <w:rsid w:val="00EC14E4"/>
    <w:rsid w:val="00EC151A"/>
    <w:rsid w:val="00EC1568"/>
    <w:rsid w:val="00EC15BB"/>
    <w:rsid w:val="00EC15BE"/>
    <w:rsid w:val="00EC15CE"/>
    <w:rsid w:val="00EC15FF"/>
    <w:rsid w:val="00EC1626"/>
    <w:rsid w:val="00EC1630"/>
    <w:rsid w:val="00EC1652"/>
    <w:rsid w:val="00EC1686"/>
    <w:rsid w:val="00EC17B9"/>
    <w:rsid w:val="00EC1845"/>
    <w:rsid w:val="00EC1966"/>
    <w:rsid w:val="00EC19BA"/>
    <w:rsid w:val="00EC1A8A"/>
    <w:rsid w:val="00EC1AC4"/>
    <w:rsid w:val="00EC1BEF"/>
    <w:rsid w:val="00EC1CD4"/>
    <w:rsid w:val="00EC1D1D"/>
    <w:rsid w:val="00EC1D49"/>
    <w:rsid w:val="00EC1DC9"/>
    <w:rsid w:val="00EC1E2C"/>
    <w:rsid w:val="00EC1E8E"/>
    <w:rsid w:val="00EC1F1E"/>
    <w:rsid w:val="00EC1F55"/>
    <w:rsid w:val="00EC20DA"/>
    <w:rsid w:val="00EC2162"/>
    <w:rsid w:val="00EC229F"/>
    <w:rsid w:val="00EC2328"/>
    <w:rsid w:val="00EC23D1"/>
    <w:rsid w:val="00EC2450"/>
    <w:rsid w:val="00EC2551"/>
    <w:rsid w:val="00EC2599"/>
    <w:rsid w:val="00EC25BD"/>
    <w:rsid w:val="00EC25D5"/>
    <w:rsid w:val="00EC26C3"/>
    <w:rsid w:val="00EC2842"/>
    <w:rsid w:val="00EC2926"/>
    <w:rsid w:val="00EC2960"/>
    <w:rsid w:val="00EC29B4"/>
    <w:rsid w:val="00EC29CC"/>
    <w:rsid w:val="00EC29CD"/>
    <w:rsid w:val="00EC2A15"/>
    <w:rsid w:val="00EC2A72"/>
    <w:rsid w:val="00EC2B62"/>
    <w:rsid w:val="00EC2B6D"/>
    <w:rsid w:val="00EC2B86"/>
    <w:rsid w:val="00EC2B8F"/>
    <w:rsid w:val="00EC2CC5"/>
    <w:rsid w:val="00EC2D4A"/>
    <w:rsid w:val="00EC2E06"/>
    <w:rsid w:val="00EC2E83"/>
    <w:rsid w:val="00EC2F18"/>
    <w:rsid w:val="00EC2F27"/>
    <w:rsid w:val="00EC2FBA"/>
    <w:rsid w:val="00EC3055"/>
    <w:rsid w:val="00EC30D2"/>
    <w:rsid w:val="00EC3195"/>
    <w:rsid w:val="00EC3200"/>
    <w:rsid w:val="00EC32FE"/>
    <w:rsid w:val="00EC3417"/>
    <w:rsid w:val="00EC344D"/>
    <w:rsid w:val="00EC3472"/>
    <w:rsid w:val="00EC34CD"/>
    <w:rsid w:val="00EC3572"/>
    <w:rsid w:val="00EC365A"/>
    <w:rsid w:val="00EC36BD"/>
    <w:rsid w:val="00EC372B"/>
    <w:rsid w:val="00EC37D8"/>
    <w:rsid w:val="00EC37DF"/>
    <w:rsid w:val="00EC37E6"/>
    <w:rsid w:val="00EC37FC"/>
    <w:rsid w:val="00EC381F"/>
    <w:rsid w:val="00EC3A3D"/>
    <w:rsid w:val="00EC3A48"/>
    <w:rsid w:val="00EC3AE2"/>
    <w:rsid w:val="00EC3BA0"/>
    <w:rsid w:val="00EC3BF5"/>
    <w:rsid w:val="00EC3CE7"/>
    <w:rsid w:val="00EC3D59"/>
    <w:rsid w:val="00EC3D5B"/>
    <w:rsid w:val="00EC3DA0"/>
    <w:rsid w:val="00EC3DE5"/>
    <w:rsid w:val="00EC3DE9"/>
    <w:rsid w:val="00EC3E70"/>
    <w:rsid w:val="00EC44DA"/>
    <w:rsid w:val="00EC451E"/>
    <w:rsid w:val="00EC4530"/>
    <w:rsid w:val="00EC4599"/>
    <w:rsid w:val="00EC45A7"/>
    <w:rsid w:val="00EC465A"/>
    <w:rsid w:val="00EC4686"/>
    <w:rsid w:val="00EC46AA"/>
    <w:rsid w:val="00EC4750"/>
    <w:rsid w:val="00EC47EA"/>
    <w:rsid w:val="00EC47FA"/>
    <w:rsid w:val="00EC48FC"/>
    <w:rsid w:val="00EC4937"/>
    <w:rsid w:val="00EC497A"/>
    <w:rsid w:val="00EC49DD"/>
    <w:rsid w:val="00EC4A88"/>
    <w:rsid w:val="00EC4AC1"/>
    <w:rsid w:val="00EC4DF5"/>
    <w:rsid w:val="00EC4E90"/>
    <w:rsid w:val="00EC51F0"/>
    <w:rsid w:val="00EC51F6"/>
    <w:rsid w:val="00EC5269"/>
    <w:rsid w:val="00EC527A"/>
    <w:rsid w:val="00EC529A"/>
    <w:rsid w:val="00EC52B1"/>
    <w:rsid w:val="00EC52E0"/>
    <w:rsid w:val="00EC54AE"/>
    <w:rsid w:val="00EC5520"/>
    <w:rsid w:val="00EC55D3"/>
    <w:rsid w:val="00EC5603"/>
    <w:rsid w:val="00EC5684"/>
    <w:rsid w:val="00EC56F7"/>
    <w:rsid w:val="00EC58F4"/>
    <w:rsid w:val="00EC590F"/>
    <w:rsid w:val="00EC59AC"/>
    <w:rsid w:val="00EC59DB"/>
    <w:rsid w:val="00EC5A7C"/>
    <w:rsid w:val="00EC5B4D"/>
    <w:rsid w:val="00EC5CAD"/>
    <w:rsid w:val="00EC5D29"/>
    <w:rsid w:val="00EC5DF5"/>
    <w:rsid w:val="00EC5F9A"/>
    <w:rsid w:val="00EC606D"/>
    <w:rsid w:val="00EC6086"/>
    <w:rsid w:val="00EC6090"/>
    <w:rsid w:val="00EC6219"/>
    <w:rsid w:val="00EC624C"/>
    <w:rsid w:val="00EC62DE"/>
    <w:rsid w:val="00EC633F"/>
    <w:rsid w:val="00EC6347"/>
    <w:rsid w:val="00EC63A4"/>
    <w:rsid w:val="00EC63F4"/>
    <w:rsid w:val="00EC6591"/>
    <w:rsid w:val="00EC65A3"/>
    <w:rsid w:val="00EC660E"/>
    <w:rsid w:val="00EC6626"/>
    <w:rsid w:val="00EC6689"/>
    <w:rsid w:val="00EC6749"/>
    <w:rsid w:val="00EC6A55"/>
    <w:rsid w:val="00EC6DD4"/>
    <w:rsid w:val="00EC6E74"/>
    <w:rsid w:val="00EC6F00"/>
    <w:rsid w:val="00EC702E"/>
    <w:rsid w:val="00EC707F"/>
    <w:rsid w:val="00EC70CD"/>
    <w:rsid w:val="00EC71F6"/>
    <w:rsid w:val="00EC7215"/>
    <w:rsid w:val="00EC721E"/>
    <w:rsid w:val="00EC73CC"/>
    <w:rsid w:val="00EC75EC"/>
    <w:rsid w:val="00EC7665"/>
    <w:rsid w:val="00EC76A9"/>
    <w:rsid w:val="00EC76DF"/>
    <w:rsid w:val="00EC7737"/>
    <w:rsid w:val="00EC792E"/>
    <w:rsid w:val="00EC796F"/>
    <w:rsid w:val="00EC7996"/>
    <w:rsid w:val="00EC79BC"/>
    <w:rsid w:val="00EC7A92"/>
    <w:rsid w:val="00EC7ABC"/>
    <w:rsid w:val="00EC7AF4"/>
    <w:rsid w:val="00EC7B05"/>
    <w:rsid w:val="00EC7B8D"/>
    <w:rsid w:val="00EC7BCA"/>
    <w:rsid w:val="00EC7BCD"/>
    <w:rsid w:val="00EC7C05"/>
    <w:rsid w:val="00EC7CC5"/>
    <w:rsid w:val="00EC7ED3"/>
    <w:rsid w:val="00EC7FDB"/>
    <w:rsid w:val="00EC7FF6"/>
    <w:rsid w:val="00ED017B"/>
    <w:rsid w:val="00ED01A4"/>
    <w:rsid w:val="00ED01BC"/>
    <w:rsid w:val="00ED0295"/>
    <w:rsid w:val="00ED02BE"/>
    <w:rsid w:val="00ED02D5"/>
    <w:rsid w:val="00ED02E7"/>
    <w:rsid w:val="00ED0307"/>
    <w:rsid w:val="00ED0331"/>
    <w:rsid w:val="00ED04E1"/>
    <w:rsid w:val="00ED053D"/>
    <w:rsid w:val="00ED058A"/>
    <w:rsid w:val="00ED06ED"/>
    <w:rsid w:val="00ED0839"/>
    <w:rsid w:val="00ED08AB"/>
    <w:rsid w:val="00ED08CA"/>
    <w:rsid w:val="00ED092C"/>
    <w:rsid w:val="00ED0A43"/>
    <w:rsid w:val="00ED0A9D"/>
    <w:rsid w:val="00ED0ADB"/>
    <w:rsid w:val="00ED0BB9"/>
    <w:rsid w:val="00ED0BD2"/>
    <w:rsid w:val="00ED0BEE"/>
    <w:rsid w:val="00ED0C3A"/>
    <w:rsid w:val="00ED0C6E"/>
    <w:rsid w:val="00ED0C9F"/>
    <w:rsid w:val="00ED0E6B"/>
    <w:rsid w:val="00ED1036"/>
    <w:rsid w:val="00ED109B"/>
    <w:rsid w:val="00ED109D"/>
    <w:rsid w:val="00ED10F2"/>
    <w:rsid w:val="00ED116C"/>
    <w:rsid w:val="00ED11C1"/>
    <w:rsid w:val="00ED11C2"/>
    <w:rsid w:val="00ED125C"/>
    <w:rsid w:val="00ED12AF"/>
    <w:rsid w:val="00ED12B0"/>
    <w:rsid w:val="00ED13D6"/>
    <w:rsid w:val="00ED145C"/>
    <w:rsid w:val="00ED14DC"/>
    <w:rsid w:val="00ED1517"/>
    <w:rsid w:val="00ED1519"/>
    <w:rsid w:val="00ED15E7"/>
    <w:rsid w:val="00ED160B"/>
    <w:rsid w:val="00ED1649"/>
    <w:rsid w:val="00ED1695"/>
    <w:rsid w:val="00ED1770"/>
    <w:rsid w:val="00ED18D0"/>
    <w:rsid w:val="00ED195D"/>
    <w:rsid w:val="00ED19CC"/>
    <w:rsid w:val="00ED19F4"/>
    <w:rsid w:val="00ED1B31"/>
    <w:rsid w:val="00ED1C51"/>
    <w:rsid w:val="00ED1E54"/>
    <w:rsid w:val="00ED1FB8"/>
    <w:rsid w:val="00ED204C"/>
    <w:rsid w:val="00ED2103"/>
    <w:rsid w:val="00ED2166"/>
    <w:rsid w:val="00ED2212"/>
    <w:rsid w:val="00ED2405"/>
    <w:rsid w:val="00ED241D"/>
    <w:rsid w:val="00ED2447"/>
    <w:rsid w:val="00ED24B7"/>
    <w:rsid w:val="00ED25F6"/>
    <w:rsid w:val="00ED260A"/>
    <w:rsid w:val="00ED261A"/>
    <w:rsid w:val="00ED273B"/>
    <w:rsid w:val="00ED2858"/>
    <w:rsid w:val="00ED2871"/>
    <w:rsid w:val="00ED2873"/>
    <w:rsid w:val="00ED297E"/>
    <w:rsid w:val="00ED29BD"/>
    <w:rsid w:val="00ED29D5"/>
    <w:rsid w:val="00ED2AD2"/>
    <w:rsid w:val="00ED2B84"/>
    <w:rsid w:val="00ED2BAD"/>
    <w:rsid w:val="00ED2BB8"/>
    <w:rsid w:val="00ED2BBA"/>
    <w:rsid w:val="00ED2C00"/>
    <w:rsid w:val="00ED2C04"/>
    <w:rsid w:val="00ED2CD9"/>
    <w:rsid w:val="00ED2D90"/>
    <w:rsid w:val="00ED2DE2"/>
    <w:rsid w:val="00ED2E58"/>
    <w:rsid w:val="00ED2F70"/>
    <w:rsid w:val="00ED30A1"/>
    <w:rsid w:val="00ED30B7"/>
    <w:rsid w:val="00ED30C9"/>
    <w:rsid w:val="00ED30F2"/>
    <w:rsid w:val="00ED3144"/>
    <w:rsid w:val="00ED31A8"/>
    <w:rsid w:val="00ED31AB"/>
    <w:rsid w:val="00ED31B3"/>
    <w:rsid w:val="00ED3201"/>
    <w:rsid w:val="00ED3248"/>
    <w:rsid w:val="00ED32C3"/>
    <w:rsid w:val="00ED32EB"/>
    <w:rsid w:val="00ED33BC"/>
    <w:rsid w:val="00ED35E4"/>
    <w:rsid w:val="00ED35E9"/>
    <w:rsid w:val="00ED3634"/>
    <w:rsid w:val="00ED368F"/>
    <w:rsid w:val="00ED36E8"/>
    <w:rsid w:val="00ED3788"/>
    <w:rsid w:val="00ED3865"/>
    <w:rsid w:val="00ED39DB"/>
    <w:rsid w:val="00ED39E4"/>
    <w:rsid w:val="00ED3A7D"/>
    <w:rsid w:val="00ED3B20"/>
    <w:rsid w:val="00ED3E59"/>
    <w:rsid w:val="00ED3E63"/>
    <w:rsid w:val="00ED3E72"/>
    <w:rsid w:val="00ED3EB6"/>
    <w:rsid w:val="00ED3F1E"/>
    <w:rsid w:val="00ED423A"/>
    <w:rsid w:val="00ED42C7"/>
    <w:rsid w:val="00ED4556"/>
    <w:rsid w:val="00ED46BE"/>
    <w:rsid w:val="00ED46C3"/>
    <w:rsid w:val="00ED477C"/>
    <w:rsid w:val="00ED47D3"/>
    <w:rsid w:val="00ED4849"/>
    <w:rsid w:val="00ED485D"/>
    <w:rsid w:val="00ED4897"/>
    <w:rsid w:val="00ED48FE"/>
    <w:rsid w:val="00ED4941"/>
    <w:rsid w:val="00ED4985"/>
    <w:rsid w:val="00ED4A0E"/>
    <w:rsid w:val="00ED4A23"/>
    <w:rsid w:val="00ED4ACF"/>
    <w:rsid w:val="00ED4C3B"/>
    <w:rsid w:val="00ED4C66"/>
    <w:rsid w:val="00ED4F70"/>
    <w:rsid w:val="00ED4FC3"/>
    <w:rsid w:val="00ED5050"/>
    <w:rsid w:val="00ED50C0"/>
    <w:rsid w:val="00ED51CC"/>
    <w:rsid w:val="00ED5205"/>
    <w:rsid w:val="00ED5326"/>
    <w:rsid w:val="00ED5521"/>
    <w:rsid w:val="00ED5536"/>
    <w:rsid w:val="00ED5619"/>
    <w:rsid w:val="00ED5621"/>
    <w:rsid w:val="00ED5634"/>
    <w:rsid w:val="00ED56D6"/>
    <w:rsid w:val="00ED56E6"/>
    <w:rsid w:val="00ED56F1"/>
    <w:rsid w:val="00ED58E5"/>
    <w:rsid w:val="00ED5912"/>
    <w:rsid w:val="00ED5A57"/>
    <w:rsid w:val="00ED5BDC"/>
    <w:rsid w:val="00ED5C72"/>
    <w:rsid w:val="00ED5CBD"/>
    <w:rsid w:val="00ED5CE8"/>
    <w:rsid w:val="00ED5E0A"/>
    <w:rsid w:val="00ED5E3C"/>
    <w:rsid w:val="00ED5EDA"/>
    <w:rsid w:val="00ED5EDE"/>
    <w:rsid w:val="00ED5F15"/>
    <w:rsid w:val="00ED5FC2"/>
    <w:rsid w:val="00ED5FCD"/>
    <w:rsid w:val="00ED6002"/>
    <w:rsid w:val="00ED6049"/>
    <w:rsid w:val="00ED6140"/>
    <w:rsid w:val="00ED6186"/>
    <w:rsid w:val="00ED6199"/>
    <w:rsid w:val="00ED61B9"/>
    <w:rsid w:val="00ED6214"/>
    <w:rsid w:val="00ED6319"/>
    <w:rsid w:val="00ED6380"/>
    <w:rsid w:val="00ED63A6"/>
    <w:rsid w:val="00ED6473"/>
    <w:rsid w:val="00ED6495"/>
    <w:rsid w:val="00ED6612"/>
    <w:rsid w:val="00ED664A"/>
    <w:rsid w:val="00ED67BB"/>
    <w:rsid w:val="00ED688A"/>
    <w:rsid w:val="00ED6950"/>
    <w:rsid w:val="00ED6A1B"/>
    <w:rsid w:val="00ED6CAA"/>
    <w:rsid w:val="00ED6CF5"/>
    <w:rsid w:val="00ED6D44"/>
    <w:rsid w:val="00ED6D4E"/>
    <w:rsid w:val="00ED6D6F"/>
    <w:rsid w:val="00ED6DF2"/>
    <w:rsid w:val="00ED6F28"/>
    <w:rsid w:val="00ED6FEB"/>
    <w:rsid w:val="00ED6FFB"/>
    <w:rsid w:val="00ED70AA"/>
    <w:rsid w:val="00ED7175"/>
    <w:rsid w:val="00ED728F"/>
    <w:rsid w:val="00ED72CB"/>
    <w:rsid w:val="00ED730B"/>
    <w:rsid w:val="00ED7463"/>
    <w:rsid w:val="00ED747E"/>
    <w:rsid w:val="00ED7499"/>
    <w:rsid w:val="00ED74F5"/>
    <w:rsid w:val="00ED7545"/>
    <w:rsid w:val="00ED759F"/>
    <w:rsid w:val="00ED7690"/>
    <w:rsid w:val="00ED7696"/>
    <w:rsid w:val="00ED7736"/>
    <w:rsid w:val="00ED777A"/>
    <w:rsid w:val="00ED77F9"/>
    <w:rsid w:val="00ED782B"/>
    <w:rsid w:val="00ED78C6"/>
    <w:rsid w:val="00ED79AE"/>
    <w:rsid w:val="00ED7A6B"/>
    <w:rsid w:val="00ED7B26"/>
    <w:rsid w:val="00ED7C25"/>
    <w:rsid w:val="00ED7D07"/>
    <w:rsid w:val="00ED7D2D"/>
    <w:rsid w:val="00ED7E0C"/>
    <w:rsid w:val="00ED7E8B"/>
    <w:rsid w:val="00EE0176"/>
    <w:rsid w:val="00EE01AA"/>
    <w:rsid w:val="00EE025F"/>
    <w:rsid w:val="00EE02ED"/>
    <w:rsid w:val="00EE0328"/>
    <w:rsid w:val="00EE033A"/>
    <w:rsid w:val="00EE0390"/>
    <w:rsid w:val="00EE0420"/>
    <w:rsid w:val="00EE0453"/>
    <w:rsid w:val="00EE069A"/>
    <w:rsid w:val="00EE0783"/>
    <w:rsid w:val="00EE083F"/>
    <w:rsid w:val="00EE0900"/>
    <w:rsid w:val="00EE09A7"/>
    <w:rsid w:val="00EE09F8"/>
    <w:rsid w:val="00EE0A3C"/>
    <w:rsid w:val="00EE0A5F"/>
    <w:rsid w:val="00EE0A72"/>
    <w:rsid w:val="00EE0AC9"/>
    <w:rsid w:val="00EE0D74"/>
    <w:rsid w:val="00EE0E28"/>
    <w:rsid w:val="00EE0E53"/>
    <w:rsid w:val="00EE0E68"/>
    <w:rsid w:val="00EE0F35"/>
    <w:rsid w:val="00EE0FA6"/>
    <w:rsid w:val="00EE0FE0"/>
    <w:rsid w:val="00EE11A0"/>
    <w:rsid w:val="00EE11AF"/>
    <w:rsid w:val="00EE1284"/>
    <w:rsid w:val="00EE12B8"/>
    <w:rsid w:val="00EE151F"/>
    <w:rsid w:val="00EE154A"/>
    <w:rsid w:val="00EE1602"/>
    <w:rsid w:val="00EE1640"/>
    <w:rsid w:val="00EE1645"/>
    <w:rsid w:val="00EE167E"/>
    <w:rsid w:val="00EE1714"/>
    <w:rsid w:val="00EE175F"/>
    <w:rsid w:val="00EE1806"/>
    <w:rsid w:val="00EE186C"/>
    <w:rsid w:val="00EE188B"/>
    <w:rsid w:val="00EE18E6"/>
    <w:rsid w:val="00EE19A5"/>
    <w:rsid w:val="00EE1A96"/>
    <w:rsid w:val="00EE1AA7"/>
    <w:rsid w:val="00EE1B09"/>
    <w:rsid w:val="00EE1B66"/>
    <w:rsid w:val="00EE1C1D"/>
    <w:rsid w:val="00EE1C9D"/>
    <w:rsid w:val="00EE1CAA"/>
    <w:rsid w:val="00EE1D69"/>
    <w:rsid w:val="00EE1EAD"/>
    <w:rsid w:val="00EE1EB5"/>
    <w:rsid w:val="00EE1ECB"/>
    <w:rsid w:val="00EE210A"/>
    <w:rsid w:val="00EE214F"/>
    <w:rsid w:val="00EE2184"/>
    <w:rsid w:val="00EE22A8"/>
    <w:rsid w:val="00EE2312"/>
    <w:rsid w:val="00EE2325"/>
    <w:rsid w:val="00EE23CF"/>
    <w:rsid w:val="00EE23E7"/>
    <w:rsid w:val="00EE23FB"/>
    <w:rsid w:val="00EE249E"/>
    <w:rsid w:val="00EE24A4"/>
    <w:rsid w:val="00EE2522"/>
    <w:rsid w:val="00EE26D8"/>
    <w:rsid w:val="00EE2700"/>
    <w:rsid w:val="00EE2753"/>
    <w:rsid w:val="00EE277C"/>
    <w:rsid w:val="00EE27BE"/>
    <w:rsid w:val="00EE27CF"/>
    <w:rsid w:val="00EE27ED"/>
    <w:rsid w:val="00EE284E"/>
    <w:rsid w:val="00EE2878"/>
    <w:rsid w:val="00EE2947"/>
    <w:rsid w:val="00EE294F"/>
    <w:rsid w:val="00EE2B37"/>
    <w:rsid w:val="00EE2BA7"/>
    <w:rsid w:val="00EE2CE6"/>
    <w:rsid w:val="00EE2CFB"/>
    <w:rsid w:val="00EE2D04"/>
    <w:rsid w:val="00EE2D63"/>
    <w:rsid w:val="00EE2EA0"/>
    <w:rsid w:val="00EE2EF1"/>
    <w:rsid w:val="00EE2F31"/>
    <w:rsid w:val="00EE2F3B"/>
    <w:rsid w:val="00EE2F73"/>
    <w:rsid w:val="00EE304F"/>
    <w:rsid w:val="00EE3176"/>
    <w:rsid w:val="00EE31E4"/>
    <w:rsid w:val="00EE3308"/>
    <w:rsid w:val="00EE3543"/>
    <w:rsid w:val="00EE3620"/>
    <w:rsid w:val="00EE366D"/>
    <w:rsid w:val="00EE36A3"/>
    <w:rsid w:val="00EE36FE"/>
    <w:rsid w:val="00EE37EA"/>
    <w:rsid w:val="00EE3804"/>
    <w:rsid w:val="00EE39C4"/>
    <w:rsid w:val="00EE3A74"/>
    <w:rsid w:val="00EE3AAD"/>
    <w:rsid w:val="00EE3AE3"/>
    <w:rsid w:val="00EE3B3B"/>
    <w:rsid w:val="00EE3C04"/>
    <w:rsid w:val="00EE3C18"/>
    <w:rsid w:val="00EE3C8B"/>
    <w:rsid w:val="00EE3CBE"/>
    <w:rsid w:val="00EE3DCD"/>
    <w:rsid w:val="00EE3E2E"/>
    <w:rsid w:val="00EE3E45"/>
    <w:rsid w:val="00EE3F35"/>
    <w:rsid w:val="00EE3F91"/>
    <w:rsid w:val="00EE3FA6"/>
    <w:rsid w:val="00EE3FF1"/>
    <w:rsid w:val="00EE406D"/>
    <w:rsid w:val="00EE408B"/>
    <w:rsid w:val="00EE41A1"/>
    <w:rsid w:val="00EE4291"/>
    <w:rsid w:val="00EE4354"/>
    <w:rsid w:val="00EE435C"/>
    <w:rsid w:val="00EE43AB"/>
    <w:rsid w:val="00EE4497"/>
    <w:rsid w:val="00EE44BC"/>
    <w:rsid w:val="00EE44F2"/>
    <w:rsid w:val="00EE44FE"/>
    <w:rsid w:val="00EE4637"/>
    <w:rsid w:val="00EE4678"/>
    <w:rsid w:val="00EE477D"/>
    <w:rsid w:val="00EE4879"/>
    <w:rsid w:val="00EE4899"/>
    <w:rsid w:val="00EE48F9"/>
    <w:rsid w:val="00EE49A0"/>
    <w:rsid w:val="00EE49DA"/>
    <w:rsid w:val="00EE4A60"/>
    <w:rsid w:val="00EE4AB9"/>
    <w:rsid w:val="00EE4AF7"/>
    <w:rsid w:val="00EE4B7A"/>
    <w:rsid w:val="00EE4BA2"/>
    <w:rsid w:val="00EE4C03"/>
    <w:rsid w:val="00EE4DA7"/>
    <w:rsid w:val="00EE4DC7"/>
    <w:rsid w:val="00EE4E85"/>
    <w:rsid w:val="00EE4E9C"/>
    <w:rsid w:val="00EE4FF7"/>
    <w:rsid w:val="00EE51E9"/>
    <w:rsid w:val="00EE520A"/>
    <w:rsid w:val="00EE52E8"/>
    <w:rsid w:val="00EE53BC"/>
    <w:rsid w:val="00EE5405"/>
    <w:rsid w:val="00EE557D"/>
    <w:rsid w:val="00EE55D0"/>
    <w:rsid w:val="00EE55DE"/>
    <w:rsid w:val="00EE5611"/>
    <w:rsid w:val="00EE56D1"/>
    <w:rsid w:val="00EE56F0"/>
    <w:rsid w:val="00EE56FD"/>
    <w:rsid w:val="00EE5861"/>
    <w:rsid w:val="00EE58B1"/>
    <w:rsid w:val="00EE5945"/>
    <w:rsid w:val="00EE59C9"/>
    <w:rsid w:val="00EE5A05"/>
    <w:rsid w:val="00EE5A7A"/>
    <w:rsid w:val="00EE5BC4"/>
    <w:rsid w:val="00EE5BC6"/>
    <w:rsid w:val="00EE5C28"/>
    <w:rsid w:val="00EE5DC9"/>
    <w:rsid w:val="00EE5E98"/>
    <w:rsid w:val="00EE5F12"/>
    <w:rsid w:val="00EE5F7E"/>
    <w:rsid w:val="00EE5FE3"/>
    <w:rsid w:val="00EE5FE5"/>
    <w:rsid w:val="00EE60B1"/>
    <w:rsid w:val="00EE60FE"/>
    <w:rsid w:val="00EE60FF"/>
    <w:rsid w:val="00EE628A"/>
    <w:rsid w:val="00EE64D5"/>
    <w:rsid w:val="00EE6536"/>
    <w:rsid w:val="00EE661D"/>
    <w:rsid w:val="00EE6768"/>
    <w:rsid w:val="00EE67C8"/>
    <w:rsid w:val="00EE681D"/>
    <w:rsid w:val="00EE68F9"/>
    <w:rsid w:val="00EE695E"/>
    <w:rsid w:val="00EE69BD"/>
    <w:rsid w:val="00EE69E5"/>
    <w:rsid w:val="00EE69F9"/>
    <w:rsid w:val="00EE6AE8"/>
    <w:rsid w:val="00EE6B12"/>
    <w:rsid w:val="00EE6D56"/>
    <w:rsid w:val="00EE6DC6"/>
    <w:rsid w:val="00EE6E0A"/>
    <w:rsid w:val="00EE6EC2"/>
    <w:rsid w:val="00EE6F0D"/>
    <w:rsid w:val="00EE6F22"/>
    <w:rsid w:val="00EE7054"/>
    <w:rsid w:val="00EE708E"/>
    <w:rsid w:val="00EE70BB"/>
    <w:rsid w:val="00EE70F1"/>
    <w:rsid w:val="00EE7113"/>
    <w:rsid w:val="00EE7177"/>
    <w:rsid w:val="00EE7238"/>
    <w:rsid w:val="00EE723B"/>
    <w:rsid w:val="00EE723E"/>
    <w:rsid w:val="00EE728F"/>
    <w:rsid w:val="00EE7334"/>
    <w:rsid w:val="00EE74EC"/>
    <w:rsid w:val="00EE756E"/>
    <w:rsid w:val="00EE757D"/>
    <w:rsid w:val="00EE7698"/>
    <w:rsid w:val="00EE7721"/>
    <w:rsid w:val="00EE7734"/>
    <w:rsid w:val="00EE77B4"/>
    <w:rsid w:val="00EE77DA"/>
    <w:rsid w:val="00EE77E2"/>
    <w:rsid w:val="00EE7843"/>
    <w:rsid w:val="00EE7897"/>
    <w:rsid w:val="00EE796D"/>
    <w:rsid w:val="00EE7AC7"/>
    <w:rsid w:val="00EE7BEF"/>
    <w:rsid w:val="00EE7BF1"/>
    <w:rsid w:val="00EE7C6F"/>
    <w:rsid w:val="00EE7CC3"/>
    <w:rsid w:val="00EE7DF2"/>
    <w:rsid w:val="00EE7EA3"/>
    <w:rsid w:val="00EE7F5D"/>
    <w:rsid w:val="00EE7FBE"/>
    <w:rsid w:val="00EF0078"/>
    <w:rsid w:val="00EF01A4"/>
    <w:rsid w:val="00EF026E"/>
    <w:rsid w:val="00EF0274"/>
    <w:rsid w:val="00EF02BE"/>
    <w:rsid w:val="00EF02D7"/>
    <w:rsid w:val="00EF02F5"/>
    <w:rsid w:val="00EF039A"/>
    <w:rsid w:val="00EF043C"/>
    <w:rsid w:val="00EF044F"/>
    <w:rsid w:val="00EF04C5"/>
    <w:rsid w:val="00EF0522"/>
    <w:rsid w:val="00EF0695"/>
    <w:rsid w:val="00EF069D"/>
    <w:rsid w:val="00EF07D3"/>
    <w:rsid w:val="00EF097D"/>
    <w:rsid w:val="00EF0C3A"/>
    <w:rsid w:val="00EF0C7A"/>
    <w:rsid w:val="00EF0C9F"/>
    <w:rsid w:val="00EF0DB0"/>
    <w:rsid w:val="00EF0E69"/>
    <w:rsid w:val="00EF0F5D"/>
    <w:rsid w:val="00EF1064"/>
    <w:rsid w:val="00EF10EA"/>
    <w:rsid w:val="00EF1275"/>
    <w:rsid w:val="00EF1289"/>
    <w:rsid w:val="00EF12A8"/>
    <w:rsid w:val="00EF12FE"/>
    <w:rsid w:val="00EF13D9"/>
    <w:rsid w:val="00EF13E4"/>
    <w:rsid w:val="00EF1401"/>
    <w:rsid w:val="00EF140D"/>
    <w:rsid w:val="00EF14D8"/>
    <w:rsid w:val="00EF1538"/>
    <w:rsid w:val="00EF15F7"/>
    <w:rsid w:val="00EF161A"/>
    <w:rsid w:val="00EF1648"/>
    <w:rsid w:val="00EF1674"/>
    <w:rsid w:val="00EF16EF"/>
    <w:rsid w:val="00EF1775"/>
    <w:rsid w:val="00EF19D6"/>
    <w:rsid w:val="00EF1A0B"/>
    <w:rsid w:val="00EF1A99"/>
    <w:rsid w:val="00EF1BA0"/>
    <w:rsid w:val="00EF1BA7"/>
    <w:rsid w:val="00EF1C22"/>
    <w:rsid w:val="00EF1C91"/>
    <w:rsid w:val="00EF1CA7"/>
    <w:rsid w:val="00EF1DC8"/>
    <w:rsid w:val="00EF1DDE"/>
    <w:rsid w:val="00EF1DEA"/>
    <w:rsid w:val="00EF1F0A"/>
    <w:rsid w:val="00EF1F0E"/>
    <w:rsid w:val="00EF1F2C"/>
    <w:rsid w:val="00EF1F62"/>
    <w:rsid w:val="00EF1F64"/>
    <w:rsid w:val="00EF1F75"/>
    <w:rsid w:val="00EF1F81"/>
    <w:rsid w:val="00EF1FAA"/>
    <w:rsid w:val="00EF1FE1"/>
    <w:rsid w:val="00EF204D"/>
    <w:rsid w:val="00EF2092"/>
    <w:rsid w:val="00EF2118"/>
    <w:rsid w:val="00EF219A"/>
    <w:rsid w:val="00EF21F5"/>
    <w:rsid w:val="00EF22C0"/>
    <w:rsid w:val="00EF2396"/>
    <w:rsid w:val="00EF23C2"/>
    <w:rsid w:val="00EF24EB"/>
    <w:rsid w:val="00EF25CB"/>
    <w:rsid w:val="00EF2690"/>
    <w:rsid w:val="00EF272E"/>
    <w:rsid w:val="00EF2787"/>
    <w:rsid w:val="00EF27DC"/>
    <w:rsid w:val="00EF27EB"/>
    <w:rsid w:val="00EF284B"/>
    <w:rsid w:val="00EF2855"/>
    <w:rsid w:val="00EF29AB"/>
    <w:rsid w:val="00EF2A04"/>
    <w:rsid w:val="00EF2A35"/>
    <w:rsid w:val="00EF2B17"/>
    <w:rsid w:val="00EF2B33"/>
    <w:rsid w:val="00EF2B41"/>
    <w:rsid w:val="00EF2BA0"/>
    <w:rsid w:val="00EF2C46"/>
    <w:rsid w:val="00EF2C64"/>
    <w:rsid w:val="00EF2CE3"/>
    <w:rsid w:val="00EF2D33"/>
    <w:rsid w:val="00EF2DDC"/>
    <w:rsid w:val="00EF2DF2"/>
    <w:rsid w:val="00EF2F09"/>
    <w:rsid w:val="00EF2F2E"/>
    <w:rsid w:val="00EF3035"/>
    <w:rsid w:val="00EF307E"/>
    <w:rsid w:val="00EF30B4"/>
    <w:rsid w:val="00EF3131"/>
    <w:rsid w:val="00EF31E7"/>
    <w:rsid w:val="00EF3217"/>
    <w:rsid w:val="00EF322E"/>
    <w:rsid w:val="00EF3300"/>
    <w:rsid w:val="00EF33B8"/>
    <w:rsid w:val="00EF3576"/>
    <w:rsid w:val="00EF3613"/>
    <w:rsid w:val="00EF3774"/>
    <w:rsid w:val="00EF378B"/>
    <w:rsid w:val="00EF38C4"/>
    <w:rsid w:val="00EF3935"/>
    <w:rsid w:val="00EF39EE"/>
    <w:rsid w:val="00EF3A40"/>
    <w:rsid w:val="00EF3A80"/>
    <w:rsid w:val="00EF3AA7"/>
    <w:rsid w:val="00EF3BF8"/>
    <w:rsid w:val="00EF3CD8"/>
    <w:rsid w:val="00EF3E16"/>
    <w:rsid w:val="00EF3E9E"/>
    <w:rsid w:val="00EF3EBD"/>
    <w:rsid w:val="00EF3FE7"/>
    <w:rsid w:val="00EF4284"/>
    <w:rsid w:val="00EF456D"/>
    <w:rsid w:val="00EF4658"/>
    <w:rsid w:val="00EF4692"/>
    <w:rsid w:val="00EF46D7"/>
    <w:rsid w:val="00EF4712"/>
    <w:rsid w:val="00EF4782"/>
    <w:rsid w:val="00EF48D9"/>
    <w:rsid w:val="00EF4950"/>
    <w:rsid w:val="00EF49DC"/>
    <w:rsid w:val="00EF4A2B"/>
    <w:rsid w:val="00EF4A37"/>
    <w:rsid w:val="00EF4B9A"/>
    <w:rsid w:val="00EF4C29"/>
    <w:rsid w:val="00EF4C93"/>
    <w:rsid w:val="00EF4CA7"/>
    <w:rsid w:val="00EF4D70"/>
    <w:rsid w:val="00EF4D81"/>
    <w:rsid w:val="00EF4DA5"/>
    <w:rsid w:val="00EF4DD2"/>
    <w:rsid w:val="00EF4ED5"/>
    <w:rsid w:val="00EF4F32"/>
    <w:rsid w:val="00EF5015"/>
    <w:rsid w:val="00EF5115"/>
    <w:rsid w:val="00EF5155"/>
    <w:rsid w:val="00EF5239"/>
    <w:rsid w:val="00EF5358"/>
    <w:rsid w:val="00EF538D"/>
    <w:rsid w:val="00EF53DD"/>
    <w:rsid w:val="00EF5513"/>
    <w:rsid w:val="00EF551C"/>
    <w:rsid w:val="00EF5540"/>
    <w:rsid w:val="00EF560A"/>
    <w:rsid w:val="00EF59C4"/>
    <w:rsid w:val="00EF5A2E"/>
    <w:rsid w:val="00EF5A64"/>
    <w:rsid w:val="00EF5B41"/>
    <w:rsid w:val="00EF5B88"/>
    <w:rsid w:val="00EF5B95"/>
    <w:rsid w:val="00EF5D38"/>
    <w:rsid w:val="00EF5DBC"/>
    <w:rsid w:val="00EF5DD5"/>
    <w:rsid w:val="00EF5DF3"/>
    <w:rsid w:val="00EF5E56"/>
    <w:rsid w:val="00EF5E7F"/>
    <w:rsid w:val="00EF5EF4"/>
    <w:rsid w:val="00EF5F0E"/>
    <w:rsid w:val="00EF5F21"/>
    <w:rsid w:val="00EF5F33"/>
    <w:rsid w:val="00EF5F8D"/>
    <w:rsid w:val="00EF5F9E"/>
    <w:rsid w:val="00EF5FCF"/>
    <w:rsid w:val="00EF5FEB"/>
    <w:rsid w:val="00EF60A4"/>
    <w:rsid w:val="00EF60CF"/>
    <w:rsid w:val="00EF61B0"/>
    <w:rsid w:val="00EF6221"/>
    <w:rsid w:val="00EF6226"/>
    <w:rsid w:val="00EF6243"/>
    <w:rsid w:val="00EF63A9"/>
    <w:rsid w:val="00EF63B4"/>
    <w:rsid w:val="00EF63B7"/>
    <w:rsid w:val="00EF63BD"/>
    <w:rsid w:val="00EF6434"/>
    <w:rsid w:val="00EF6465"/>
    <w:rsid w:val="00EF6489"/>
    <w:rsid w:val="00EF6499"/>
    <w:rsid w:val="00EF649F"/>
    <w:rsid w:val="00EF64DA"/>
    <w:rsid w:val="00EF670F"/>
    <w:rsid w:val="00EF6779"/>
    <w:rsid w:val="00EF67ED"/>
    <w:rsid w:val="00EF6856"/>
    <w:rsid w:val="00EF69C4"/>
    <w:rsid w:val="00EF6A4B"/>
    <w:rsid w:val="00EF6A8A"/>
    <w:rsid w:val="00EF6B0E"/>
    <w:rsid w:val="00EF6C30"/>
    <w:rsid w:val="00EF6C4E"/>
    <w:rsid w:val="00EF6CA5"/>
    <w:rsid w:val="00EF6CD8"/>
    <w:rsid w:val="00EF6EA9"/>
    <w:rsid w:val="00EF6EDC"/>
    <w:rsid w:val="00EF6F09"/>
    <w:rsid w:val="00EF6F34"/>
    <w:rsid w:val="00EF6FC0"/>
    <w:rsid w:val="00EF7063"/>
    <w:rsid w:val="00EF706F"/>
    <w:rsid w:val="00EF7112"/>
    <w:rsid w:val="00EF7166"/>
    <w:rsid w:val="00EF7270"/>
    <w:rsid w:val="00EF751D"/>
    <w:rsid w:val="00EF7523"/>
    <w:rsid w:val="00EF768F"/>
    <w:rsid w:val="00EF76C6"/>
    <w:rsid w:val="00EF7963"/>
    <w:rsid w:val="00EF7975"/>
    <w:rsid w:val="00EF79A8"/>
    <w:rsid w:val="00EF79AF"/>
    <w:rsid w:val="00EF79D3"/>
    <w:rsid w:val="00EF7A51"/>
    <w:rsid w:val="00EF7C63"/>
    <w:rsid w:val="00EF7CC2"/>
    <w:rsid w:val="00EF7CD6"/>
    <w:rsid w:val="00EF7D6C"/>
    <w:rsid w:val="00EF7E25"/>
    <w:rsid w:val="00F00024"/>
    <w:rsid w:val="00F0004D"/>
    <w:rsid w:val="00F00188"/>
    <w:rsid w:val="00F00367"/>
    <w:rsid w:val="00F00414"/>
    <w:rsid w:val="00F00449"/>
    <w:rsid w:val="00F0050D"/>
    <w:rsid w:val="00F005FE"/>
    <w:rsid w:val="00F00651"/>
    <w:rsid w:val="00F006F4"/>
    <w:rsid w:val="00F00741"/>
    <w:rsid w:val="00F007A4"/>
    <w:rsid w:val="00F007C9"/>
    <w:rsid w:val="00F007E1"/>
    <w:rsid w:val="00F008BA"/>
    <w:rsid w:val="00F008CE"/>
    <w:rsid w:val="00F009BD"/>
    <w:rsid w:val="00F00A1A"/>
    <w:rsid w:val="00F00A4C"/>
    <w:rsid w:val="00F00B62"/>
    <w:rsid w:val="00F00C49"/>
    <w:rsid w:val="00F00C60"/>
    <w:rsid w:val="00F00C7B"/>
    <w:rsid w:val="00F00D74"/>
    <w:rsid w:val="00F00DA1"/>
    <w:rsid w:val="00F00DA5"/>
    <w:rsid w:val="00F00EF0"/>
    <w:rsid w:val="00F00F9D"/>
    <w:rsid w:val="00F00FC0"/>
    <w:rsid w:val="00F01001"/>
    <w:rsid w:val="00F010C9"/>
    <w:rsid w:val="00F01105"/>
    <w:rsid w:val="00F01194"/>
    <w:rsid w:val="00F011FF"/>
    <w:rsid w:val="00F01206"/>
    <w:rsid w:val="00F01233"/>
    <w:rsid w:val="00F01296"/>
    <w:rsid w:val="00F012C0"/>
    <w:rsid w:val="00F012CD"/>
    <w:rsid w:val="00F012D9"/>
    <w:rsid w:val="00F01316"/>
    <w:rsid w:val="00F013AD"/>
    <w:rsid w:val="00F013EA"/>
    <w:rsid w:val="00F0142A"/>
    <w:rsid w:val="00F0148E"/>
    <w:rsid w:val="00F014DC"/>
    <w:rsid w:val="00F01804"/>
    <w:rsid w:val="00F0189B"/>
    <w:rsid w:val="00F019B8"/>
    <w:rsid w:val="00F01AFB"/>
    <w:rsid w:val="00F01B3D"/>
    <w:rsid w:val="00F01D0A"/>
    <w:rsid w:val="00F01D4B"/>
    <w:rsid w:val="00F01E0D"/>
    <w:rsid w:val="00F01E15"/>
    <w:rsid w:val="00F01E2E"/>
    <w:rsid w:val="00F01E44"/>
    <w:rsid w:val="00F01EFB"/>
    <w:rsid w:val="00F01F75"/>
    <w:rsid w:val="00F01FEA"/>
    <w:rsid w:val="00F02182"/>
    <w:rsid w:val="00F0226B"/>
    <w:rsid w:val="00F02437"/>
    <w:rsid w:val="00F02441"/>
    <w:rsid w:val="00F02503"/>
    <w:rsid w:val="00F025A5"/>
    <w:rsid w:val="00F026F9"/>
    <w:rsid w:val="00F02726"/>
    <w:rsid w:val="00F02765"/>
    <w:rsid w:val="00F0279C"/>
    <w:rsid w:val="00F027CF"/>
    <w:rsid w:val="00F027ED"/>
    <w:rsid w:val="00F0298A"/>
    <w:rsid w:val="00F029C6"/>
    <w:rsid w:val="00F02A27"/>
    <w:rsid w:val="00F02A78"/>
    <w:rsid w:val="00F02A8B"/>
    <w:rsid w:val="00F02BCA"/>
    <w:rsid w:val="00F02C6E"/>
    <w:rsid w:val="00F02CED"/>
    <w:rsid w:val="00F02DA1"/>
    <w:rsid w:val="00F02DE9"/>
    <w:rsid w:val="00F02EF4"/>
    <w:rsid w:val="00F02F26"/>
    <w:rsid w:val="00F02F3D"/>
    <w:rsid w:val="00F03028"/>
    <w:rsid w:val="00F0303D"/>
    <w:rsid w:val="00F03081"/>
    <w:rsid w:val="00F030B4"/>
    <w:rsid w:val="00F030CA"/>
    <w:rsid w:val="00F030EF"/>
    <w:rsid w:val="00F03262"/>
    <w:rsid w:val="00F032A8"/>
    <w:rsid w:val="00F03342"/>
    <w:rsid w:val="00F034E9"/>
    <w:rsid w:val="00F0355A"/>
    <w:rsid w:val="00F03587"/>
    <w:rsid w:val="00F035A1"/>
    <w:rsid w:val="00F037BF"/>
    <w:rsid w:val="00F037DE"/>
    <w:rsid w:val="00F03829"/>
    <w:rsid w:val="00F038D3"/>
    <w:rsid w:val="00F03920"/>
    <w:rsid w:val="00F03CF9"/>
    <w:rsid w:val="00F03D2A"/>
    <w:rsid w:val="00F03D2D"/>
    <w:rsid w:val="00F03DE0"/>
    <w:rsid w:val="00F03E3A"/>
    <w:rsid w:val="00F03E51"/>
    <w:rsid w:val="00F03F79"/>
    <w:rsid w:val="00F040CA"/>
    <w:rsid w:val="00F0412C"/>
    <w:rsid w:val="00F041DF"/>
    <w:rsid w:val="00F0427C"/>
    <w:rsid w:val="00F04369"/>
    <w:rsid w:val="00F043AC"/>
    <w:rsid w:val="00F0449A"/>
    <w:rsid w:val="00F0449D"/>
    <w:rsid w:val="00F04500"/>
    <w:rsid w:val="00F0452A"/>
    <w:rsid w:val="00F045C7"/>
    <w:rsid w:val="00F04670"/>
    <w:rsid w:val="00F04813"/>
    <w:rsid w:val="00F04875"/>
    <w:rsid w:val="00F04965"/>
    <w:rsid w:val="00F04AEB"/>
    <w:rsid w:val="00F04AFE"/>
    <w:rsid w:val="00F04BE2"/>
    <w:rsid w:val="00F04C78"/>
    <w:rsid w:val="00F04D3D"/>
    <w:rsid w:val="00F04DF4"/>
    <w:rsid w:val="00F04E54"/>
    <w:rsid w:val="00F04EA2"/>
    <w:rsid w:val="00F04EAB"/>
    <w:rsid w:val="00F04EE2"/>
    <w:rsid w:val="00F04F3A"/>
    <w:rsid w:val="00F04F4C"/>
    <w:rsid w:val="00F04F63"/>
    <w:rsid w:val="00F04FE8"/>
    <w:rsid w:val="00F050F9"/>
    <w:rsid w:val="00F0510D"/>
    <w:rsid w:val="00F0520D"/>
    <w:rsid w:val="00F052B1"/>
    <w:rsid w:val="00F052B2"/>
    <w:rsid w:val="00F052D5"/>
    <w:rsid w:val="00F05522"/>
    <w:rsid w:val="00F05548"/>
    <w:rsid w:val="00F055FC"/>
    <w:rsid w:val="00F05666"/>
    <w:rsid w:val="00F05760"/>
    <w:rsid w:val="00F057D3"/>
    <w:rsid w:val="00F0596B"/>
    <w:rsid w:val="00F059E2"/>
    <w:rsid w:val="00F05D36"/>
    <w:rsid w:val="00F05D8F"/>
    <w:rsid w:val="00F05DB1"/>
    <w:rsid w:val="00F05DEE"/>
    <w:rsid w:val="00F05E22"/>
    <w:rsid w:val="00F05F0F"/>
    <w:rsid w:val="00F05F39"/>
    <w:rsid w:val="00F05FF0"/>
    <w:rsid w:val="00F0610D"/>
    <w:rsid w:val="00F06127"/>
    <w:rsid w:val="00F06136"/>
    <w:rsid w:val="00F06194"/>
    <w:rsid w:val="00F061A9"/>
    <w:rsid w:val="00F0627D"/>
    <w:rsid w:val="00F063B8"/>
    <w:rsid w:val="00F0647E"/>
    <w:rsid w:val="00F064D1"/>
    <w:rsid w:val="00F06557"/>
    <w:rsid w:val="00F06567"/>
    <w:rsid w:val="00F065A0"/>
    <w:rsid w:val="00F06618"/>
    <w:rsid w:val="00F06942"/>
    <w:rsid w:val="00F0695C"/>
    <w:rsid w:val="00F06A1A"/>
    <w:rsid w:val="00F06A44"/>
    <w:rsid w:val="00F06A59"/>
    <w:rsid w:val="00F06A5F"/>
    <w:rsid w:val="00F06B3A"/>
    <w:rsid w:val="00F06D39"/>
    <w:rsid w:val="00F07046"/>
    <w:rsid w:val="00F07125"/>
    <w:rsid w:val="00F07133"/>
    <w:rsid w:val="00F071AE"/>
    <w:rsid w:val="00F07272"/>
    <w:rsid w:val="00F072C6"/>
    <w:rsid w:val="00F0734C"/>
    <w:rsid w:val="00F073D7"/>
    <w:rsid w:val="00F073E0"/>
    <w:rsid w:val="00F07430"/>
    <w:rsid w:val="00F075D7"/>
    <w:rsid w:val="00F07675"/>
    <w:rsid w:val="00F076D9"/>
    <w:rsid w:val="00F077B4"/>
    <w:rsid w:val="00F07A9E"/>
    <w:rsid w:val="00F07D24"/>
    <w:rsid w:val="00F07D7C"/>
    <w:rsid w:val="00F07E9D"/>
    <w:rsid w:val="00F07F5A"/>
    <w:rsid w:val="00F07F8B"/>
    <w:rsid w:val="00F1016A"/>
    <w:rsid w:val="00F101CF"/>
    <w:rsid w:val="00F10237"/>
    <w:rsid w:val="00F1031F"/>
    <w:rsid w:val="00F10320"/>
    <w:rsid w:val="00F10448"/>
    <w:rsid w:val="00F104C2"/>
    <w:rsid w:val="00F105EC"/>
    <w:rsid w:val="00F10658"/>
    <w:rsid w:val="00F10683"/>
    <w:rsid w:val="00F10722"/>
    <w:rsid w:val="00F10766"/>
    <w:rsid w:val="00F108AB"/>
    <w:rsid w:val="00F108B7"/>
    <w:rsid w:val="00F10919"/>
    <w:rsid w:val="00F10B6A"/>
    <w:rsid w:val="00F10BC6"/>
    <w:rsid w:val="00F10C53"/>
    <w:rsid w:val="00F10C66"/>
    <w:rsid w:val="00F10D95"/>
    <w:rsid w:val="00F10E0B"/>
    <w:rsid w:val="00F1101D"/>
    <w:rsid w:val="00F11051"/>
    <w:rsid w:val="00F11125"/>
    <w:rsid w:val="00F1114F"/>
    <w:rsid w:val="00F11218"/>
    <w:rsid w:val="00F1124B"/>
    <w:rsid w:val="00F11636"/>
    <w:rsid w:val="00F11644"/>
    <w:rsid w:val="00F1171F"/>
    <w:rsid w:val="00F11721"/>
    <w:rsid w:val="00F117A2"/>
    <w:rsid w:val="00F11827"/>
    <w:rsid w:val="00F118AA"/>
    <w:rsid w:val="00F118C3"/>
    <w:rsid w:val="00F118DB"/>
    <w:rsid w:val="00F11900"/>
    <w:rsid w:val="00F11939"/>
    <w:rsid w:val="00F11945"/>
    <w:rsid w:val="00F1196A"/>
    <w:rsid w:val="00F11977"/>
    <w:rsid w:val="00F11995"/>
    <w:rsid w:val="00F11ACD"/>
    <w:rsid w:val="00F11BF9"/>
    <w:rsid w:val="00F11C23"/>
    <w:rsid w:val="00F11C55"/>
    <w:rsid w:val="00F11C9A"/>
    <w:rsid w:val="00F11E37"/>
    <w:rsid w:val="00F11E49"/>
    <w:rsid w:val="00F11EFA"/>
    <w:rsid w:val="00F11FF7"/>
    <w:rsid w:val="00F1205B"/>
    <w:rsid w:val="00F12141"/>
    <w:rsid w:val="00F1218C"/>
    <w:rsid w:val="00F121D7"/>
    <w:rsid w:val="00F1232A"/>
    <w:rsid w:val="00F123F1"/>
    <w:rsid w:val="00F1245B"/>
    <w:rsid w:val="00F124C1"/>
    <w:rsid w:val="00F12565"/>
    <w:rsid w:val="00F125A0"/>
    <w:rsid w:val="00F12624"/>
    <w:rsid w:val="00F126B2"/>
    <w:rsid w:val="00F1272F"/>
    <w:rsid w:val="00F12771"/>
    <w:rsid w:val="00F127D8"/>
    <w:rsid w:val="00F128A7"/>
    <w:rsid w:val="00F128DD"/>
    <w:rsid w:val="00F129A6"/>
    <w:rsid w:val="00F129BC"/>
    <w:rsid w:val="00F12A74"/>
    <w:rsid w:val="00F12AF9"/>
    <w:rsid w:val="00F12B8C"/>
    <w:rsid w:val="00F12B97"/>
    <w:rsid w:val="00F12B99"/>
    <w:rsid w:val="00F12CBC"/>
    <w:rsid w:val="00F12D2D"/>
    <w:rsid w:val="00F12D42"/>
    <w:rsid w:val="00F130BB"/>
    <w:rsid w:val="00F131DA"/>
    <w:rsid w:val="00F13211"/>
    <w:rsid w:val="00F13215"/>
    <w:rsid w:val="00F13224"/>
    <w:rsid w:val="00F1322D"/>
    <w:rsid w:val="00F132DC"/>
    <w:rsid w:val="00F13357"/>
    <w:rsid w:val="00F1342B"/>
    <w:rsid w:val="00F13438"/>
    <w:rsid w:val="00F1346E"/>
    <w:rsid w:val="00F1347A"/>
    <w:rsid w:val="00F136D6"/>
    <w:rsid w:val="00F1380A"/>
    <w:rsid w:val="00F13893"/>
    <w:rsid w:val="00F13A54"/>
    <w:rsid w:val="00F13A92"/>
    <w:rsid w:val="00F13B09"/>
    <w:rsid w:val="00F13B1A"/>
    <w:rsid w:val="00F13B9B"/>
    <w:rsid w:val="00F13BA0"/>
    <w:rsid w:val="00F13BCF"/>
    <w:rsid w:val="00F13C97"/>
    <w:rsid w:val="00F13CB9"/>
    <w:rsid w:val="00F13DFF"/>
    <w:rsid w:val="00F13E65"/>
    <w:rsid w:val="00F13EC7"/>
    <w:rsid w:val="00F13F31"/>
    <w:rsid w:val="00F13F60"/>
    <w:rsid w:val="00F13F64"/>
    <w:rsid w:val="00F13F69"/>
    <w:rsid w:val="00F13F80"/>
    <w:rsid w:val="00F13F95"/>
    <w:rsid w:val="00F13FED"/>
    <w:rsid w:val="00F14029"/>
    <w:rsid w:val="00F14071"/>
    <w:rsid w:val="00F141F1"/>
    <w:rsid w:val="00F14238"/>
    <w:rsid w:val="00F1428B"/>
    <w:rsid w:val="00F142CF"/>
    <w:rsid w:val="00F1435B"/>
    <w:rsid w:val="00F143BB"/>
    <w:rsid w:val="00F143BE"/>
    <w:rsid w:val="00F143CB"/>
    <w:rsid w:val="00F144AB"/>
    <w:rsid w:val="00F14501"/>
    <w:rsid w:val="00F14534"/>
    <w:rsid w:val="00F145FB"/>
    <w:rsid w:val="00F146CB"/>
    <w:rsid w:val="00F14736"/>
    <w:rsid w:val="00F1478B"/>
    <w:rsid w:val="00F149D8"/>
    <w:rsid w:val="00F14AF8"/>
    <w:rsid w:val="00F14BAF"/>
    <w:rsid w:val="00F14C38"/>
    <w:rsid w:val="00F14CA8"/>
    <w:rsid w:val="00F14E23"/>
    <w:rsid w:val="00F14EBD"/>
    <w:rsid w:val="00F15001"/>
    <w:rsid w:val="00F1503F"/>
    <w:rsid w:val="00F1506D"/>
    <w:rsid w:val="00F150CE"/>
    <w:rsid w:val="00F15137"/>
    <w:rsid w:val="00F15168"/>
    <w:rsid w:val="00F1519E"/>
    <w:rsid w:val="00F15362"/>
    <w:rsid w:val="00F153BE"/>
    <w:rsid w:val="00F153F6"/>
    <w:rsid w:val="00F15421"/>
    <w:rsid w:val="00F154BC"/>
    <w:rsid w:val="00F156AC"/>
    <w:rsid w:val="00F156B0"/>
    <w:rsid w:val="00F158DB"/>
    <w:rsid w:val="00F159B7"/>
    <w:rsid w:val="00F15AC8"/>
    <w:rsid w:val="00F15AF4"/>
    <w:rsid w:val="00F15B3A"/>
    <w:rsid w:val="00F15D36"/>
    <w:rsid w:val="00F15E9B"/>
    <w:rsid w:val="00F15F6C"/>
    <w:rsid w:val="00F15FCC"/>
    <w:rsid w:val="00F15FED"/>
    <w:rsid w:val="00F16070"/>
    <w:rsid w:val="00F16075"/>
    <w:rsid w:val="00F160A9"/>
    <w:rsid w:val="00F161FF"/>
    <w:rsid w:val="00F1624A"/>
    <w:rsid w:val="00F1633A"/>
    <w:rsid w:val="00F1637C"/>
    <w:rsid w:val="00F16398"/>
    <w:rsid w:val="00F16401"/>
    <w:rsid w:val="00F164D1"/>
    <w:rsid w:val="00F16512"/>
    <w:rsid w:val="00F165AA"/>
    <w:rsid w:val="00F16617"/>
    <w:rsid w:val="00F16641"/>
    <w:rsid w:val="00F16657"/>
    <w:rsid w:val="00F166B6"/>
    <w:rsid w:val="00F166CC"/>
    <w:rsid w:val="00F166E3"/>
    <w:rsid w:val="00F16743"/>
    <w:rsid w:val="00F1678F"/>
    <w:rsid w:val="00F16A0E"/>
    <w:rsid w:val="00F16BAF"/>
    <w:rsid w:val="00F16D7B"/>
    <w:rsid w:val="00F16E0B"/>
    <w:rsid w:val="00F16E0C"/>
    <w:rsid w:val="00F16FB6"/>
    <w:rsid w:val="00F170EA"/>
    <w:rsid w:val="00F170FA"/>
    <w:rsid w:val="00F17121"/>
    <w:rsid w:val="00F17189"/>
    <w:rsid w:val="00F172EE"/>
    <w:rsid w:val="00F174A7"/>
    <w:rsid w:val="00F175A0"/>
    <w:rsid w:val="00F175F8"/>
    <w:rsid w:val="00F17731"/>
    <w:rsid w:val="00F177BC"/>
    <w:rsid w:val="00F177EF"/>
    <w:rsid w:val="00F1783A"/>
    <w:rsid w:val="00F178E7"/>
    <w:rsid w:val="00F17906"/>
    <w:rsid w:val="00F179AF"/>
    <w:rsid w:val="00F17A7D"/>
    <w:rsid w:val="00F17AA6"/>
    <w:rsid w:val="00F17C24"/>
    <w:rsid w:val="00F17D4C"/>
    <w:rsid w:val="00F17DFA"/>
    <w:rsid w:val="00F17E2E"/>
    <w:rsid w:val="00F17EAB"/>
    <w:rsid w:val="00F17ECE"/>
    <w:rsid w:val="00F17F59"/>
    <w:rsid w:val="00F17F72"/>
    <w:rsid w:val="00F20076"/>
    <w:rsid w:val="00F201AE"/>
    <w:rsid w:val="00F2025E"/>
    <w:rsid w:val="00F20272"/>
    <w:rsid w:val="00F20281"/>
    <w:rsid w:val="00F202A6"/>
    <w:rsid w:val="00F2038A"/>
    <w:rsid w:val="00F203F6"/>
    <w:rsid w:val="00F203FE"/>
    <w:rsid w:val="00F20471"/>
    <w:rsid w:val="00F205B3"/>
    <w:rsid w:val="00F20747"/>
    <w:rsid w:val="00F2090C"/>
    <w:rsid w:val="00F20B22"/>
    <w:rsid w:val="00F20B2A"/>
    <w:rsid w:val="00F20C77"/>
    <w:rsid w:val="00F20CF3"/>
    <w:rsid w:val="00F20CFC"/>
    <w:rsid w:val="00F20E61"/>
    <w:rsid w:val="00F20EF8"/>
    <w:rsid w:val="00F20F8D"/>
    <w:rsid w:val="00F21033"/>
    <w:rsid w:val="00F21157"/>
    <w:rsid w:val="00F211F0"/>
    <w:rsid w:val="00F2122B"/>
    <w:rsid w:val="00F21230"/>
    <w:rsid w:val="00F212EA"/>
    <w:rsid w:val="00F212EF"/>
    <w:rsid w:val="00F2134C"/>
    <w:rsid w:val="00F2134E"/>
    <w:rsid w:val="00F213B1"/>
    <w:rsid w:val="00F2147F"/>
    <w:rsid w:val="00F21521"/>
    <w:rsid w:val="00F215C9"/>
    <w:rsid w:val="00F217B4"/>
    <w:rsid w:val="00F2180D"/>
    <w:rsid w:val="00F218B1"/>
    <w:rsid w:val="00F21982"/>
    <w:rsid w:val="00F21BE5"/>
    <w:rsid w:val="00F21C0F"/>
    <w:rsid w:val="00F21C2B"/>
    <w:rsid w:val="00F21C41"/>
    <w:rsid w:val="00F21CFC"/>
    <w:rsid w:val="00F21DA1"/>
    <w:rsid w:val="00F21E6D"/>
    <w:rsid w:val="00F21E74"/>
    <w:rsid w:val="00F21EEE"/>
    <w:rsid w:val="00F21F57"/>
    <w:rsid w:val="00F21F9C"/>
    <w:rsid w:val="00F2214B"/>
    <w:rsid w:val="00F22286"/>
    <w:rsid w:val="00F22316"/>
    <w:rsid w:val="00F224C7"/>
    <w:rsid w:val="00F2254C"/>
    <w:rsid w:val="00F22565"/>
    <w:rsid w:val="00F225CC"/>
    <w:rsid w:val="00F225ED"/>
    <w:rsid w:val="00F226CC"/>
    <w:rsid w:val="00F226F0"/>
    <w:rsid w:val="00F22722"/>
    <w:rsid w:val="00F2277C"/>
    <w:rsid w:val="00F22788"/>
    <w:rsid w:val="00F22983"/>
    <w:rsid w:val="00F2298A"/>
    <w:rsid w:val="00F22AC0"/>
    <w:rsid w:val="00F22C52"/>
    <w:rsid w:val="00F22F71"/>
    <w:rsid w:val="00F2300A"/>
    <w:rsid w:val="00F2312E"/>
    <w:rsid w:val="00F23141"/>
    <w:rsid w:val="00F23174"/>
    <w:rsid w:val="00F231A6"/>
    <w:rsid w:val="00F231D9"/>
    <w:rsid w:val="00F231E5"/>
    <w:rsid w:val="00F23317"/>
    <w:rsid w:val="00F2332A"/>
    <w:rsid w:val="00F23407"/>
    <w:rsid w:val="00F23479"/>
    <w:rsid w:val="00F234A9"/>
    <w:rsid w:val="00F235B1"/>
    <w:rsid w:val="00F236B3"/>
    <w:rsid w:val="00F236B4"/>
    <w:rsid w:val="00F237FE"/>
    <w:rsid w:val="00F23970"/>
    <w:rsid w:val="00F23A42"/>
    <w:rsid w:val="00F23A7F"/>
    <w:rsid w:val="00F23AE0"/>
    <w:rsid w:val="00F23AEA"/>
    <w:rsid w:val="00F23AFF"/>
    <w:rsid w:val="00F23BE7"/>
    <w:rsid w:val="00F23C01"/>
    <w:rsid w:val="00F23C80"/>
    <w:rsid w:val="00F23CDE"/>
    <w:rsid w:val="00F23D8A"/>
    <w:rsid w:val="00F23F38"/>
    <w:rsid w:val="00F23FA9"/>
    <w:rsid w:val="00F23FAB"/>
    <w:rsid w:val="00F24021"/>
    <w:rsid w:val="00F2419D"/>
    <w:rsid w:val="00F241A4"/>
    <w:rsid w:val="00F241D7"/>
    <w:rsid w:val="00F24268"/>
    <w:rsid w:val="00F242BD"/>
    <w:rsid w:val="00F242F5"/>
    <w:rsid w:val="00F2437D"/>
    <w:rsid w:val="00F243B2"/>
    <w:rsid w:val="00F24488"/>
    <w:rsid w:val="00F24577"/>
    <w:rsid w:val="00F24650"/>
    <w:rsid w:val="00F2465D"/>
    <w:rsid w:val="00F246B6"/>
    <w:rsid w:val="00F24875"/>
    <w:rsid w:val="00F248E2"/>
    <w:rsid w:val="00F24A57"/>
    <w:rsid w:val="00F24A5A"/>
    <w:rsid w:val="00F24B7A"/>
    <w:rsid w:val="00F24BB2"/>
    <w:rsid w:val="00F24C7C"/>
    <w:rsid w:val="00F24CFD"/>
    <w:rsid w:val="00F24D03"/>
    <w:rsid w:val="00F24DD4"/>
    <w:rsid w:val="00F24E54"/>
    <w:rsid w:val="00F24E7A"/>
    <w:rsid w:val="00F24EBA"/>
    <w:rsid w:val="00F24F0E"/>
    <w:rsid w:val="00F2505B"/>
    <w:rsid w:val="00F250B7"/>
    <w:rsid w:val="00F250CE"/>
    <w:rsid w:val="00F251DB"/>
    <w:rsid w:val="00F25261"/>
    <w:rsid w:val="00F25295"/>
    <w:rsid w:val="00F2529B"/>
    <w:rsid w:val="00F252C9"/>
    <w:rsid w:val="00F25545"/>
    <w:rsid w:val="00F255E3"/>
    <w:rsid w:val="00F258E6"/>
    <w:rsid w:val="00F259A3"/>
    <w:rsid w:val="00F25A07"/>
    <w:rsid w:val="00F25AD2"/>
    <w:rsid w:val="00F25AFD"/>
    <w:rsid w:val="00F25BA0"/>
    <w:rsid w:val="00F25C8B"/>
    <w:rsid w:val="00F25CA1"/>
    <w:rsid w:val="00F25CD9"/>
    <w:rsid w:val="00F25CDE"/>
    <w:rsid w:val="00F25D26"/>
    <w:rsid w:val="00F25E4B"/>
    <w:rsid w:val="00F25EBD"/>
    <w:rsid w:val="00F25F45"/>
    <w:rsid w:val="00F25FB7"/>
    <w:rsid w:val="00F26039"/>
    <w:rsid w:val="00F2620B"/>
    <w:rsid w:val="00F262F1"/>
    <w:rsid w:val="00F2639B"/>
    <w:rsid w:val="00F2643C"/>
    <w:rsid w:val="00F264B8"/>
    <w:rsid w:val="00F26639"/>
    <w:rsid w:val="00F267D9"/>
    <w:rsid w:val="00F267F0"/>
    <w:rsid w:val="00F268A2"/>
    <w:rsid w:val="00F268E3"/>
    <w:rsid w:val="00F269E9"/>
    <w:rsid w:val="00F26A57"/>
    <w:rsid w:val="00F26AF5"/>
    <w:rsid w:val="00F26B4E"/>
    <w:rsid w:val="00F26BCE"/>
    <w:rsid w:val="00F26CB0"/>
    <w:rsid w:val="00F26D80"/>
    <w:rsid w:val="00F26EE1"/>
    <w:rsid w:val="00F26F27"/>
    <w:rsid w:val="00F26F8A"/>
    <w:rsid w:val="00F27006"/>
    <w:rsid w:val="00F27031"/>
    <w:rsid w:val="00F27151"/>
    <w:rsid w:val="00F27162"/>
    <w:rsid w:val="00F2725C"/>
    <w:rsid w:val="00F27311"/>
    <w:rsid w:val="00F2733F"/>
    <w:rsid w:val="00F27582"/>
    <w:rsid w:val="00F275B1"/>
    <w:rsid w:val="00F27667"/>
    <w:rsid w:val="00F27681"/>
    <w:rsid w:val="00F277DA"/>
    <w:rsid w:val="00F277F6"/>
    <w:rsid w:val="00F27877"/>
    <w:rsid w:val="00F27887"/>
    <w:rsid w:val="00F278C9"/>
    <w:rsid w:val="00F27932"/>
    <w:rsid w:val="00F27B74"/>
    <w:rsid w:val="00F27C44"/>
    <w:rsid w:val="00F27CBF"/>
    <w:rsid w:val="00F27CF7"/>
    <w:rsid w:val="00F27D1F"/>
    <w:rsid w:val="00F27DCC"/>
    <w:rsid w:val="00F27E16"/>
    <w:rsid w:val="00F27F25"/>
    <w:rsid w:val="00F27F5B"/>
    <w:rsid w:val="00F2FDDD"/>
    <w:rsid w:val="00F30040"/>
    <w:rsid w:val="00F300B5"/>
    <w:rsid w:val="00F30193"/>
    <w:rsid w:val="00F30206"/>
    <w:rsid w:val="00F3037E"/>
    <w:rsid w:val="00F303B2"/>
    <w:rsid w:val="00F303B8"/>
    <w:rsid w:val="00F303B9"/>
    <w:rsid w:val="00F30500"/>
    <w:rsid w:val="00F3064D"/>
    <w:rsid w:val="00F307ED"/>
    <w:rsid w:val="00F3088A"/>
    <w:rsid w:val="00F309D2"/>
    <w:rsid w:val="00F30C08"/>
    <w:rsid w:val="00F30C42"/>
    <w:rsid w:val="00F30CEB"/>
    <w:rsid w:val="00F30D2E"/>
    <w:rsid w:val="00F30DE3"/>
    <w:rsid w:val="00F30F3B"/>
    <w:rsid w:val="00F3100A"/>
    <w:rsid w:val="00F310BB"/>
    <w:rsid w:val="00F310E9"/>
    <w:rsid w:val="00F31151"/>
    <w:rsid w:val="00F31370"/>
    <w:rsid w:val="00F313F9"/>
    <w:rsid w:val="00F3146C"/>
    <w:rsid w:val="00F315AD"/>
    <w:rsid w:val="00F315C9"/>
    <w:rsid w:val="00F31689"/>
    <w:rsid w:val="00F31759"/>
    <w:rsid w:val="00F31805"/>
    <w:rsid w:val="00F31848"/>
    <w:rsid w:val="00F3192A"/>
    <w:rsid w:val="00F3194D"/>
    <w:rsid w:val="00F31A2F"/>
    <w:rsid w:val="00F31A66"/>
    <w:rsid w:val="00F31A69"/>
    <w:rsid w:val="00F31AB2"/>
    <w:rsid w:val="00F31B39"/>
    <w:rsid w:val="00F31BB2"/>
    <w:rsid w:val="00F31BC6"/>
    <w:rsid w:val="00F31C4D"/>
    <w:rsid w:val="00F31C7D"/>
    <w:rsid w:val="00F31CBB"/>
    <w:rsid w:val="00F31D86"/>
    <w:rsid w:val="00F31E52"/>
    <w:rsid w:val="00F31F21"/>
    <w:rsid w:val="00F3200B"/>
    <w:rsid w:val="00F32016"/>
    <w:rsid w:val="00F3204B"/>
    <w:rsid w:val="00F32064"/>
    <w:rsid w:val="00F32235"/>
    <w:rsid w:val="00F32323"/>
    <w:rsid w:val="00F3239C"/>
    <w:rsid w:val="00F323A5"/>
    <w:rsid w:val="00F324C7"/>
    <w:rsid w:val="00F32552"/>
    <w:rsid w:val="00F32593"/>
    <w:rsid w:val="00F32641"/>
    <w:rsid w:val="00F3268E"/>
    <w:rsid w:val="00F326E1"/>
    <w:rsid w:val="00F32735"/>
    <w:rsid w:val="00F3278D"/>
    <w:rsid w:val="00F327C0"/>
    <w:rsid w:val="00F3286E"/>
    <w:rsid w:val="00F328CD"/>
    <w:rsid w:val="00F329B7"/>
    <w:rsid w:val="00F32AC0"/>
    <w:rsid w:val="00F32B23"/>
    <w:rsid w:val="00F32B49"/>
    <w:rsid w:val="00F32C34"/>
    <w:rsid w:val="00F32C9D"/>
    <w:rsid w:val="00F32D24"/>
    <w:rsid w:val="00F32D99"/>
    <w:rsid w:val="00F32DA1"/>
    <w:rsid w:val="00F32E87"/>
    <w:rsid w:val="00F32F44"/>
    <w:rsid w:val="00F32F56"/>
    <w:rsid w:val="00F32FA2"/>
    <w:rsid w:val="00F3309B"/>
    <w:rsid w:val="00F3317B"/>
    <w:rsid w:val="00F332D3"/>
    <w:rsid w:val="00F33373"/>
    <w:rsid w:val="00F3353B"/>
    <w:rsid w:val="00F33543"/>
    <w:rsid w:val="00F33592"/>
    <w:rsid w:val="00F335A1"/>
    <w:rsid w:val="00F3367B"/>
    <w:rsid w:val="00F337C1"/>
    <w:rsid w:val="00F33AC3"/>
    <w:rsid w:val="00F33C2A"/>
    <w:rsid w:val="00F33C43"/>
    <w:rsid w:val="00F33D5E"/>
    <w:rsid w:val="00F33D7C"/>
    <w:rsid w:val="00F340A2"/>
    <w:rsid w:val="00F3414E"/>
    <w:rsid w:val="00F34332"/>
    <w:rsid w:val="00F343F0"/>
    <w:rsid w:val="00F34401"/>
    <w:rsid w:val="00F34407"/>
    <w:rsid w:val="00F344B2"/>
    <w:rsid w:val="00F344BD"/>
    <w:rsid w:val="00F345B7"/>
    <w:rsid w:val="00F345CB"/>
    <w:rsid w:val="00F3464D"/>
    <w:rsid w:val="00F34658"/>
    <w:rsid w:val="00F34719"/>
    <w:rsid w:val="00F347E8"/>
    <w:rsid w:val="00F34914"/>
    <w:rsid w:val="00F34973"/>
    <w:rsid w:val="00F349DA"/>
    <w:rsid w:val="00F34AF5"/>
    <w:rsid w:val="00F34D4F"/>
    <w:rsid w:val="00F34DF9"/>
    <w:rsid w:val="00F34E27"/>
    <w:rsid w:val="00F34E37"/>
    <w:rsid w:val="00F34F7A"/>
    <w:rsid w:val="00F34F99"/>
    <w:rsid w:val="00F34FB3"/>
    <w:rsid w:val="00F3501F"/>
    <w:rsid w:val="00F350B2"/>
    <w:rsid w:val="00F350C9"/>
    <w:rsid w:val="00F350E1"/>
    <w:rsid w:val="00F350F8"/>
    <w:rsid w:val="00F35200"/>
    <w:rsid w:val="00F35294"/>
    <w:rsid w:val="00F352BB"/>
    <w:rsid w:val="00F353D6"/>
    <w:rsid w:val="00F35406"/>
    <w:rsid w:val="00F354DA"/>
    <w:rsid w:val="00F356E9"/>
    <w:rsid w:val="00F357D6"/>
    <w:rsid w:val="00F357D7"/>
    <w:rsid w:val="00F3591F"/>
    <w:rsid w:val="00F3598F"/>
    <w:rsid w:val="00F35A07"/>
    <w:rsid w:val="00F35A36"/>
    <w:rsid w:val="00F35B96"/>
    <w:rsid w:val="00F35BB2"/>
    <w:rsid w:val="00F35C66"/>
    <w:rsid w:val="00F35CF5"/>
    <w:rsid w:val="00F35D8A"/>
    <w:rsid w:val="00F35F5F"/>
    <w:rsid w:val="00F3601C"/>
    <w:rsid w:val="00F360EE"/>
    <w:rsid w:val="00F3612C"/>
    <w:rsid w:val="00F36154"/>
    <w:rsid w:val="00F36193"/>
    <w:rsid w:val="00F361CF"/>
    <w:rsid w:val="00F36332"/>
    <w:rsid w:val="00F363D0"/>
    <w:rsid w:val="00F36465"/>
    <w:rsid w:val="00F36494"/>
    <w:rsid w:val="00F36592"/>
    <w:rsid w:val="00F3659E"/>
    <w:rsid w:val="00F36741"/>
    <w:rsid w:val="00F368BD"/>
    <w:rsid w:val="00F36921"/>
    <w:rsid w:val="00F3694A"/>
    <w:rsid w:val="00F36970"/>
    <w:rsid w:val="00F36A5A"/>
    <w:rsid w:val="00F36ABE"/>
    <w:rsid w:val="00F36BD1"/>
    <w:rsid w:val="00F36BE0"/>
    <w:rsid w:val="00F36D4A"/>
    <w:rsid w:val="00F36DD8"/>
    <w:rsid w:val="00F36EB5"/>
    <w:rsid w:val="00F36EC8"/>
    <w:rsid w:val="00F36F03"/>
    <w:rsid w:val="00F36F69"/>
    <w:rsid w:val="00F36FCA"/>
    <w:rsid w:val="00F37061"/>
    <w:rsid w:val="00F370A1"/>
    <w:rsid w:val="00F37120"/>
    <w:rsid w:val="00F37312"/>
    <w:rsid w:val="00F374E8"/>
    <w:rsid w:val="00F374EB"/>
    <w:rsid w:val="00F37567"/>
    <w:rsid w:val="00F3759B"/>
    <w:rsid w:val="00F375AB"/>
    <w:rsid w:val="00F37629"/>
    <w:rsid w:val="00F376B9"/>
    <w:rsid w:val="00F37766"/>
    <w:rsid w:val="00F377A2"/>
    <w:rsid w:val="00F3794F"/>
    <w:rsid w:val="00F379EA"/>
    <w:rsid w:val="00F37A73"/>
    <w:rsid w:val="00F37AFA"/>
    <w:rsid w:val="00F37B56"/>
    <w:rsid w:val="00F37BD5"/>
    <w:rsid w:val="00F37C5B"/>
    <w:rsid w:val="00F37D0B"/>
    <w:rsid w:val="00F37D17"/>
    <w:rsid w:val="00F37E4D"/>
    <w:rsid w:val="00F37F0D"/>
    <w:rsid w:val="00F37F94"/>
    <w:rsid w:val="00F40019"/>
    <w:rsid w:val="00F400AE"/>
    <w:rsid w:val="00F401DA"/>
    <w:rsid w:val="00F401F5"/>
    <w:rsid w:val="00F40217"/>
    <w:rsid w:val="00F402B1"/>
    <w:rsid w:val="00F40375"/>
    <w:rsid w:val="00F40401"/>
    <w:rsid w:val="00F4046F"/>
    <w:rsid w:val="00F404CB"/>
    <w:rsid w:val="00F40521"/>
    <w:rsid w:val="00F405A0"/>
    <w:rsid w:val="00F405B8"/>
    <w:rsid w:val="00F408A3"/>
    <w:rsid w:val="00F408F9"/>
    <w:rsid w:val="00F409D3"/>
    <w:rsid w:val="00F40A78"/>
    <w:rsid w:val="00F40A84"/>
    <w:rsid w:val="00F40B5E"/>
    <w:rsid w:val="00F40B9C"/>
    <w:rsid w:val="00F40BAA"/>
    <w:rsid w:val="00F40D33"/>
    <w:rsid w:val="00F40D89"/>
    <w:rsid w:val="00F40D92"/>
    <w:rsid w:val="00F40E60"/>
    <w:rsid w:val="00F41003"/>
    <w:rsid w:val="00F41027"/>
    <w:rsid w:val="00F41050"/>
    <w:rsid w:val="00F41184"/>
    <w:rsid w:val="00F4129B"/>
    <w:rsid w:val="00F412D1"/>
    <w:rsid w:val="00F41367"/>
    <w:rsid w:val="00F413A2"/>
    <w:rsid w:val="00F413A3"/>
    <w:rsid w:val="00F413B7"/>
    <w:rsid w:val="00F41478"/>
    <w:rsid w:val="00F415B0"/>
    <w:rsid w:val="00F415B7"/>
    <w:rsid w:val="00F41618"/>
    <w:rsid w:val="00F416CB"/>
    <w:rsid w:val="00F416E0"/>
    <w:rsid w:val="00F41738"/>
    <w:rsid w:val="00F41744"/>
    <w:rsid w:val="00F41998"/>
    <w:rsid w:val="00F41A38"/>
    <w:rsid w:val="00F41AD3"/>
    <w:rsid w:val="00F41B24"/>
    <w:rsid w:val="00F41B75"/>
    <w:rsid w:val="00F41C13"/>
    <w:rsid w:val="00F41C1E"/>
    <w:rsid w:val="00F41C67"/>
    <w:rsid w:val="00F41C8B"/>
    <w:rsid w:val="00F41CD2"/>
    <w:rsid w:val="00F41D97"/>
    <w:rsid w:val="00F41E38"/>
    <w:rsid w:val="00F41E87"/>
    <w:rsid w:val="00F42014"/>
    <w:rsid w:val="00F42081"/>
    <w:rsid w:val="00F4208F"/>
    <w:rsid w:val="00F421D5"/>
    <w:rsid w:val="00F42209"/>
    <w:rsid w:val="00F42228"/>
    <w:rsid w:val="00F4238D"/>
    <w:rsid w:val="00F42551"/>
    <w:rsid w:val="00F42681"/>
    <w:rsid w:val="00F427CE"/>
    <w:rsid w:val="00F428B9"/>
    <w:rsid w:val="00F42A4A"/>
    <w:rsid w:val="00F42EED"/>
    <w:rsid w:val="00F42F51"/>
    <w:rsid w:val="00F42FFF"/>
    <w:rsid w:val="00F4303D"/>
    <w:rsid w:val="00F4314A"/>
    <w:rsid w:val="00F43271"/>
    <w:rsid w:val="00F43558"/>
    <w:rsid w:val="00F43576"/>
    <w:rsid w:val="00F43579"/>
    <w:rsid w:val="00F437A4"/>
    <w:rsid w:val="00F437BB"/>
    <w:rsid w:val="00F43869"/>
    <w:rsid w:val="00F438C6"/>
    <w:rsid w:val="00F438F3"/>
    <w:rsid w:val="00F4392D"/>
    <w:rsid w:val="00F439CF"/>
    <w:rsid w:val="00F43A73"/>
    <w:rsid w:val="00F43AFF"/>
    <w:rsid w:val="00F43B16"/>
    <w:rsid w:val="00F43B73"/>
    <w:rsid w:val="00F43BB4"/>
    <w:rsid w:val="00F43C09"/>
    <w:rsid w:val="00F43D39"/>
    <w:rsid w:val="00F43D3A"/>
    <w:rsid w:val="00F43D4F"/>
    <w:rsid w:val="00F43DC2"/>
    <w:rsid w:val="00F43F9C"/>
    <w:rsid w:val="00F44023"/>
    <w:rsid w:val="00F4409E"/>
    <w:rsid w:val="00F440EE"/>
    <w:rsid w:val="00F441A8"/>
    <w:rsid w:val="00F441C4"/>
    <w:rsid w:val="00F44208"/>
    <w:rsid w:val="00F442D9"/>
    <w:rsid w:val="00F44311"/>
    <w:rsid w:val="00F44332"/>
    <w:rsid w:val="00F44353"/>
    <w:rsid w:val="00F44373"/>
    <w:rsid w:val="00F4470D"/>
    <w:rsid w:val="00F44726"/>
    <w:rsid w:val="00F44802"/>
    <w:rsid w:val="00F4483E"/>
    <w:rsid w:val="00F44988"/>
    <w:rsid w:val="00F449A3"/>
    <w:rsid w:val="00F449CA"/>
    <w:rsid w:val="00F44A2C"/>
    <w:rsid w:val="00F44A4C"/>
    <w:rsid w:val="00F44C24"/>
    <w:rsid w:val="00F44C8E"/>
    <w:rsid w:val="00F44CF5"/>
    <w:rsid w:val="00F44CFE"/>
    <w:rsid w:val="00F44D63"/>
    <w:rsid w:val="00F44E81"/>
    <w:rsid w:val="00F44FBE"/>
    <w:rsid w:val="00F44FD3"/>
    <w:rsid w:val="00F450D1"/>
    <w:rsid w:val="00F45107"/>
    <w:rsid w:val="00F45169"/>
    <w:rsid w:val="00F4519E"/>
    <w:rsid w:val="00F45236"/>
    <w:rsid w:val="00F452BA"/>
    <w:rsid w:val="00F452C4"/>
    <w:rsid w:val="00F452D0"/>
    <w:rsid w:val="00F452E3"/>
    <w:rsid w:val="00F45410"/>
    <w:rsid w:val="00F454EB"/>
    <w:rsid w:val="00F454EF"/>
    <w:rsid w:val="00F455CF"/>
    <w:rsid w:val="00F45607"/>
    <w:rsid w:val="00F45614"/>
    <w:rsid w:val="00F45708"/>
    <w:rsid w:val="00F458ED"/>
    <w:rsid w:val="00F45A6A"/>
    <w:rsid w:val="00F45A82"/>
    <w:rsid w:val="00F45C58"/>
    <w:rsid w:val="00F45C90"/>
    <w:rsid w:val="00F45CAE"/>
    <w:rsid w:val="00F45D2A"/>
    <w:rsid w:val="00F4606E"/>
    <w:rsid w:val="00F4608B"/>
    <w:rsid w:val="00F460F0"/>
    <w:rsid w:val="00F4625A"/>
    <w:rsid w:val="00F4640C"/>
    <w:rsid w:val="00F464D9"/>
    <w:rsid w:val="00F465A2"/>
    <w:rsid w:val="00F466D4"/>
    <w:rsid w:val="00F4671D"/>
    <w:rsid w:val="00F467A7"/>
    <w:rsid w:val="00F467E2"/>
    <w:rsid w:val="00F46839"/>
    <w:rsid w:val="00F468BC"/>
    <w:rsid w:val="00F469D7"/>
    <w:rsid w:val="00F46ABF"/>
    <w:rsid w:val="00F46B5E"/>
    <w:rsid w:val="00F46C2F"/>
    <w:rsid w:val="00F46C90"/>
    <w:rsid w:val="00F46CBF"/>
    <w:rsid w:val="00F46CF9"/>
    <w:rsid w:val="00F46D6C"/>
    <w:rsid w:val="00F46E86"/>
    <w:rsid w:val="00F46FC5"/>
    <w:rsid w:val="00F47060"/>
    <w:rsid w:val="00F4719A"/>
    <w:rsid w:val="00F47282"/>
    <w:rsid w:val="00F472D1"/>
    <w:rsid w:val="00F4730C"/>
    <w:rsid w:val="00F4733D"/>
    <w:rsid w:val="00F473F9"/>
    <w:rsid w:val="00F474AC"/>
    <w:rsid w:val="00F475BB"/>
    <w:rsid w:val="00F475E9"/>
    <w:rsid w:val="00F475F4"/>
    <w:rsid w:val="00F4760C"/>
    <w:rsid w:val="00F4763D"/>
    <w:rsid w:val="00F4764C"/>
    <w:rsid w:val="00F47A13"/>
    <w:rsid w:val="00F47A70"/>
    <w:rsid w:val="00F47AA1"/>
    <w:rsid w:val="00F47C28"/>
    <w:rsid w:val="00F47C65"/>
    <w:rsid w:val="00F47D12"/>
    <w:rsid w:val="00F47D76"/>
    <w:rsid w:val="00F47D78"/>
    <w:rsid w:val="00F47D8F"/>
    <w:rsid w:val="00F47DF1"/>
    <w:rsid w:val="00F47E0A"/>
    <w:rsid w:val="00F47E0C"/>
    <w:rsid w:val="00F47E9F"/>
    <w:rsid w:val="00F47FA6"/>
    <w:rsid w:val="00F47FF4"/>
    <w:rsid w:val="00F500D2"/>
    <w:rsid w:val="00F50202"/>
    <w:rsid w:val="00F5025D"/>
    <w:rsid w:val="00F502BD"/>
    <w:rsid w:val="00F502F6"/>
    <w:rsid w:val="00F50345"/>
    <w:rsid w:val="00F503F6"/>
    <w:rsid w:val="00F504FD"/>
    <w:rsid w:val="00F50755"/>
    <w:rsid w:val="00F50767"/>
    <w:rsid w:val="00F5087E"/>
    <w:rsid w:val="00F50959"/>
    <w:rsid w:val="00F50960"/>
    <w:rsid w:val="00F509D3"/>
    <w:rsid w:val="00F50A1C"/>
    <w:rsid w:val="00F50AF8"/>
    <w:rsid w:val="00F50B54"/>
    <w:rsid w:val="00F50BBB"/>
    <w:rsid w:val="00F50D44"/>
    <w:rsid w:val="00F50D98"/>
    <w:rsid w:val="00F50F5D"/>
    <w:rsid w:val="00F50F7E"/>
    <w:rsid w:val="00F50FDC"/>
    <w:rsid w:val="00F51027"/>
    <w:rsid w:val="00F510BA"/>
    <w:rsid w:val="00F5110B"/>
    <w:rsid w:val="00F512A9"/>
    <w:rsid w:val="00F51394"/>
    <w:rsid w:val="00F514C8"/>
    <w:rsid w:val="00F51506"/>
    <w:rsid w:val="00F51612"/>
    <w:rsid w:val="00F51692"/>
    <w:rsid w:val="00F516B7"/>
    <w:rsid w:val="00F516E1"/>
    <w:rsid w:val="00F51715"/>
    <w:rsid w:val="00F51733"/>
    <w:rsid w:val="00F517C0"/>
    <w:rsid w:val="00F5194A"/>
    <w:rsid w:val="00F51973"/>
    <w:rsid w:val="00F519AA"/>
    <w:rsid w:val="00F51A77"/>
    <w:rsid w:val="00F51B96"/>
    <w:rsid w:val="00F51DC3"/>
    <w:rsid w:val="00F51ECB"/>
    <w:rsid w:val="00F51EE6"/>
    <w:rsid w:val="00F5201B"/>
    <w:rsid w:val="00F52120"/>
    <w:rsid w:val="00F52437"/>
    <w:rsid w:val="00F52491"/>
    <w:rsid w:val="00F524C3"/>
    <w:rsid w:val="00F52541"/>
    <w:rsid w:val="00F525A1"/>
    <w:rsid w:val="00F526DE"/>
    <w:rsid w:val="00F526E9"/>
    <w:rsid w:val="00F5271B"/>
    <w:rsid w:val="00F527A9"/>
    <w:rsid w:val="00F527DC"/>
    <w:rsid w:val="00F527EF"/>
    <w:rsid w:val="00F5282B"/>
    <w:rsid w:val="00F52AB5"/>
    <w:rsid w:val="00F52BC0"/>
    <w:rsid w:val="00F52BDA"/>
    <w:rsid w:val="00F52C0B"/>
    <w:rsid w:val="00F52C14"/>
    <w:rsid w:val="00F52D26"/>
    <w:rsid w:val="00F52D39"/>
    <w:rsid w:val="00F52EA8"/>
    <w:rsid w:val="00F5302A"/>
    <w:rsid w:val="00F53066"/>
    <w:rsid w:val="00F530F4"/>
    <w:rsid w:val="00F530F8"/>
    <w:rsid w:val="00F53140"/>
    <w:rsid w:val="00F53273"/>
    <w:rsid w:val="00F532B0"/>
    <w:rsid w:val="00F532E0"/>
    <w:rsid w:val="00F5346A"/>
    <w:rsid w:val="00F5348F"/>
    <w:rsid w:val="00F534AD"/>
    <w:rsid w:val="00F534F9"/>
    <w:rsid w:val="00F53534"/>
    <w:rsid w:val="00F53551"/>
    <w:rsid w:val="00F53570"/>
    <w:rsid w:val="00F5359C"/>
    <w:rsid w:val="00F535D2"/>
    <w:rsid w:val="00F5381E"/>
    <w:rsid w:val="00F53898"/>
    <w:rsid w:val="00F538D8"/>
    <w:rsid w:val="00F5394F"/>
    <w:rsid w:val="00F539AD"/>
    <w:rsid w:val="00F539F1"/>
    <w:rsid w:val="00F53A3F"/>
    <w:rsid w:val="00F53A4D"/>
    <w:rsid w:val="00F53B48"/>
    <w:rsid w:val="00F53BBF"/>
    <w:rsid w:val="00F53C73"/>
    <w:rsid w:val="00F53C85"/>
    <w:rsid w:val="00F53D9C"/>
    <w:rsid w:val="00F53F28"/>
    <w:rsid w:val="00F53F9A"/>
    <w:rsid w:val="00F54039"/>
    <w:rsid w:val="00F540B2"/>
    <w:rsid w:val="00F54109"/>
    <w:rsid w:val="00F541C7"/>
    <w:rsid w:val="00F5436B"/>
    <w:rsid w:val="00F54466"/>
    <w:rsid w:val="00F544DF"/>
    <w:rsid w:val="00F5450F"/>
    <w:rsid w:val="00F54591"/>
    <w:rsid w:val="00F545F9"/>
    <w:rsid w:val="00F5466B"/>
    <w:rsid w:val="00F54858"/>
    <w:rsid w:val="00F548AA"/>
    <w:rsid w:val="00F54931"/>
    <w:rsid w:val="00F549A0"/>
    <w:rsid w:val="00F54B36"/>
    <w:rsid w:val="00F54BF2"/>
    <w:rsid w:val="00F54C6A"/>
    <w:rsid w:val="00F54D0B"/>
    <w:rsid w:val="00F54D75"/>
    <w:rsid w:val="00F54E34"/>
    <w:rsid w:val="00F54F29"/>
    <w:rsid w:val="00F54FBB"/>
    <w:rsid w:val="00F55063"/>
    <w:rsid w:val="00F5515E"/>
    <w:rsid w:val="00F551E6"/>
    <w:rsid w:val="00F55420"/>
    <w:rsid w:val="00F5546F"/>
    <w:rsid w:val="00F5554B"/>
    <w:rsid w:val="00F5565E"/>
    <w:rsid w:val="00F557CD"/>
    <w:rsid w:val="00F557E8"/>
    <w:rsid w:val="00F55858"/>
    <w:rsid w:val="00F55884"/>
    <w:rsid w:val="00F55910"/>
    <w:rsid w:val="00F55A84"/>
    <w:rsid w:val="00F55B11"/>
    <w:rsid w:val="00F55BEC"/>
    <w:rsid w:val="00F55E1C"/>
    <w:rsid w:val="00F55F49"/>
    <w:rsid w:val="00F55F88"/>
    <w:rsid w:val="00F55F93"/>
    <w:rsid w:val="00F55FB0"/>
    <w:rsid w:val="00F55FBB"/>
    <w:rsid w:val="00F55FBD"/>
    <w:rsid w:val="00F5601D"/>
    <w:rsid w:val="00F56063"/>
    <w:rsid w:val="00F56090"/>
    <w:rsid w:val="00F560CF"/>
    <w:rsid w:val="00F5610D"/>
    <w:rsid w:val="00F56198"/>
    <w:rsid w:val="00F5619C"/>
    <w:rsid w:val="00F5619D"/>
    <w:rsid w:val="00F561A0"/>
    <w:rsid w:val="00F561E2"/>
    <w:rsid w:val="00F56281"/>
    <w:rsid w:val="00F56312"/>
    <w:rsid w:val="00F56321"/>
    <w:rsid w:val="00F56348"/>
    <w:rsid w:val="00F56386"/>
    <w:rsid w:val="00F563CD"/>
    <w:rsid w:val="00F56788"/>
    <w:rsid w:val="00F567A1"/>
    <w:rsid w:val="00F56822"/>
    <w:rsid w:val="00F568AC"/>
    <w:rsid w:val="00F568CA"/>
    <w:rsid w:val="00F568F8"/>
    <w:rsid w:val="00F569FF"/>
    <w:rsid w:val="00F56A4F"/>
    <w:rsid w:val="00F56B48"/>
    <w:rsid w:val="00F56B8A"/>
    <w:rsid w:val="00F56C21"/>
    <w:rsid w:val="00F56C37"/>
    <w:rsid w:val="00F56CA6"/>
    <w:rsid w:val="00F56CD9"/>
    <w:rsid w:val="00F56D06"/>
    <w:rsid w:val="00F56D0C"/>
    <w:rsid w:val="00F56DB4"/>
    <w:rsid w:val="00F56DFA"/>
    <w:rsid w:val="00F56EC7"/>
    <w:rsid w:val="00F56F17"/>
    <w:rsid w:val="00F56FD7"/>
    <w:rsid w:val="00F57034"/>
    <w:rsid w:val="00F5703C"/>
    <w:rsid w:val="00F5706D"/>
    <w:rsid w:val="00F57094"/>
    <w:rsid w:val="00F570C7"/>
    <w:rsid w:val="00F571AD"/>
    <w:rsid w:val="00F57241"/>
    <w:rsid w:val="00F57262"/>
    <w:rsid w:val="00F572DD"/>
    <w:rsid w:val="00F572ED"/>
    <w:rsid w:val="00F57343"/>
    <w:rsid w:val="00F5734C"/>
    <w:rsid w:val="00F574C5"/>
    <w:rsid w:val="00F5758D"/>
    <w:rsid w:val="00F575BA"/>
    <w:rsid w:val="00F575CA"/>
    <w:rsid w:val="00F57731"/>
    <w:rsid w:val="00F57929"/>
    <w:rsid w:val="00F57992"/>
    <w:rsid w:val="00F57A77"/>
    <w:rsid w:val="00F57B17"/>
    <w:rsid w:val="00F57B34"/>
    <w:rsid w:val="00F57BED"/>
    <w:rsid w:val="00F57CA1"/>
    <w:rsid w:val="00F57DA4"/>
    <w:rsid w:val="00F57DAF"/>
    <w:rsid w:val="00F57E1E"/>
    <w:rsid w:val="00F57EA1"/>
    <w:rsid w:val="00F57EAA"/>
    <w:rsid w:val="00F57EAD"/>
    <w:rsid w:val="00F57EE9"/>
    <w:rsid w:val="00F57F04"/>
    <w:rsid w:val="00F57F2B"/>
    <w:rsid w:val="00F57F8A"/>
    <w:rsid w:val="00F6005C"/>
    <w:rsid w:val="00F600C8"/>
    <w:rsid w:val="00F601DE"/>
    <w:rsid w:val="00F60291"/>
    <w:rsid w:val="00F60325"/>
    <w:rsid w:val="00F6035E"/>
    <w:rsid w:val="00F6038A"/>
    <w:rsid w:val="00F603FF"/>
    <w:rsid w:val="00F605AA"/>
    <w:rsid w:val="00F605B5"/>
    <w:rsid w:val="00F6060F"/>
    <w:rsid w:val="00F6061D"/>
    <w:rsid w:val="00F60660"/>
    <w:rsid w:val="00F60688"/>
    <w:rsid w:val="00F606B5"/>
    <w:rsid w:val="00F6074E"/>
    <w:rsid w:val="00F607A7"/>
    <w:rsid w:val="00F60829"/>
    <w:rsid w:val="00F60897"/>
    <w:rsid w:val="00F6096F"/>
    <w:rsid w:val="00F60970"/>
    <w:rsid w:val="00F60A99"/>
    <w:rsid w:val="00F60B00"/>
    <w:rsid w:val="00F60B29"/>
    <w:rsid w:val="00F60BEC"/>
    <w:rsid w:val="00F60C6F"/>
    <w:rsid w:val="00F60D64"/>
    <w:rsid w:val="00F60D65"/>
    <w:rsid w:val="00F60D7B"/>
    <w:rsid w:val="00F60D82"/>
    <w:rsid w:val="00F60E59"/>
    <w:rsid w:val="00F60F9B"/>
    <w:rsid w:val="00F6113C"/>
    <w:rsid w:val="00F611C9"/>
    <w:rsid w:val="00F613B4"/>
    <w:rsid w:val="00F613CC"/>
    <w:rsid w:val="00F61404"/>
    <w:rsid w:val="00F61458"/>
    <w:rsid w:val="00F61559"/>
    <w:rsid w:val="00F61564"/>
    <w:rsid w:val="00F61625"/>
    <w:rsid w:val="00F6166E"/>
    <w:rsid w:val="00F616A2"/>
    <w:rsid w:val="00F61782"/>
    <w:rsid w:val="00F617DD"/>
    <w:rsid w:val="00F6190F"/>
    <w:rsid w:val="00F61940"/>
    <w:rsid w:val="00F61964"/>
    <w:rsid w:val="00F61A5F"/>
    <w:rsid w:val="00F61A93"/>
    <w:rsid w:val="00F61B81"/>
    <w:rsid w:val="00F61B8C"/>
    <w:rsid w:val="00F61C50"/>
    <w:rsid w:val="00F61D12"/>
    <w:rsid w:val="00F61DD2"/>
    <w:rsid w:val="00F61DF9"/>
    <w:rsid w:val="00F61E06"/>
    <w:rsid w:val="00F61F02"/>
    <w:rsid w:val="00F61F61"/>
    <w:rsid w:val="00F62149"/>
    <w:rsid w:val="00F6223A"/>
    <w:rsid w:val="00F62268"/>
    <w:rsid w:val="00F6229D"/>
    <w:rsid w:val="00F622A7"/>
    <w:rsid w:val="00F62309"/>
    <w:rsid w:val="00F6238B"/>
    <w:rsid w:val="00F62597"/>
    <w:rsid w:val="00F625EC"/>
    <w:rsid w:val="00F62705"/>
    <w:rsid w:val="00F627E1"/>
    <w:rsid w:val="00F628D3"/>
    <w:rsid w:val="00F6296E"/>
    <w:rsid w:val="00F629CF"/>
    <w:rsid w:val="00F62E2E"/>
    <w:rsid w:val="00F62EB2"/>
    <w:rsid w:val="00F630D1"/>
    <w:rsid w:val="00F63181"/>
    <w:rsid w:val="00F63254"/>
    <w:rsid w:val="00F632A8"/>
    <w:rsid w:val="00F633B5"/>
    <w:rsid w:val="00F633E8"/>
    <w:rsid w:val="00F63420"/>
    <w:rsid w:val="00F63525"/>
    <w:rsid w:val="00F63546"/>
    <w:rsid w:val="00F6357C"/>
    <w:rsid w:val="00F635BD"/>
    <w:rsid w:val="00F635EF"/>
    <w:rsid w:val="00F63697"/>
    <w:rsid w:val="00F6369D"/>
    <w:rsid w:val="00F636AB"/>
    <w:rsid w:val="00F636C0"/>
    <w:rsid w:val="00F636FA"/>
    <w:rsid w:val="00F636FC"/>
    <w:rsid w:val="00F63791"/>
    <w:rsid w:val="00F63815"/>
    <w:rsid w:val="00F63834"/>
    <w:rsid w:val="00F63845"/>
    <w:rsid w:val="00F6388B"/>
    <w:rsid w:val="00F639A6"/>
    <w:rsid w:val="00F63A1B"/>
    <w:rsid w:val="00F63B04"/>
    <w:rsid w:val="00F63BB5"/>
    <w:rsid w:val="00F63BC1"/>
    <w:rsid w:val="00F63BDB"/>
    <w:rsid w:val="00F63C5B"/>
    <w:rsid w:val="00F63CE0"/>
    <w:rsid w:val="00F63D0A"/>
    <w:rsid w:val="00F63D4A"/>
    <w:rsid w:val="00F63DC2"/>
    <w:rsid w:val="00F63EA0"/>
    <w:rsid w:val="00F63ECD"/>
    <w:rsid w:val="00F63EE7"/>
    <w:rsid w:val="00F63F0E"/>
    <w:rsid w:val="00F63F23"/>
    <w:rsid w:val="00F63F2C"/>
    <w:rsid w:val="00F64038"/>
    <w:rsid w:val="00F64084"/>
    <w:rsid w:val="00F641D1"/>
    <w:rsid w:val="00F642B9"/>
    <w:rsid w:val="00F642E4"/>
    <w:rsid w:val="00F64319"/>
    <w:rsid w:val="00F6438D"/>
    <w:rsid w:val="00F643B4"/>
    <w:rsid w:val="00F6442E"/>
    <w:rsid w:val="00F644BC"/>
    <w:rsid w:val="00F644FC"/>
    <w:rsid w:val="00F647DD"/>
    <w:rsid w:val="00F64852"/>
    <w:rsid w:val="00F6499B"/>
    <w:rsid w:val="00F649A2"/>
    <w:rsid w:val="00F649CD"/>
    <w:rsid w:val="00F649E7"/>
    <w:rsid w:val="00F64A5D"/>
    <w:rsid w:val="00F64A78"/>
    <w:rsid w:val="00F64A9B"/>
    <w:rsid w:val="00F64B7E"/>
    <w:rsid w:val="00F64B9D"/>
    <w:rsid w:val="00F64BD6"/>
    <w:rsid w:val="00F64C69"/>
    <w:rsid w:val="00F64DE7"/>
    <w:rsid w:val="00F64DFB"/>
    <w:rsid w:val="00F64E2F"/>
    <w:rsid w:val="00F64F8F"/>
    <w:rsid w:val="00F6502D"/>
    <w:rsid w:val="00F65064"/>
    <w:rsid w:val="00F651DF"/>
    <w:rsid w:val="00F651E2"/>
    <w:rsid w:val="00F652E3"/>
    <w:rsid w:val="00F65317"/>
    <w:rsid w:val="00F65652"/>
    <w:rsid w:val="00F656B6"/>
    <w:rsid w:val="00F65769"/>
    <w:rsid w:val="00F65793"/>
    <w:rsid w:val="00F65799"/>
    <w:rsid w:val="00F65886"/>
    <w:rsid w:val="00F65949"/>
    <w:rsid w:val="00F659FA"/>
    <w:rsid w:val="00F65B47"/>
    <w:rsid w:val="00F65B78"/>
    <w:rsid w:val="00F65CE5"/>
    <w:rsid w:val="00F65D17"/>
    <w:rsid w:val="00F65DE2"/>
    <w:rsid w:val="00F65E1C"/>
    <w:rsid w:val="00F65E85"/>
    <w:rsid w:val="00F65F08"/>
    <w:rsid w:val="00F65F8E"/>
    <w:rsid w:val="00F66035"/>
    <w:rsid w:val="00F660C2"/>
    <w:rsid w:val="00F66115"/>
    <w:rsid w:val="00F66127"/>
    <w:rsid w:val="00F66233"/>
    <w:rsid w:val="00F6624E"/>
    <w:rsid w:val="00F6628D"/>
    <w:rsid w:val="00F6628F"/>
    <w:rsid w:val="00F662E7"/>
    <w:rsid w:val="00F66300"/>
    <w:rsid w:val="00F6636B"/>
    <w:rsid w:val="00F66399"/>
    <w:rsid w:val="00F663F6"/>
    <w:rsid w:val="00F66497"/>
    <w:rsid w:val="00F664D9"/>
    <w:rsid w:val="00F66524"/>
    <w:rsid w:val="00F6662C"/>
    <w:rsid w:val="00F666C1"/>
    <w:rsid w:val="00F666FB"/>
    <w:rsid w:val="00F66745"/>
    <w:rsid w:val="00F66772"/>
    <w:rsid w:val="00F66795"/>
    <w:rsid w:val="00F66A5E"/>
    <w:rsid w:val="00F66C22"/>
    <w:rsid w:val="00F66CAB"/>
    <w:rsid w:val="00F66D6E"/>
    <w:rsid w:val="00F66E40"/>
    <w:rsid w:val="00F66E48"/>
    <w:rsid w:val="00F66EF0"/>
    <w:rsid w:val="00F66F0F"/>
    <w:rsid w:val="00F66F6A"/>
    <w:rsid w:val="00F66F6E"/>
    <w:rsid w:val="00F670E4"/>
    <w:rsid w:val="00F671DE"/>
    <w:rsid w:val="00F67283"/>
    <w:rsid w:val="00F672AD"/>
    <w:rsid w:val="00F67350"/>
    <w:rsid w:val="00F67395"/>
    <w:rsid w:val="00F674DC"/>
    <w:rsid w:val="00F67572"/>
    <w:rsid w:val="00F675C6"/>
    <w:rsid w:val="00F67616"/>
    <w:rsid w:val="00F67630"/>
    <w:rsid w:val="00F676E4"/>
    <w:rsid w:val="00F6791A"/>
    <w:rsid w:val="00F6791E"/>
    <w:rsid w:val="00F67932"/>
    <w:rsid w:val="00F67945"/>
    <w:rsid w:val="00F67980"/>
    <w:rsid w:val="00F67981"/>
    <w:rsid w:val="00F67A76"/>
    <w:rsid w:val="00F67A8D"/>
    <w:rsid w:val="00F67B33"/>
    <w:rsid w:val="00F67BC4"/>
    <w:rsid w:val="00F67CA4"/>
    <w:rsid w:val="00F67CC8"/>
    <w:rsid w:val="00F67D10"/>
    <w:rsid w:val="00F67D9F"/>
    <w:rsid w:val="00F67EF6"/>
    <w:rsid w:val="00F700F7"/>
    <w:rsid w:val="00F7013A"/>
    <w:rsid w:val="00F7022F"/>
    <w:rsid w:val="00F70313"/>
    <w:rsid w:val="00F7031F"/>
    <w:rsid w:val="00F703EE"/>
    <w:rsid w:val="00F70444"/>
    <w:rsid w:val="00F704A3"/>
    <w:rsid w:val="00F707B7"/>
    <w:rsid w:val="00F70882"/>
    <w:rsid w:val="00F708AD"/>
    <w:rsid w:val="00F70A07"/>
    <w:rsid w:val="00F70C33"/>
    <w:rsid w:val="00F70C6A"/>
    <w:rsid w:val="00F70CAA"/>
    <w:rsid w:val="00F70D21"/>
    <w:rsid w:val="00F70DB4"/>
    <w:rsid w:val="00F70E22"/>
    <w:rsid w:val="00F70E5A"/>
    <w:rsid w:val="00F70EA6"/>
    <w:rsid w:val="00F70EEA"/>
    <w:rsid w:val="00F70F02"/>
    <w:rsid w:val="00F71004"/>
    <w:rsid w:val="00F71017"/>
    <w:rsid w:val="00F71051"/>
    <w:rsid w:val="00F7114D"/>
    <w:rsid w:val="00F71235"/>
    <w:rsid w:val="00F71277"/>
    <w:rsid w:val="00F712BD"/>
    <w:rsid w:val="00F712F6"/>
    <w:rsid w:val="00F71300"/>
    <w:rsid w:val="00F71536"/>
    <w:rsid w:val="00F71605"/>
    <w:rsid w:val="00F71613"/>
    <w:rsid w:val="00F7163F"/>
    <w:rsid w:val="00F71664"/>
    <w:rsid w:val="00F71728"/>
    <w:rsid w:val="00F71746"/>
    <w:rsid w:val="00F7175C"/>
    <w:rsid w:val="00F71789"/>
    <w:rsid w:val="00F71846"/>
    <w:rsid w:val="00F7193F"/>
    <w:rsid w:val="00F71A85"/>
    <w:rsid w:val="00F71B36"/>
    <w:rsid w:val="00F71C4D"/>
    <w:rsid w:val="00F71D36"/>
    <w:rsid w:val="00F71D45"/>
    <w:rsid w:val="00F71F59"/>
    <w:rsid w:val="00F71F74"/>
    <w:rsid w:val="00F71FB4"/>
    <w:rsid w:val="00F71FCE"/>
    <w:rsid w:val="00F72068"/>
    <w:rsid w:val="00F720A2"/>
    <w:rsid w:val="00F720B8"/>
    <w:rsid w:val="00F72279"/>
    <w:rsid w:val="00F7232A"/>
    <w:rsid w:val="00F7244B"/>
    <w:rsid w:val="00F7246D"/>
    <w:rsid w:val="00F724B5"/>
    <w:rsid w:val="00F724C4"/>
    <w:rsid w:val="00F725DD"/>
    <w:rsid w:val="00F7264A"/>
    <w:rsid w:val="00F72718"/>
    <w:rsid w:val="00F7271C"/>
    <w:rsid w:val="00F72729"/>
    <w:rsid w:val="00F727C3"/>
    <w:rsid w:val="00F7282F"/>
    <w:rsid w:val="00F72A14"/>
    <w:rsid w:val="00F72AAE"/>
    <w:rsid w:val="00F72AB5"/>
    <w:rsid w:val="00F72B07"/>
    <w:rsid w:val="00F72B31"/>
    <w:rsid w:val="00F72B8C"/>
    <w:rsid w:val="00F72BF1"/>
    <w:rsid w:val="00F72BFF"/>
    <w:rsid w:val="00F72C5A"/>
    <w:rsid w:val="00F72E12"/>
    <w:rsid w:val="00F72E35"/>
    <w:rsid w:val="00F72E3A"/>
    <w:rsid w:val="00F72ED5"/>
    <w:rsid w:val="00F72F29"/>
    <w:rsid w:val="00F72F48"/>
    <w:rsid w:val="00F72F79"/>
    <w:rsid w:val="00F72FD6"/>
    <w:rsid w:val="00F73013"/>
    <w:rsid w:val="00F73014"/>
    <w:rsid w:val="00F7306C"/>
    <w:rsid w:val="00F73071"/>
    <w:rsid w:val="00F730D3"/>
    <w:rsid w:val="00F730DC"/>
    <w:rsid w:val="00F731AD"/>
    <w:rsid w:val="00F731BB"/>
    <w:rsid w:val="00F73200"/>
    <w:rsid w:val="00F73232"/>
    <w:rsid w:val="00F73257"/>
    <w:rsid w:val="00F7335B"/>
    <w:rsid w:val="00F733B3"/>
    <w:rsid w:val="00F733FE"/>
    <w:rsid w:val="00F7348E"/>
    <w:rsid w:val="00F734FC"/>
    <w:rsid w:val="00F73517"/>
    <w:rsid w:val="00F735CA"/>
    <w:rsid w:val="00F73607"/>
    <w:rsid w:val="00F73611"/>
    <w:rsid w:val="00F736A1"/>
    <w:rsid w:val="00F736E0"/>
    <w:rsid w:val="00F7371F"/>
    <w:rsid w:val="00F73801"/>
    <w:rsid w:val="00F7387D"/>
    <w:rsid w:val="00F73884"/>
    <w:rsid w:val="00F738BA"/>
    <w:rsid w:val="00F73951"/>
    <w:rsid w:val="00F73A1F"/>
    <w:rsid w:val="00F73A62"/>
    <w:rsid w:val="00F73AB6"/>
    <w:rsid w:val="00F73B3B"/>
    <w:rsid w:val="00F73B40"/>
    <w:rsid w:val="00F73B48"/>
    <w:rsid w:val="00F73C4D"/>
    <w:rsid w:val="00F73CA8"/>
    <w:rsid w:val="00F73CF9"/>
    <w:rsid w:val="00F73F5E"/>
    <w:rsid w:val="00F73F87"/>
    <w:rsid w:val="00F74026"/>
    <w:rsid w:val="00F7411B"/>
    <w:rsid w:val="00F74136"/>
    <w:rsid w:val="00F741E5"/>
    <w:rsid w:val="00F7423E"/>
    <w:rsid w:val="00F74249"/>
    <w:rsid w:val="00F74267"/>
    <w:rsid w:val="00F7427B"/>
    <w:rsid w:val="00F7428B"/>
    <w:rsid w:val="00F742D6"/>
    <w:rsid w:val="00F7431C"/>
    <w:rsid w:val="00F74331"/>
    <w:rsid w:val="00F7434C"/>
    <w:rsid w:val="00F7448C"/>
    <w:rsid w:val="00F74570"/>
    <w:rsid w:val="00F7459D"/>
    <w:rsid w:val="00F746C8"/>
    <w:rsid w:val="00F7497A"/>
    <w:rsid w:val="00F74ADA"/>
    <w:rsid w:val="00F74B24"/>
    <w:rsid w:val="00F74C83"/>
    <w:rsid w:val="00F74CC4"/>
    <w:rsid w:val="00F74DE5"/>
    <w:rsid w:val="00F74DEF"/>
    <w:rsid w:val="00F74E3C"/>
    <w:rsid w:val="00F75013"/>
    <w:rsid w:val="00F75019"/>
    <w:rsid w:val="00F75045"/>
    <w:rsid w:val="00F750C7"/>
    <w:rsid w:val="00F7519D"/>
    <w:rsid w:val="00F75216"/>
    <w:rsid w:val="00F7528F"/>
    <w:rsid w:val="00F75365"/>
    <w:rsid w:val="00F75464"/>
    <w:rsid w:val="00F754D5"/>
    <w:rsid w:val="00F754F2"/>
    <w:rsid w:val="00F75522"/>
    <w:rsid w:val="00F7564C"/>
    <w:rsid w:val="00F7569D"/>
    <w:rsid w:val="00F757A5"/>
    <w:rsid w:val="00F75806"/>
    <w:rsid w:val="00F758BD"/>
    <w:rsid w:val="00F758DE"/>
    <w:rsid w:val="00F759E2"/>
    <w:rsid w:val="00F75B6D"/>
    <w:rsid w:val="00F75B86"/>
    <w:rsid w:val="00F75D91"/>
    <w:rsid w:val="00F75DB1"/>
    <w:rsid w:val="00F75EFF"/>
    <w:rsid w:val="00F75FB2"/>
    <w:rsid w:val="00F76016"/>
    <w:rsid w:val="00F7612F"/>
    <w:rsid w:val="00F76192"/>
    <w:rsid w:val="00F761C5"/>
    <w:rsid w:val="00F761EC"/>
    <w:rsid w:val="00F76201"/>
    <w:rsid w:val="00F763C0"/>
    <w:rsid w:val="00F76436"/>
    <w:rsid w:val="00F76550"/>
    <w:rsid w:val="00F76788"/>
    <w:rsid w:val="00F767A1"/>
    <w:rsid w:val="00F767E5"/>
    <w:rsid w:val="00F768D7"/>
    <w:rsid w:val="00F7692A"/>
    <w:rsid w:val="00F7697B"/>
    <w:rsid w:val="00F769D3"/>
    <w:rsid w:val="00F76AE4"/>
    <w:rsid w:val="00F76B3B"/>
    <w:rsid w:val="00F76B3E"/>
    <w:rsid w:val="00F76C57"/>
    <w:rsid w:val="00F76C75"/>
    <w:rsid w:val="00F76CCB"/>
    <w:rsid w:val="00F76CF4"/>
    <w:rsid w:val="00F76D8D"/>
    <w:rsid w:val="00F76E40"/>
    <w:rsid w:val="00F76EA8"/>
    <w:rsid w:val="00F76FA9"/>
    <w:rsid w:val="00F76FFA"/>
    <w:rsid w:val="00F770BB"/>
    <w:rsid w:val="00F77172"/>
    <w:rsid w:val="00F772DB"/>
    <w:rsid w:val="00F7731C"/>
    <w:rsid w:val="00F773A5"/>
    <w:rsid w:val="00F7753E"/>
    <w:rsid w:val="00F7761C"/>
    <w:rsid w:val="00F7765F"/>
    <w:rsid w:val="00F776CC"/>
    <w:rsid w:val="00F77727"/>
    <w:rsid w:val="00F77835"/>
    <w:rsid w:val="00F778D1"/>
    <w:rsid w:val="00F77907"/>
    <w:rsid w:val="00F77BE7"/>
    <w:rsid w:val="00F77C05"/>
    <w:rsid w:val="00F77CBF"/>
    <w:rsid w:val="00F77D82"/>
    <w:rsid w:val="00F77F76"/>
    <w:rsid w:val="00F77F9F"/>
    <w:rsid w:val="00F800DB"/>
    <w:rsid w:val="00F800E9"/>
    <w:rsid w:val="00F80113"/>
    <w:rsid w:val="00F803D4"/>
    <w:rsid w:val="00F8047F"/>
    <w:rsid w:val="00F804D9"/>
    <w:rsid w:val="00F804E0"/>
    <w:rsid w:val="00F804FA"/>
    <w:rsid w:val="00F80662"/>
    <w:rsid w:val="00F8067D"/>
    <w:rsid w:val="00F806B8"/>
    <w:rsid w:val="00F806D7"/>
    <w:rsid w:val="00F80742"/>
    <w:rsid w:val="00F8079C"/>
    <w:rsid w:val="00F807D6"/>
    <w:rsid w:val="00F80931"/>
    <w:rsid w:val="00F80992"/>
    <w:rsid w:val="00F80A53"/>
    <w:rsid w:val="00F80B9A"/>
    <w:rsid w:val="00F80CAD"/>
    <w:rsid w:val="00F80DA0"/>
    <w:rsid w:val="00F80FF1"/>
    <w:rsid w:val="00F81140"/>
    <w:rsid w:val="00F81229"/>
    <w:rsid w:val="00F81305"/>
    <w:rsid w:val="00F8134B"/>
    <w:rsid w:val="00F81435"/>
    <w:rsid w:val="00F81561"/>
    <w:rsid w:val="00F816D4"/>
    <w:rsid w:val="00F81936"/>
    <w:rsid w:val="00F81ABA"/>
    <w:rsid w:val="00F81B0F"/>
    <w:rsid w:val="00F81D1A"/>
    <w:rsid w:val="00F81D5C"/>
    <w:rsid w:val="00F81E63"/>
    <w:rsid w:val="00F81E81"/>
    <w:rsid w:val="00F81F48"/>
    <w:rsid w:val="00F81FA2"/>
    <w:rsid w:val="00F82318"/>
    <w:rsid w:val="00F82349"/>
    <w:rsid w:val="00F823A7"/>
    <w:rsid w:val="00F82480"/>
    <w:rsid w:val="00F824CB"/>
    <w:rsid w:val="00F824F7"/>
    <w:rsid w:val="00F82504"/>
    <w:rsid w:val="00F825C0"/>
    <w:rsid w:val="00F826C5"/>
    <w:rsid w:val="00F827AD"/>
    <w:rsid w:val="00F82889"/>
    <w:rsid w:val="00F828AF"/>
    <w:rsid w:val="00F82A6B"/>
    <w:rsid w:val="00F82B2D"/>
    <w:rsid w:val="00F82C12"/>
    <w:rsid w:val="00F82E74"/>
    <w:rsid w:val="00F82EF5"/>
    <w:rsid w:val="00F83082"/>
    <w:rsid w:val="00F830DB"/>
    <w:rsid w:val="00F83281"/>
    <w:rsid w:val="00F8328C"/>
    <w:rsid w:val="00F832B4"/>
    <w:rsid w:val="00F832BB"/>
    <w:rsid w:val="00F832FC"/>
    <w:rsid w:val="00F83399"/>
    <w:rsid w:val="00F833CA"/>
    <w:rsid w:val="00F83406"/>
    <w:rsid w:val="00F83504"/>
    <w:rsid w:val="00F836B0"/>
    <w:rsid w:val="00F8376E"/>
    <w:rsid w:val="00F8376F"/>
    <w:rsid w:val="00F837F5"/>
    <w:rsid w:val="00F83823"/>
    <w:rsid w:val="00F838A7"/>
    <w:rsid w:val="00F83900"/>
    <w:rsid w:val="00F839C8"/>
    <w:rsid w:val="00F83A44"/>
    <w:rsid w:val="00F83AEA"/>
    <w:rsid w:val="00F83AEF"/>
    <w:rsid w:val="00F83D3F"/>
    <w:rsid w:val="00F83D44"/>
    <w:rsid w:val="00F83D6E"/>
    <w:rsid w:val="00F83DA9"/>
    <w:rsid w:val="00F83DE2"/>
    <w:rsid w:val="00F83E2C"/>
    <w:rsid w:val="00F83E57"/>
    <w:rsid w:val="00F83E7E"/>
    <w:rsid w:val="00F83E8F"/>
    <w:rsid w:val="00F83EEB"/>
    <w:rsid w:val="00F840BC"/>
    <w:rsid w:val="00F840E8"/>
    <w:rsid w:val="00F84397"/>
    <w:rsid w:val="00F843F7"/>
    <w:rsid w:val="00F84491"/>
    <w:rsid w:val="00F84518"/>
    <w:rsid w:val="00F8453E"/>
    <w:rsid w:val="00F845D3"/>
    <w:rsid w:val="00F845FF"/>
    <w:rsid w:val="00F846B5"/>
    <w:rsid w:val="00F846D4"/>
    <w:rsid w:val="00F8470B"/>
    <w:rsid w:val="00F8480D"/>
    <w:rsid w:val="00F8481D"/>
    <w:rsid w:val="00F8484C"/>
    <w:rsid w:val="00F84857"/>
    <w:rsid w:val="00F84898"/>
    <w:rsid w:val="00F848B1"/>
    <w:rsid w:val="00F848FC"/>
    <w:rsid w:val="00F84A81"/>
    <w:rsid w:val="00F84B64"/>
    <w:rsid w:val="00F84B8D"/>
    <w:rsid w:val="00F84CE8"/>
    <w:rsid w:val="00F84D6B"/>
    <w:rsid w:val="00F84E6C"/>
    <w:rsid w:val="00F84F2B"/>
    <w:rsid w:val="00F84F82"/>
    <w:rsid w:val="00F8505D"/>
    <w:rsid w:val="00F8507D"/>
    <w:rsid w:val="00F850B7"/>
    <w:rsid w:val="00F850C3"/>
    <w:rsid w:val="00F85151"/>
    <w:rsid w:val="00F8515F"/>
    <w:rsid w:val="00F852D7"/>
    <w:rsid w:val="00F8532C"/>
    <w:rsid w:val="00F85383"/>
    <w:rsid w:val="00F853FA"/>
    <w:rsid w:val="00F8543D"/>
    <w:rsid w:val="00F85499"/>
    <w:rsid w:val="00F8549E"/>
    <w:rsid w:val="00F855DB"/>
    <w:rsid w:val="00F85674"/>
    <w:rsid w:val="00F85A25"/>
    <w:rsid w:val="00F85AB9"/>
    <w:rsid w:val="00F85B5C"/>
    <w:rsid w:val="00F85B6C"/>
    <w:rsid w:val="00F85B7E"/>
    <w:rsid w:val="00F85D1D"/>
    <w:rsid w:val="00F85D78"/>
    <w:rsid w:val="00F85DA4"/>
    <w:rsid w:val="00F85F10"/>
    <w:rsid w:val="00F85F4E"/>
    <w:rsid w:val="00F86028"/>
    <w:rsid w:val="00F8603B"/>
    <w:rsid w:val="00F86156"/>
    <w:rsid w:val="00F861D7"/>
    <w:rsid w:val="00F86222"/>
    <w:rsid w:val="00F86307"/>
    <w:rsid w:val="00F863AD"/>
    <w:rsid w:val="00F86420"/>
    <w:rsid w:val="00F8647D"/>
    <w:rsid w:val="00F864C7"/>
    <w:rsid w:val="00F864CB"/>
    <w:rsid w:val="00F86522"/>
    <w:rsid w:val="00F86526"/>
    <w:rsid w:val="00F86568"/>
    <w:rsid w:val="00F86582"/>
    <w:rsid w:val="00F865B1"/>
    <w:rsid w:val="00F866C7"/>
    <w:rsid w:val="00F86786"/>
    <w:rsid w:val="00F86848"/>
    <w:rsid w:val="00F86864"/>
    <w:rsid w:val="00F86886"/>
    <w:rsid w:val="00F8692C"/>
    <w:rsid w:val="00F8694E"/>
    <w:rsid w:val="00F86977"/>
    <w:rsid w:val="00F86987"/>
    <w:rsid w:val="00F869C2"/>
    <w:rsid w:val="00F86A82"/>
    <w:rsid w:val="00F86BA4"/>
    <w:rsid w:val="00F86C20"/>
    <w:rsid w:val="00F86C2B"/>
    <w:rsid w:val="00F86CD7"/>
    <w:rsid w:val="00F86DF5"/>
    <w:rsid w:val="00F86E99"/>
    <w:rsid w:val="00F86EAE"/>
    <w:rsid w:val="00F86EBC"/>
    <w:rsid w:val="00F86ECF"/>
    <w:rsid w:val="00F86ED5"/>
    <w:rsid w:val="00F86F28"/>
    <w:rsid w:val="00F86F3C"/>
    <w:rsid w:val="00F871B3"/>
    <w:rsid w:val="00F872D2"/>
    <w:rsid w:val="00F874AC"/>
    <w:rsid w:val="00F8751A"/>
    <w:rsid w:val="00F875D2"/>
    <w:rsid w:val="00F8764C"/>
    <w:rsid w:val="00F876BB"/>
    <w:rsid w:val="00F876E0"/>
    <w:rsid w:val="00F876ED"/>
    <w:rsid w:val="00F87715"/>
    <w:rsid w:val="00F87776"/>
    <w:rsid w:val="00F87887"/>
    <w:rsid w:val="00F87AEE"/>
    <w:rsid w:val="00F87B9B"/>
    <w:rsid w:val="00F87C2E"/>
    <w:rsid w:val="00F87C2F"/>
    <w:rsid w:val="00F87D30"/>
    <w:rsid w:val="00F87D5E"/>
    <w:rsid w:val="00F87D90"/>
    <w:rsid w:val="00F87D99"/>
    <w:rsid w:val="00F87DB5"/>
    <w:rsid w:val="00F87DBB"/>
    <w:rsid w:val="00F87DEA"/>
    <w:rsid w:val="00F87DEF"/>
    <w:rsid w:val="00F87E6A"/>
    <w:rsid w:val="00F87ED6"/>
    <w:rsid w:val="00F87F43"/>
    <w:rsid w:val="00F87FA5"/>
    <w:rsid w:val="00F90032"/>
    <w:rsid w:val="00F90039"/>
    <w:rsid w:val="00F900E0"/>
    <w:rsid w:val="00F901E9"/>
    <w:rsid w:val="00F9037E"/>
    <w:rsid w:val="00F903C0"/>
    <w:rsid w:val="00F9043E"/>
    <w:rsid w:val="00F90474"/>
    <w:rsid w:val="00F905E8"/>
    <w:rsid w:val="00F906B8"/>
    <w:rsid w:val="00F9076B"/>
    <w:rsid w:val="00F90794"/>
    <w:rsid w:val="00F908A7"/>
    <w:rsid w:val="00F909AF"/>
    <w:rsid w:val="00F909CE"/>
    <w:rsid w:val="00F90AD5"/>
    <w:rsid w:val="00F90B68"/>
    <w:rsid w:val="00F90BCA"/>
    <w:rsid w:val="00F90BF4"/>
    <w:rsid w:val="00F90CC6"/>
    <w:rsid w:val="00F90D2E"/>
    <w:rsid w:val="00F90D55"/>
    <w:rsid w:val="00F90D66"/>
    <w:rsid w:val="00F90D6C"/>
    <w:rsid w:val="00F91013"/>
    <w:rsid w:val="00F910B4"/>
    <w:rsid w:val="00F910F2"/>
    <w:rsid w:val="00F91103"/>
    <w:rsid w:val="00F9111F"/>
    <w:rsid w:val="00F91380"/>
    <w:rsid w:val="00F91441"/>
    <w:rsid w:val="00F914AE"/>
    <w:rsid w:val="00F914B1"/>
    <w:rsid w:val="00F914F6"/>
    <w:rsid w:val="00F91595"/>
    <w:rsid w:val="00F915C1"/>
    <w:rsid w:val="00F9162B"/>
    <w:rsid w:val="00F9172C"/>
    <w:rsid w:val="00F91811"/>
    <w:rsid w:val="00F91970"/>
    <w:rsid w:val="00F9198F"/>
    <w:rsid w:val="00F91997"/>
    <w:rsid w:val="00F919B7"/>
    <w:rsid w:val="00F919CA"/>
    <w:rsid w:val="00F91A6C"/>
    <w:rsid w:val="00F91AE1"/>
    <w:rsid w:val="00F91B65"/>
    <w:rsid w:val="00F91BDB"/>
    <w:rsid w:val="00F91BF7"/>
    <w:rsid w:val="00F91D9D"/>
    <w:rsid w:val="00F91E35"/>
    <w:rsid w:val="00F91F43"/>
    <w:rsid w:val="00F91F54"/>
    <w:rsid w:val="00F91F57"/>
    <w:rsid w:val="00F91F7C"/>
    <w:rsid w:val="00F91F9B"/>
    <w:rsid w:val="00F9201F"/>
    <w:rsid w:val="00F9219F"/>
    <w:rsid w:val="00F9236A"/>
    <w:rsid w:val="00F9242D"/>
    <w:rsid w:val="00F92542"/>
    <w:rsid w:val="00F925BE"/>
    <w:rsid w:val="00F92602"/>
    <w:rsid w:val="00F92720"/>
    <w:rsid w:val="00F92763"/>
    <w:rsid w:val="00F92768"/>
    <w:rsid w:val="00F927F0"/>
    <w:rsid w:val="00F92857"/>
    <w:rsid w:val="00F92892"/>
    <w:rsid w:val="00F928BD"/>
    <w:rsid w:val="00F928F9"/>
    <w:rsid w:val="00F929A8"/>
    <w:rsid w:val="00F929B8"/>
    <w:rsid w:val="00F92A28"/>
    <w:rsid w:val="00F92AD3"/>
    <w:rsid w:val="00F92B77"/>
    <w:rsid w:val="00F92C55"/>
    <w:rsid w:val="00F92C58"/>
    <w:rsid w:val="00F92E13"/>
    <w:rsid w:val="00F92E15"/>
    <w:rsid w:val="00F92E8E"/>
    <w:rsid w:val="00F92EA0"/>
    <w:rsid w:val="00F92EAE"/>
    <w:rsid w:val="00F930E7"/>
    <w:rsid w:val="00F931D1"/>
    <w:rsid w:val="00F931F2"/>
    <w:rsid w:val="00F93431"/>
    <w:rsid w:val="00F934A3"/>
    <w:rsid w:val="00F934DF"/>
    <w:rsid w:val="00F934F7"/>
    <w:rsid w:val="00F9351F"/>
    <w:rsid w:val="00F93626"/>
    <w:rsid w:val="00F936E7"/>
    <w:rsid w:val="00F937FF"/>
    <w:rsid w:val="00F93823"/>
    <w:rsid w:val="00F938AF"/>
    <w:rsid w:val="00F939C4"/>
    <w:rsid w:val="00F93A3A"/>
    <w:rsid w:val="00F93A5F"/>
    <w:rsid w:val="00F93A83"/>
    <w:rsid w:val="00F93AEF"/>
    <w:rsid w:val="00F93B5A"/>
    <w:rsid w:val="00F93BC8"/>
    <w:rsid w:val="00F93EE3"/>
    <w:rsid w:val="00F93EFC"/>
    <w:rsid w:val="00F9417B"/>
    <w:rsid w:val="00F94195"/>
    <w:rsid w:val="00F941AC"/>
    <w:rsid w:val="00F941C7"/>
    <w:rsid w:val="00F941F2"/>
    <w:rsid w:val="00F94226"/>
    <w:rsid w:val="00F94272"/>
    <w:rsid w:val="00F9439F"/>
    <w:rsid w:val="00F943A3"/>
    <w:rsid w:val="00F94487"/>
    <w:rsid w:val="00F944BD"/>
    <w:rsid w:val="00F945CA"/>
    <w:rsid w:val="00F94640"/>
    <w:rsid w:val="00F946E6"/>
    <w:rsid w:val="00F9476E"/>
    <w:rsid w:val="00F947B5"/>
    <w:rsid w:val="00F947CF"/>
    <w:rsid w:val="00F94907"/>
    <w:rsid w:val="00F949DD"/>
    <w:rsid w:val="00F94A39"/>
    <w:rsid w:val="00F94D40"/>
    <w:rsid w:val="00F94E3A"/>
    <w:rsid w:val="00F94E82"/>
    <w:rsid w:val="00F94F45"/>
    <w:rsid w:val="00F94FCF"/>
    <w:rsid w:val="00F9507D"/>
    <w:rsid w:val="00F950F9"/>
    <w:rsid w:val="00F9511E"/>
    <w:rsid w:val="00F95121"/>
    <w:rsid w:val="00F95224"/>
    <w:rsid w:val="00F953A7"/>
    <w:rsid w:val="00F953B6"/>
    <w:rsid w:val="00F954D3"/>
    <w:rsid w:val="00F955B1"/>
    <w:rsid w:val="00F955C3"/>
    <w:rsid w:val="00F95684"/>
    <w:rsid w:val="00F9580A"/>
    <w:rsid w:val="00F958F0"/>
    <w:rsid w:val="00F959E3"/>
    <w:rsid w:val="00F95A62"/>
    <w:rsid w:val="00F95A64"/>
    <w:rsid w:val="00F95A8A"/>
    <w:rsid w:val="00F95B94"/>
    <w:rsid w:val="00F95BE9"/>
    <w:rsid w:val="00F95C07"/>
    <w:rsid w:val="00F95CBF"/>
    <w:rsid w:val="00F95EB3"/>
    <w:rsid w:val="00F95FB5"/>
    <w:rsid w:val="00F96046"/>
    <w:rsid w:val="00F960EF"/>
    <w:rsid w:val="00F96150"/>
    <w:rsid w:val="00F9628F"/>
    <w:rsid w:val="00F96453"/>
    <w:rsid w:val="00F96458"/>
    <w:rsid w:val="00F964A9"/>
    <w:rsid w:val="00F96567"/>
    <w:rsid w:val="00F9664F"/>
    <w:rsid w:val="00F96699"/>
    <w:rsid w:val="00F96788"/>
    <w:rsid w:val="00F967F6"/>
    <w:rsid w:val="00F9695D"/>
    <w:rsid w:val="00F96A03"/>
    <w:rsid w:val="00F96A1C"/>
    <w:rsid w:val="00F96A5F"/>
    <w:rsid w:val="00F96BB2"/>
    <w:rsid w:val="00F96C25"/>
    <w:rsid w:val="00F96C5F"/>
    <w:rsid w:val="00F96CBD"/>
    <w:rsid w:val="00F96D4A"/>
    <w:rsid w:val="00F96D91"/>
    <w:rsid w:val="00F96E44"/>
    <w:rsid w:val="00F96E4E"/>
    <w:rsid w:val="00F96E6C"/>
    <w:rsid w:val="00F96E8F"/>
    <w:rsid w:val="00F96ECD"/>
    <w:rsid w:val="00F96F61"/>
    <w:rsid w:val="00F96FC0"/>
    <w:rsid w:val="00F96FCD"/>
    <w:rsid w:val="00F9705C"/>
    <w:rsid w:val="00F971C6"/>
    <w:rsid w:val="00F972AC"/>
    <w:rsid w:val="00F972B5"/>
    <w:rsid w:val="00F97309"/>
    <w:rsid w:val="00F973CA"/>
    <w:rsid w:val="00F97583"/>
    <w:rsid w:val="00F976F4"/>
    <w:rsid w:val="00F97934"/>
    <w:rsid w:val="00F97941"/>
    <w:rsid w:val="00F97A0E"/>
    <w:rsid w:val="00F97A32"/>
    <w:rsid w:val="00F97A39"/>
    <w:rsid w:val="00F97A63"/>
    <w:rsid w:val="00F97CA0"/>
    <w:rsid w:val="00F97D8E"/>
    <w:rsid w:val="00F97E0C"/>
    <w:rsid w:val="00F97FD0"/>
    <w:rsid w:val="00F9F164"/>
    <w:rsid w:val="00FA000B"/>
    <w:rsid w:val="00FA0063"/>
    <w:rsid w:val="00FA00ED"/>
    <w:rsid w:val="00FA01D2"/>
    <w:rsid w:val="00FA0404"/>
    <w:rsid w:val="00FA0416"/>
    <w:rsid w:val="00FA04C5"/>
    <w:rsid w:val="00FA05D6"/>
    <w:rsid w:val="00FA062F"/>
    <w:rsid w:val="00FA069E"/>
    <w:rsid w:val="00FA074A"/>
    <w:rsid w:val="00FA0750"/>
    <w:rsid w:val="00FA0809"/>
    <w:rsid w:val="00FA0871"/>
    <w:rsid w:val="00FA08C4"/>
    <w:rsid w:val="00FA08E7"/>
    <w:rsid w:val="00FA0A66"/>
    <w:rsid w:val="00FA0A77"/>
    <w:rsid w:val="00FA0B87"/>
    <w:rsid w:val="00FA0BF4"/>
    <w:rsid w:val="00FA0C0C"/>
    <w:rsid w:val="00FA0D13"/>
    <w:rsid w:val="00FA0D31"/>
    <w:rsid w:val="00FA0FEC"/>
    <w:rsid w:val="00FA115E"/>
    <w:rsid w:val="00FA116A"/>
    <w:rsid w:val="00FA1196"/>
    <w:rsid w:val="00FA127F"/>
    <w:rsid w:val="00FA1381"/>
    <w:rsid w:val="00FA13BE"/>
    <w:rsid w:val="00FA142C"/>
    <w:rsid w:val="00FA14F2"/>
    <w:rsid w:val="00FA152F"/>
    <w:rsid w:val="00FA15C8"/>
    <w:rsid w:val="00FA1610"/>
    <w:rsid w:val="00FA166C"/>
    <w:rsid w:val="00FA170B"/>
    <w:rsid w:val="00FA177D"/>
    <w:rsid w:val="00FA17AE"/>
    <w:rsid w:val="00FA1837"/>
    <w:rsid w:val="00FA1849"/>
    <w:rsid w:val="00FA196E"/>
    <w:rsid w:val="00FA1979"/>
    <w:rsid w:val="00FA1CB7"/>
    <w:rsid w:val="00FA1D22"/>
    <w:rsid w:val="00FA1DB0"/>
    <w:rsid w:val="00FA1E1C"/>
    <w:rsid w:val="00FA1E38"/>
    <w:rsid w:val="00FA1E93"/>
    <w:rsid w:val="00FA1F0F"/>
    <w:rsid w:val="00FA1F28"/>
    <w:rsid w:val="00FA1F48"/>
    <w:rsid w:val="00FA1FC5"/>
    <w:rsid w:val="00FA1FD1"/>
    <w:rsid w:val="00FA1FEA"/>
    <w:rsid w:val="00FA2035"/>
    <w:rsid w:val="00FA2057"/>
    <w:rsid w:val="00FA20B1"/>
    <w:rsid w:val="00FA2141"/>
    <w:rsid w:val="00FA220C"/>
    <w:rsid w:val="00FA22D4"/>
    <w:rsid w:val="00FA242A"/>
    <w:rsid w:val="00FA24AC"/>
    <w:rsid w:val="00FA24E2"/>
    <w:rsid w:val="00FA2530"/>
    <w:rsid w:val="00FA256D"/>
    <w:rsid w:val="00FA25EC"/>
    <w:rsid w:val="00FA2630"/>
    <w:rsid w:val="00FA266A"/>
    <w:rsid w:val="00FA26A3"/>
    <w:rsid w:val="00FA26EE"/>
    <w:rsid w:val="00FA2756"/>
    <w:rsid w:val="00FA2767"/>
    <w:rsid w:val="00FA2787"/>
    <w:rsid w:val="00FA2817"/>
    <w:rsid w:val="00FA29B9"/>
    <w:rsid w:val="00FA29E2"/>
    <w:rsid w:val="00FA2A8B"/>
    <w:rsid w:val="00FA2B7B"/>
    <w:rsid w:val="00FA2B7C"/>
    <w:rsid w:val="00FA2BB7"/>
    <w:rsid w:val="00FA2C99"/>
    <w:rsid w:val="00FA2CDA"/>
    <w:rsid w:val="00FA2E2A"/>
    <w:rsid w:val="00FA2FAD"/>
    <w:rsid w:val="00FA2FDD"/>
    <w:rsid w:val="00FA2FE7"/>
    <w:rsid w:val="00FA2FE8"/>
    <w:rsid w:val="00FA306F"/>
    <w:rsid w:val="00FA3118"/>
    <w:rsid w:val="00FA3123"/>
    <w:rsid w:val="00FA31A7"/>
    <w:rsid w:val="00FA3200"/>
    <w:rsid w:val="00FA3204"/>
    <w:rsid w:val="00FA3366"/>
    <w:rsid w:val="00FA338B"/>
    <w:rsid w:val="00FA33F6"/>
    <w:rsid w:val="00FA3443"/>
    <w:rsid w:val="00FA3519"/>
    <w:rsid w:val="00FA3532"/>
    <w:rsid w:val="00FA358E"/>
    <w:rsid w:val="00FA35BE"/>
    <w:rsid w:val="00FA367A"/>
    <w:rsid w:val="00FA372B"/>
    <w:rsid w:val="00FA37CA"/>
    <w:rsid w:val="00FA3842"/>
    <w:rsid w:val="00FA389C"/>
    <w:rsid w:val="00FA3928"/>
    <w:rsid w:val="00FA3951"/>
    <w:rsid w:val="00FA39D1"/>
    <w:rsid w:val="00FA39ED"/>
    <w:rsid w:val="00FA3A1D"/>
    <w:rsid w:val="00FA3A37"/>
    <w:rsid w:val="00FA3A9D"/>
    <w:rsid w:val="00FA3B1C"/>
    <w:rsid w:val="00FA3B80"/>
    <w:rsid w:val="00FA3BE7"/>
    <w:rsid w:val="00FA3C3F"/>
    <w:rsid w:val="00FA3C4F"/>
    <w:rsid w:val="00FA3DDE"/>
    <w:rsid w:val="00FA3E0F"/>
    <w:rsid w:val="00FA3FC2"/>
    <w:rsid w:val="00FA4118"/>
    <w:rsid w:val="00FA424E"/>
    <w:rsid w:val="00FA430C"/>
    <w:rsid w:val="00FA4316"/>
    <w:rsid w:val="00FA4393"/>
    <w:rsid w:val="00FA43B1"/>
    <w:rsid w:val="00FA4442"/>
    <w:rsid w:val="00FA44FF"/>
    <w:rsid w:val="00FA4518"/>
    <w:rsid w:val="00FA458E"/>
    <w:rsid w:val="00FA45C7"/>
    <w:rsid w:val="00FA45E5"/>
    <w:rsid w:val="00FA4661"/>
    <w:rsid w:val="00FA4685"/>
    <w:rsid w:val="00FA47F8"/>
    <w:rsid w:val="00FA4932"/>
    <w:rsid w:val="00FA49D5"/>
    <w:rsid w:val="00FA49E2"/>
    <w:rsid w:val="00FA4A00"/>
    <w:rsid w:val="00FA4A4E"/>
    <w:rsid w:val="00FA4AB1"/>
    <w:rsid w:val="00FA4BE7"/>
    <w:rsid w:val="00FA4C21"/>
    <w:rsid w:val="00FA4CDF"/>
    <w:rsid w:val="00FA4D30"/>
    <w:rsid w:val="00FA4D84"/>
    <w:rsid w:val="00FA4EAC"/>
    <w:rsid w:val="00FA4EDD"/>
    <w:rsid w:val="00FA4FCF"/>
    <w:rsid w:val="00FA4FDA"/>
    <w:rsid w:val="00FA501C"/>
    <w:rsid w:val="00FA50AE"/>
    <w:rsid w:val="00FA50D7"/>
    <w:rsid w:val="00FA5124"/>
    <w:rsid w:val="00FA514A"/>
    <w:rsid w:val="00FA5240"/>
    <w:rsid w:val="00FA5341"/>
    <w:rsid w:val="00FA53C6"/>
    <w:rsid w:val="00FA5461"/>
    <w:rsid w:val="00FA54EB"/>
    <w:rsid w:val="00FA56F0"/>
    <w:rsid w:val="00FA5A31"/>
    <w:rsid w:val="00FA5B11"/>
    <w:rsid w:val="00FA5BAE"/>
    <w:rsid w:val="00FA5C7B"/>
    <w:rsid w:val="00FA5C89"/>
    <w:rsid w:val="00FA5CE8"/>
    <w:rsid w:val="00FA5DD1"/>
    <w:rsid w:val="00FA5E17"/>
    <w:rsid w:val="00FA5E45"/>
    <w:rsid w:val="00FA5E78"/>
    <w:rsid w:val="00FA5F07"/>
    <w:rsid w:val="00FA5FCC"/>
    <w:rsid w:val="00FA6099"/>
    <w:rsid w:val="00FA61C1"/>
    <w:rsid w:val="00FA62AA"/>
    <w:rsid w:val="00FA62D5"/>
    <w:rsid w:val="00FA6355"/>
    <w:rsid w:val="00FA641C"/>
    <w:rsid w:val="00FA642B"/>
    <w:rsid w:val="00FA649C"/>
    <w:rsid w:val="00FA64E2"/>
    <w:rsid w:val="00FA65E4"/>
    <w:rsid w:val="00FA6612"/>
    <w:rsid w:val="00FA6619"/>
    <w:rsid w:val="00FA66DE"/>
    <w:rsid w:val="00FA67F8"/>
    <w:rsid w:val="00FA6822"/>
    <w:rsid w:val="00FA683F"/>
    <w:rsid w:val="00FA686B"/>
    <w:rsid w:val="00FA69BD"/>
    <w:rsid w:val="00FA69FB"/>
    <w:rsid w:val="00FA6A1B"/>
    <w:rsid w:val="00FA6A60"/>
    <w:rsid w:val="00FA6AFD"/>
    <w:rsid w:val="00FA6B73"/>
    <w:rsid w:val="00FA6DDD"/>
    <w:rsid w:val="00FA6E10"/>
    <w:rsid w:val="00FA6E1C"/>
    <w:rsid w:val="00FA6F27"/>
    <w:rsid w:val="00FA7032"/>
    <w:rsid w:val="00FA70C8"/>
    <w:rsid w:val="00FA7106"/>
    <w:rsid w:val="00FA7187"/>
    <w:rsid w:val="00FA71A3"/>
    <w:rsid w:val="00FA71CE"/>
    <w:rsid w:val="00FA720A"/>
    <w:rsid w:val="00FA72D3"/>
    <w:rsid w:val="00FA749E"/>
    <w:rsid w:val="00FA74EA"/>
    <w:rsid w:val="00FA7748"/>
    <w:rsid w:val="00FA77AE"/>
    <w:rsid w:val="00FA789B"/>
    <w:rsid w:val="00FA78A9"/>
    <w:rsid w:val="00FA791E"/>
    <w:rsid w:val="00FA79B6"/>
    <w:rsid w:val="00FA7A17"/>
    <w:rsid w:val="00FA7AA3"/>
    <w:rsid w:val="00FA7B8C"/>
    <w:rsid w:val="00FA7B9D"/>
    <w:rsid w:val="00FA7D4F"/>
    <w:rsid w:val="00FA7D53"/>
    <w:rsid w:val="00FA7E92"/>
    <w:rsid w:val="00FA7EED"/>
    <w:rsid w:val="00FA7EFC"/>
    <w:rsid w:val="00FA7FEC"/>
    <w:rsid w:val="00FB00D8"/>
    <w:rsid w:val="00FB019E"/>
    <w:rsid w:val="00FB02B5"/>
    <w:rsid w:val="00FB02ED"/>
    <w:rsid w:val="00FB037E"/>
    <w:rsid w:val="00FB03BD"/>
    <w:rsid w:val="00FB05F8"/>
    <w:rsid w:val="00FB0639"/>
    <w:rsid w:val="00FB076F"/>
    <w:rsid w:val="00FB0787"/>
    <w:rsid w:val="00FB08B0"/>
    <w:rsid w:val="00FB090B"/>
    <w:rsid w:val="00FB0A44"/>
    <w:rsid w:val="00FB0A79"/>
    <w:rsid w:val="00FB0AB1"/>
    <w:rsid w:val="00FB0AC5"/>
    <w:rsid w:val="00FB0B9B"/>
    <w:rsid w:val="00FB0D2F"/>
    <w:rsid w:val="00FB0D73"/>
    <w:rsid w:val="00FB0D8D"/>
    <w:rsid w:val="00FB0E09"/>
    <w:rsid w:val="00FB0E8E"/>
    <w:rsid w:val="00FB0F4F"/>
    <w:rsid w:val="00FB100B"/>
    <w:rsid w:val="00FB10B1"/>
    <w:rsid w:val="00FB10F2"/>
    <w:rsid w:val="00FB119A"/>
    <w:rsid w:val="00FB12A9"/>
    <w:rsid w:val="00FB12E5"/>
    <w:rsid w:val="00FB1308"/>
    <w:rsid w:val="00FB13DF"/>
    <w:rsid w:val="00FB140D"/>
    <w:rsid w:val="00FB14CA"/>
    <w:rsid w:val="00FB156C"/>
    <w:rsid w:val="00FB16DB"/>
    <w:rsid w:val="00FB1703"/>
    <w:rsid w:val="00FB1735"/>
    <w:rsid w:val="00FB177B"/>
    <w:rsid w:val="00FB1869"/>
    <w:rsid w:val="00FB1895"/>
    <w:rsid w:val="00FB199A"/>
    <w:rsid w:val="00FB19D9"/>
    <w:rsid w:val="00FB1A00"/>
    <w:rsid w:val="00FB1BD8"/>
    <w:rsid w:val="00FB1C17"/>
    <w:rsid w:val="00FB1C7D"/>
    <w:rsid w:val="00FB1CD7"/>
    <w:rsid w:val="00FB1DDA"/>
    <w:rsid w:val="00FB1DFF"/>
    <w:rsid w:val="00FB1EA2"/>
    <w:rsid w:val="00FB1ED2"/>
    <w:rsid w:val="00FB1EDB"/>
    <w:rsid w:val="00FB1EF5"/>
    <w:rsid w:val="00FB1F03"/>
    <w:rsid w:val="00FB1F6F"/>
    <w:rsid w:val="00FB1F79"/>
    <w:rsid w:val="00FB2182"/>
    <w:rsid w:val="00FB2288"/>
    <w:rsid w:val="00FB2308"/>
    <w:rsid w:val="00FB2346"/>
    <w:rsid w:val="00FB2417"/>
    <w:rsid w:val="00FB249E"/>
    <w:rsid w:val="00FB2573"/>
    <w:rsid w:val="00FB2860"/>
    <w:rsid w:val="00FB28EB"/>
    <w:rsid w:val="00FB2A83"/>
    <w:rsid w:val="00FB2AC3"/>
    <w:rsid w:val="00FB2AD7"/>
    <w:rsid w:val="00FB2AE1"/>
    <w:rsid w:val="00FB2CED"/>
    <w:rsid w:val="00FB2DFE"/>
    <w:rsid w:val="00FB2F54"/>
    <w:rsid w:val="00FB2F96"/>
    <w:rsid w:val="00FB3141"/>
    <w:rsid w:val="00FB31CB"/>
    <w:rsid w:val="00FB3306"/>
    <w:rsid w:val="00FB3333"/>
    <w:rsid w:val="00FB33AC"/>
    <w:rsid w:val="00FB352C"/>
    <w:rsid w:val="00FB3594"/>
    <w:rsid w:val="00FB35D2"/>
    <w:rsid w:val="00FB3612"/>
    <w:rsid w:val="00FB3617"/>
    <w:rsid w:val="00FB3653"/>
    <w:rsid w:val="00FB368F"/>
    <w:rsid w:val="00FB3786"/>
    <w:rsid w:val="00FB380F"/>
    <w:rsid w:val="00FB389D"/>
    <w:rsid w:val="00FB3946"/>
    <w:rsid w:val="00FB39DA"/>
    <w:rsid w:val="00FB39EF"/>
    <w:rsid w:val="00FB3A19"/>
    <w:rsid w:val="00FB3B24"/>
    <w:rsid w:val="00FB3BF5"/>
    <w:rsid w:val="00FB3C30"/>
    <w:rsid w:val="00FB3C33"/>
    <w:rsid w:val="00FB3D0F"/>
    <w:rsid w:val="00FB3D4F"/>
    <w:rsid w:val="00FB3DF2"/>
    <w:rsid w:val="00FB3E49"/>
    <w:rsid w:val="00FB3E8C"/>
    <w:rsid w:val="00FB3EF6"/>
    <w:rsid w:val="00FB40A1"/>
    <w:rsid w:val="00FB4101"/>
    <w:rsid w:val="00FB422C"/>
    <w:rsid w:val="00FB423E"/>
    <w:rsid w:val="00FB4253"/>
    <w:rsid w:val="00FB428F"/>
    <w:rsid w:val="00FB4293"/>
    <w:rsid w:val="00FB42B1"/>
    <w:rsid w:val="00FB4557"/>
    <w:rsid w:val="00FB4662"/>
    <w:rsid w:val="00FB4674"/>
    <w:rsid w:val="00FB4683"/>
    <w:rsid w:val="00FB468D"/>
    <w:rsid w:val="00FB478F"/>
    <w:rsid w:val="00FB4864"/>
    <w:rsid w:val="00FB4868"/>
    <w:rsid w:val="00FB49AA"/>
    <w:rsid w:val="00FB4A00"/>
    <w:rsid w:val="00FB4A16"/>
    <w:rsid w:val="00FB4AD4"/>
    <w:rsid w:val="00FB4B86"/>
    <w:rsid w:val="00FB4BD8"/>
    <w:rsid w:val="00FB4C42"/>
    <w:rsid w:val="00FB4C9C"/>
    <w:rsid w:val="00FB4D64"/>
    <w:rsid w:val="00FB4E64"/>
    <w:rsid w:val="00FB4EA9"/>
    <w:rsid w:val="00FB4EAD"/>
    <w:rsid w:val="00FB4EB6"/>
    <w:rsid w:val="00FB4EFE"/>
    <w:rsid w:val="00FB4F17"/>
    <w:rsid w:val="00FB4F5B"/>
    <w:rsid w:val="00FB4F8A"/>
    <w:rsid w:val="00FB5112"/>
    <w:rsid w:val="00FB5115"/>
    <w:rsid w:val="00FB516E"/>
    <w:rsid w:val="00FB51DB"/>
    <w:rsid w:val="00FB5256"/>
    <w:rsid w:val="00FB525B"/>
    <w:rsid w:val="00FB5377"/>
    <w:rsid w:val="00FB5384"/>
    <w:rsid w:val="00FB53F2"/>
    <w:rsid w:val="00FB55DE"/>
    <w:rsid w:val="00FB56A3"/>
    <w:rsid w:val="00FB572E"/>
    <w:rsid w:val="00FB57C6"/>
    <w:rsid w:val="00FB598D"/>
    <w:rsid w:val="00FB5A00"/>
    <w:rsid w:val="00FB5AE0"/>
    <w:rsid w:val="00FB5C60"/>
    <w:rsid w:val="00FB5DA2"/>
    <w:rsid w:val="00FB5DAB"/>
    <w:rsid w:val="00FB5DEA"/>
    <w:rsid w:val="00FB5E05"/>
    <w:rsid w:val="00FB5F02"/>
    <w:rsid w:val="00FB5F06"/>
    <w:rsid w:val="00FB5F35"/>
    <w:rsid w:val="00FB5F6B"/>
    <w:rsid w:val="00FB5FF9"/>
    <w:rsid w:val="00FB6003"/>
    <w:rsid w:val="00FB6067"/>
    <w:rsid w:val="00FB613E"/>
    <w:rsid w:val="00FB624C"/>
    <w:rsid w:val="00FB62FB"/>
    <w:rsid w:val="00FB635E"/>
    <w:rsid w:val="00FB64ED"/>
    <w:rsid w:val="00FB65DA"/>
    <w:rsid w:val="00FB6645"/>
    <w:rsid w:val="00FB66C8"/>
    <w:rsid w:val="00FB671D"/>
    <w:rsid w:val="00FB672D"/>
    <w:rsid w:val="00FB6885"/>
    <w:rsid w:val="00FB68D2"/>
    <w:rsid w:val="00FB696B"/>
    <w:rsid w:val="00FB6991"/>
    <w:rsid w:val="00FB6A37"/>
    <w:rsid w:val="00FB6A50"/>
    <w:rsid w:val="00FB6BAE"/>
    <w:rsid w:val="00FB6C44"/>
    <w:rsid w:val="00FB6C6C"/>
    <w:rsid w:val="00FB6C73"/>
    <w:rsid w:val="00FB6CF3"/>
    <w:rsid w:val="00FB6D6D"/>
    <w:rsid w:val="00FB6DF4"/>
    <w:rsid w:val="00FB6DF6"/>
    <w:rsid w:val="00FB6F87"/>
    <w:rsid w:val="00FB7042"/>
    <w:rsid w:val="00FB705F"/>
    <w:rsid w:val="00FB7122"/>
    <w:rsid w:val="00FB7139"/>
    <w:rsid w:val="00FB7167"/>
    <w:rsid w:val="00FB7219"/>
    <w:rsid w:val="00FB7249"/>
    <w:rsid w:val="00FB72A9"/>
    <w:rsid w:val="00FB72EA"/>
    <w:rsid w:val="00FB7357"/>
    <w:rsid w:val="00FB73C9"/>
    <w:rsid w:val="00FB73D8"/>
    <w:rsid w:val="00FB745C"/>
    <w:rsid w:val="00FB7518"/>
    <w:rsid w:val="00FB770E"/>
    <w:rsid w:val="00FB7744"/>
    <w:rsid w:val="00FB7771"/>
    <w:rsid w:val="00FB77B0"/>
    <w:rsid w:val="00FB799E"/>
    <w:rsid w:val="00FB7B18"/>
    <w:rsid w:val="00FB7CA3"/>
    <w:rsid w:val="00FB7FCD"/>
    <w:rsid w:val="00FC0038"/>
    <w:rsid w:val="00FC0126"/>
    <w:rsid w:val="00FC017B"/>
    <w:rsid w:val="00FC021D"/>
    <w:rsid w:val="00FC02D8"/>
    <w:rsid w:val="00FC02EA"/>
    <w:rsid w:val="00FC034A"/>
    <w:rsid w:val="00FC03D2"/>
    <w:rsid w:val="00FC0400"/>
    <w:rsid w:val="00FC0415"/>
    <w:rsid w:val="00FC047D"/>
    <w:rsid w:val="00FC05B6"/>
    <w:rsid w:val="00FC0659"/>
    <w:rsid w:val="00FC0718"/>
    <w:rsid w:val="00FC07DB"/>
    <w:rsid w:val="00FC07FE"/>
    <w:rsid w:val="00FC0882"/>
    <w:rsid w:val="00FC08AD"/>
    <w:rsid w:val="00FC093E"/>
    <w:rsid w:val="00FC0B57"/>
    <w:rsid w:val="00FC0C18"/>
    <w:rsid w:val="00FC0D7C"/>
    <w:rsid w:val="00FC0EAD"/>
    <w:rsid w:val="00FC0ED5"/>
    <w:rsid w:val="00FC0F03"/>
    <w:rsid w:val="00FC0F3B"/>
    <w:rsid w:val="00FC1010"/>
    <w:rsid w:val="00FC102E"/>
    <w:rsid w:val="00FC10C9"/>
    <w:rsid w:val="00FC10E8"/>
    <w:rsid w:val="00FC112D"/>
    <w:rsid w:val="00FC1152"/>
    <w:rsid w:val="00FC119F"/>
    <w:rsid w:val="00FC11BE"/>
    <w:rsid w:val="00FC1299"/>
    <w:rsid w:val="00FC12C8"/>
    <w:rsid w:val="00FC1327"/>
    <w:rsid w:val="00FC13C1"/>
    <w:rsid w:val="00FC1405"/>
    <w:rsid w:val="00FC15DE"/>
    <w:rsid w:val="00FC1634"/>
    <w:rsid w:val="00FC1730"/>
    <w:rsid w:val="00FC1783"/>
    <w:rsid w:val="00FC17B8"/>
    <w:rsid w:val="00FC180E"/>
    <w:rsid w:val="00FC1856"/>
    <w:rsid w:val="00FC1A4F"/>
    <w:rsid w:val="00FC1A7A"/>
    <w:rsid w:val="00FC1AB4"/>
    <w:rsid w:val="00FC1BAA"/>
    <w:rsid w:val="00FC1C5C"/>
    <w:rsid w:val="00FC1D08"/>
    <w:rsid w:val="00FC1D4A"/>
    <w:rsid w:val="00FC1ED6"/>
    <w:rsid w:val="00FC1F02"/>
    <w:rsid w:val="00FC1F89"/>
    <w:rsid w:val="00FC1FFC"/>
    <w:rsid w:val="00FC2087"/>
    <w:rsid w:val="00FC209C"/>
    <w:rsid w:val="00FC2246"/>
    <w:rsid w:val="00FC2252"/>
    <w:rsid w:val="00FC24C1"/>
    <w:rsid w:val="00FC24C9"/>
    <w:rsid w:val="00FC2526"/>
    <w:rsid w:val="00FC25E4"/>
    <w:rsid w:val="00FC262D"/>
    <w:rsid w:val="00FC2743"/>
    <w:rsid w:val="00FC274A"/>
    <w:rsid w:val="00FC277C"/>
    <w:rsid w:val="00FC2839"/>
    <w:rsid w:val="00FC28D4"/>
    <w:rsid w:val="00FC2928"/>
    <w:rsid w:val="00FC29D2"/>
    <w:rsid w:val="00FC29DA"/>
    <w:rsid w:val="00FC2AA1"/>
    <w:rsid w:val="00FC2BEF"/>
    <w:rsid w:val="00FC2BFF"/>
    <w:rsid w:val="00FC2CDE"/>
    <w:rsid w:val="00FC2DCA"/>
    <w:rsid w:val="00FC2E30"/>
    <w:rsid w:val="00FC2F8F"/>
    <w:rsid w:val="00FC2FE7"/>
    <w:rsid w:val="00FC3024"/>
    <w:rsid w:val="00FC303B"/>
    <w:rsid w:val="00FC304E"/>
    <w:rsid w:val="00FC3077"/>
    <w:rsid w:val="00FC3109"/>
    <w:rsid w:val="00FC318F"/>
    <w:rsid w:val="00FC3247"/>
    <w:rsid w:val="00FC3566"/>
    <w:rsid w:val="00FC362A"/>
    <w:rsid w:val="00FC36B6"/>
    <w:rsid w:val="00FC3761"/>
    <w:rsid w:val="00FC381B"/>
    <w:rsid w:val="00FC3902"/>
    <w:rsid w:val="00FC390D"/>
    <w:rsid w:val="00FC39F8"/>
    <w:rsid w:val="00FC3A51"/>
    <w:rsid w:val="00FC3A7F"/>
    <w:rsid w:val="00FC3AA5"/>
    <w:rsid w:val="00FC3B62"/>
    <w:rsid w:val="00FC3C52"/>
    <w:rsid w:val="00FC3C85"/>
    <w:rsid w:val="00FC3CDA"/>
    <w:rsid w:val="00FC3DA5"/>
    <w:rsid w:val="00FC3E12"/>
    <w:rsid w:val="00FC3E8A"/>
    <w:rsid w:val="00FC4019"/>
    <w:rsid w:val="00FC4040"/>
    <w:rsid w:val="00FC40AF"/>
    <w:rsid w:val="00FC40B9"/>
    <w:rsid w:val="00FC4106"/>
    <w:rsid w:val="00FC410B"/>
    <w:rsid w:val="00FC41C1"/>
    <w:rsid w:val="00FC42A0"/>
    <w:rsid w:val="00FC42B1"/>
    <w:rsid w:val="00FC42C6"/>
    <w:rsid w:val="00FC4430"/>
    <w:rsid w:val="00FC44B2"/>
    <w:rsid w:val="00FC450E"/>
    <w:rsid w:val="00FC45C2"/>
    <w:rsid w:val="00FC4674"/>
    <w:rsid w:val="00FC4791"/>
    <w:rsid w:val="00FC47DA"/>
    <w:rsid w:val="00FC483B"/>
    <w:rsid w:val="00FC4A4F"/>
    <w:rsid w:val="00FC4C04"/>
    <w:rsid w:val="00FC4D92"/>
    <w:rsid w:val="00FC4DA2"/>
    <w:rsid w:val="00FC4DC7"/>
    <w:rsid w:val="00FC4DFB"/>
    <w:rsid w:val="00FC4E44"/>
    <w:rsid w:val="00FC4E46"/>
    <w:rsid w:val="00FC4F12"/>
    <w:rsid w:val="00FC5089"/>
    <w:rsid w:val="00FC5173"/>
    <w:rsid w:val="00FC5194"/>
    <w:rsid w:val="00FC51B0"/>
    <w:rsid w:val="00FC5230"/>
    <w:rsid w:val="00FC52D7"/>
    <w:rsid w:val="00FC5395"/>
    <w:rsid w:val="00FC5411"/>
    <w:rsid w:val="00FC5450"/>
    <w:rsid w:val="00FC54F4"/>
    <w:rsid w:val="00FC5575"/>
    <w:rsid w:val="00FC57DD"/>
    <w:rsid w:val="00FC5831"/>
    <w:rsid w:val="00FC58F4"/>
    <w:rsid w:val="00FC595D"/>
    <w:rsid w:val="00FC59F4"/>
    <w:rsid w:val="00FC5A95"/>
    <w:rsid w:val="00FC5ACF"/>
    <w:rsid w:val="00FC5C7C"/>
    <w:rsid w:val="00FC5DDA"/>
    <w:rsid w:val="00FC5EE8"/>
    <w:rsid w:val="00FC5FA6"/>
    <w:rsid w:val="00FC5FF2"/>
    <w:rsid w:val="00FC6017"/>
    <w:rsid w:val="00FC6059"/>
    <w:rsid w:val="00FC6177"/>
    <w:rsid w:val="00FC6209"/>
    <w:rsid w:val="00FC62BB"/>
    <w:rsid w:val="00FC630B"/>
    <w:rsid w:val="00FC6356"/>
    <w:rsid w:val="00FC643E"/>
    <w:rsid w:val="00FC64CF"/>
    <w:rsid w:val="00FC6575"/>
    <w:rsid w:val="00FC65CA"/>
    <w:rsid w:val="00FC67EB"/>
    <w:rsid w:val="00FC6867"/>
    <w:rsid w:val="00FC68B9"/>
    <w:rsid w:val="00FC693F"/>
    <w:rsid w:val="00FC6975"/>
    <w:rsid w:val="00FC69DE"/>
    <w:rsid w:val="00FC6B4E"/>
    <w:rsid w:val="00FC6B9B"/>
    <w:rsid w:val="00FC6C5F"/>
    <w:rsid w:val="00FC6C79"/>
    <w:rsid w:val="00FC6CA6"/>
    <w:rsid w:val="00FC6E40"/>
    <w:rsid w:val="00FC6FA9"/>
    <w:rsid w:val="00FC7035"/>
    <w:rsid w:val="00FC7136"/>
    <w:rsid w:val="00FC7188"/>
    <w:rsid w:val="00FC7244"/>
    <w:rsid w:val="00FC7325"/>
    <w:rsid w:val="00FC735E"/>
    <w:rsid w:val="00FC73AB"/>
    <w:rsid w:val="00FC7455"/>
    <w:rsid w:val="00FC745F"/>
    <w:rsid w:val="00FC74CB"/>
    <w:rsid w:val="00FC75F8"/>
    <w:rsid w:val="00FC7642"/>
    <w:rsid w:val="00FC7673"/>
    <w:rsid w:val="00FC76A7"/>
    <w:rsid w:val="00FC778B"/>
    <w:rsid w:val="00FC78A8"/>
    <w:rsid w:val="00FC790F"/>
    <w:rsid w:val="00FC7914"/>
    <w:rsid w:val="00FC7B2A"/>
    <w:rsid w:val="00FC7B88"/>
    <w:rsid w:val="00FC7C17"/>
    <w:rsid w:val="00FC7C98"/>
    <w:rsid w:val="00FC7D15"/>
    <w:rsid w:val="00FC7EB5"/>
    <w:rsid w:val="00FC7EB8"/>
    <w:rsid w:val="00FC7ED1"/>
    <w:rsid w:val="00FC7EFC"/>
    <w:rsid w:val="00FC7F04"/>
    <w:rsid w:val="00FC7F23"/>
    <w:rsid w:val="00FC7F75"/>
    <w:rsid w:val="00FC7FF9"/>
    <w:rsid w:val="00FC7FFB"/>
    <w:rsid w:val="00FCB064"/>
    <w:rsid w:val="00FD00B8"/>
    <w:rsid w:val="00FD010F"/>
    <w:rsid w:val="00FD01EB"/>
    <w:rsid w:val="00FD023A"/>
    <w:rsid w:val="00FD0258"/>
    <w:rsid w:val="00FD02F0"/>
    <w:rsid w:val="00FD0308"/>
    <w:rsid w:val="00FD0352"/>
    <w:rsid w:val="00FD0418"/>
    <w:rsid w:val="00FD0465"/>
    <w:rsid w:val="00FD04B3"/>
    <w:rsid w:val="00FD056A"/>
    <w:rsid w:val="00FD06B4"/>
    <w:rsid w:val="00FD0738"/>
    <w:rsid w:val="00FD07F0"/>
    <w:rsid w:val="00FD0852"/>
    <w:rsid w:val="00FD09A5"/>
    <w:rsid w:val="00FD09EB"/>
    <w:rsid w:val="00FD0A3E"/>
    <w:rsid w:val="00FD0B89"/>
    <w:rsid w:val="00FD0BAB"/>
    <w:rsid w:val="00FD0D19"/>
    <w:rsid w:val="00FD0DAA"/>
    <w:rsid w:val="00FD0E32"/>
    <w:rsid w:val="00FD0EA6"/>
    <w:rsid w:val="00FD0EE7"/>
    <w:rsid w:val="00FD0FFC"/>
    <w:rsid w:val="00FD10BE"/>
    <w:rsid w:val="00FD1120"/>
    <w:rsid w:val="00FD1140"/>
    <w:rsid w:val="00FD1144"/>
    <w:rsid w:val="00FD11E1"/>
    <w:rsid w:val="00FD1226"/>
    <w:rsid w:val="00FD123C"/>
    <w:rsid w:val="00FD13DF"/>
    <w:rsid w:val="00FD1461"/>
    <w:rsid w:val="00FD153D"/>
    <w:rsid w:val="00FD15A9"/>
    <w:rsid w:val="00FD15CA"/>
    <w:rsid w:val="00FD1995"/>
    <w:rsid w:val="00FD1A49"/>
    <w:rsid w:val="00FD1AC7"/>
    <w:rsid w:val="00FD1ACB"/>
    <w:rsid w:val="00FD1BB5"/>
    <w:rsid w:val="00FD1C8B"/>
    <w:rsid w:val="00FD1D08"/>
    <w:rsid w:val="00FD1D67"/>
    <w:rsid w:val="00FD1D82"/>
    <w:rsid w:val="00FD1DAA"/>
    <w:rsid w:val="00FD1E7B"/>
    <w:rsid w:val="00FD1E81"/>
    <w:rsid w:val="00FD1E8B"/>
    <w:rsid w:val="00FD1EF4"/>
    <w:rsid w:val="00FD1F47"/>
    <w:rsid w:val="00FD2065"/>
    <w:rsid w:val="00FD20A8"/>
    <w:rsid w:val="00FD2144"/>
    <w:rsid w:val="00FD2188"/>
    <w:rsid w:val="00FD2284"/>
    <w:rsid w:val="00FD22C5"/>
    <w:rsid w:val="00FD2352"/>
    <w:rsid w:val="00FD2379"/>
    <w:rsid w:val="00FD23BE"/>
    <w:rsid w:val="00FD25A2"/>
    <w:rsid w:val="00FD25D8"/>
    <w:rsid w:val="00FD2606"/>
    <w:rsid w:val="00FD26E6"/>
    <w:rsid w:val="00FD2719"/>
    <w:rsid w:val="00FD2808"/>
    <w:rsid w:val="00FD28B9"/>
    <w:rsid w:val="00FD2918"/>
    <w:rsid w:val="00FD2AE7"/>
    <w:rsid w:val="00FD2B0F"/>
    <w:rsid w:val="00FD2B2B"/>
    <w:rsid w:val="00FD2BA0"/>
    <w:rsid w:val="00FD2BC2"/>
    <w:rsid w:val="00FD2CDB"/>
    <w:rsid w:val="00FD2CED"/>
    <w:rsid w:val="00FD2D2F"/>
    <w:rsid w:val="00FD2DF2"/>
    <w:rsid w:val="00FD2EF4"/>
    <w:rsid w:val="00FD313F"/>
    <w:rsid w:val="00FD322B"/>
    <w:rsid w:val="00FD3237"/>
    <w:rsid w:val="00FD3389"/>
    <w:rsid w:val="00FD341D"/>
    <w:rsid w:val="00FD3464"/>
    <w:rsid w:val="00FD3620"/>
    <w:rsid w:val="00FD3657"/>
    <w:rsid w:val="00FD367A"/>
    <w:rsid w:val="00FD3800"/>
    <w:rsid w:val="00FD38C8"/>
    <w:rsid w:val="00FD3921"/>
    <w:rsid w:val="00FD3924"/>
    <w:rsid w:val="00FD3988"/>
    <w:rsid w:val="00FD39F0"/>
    <w:rsid w:val="00FD3A19"/>
    <w:rsid w:val="00FD3AA2"/>
    <w:rsid w:val="00FD3AB9"/>
    <w:rsid w:val="00FD3B44"/>
    <w:rsid w:val="00FD3B46"/>
    <w:rsid w:val="00FD3B7C"/>
    <w:rsid w:val="00FD3BBF"/>
    <w:rsid w:val="00FD3C90"/>
    <w:rsid w:val="00FD3D94"/>
    <w:rsid w:val="00FD3D98"/>
    <w:rsid w:val="00FD3E9E"/>
    <w:rsid w:val="00FD4096"/>
    <w:rsid w:val="00FD409B"/>
    <w:rsid w:val="00FD41AA"/>
    <w:rsid w:val="00FD41FD"/>
    <w:rsid w:val="00FD4289"/>
    <w:rsid w:val="00FD4371"/>
    <w:rsid w:val="00FD4434"/>
    <w:rsid w:val="00FD450A"/>
    <w:rsid w:val="00FD456B"/>
    <w:rsid w:val="00FD4784"/>
    <w:rsid w:val="00FD47FE"/>
    <w:rsid w:val="00FD49C9"/>
    <w:rsid w:val="00FD4BF2"/>
    <w:rsid w:val="00FD4C17"/>
    <w:rsid w:val="00FD4C4E"/>
    <w:rsid w:val="00FD4C8E"/>
    <w:rsid w:val="00FD4D2B"/>
    <w:rsid w:val="00FD4D7B"/>
    <w:rsid w:val="00FD4DE4"/>
    <w:rsid w:val="00FD4E21"/>
    <w:rsid w:val="00FD4E95"/>
    <w:rsid w:val="00FD4F21"/>
    <w:rsid w:val="00FD4F78"/>
    <w:rsid w:val="00FD4FA5"/>
    <w:rsid w:val="00FD508B"/>
    <w:rsid w:val="00FD50F7"/>
    <w:rsid w:val="00FD517C"/>
    <w:rsid w:val="00FD51EA"/>
    <w:rsid w:val="00FD5249"/>
    <w:rsid w:val="00FD53D4"/>
    <w:rsid w:val="00FD53F7"/>
    <w:rsid w:val="00FD5423"/>
    <w:rsid w:val="00FD5536"/>
    <w:rsid w:val="00FD55BD"/>
    <w:rsid w:val="00FD565F"/>
    <w:rsid w:val="00FD56A3"/>
    <w:rsid w:val="00FD5748"/>
    <w:rsid w:val="00FD57BA"/>
    <w:rsid w:val="00FD58FF"/>
    <w:rsid w:val="00FD5988"/>
    <w:rsid w:val="00FD5990"/>
    <w:rsid w:val="00FD5A57"/>
    <w:rsid w:val="00FD5A91"/>
    <w:rsid w:val="00FD5B08"/>
    <w:rsid w:val="00FD5B8B"/>
    <w:rsid w:val="00FD5C23"/>
    <w:rsid w:val="00FD5C3C"/>
    <w:rsid w:val="00FD5CAC"/>
    <w:rsid w:val="00FD5D4D"/>
    <w:rsid w:val="00FD5DB7"/>
    <w:rsid w:val="00FD5E22"/>
    <w:rsid w:val="00FD5E2F"/>
    <w:rsid w:val="00FD5E77"/>
    <w:rsid w:val="00FD5E9A"/>
    <w:rsid w:val="00FD5EEB"/>
    <w:rsid w:val="00FD5EFB"/>
    <w:rsid w:val="00FD6175"/>
    <w:rsid w:val="00FD61A3"/>
    <w:rsid w:val="00FD61E8"/>
    <w:rsid w:val="00FD6249"/>
    <w:rsid w:val="00FD625C"/>
    <w:rsid w:val="00FD644C"/>
    <w:rsid w:val="00FD65C0"/>
    <w:rsid w:val="00FD6641"/>
    <w:rsid w:val="00FD66D6"/>
    <w:rsid w:val="00FD66E7"/>
    <w:rsid w:val="00FD676D"/>
    <w:rsid w:val="00FD6786"/>
    <w:rsid w:val="00FD6858"/>
    <w:rsid w:val="00FD69C3"/>
    <w:rsid w:val="00FD6AC1"/>
    <w:rsid w:val="00FD6AD4"/>
    <w:rsid w:val="00FD6B4C"/>
    <w:rsid w:val="00FD6B9B"/>
    <w:rsid w:val="00FD6BD2"/>
    <w:rsid w:val="00FD6BD6"/>
    <w:rsid w:val="00FD6BD7"/>
    <w:rsid w:val="00FD6D96"/>
    <w:rsid w:val="00FD6DF3"/>
    <w:rsid w:val="00FD6DF7"/>
    <w:rsid w:val="00FD6E11"/>
    <w:rsid w:val="00FD6EBC"/>
    <w:rsid w:val="00FD6F86"/>
    <w:rsid w:val="00FD6FB2"/>
    <w:rsid w:val="00FD7004"/>
    <w:rsid w:val="00FD70A5"/>
    <w:rsid w:val="00FD7172"/>
    <w:rsid w:val="00FD7174"/>
    <w:rsid w:val="00FD728E"/>
    <w:rsid w:val="00FD7364"/>
    <w:rsid w:val="00FD73C7"/>
    <w:rsid w:val="00FD742B"/>
    <w:rsid w:val="00FD7435"/>
    <w:rsid w:val="00FD7571"/>
    <w:rsid w:val="00FD7642"/>
    <w:rsid w:val="00FD765F"/>
    <w:rsid w:val="00FD76C5"/>
    <w:rsid w:val="00FD76FE"/>
    <w:rsid w:val="00FD770C"/>
    <w:rsid w:val="00FD7740"/>
    <w:rsid w:val="00FD7837"/>
    <w:rsid w:val="00FD78D5"/>
    <w:rsid w:val="00FD7A55"/>
    <w:rsid w:val="00FD7B9A"/>
    <w:rsid w:val="00FD7C30"/>
    <w:rsid w:val="00FD7DEC"/>
    <w:rsid w:val="00FD7DF1"/>
    <w:rsid w:val="00FD7E37"/>
    <w:rsid w:val="00FD7E94"/>
    <w:rsid w:val="00FD7F6C"/>
    <w:rsid w:val="00FE002A"/>
    <w:rsid w:val="00FE0084"/>
    <w:rsid w:val="00FE010F"/>
    <w:rsid w:val="00FE0113"/>
    <w:rsid w:val="00FE012D"/>
    <w:rsid w:val="00FE0230"/>
    <w:rsid w:val="00FE0409"/>
    <w:rsid w:val="00FE0495"/>
    <w:rsid w:val="00FE04C2"/>
    <w:rsid w:val="00FE0589"/>
    <w:rsid w:val="00FE062F"/>
    <w:rsid w:val="00FE08D1"/>
    <w:rsid w:val="00FE0A3D"/>
    <w:rsid w:val="00FE0A60"/>
    <w:rsid w:val="00FE0AA7"/>
    <w:rsid w:val="00FE0ABF"/>
    <w:rsid w:val="00FE0B70"/>
    <w:rsid w:val="00FE0C71"/>
    <w:rsid w:val="00FE1009"/>
    <w:rsid w:val="00FE1166"/>
    <w:rsid w:val="00FE12EA"/>
    <w:rsid w:val="00FE130C"/>
    <w:rsid w:val="00FE1411"/>
    <w:rsid w:val="00FE14C1"/>
    <w:rsid w:val="00FE1566"/>
    <w:rsid w:val="00FE1797"/>
    <w:rsid w:val="00FE185B"/>
    <w:rsid w:val="00FE18A9"/>
    <w:rsid w:val="00FE18D5"/>
    <w:rsid w:val="00FE1B7F"/>
    <w:rsid w:val="00FE1D60"/>
    <w:rsid w:val="00FE1D8F"/>
    <w:rsid w:val="00FE1E76"/>
    <w:rsid w:val="00FE1F24"/>
    <w:rsid w:val="00FE1F25"/>
    <w:rsid w:val="00FE1FD8"/>
    <w:rsid w:val="00FE1FEC"/>
    <w:rsid w:val="00FE1FF1"/>
    <w:rsid w:val="00FE1FF6"/>
    <w:rsid w:val="00FE200B"/>
    <w:rsid w:val="00FE2205"/>
    <w:rsid w:val="00FE234D"/>
    <w:rsid w:val="00FE24E5"/>
    <w:rsid w:val="00FE252D"/>
    <w:rsid w:val="00FE253A"/>
    <w:rsid w:val="00FE25A3"/>
    <w:rsid w:val="00FE2638"/>
    <w:rsid w:val="00FE2673"/>
    <w:rsid w:val="00FE275B"/>
    <w:rsid w:val="00FE27C2"/>
    <w:rsid w:val="00FE27DA"/>
    <w:rsid w:val="00FE2822"/>
    <w:rsid w:val="00FE2871"/>
    <w:rsid w:val="00FE293A"/>
    <w:rsid w:val="00FE2B02"/>
    <w:rsid w:val="00FE2B4B"/>
    <w:rsid w:val="00FE2C66"/>
    <w:rsid w:val="00FE2D33"/>
    <w:rsid w:val="00FE2D62"/>
    <w:rsid w:val="00FE2E22"/>
    <w:rsid w:val="00FE2E68"/>
    <w:rsid w:val="00FE2E6F"/>
    <w:rsid w:val="00FE2EF2"/>
    <w:rsid w:val="00FE30F7"/>
    <w:rsid w:val="00FE3135"/>
    <w:rsid w:val="00FE315F"/>
    <w:rsid w:val="00FE3193"/>
    <w:rsid w:val="00FE31EA"/>
    <w:rsid w:val="00FE3359"/>
    <w:rsid w:val="00FE33EC"/>
    <w:rsid w:val="00FE340D"/>
    <w:rsid w:val="00FE3414"/>
    <w:rsid w:val="00FE356E"/>
    <w:rsid w:val="00FE358A"/>
    <w:rsid w:val="00FE3624"/>
    <w:rsid w:val="00FE363F"/>
    <w:rsid w:val="00FE365C"/>
    <w:rsid w:val="00FE3816"/>
    <w:rsid w:val="00FE3824"/>
    <w:rsid w:val="00FE388D"/>
    <w:rsid w:val="00FE38B8"/>
    <w:rsid w:val="00FE3929"/>
    <w:rsid w:val="00FE3933"/>
    <w:rsid w:val="00FE3AEE"/>
    <w:rsid w:val="00FE3AF2"/>
    <w:rsid w:val="00FE3C24"/>
    <w:rsid w:val="00FE3C4B"/>
    <w:rsid w:val="00FE3C9C"/>
    <w:rsid w:val="00FE3D4B"/>
    <w:rsid w:val="00FE3E17"/>
    <w:rsid w:val="00FE3E57"/>
    <w:rsid w:val="00FE3EF9"/>
    <w:rsid w:val="00FE3F42"/>
    <w:rsid w:val="00FE4316"/>
    <w:rsid w:val="00FE4331"/>
    <w:rsid w:val="00FE439F"/>
    <w:rsid w:val="00FE43D5"/>
    <w:rsid w:val="00FE43DE"/>
    <w:rsid w:val="00FE454B"/>
    <w:rsid w:val="00FE464B"/>
    <w:rsid w:val="00FE4762"/>
    <w:rsid w:val="00FE4775"/>
    <w:rsid w:val="00FE478C"/>
    <w:rsid w:val="00FE47FC"/>
    <w:rsid w:val="00FE48EB"/>
    <w:rsid w:val="00FE493A"/>
    <w:rsid w:val="00FE4956"/>
    <w:rsid w:val="00FE4980"/>
    <w:rsid w:val="00FE4A14"/>
    <w:rsid w:val="00FE4B06"/>
    <w:rsid w:val="00FE4B29"/>
    <w:rsid w:val="00FE4B2E"/>
    <w:rsid w:val="00FE4C3E"/>
    <w:rsid w:val="00FE4D30"/>
    <w:rsid w:val="00FE4D4F"/>
    <w:rsid w:val="00FE5172"/>
    <w:rsid w:val="00FE51BD"/>
    <w:rsid w:val="00FE536C"/>
    <w:rsid w:val="00FE537B"/>
    <w:rsid w:val="00FE53CB"/>
    <w:rsid w:val="00FE5427"/>
    <w:rsid w:val="00FE5585"/>
    <w:rsid w:val="00FE563E"/>
    <w:rsid w:val="00FE567A"/>
    <w:rsid w:val="00FE56F3"/>
    <w:rsid w:val="00FE5743"/>
    <w:rsid w:val="00FE5795"/>
    <w:rsid w:val="00FE59CB"/>
    <w:rsid w:val="00FE59DC"/>
    <w:rsid w:val="00FE5BCF"/>
    <w:rsid w:val="00FE5C10"/>
    <w:rsid w:val="00FE5C36"/>
    <w:rsid w:val="00FE5C63"/>
    <w:rsid w:val="00FE5D90"/>
    <w:rsid w:val="00FE5DB6"/>
    <w:rsid w:val="00FE5E2E"/>
    <w:rsid w:val="00FE5EC3"/>
    <w:rsid w:val="00FE601A"/>
    <w:rsid w:val="00FE6075"/>
    <w:rsid w:val="00FE6127"/>
    <w:rsid w:val="00FE612F"/>
    <w:rsid w:val="00FE613F"/>
    <w:rsid w:val="00FE61CA"/>
    <w:rsid w:val="00FE620C"/>
    <w:rsid w:val="00FE6293"/>
    <w:rsid w:val="00FE62AB"/>
    <w:rsid w:val="00FE62B2"/>
    <w:rsid w:val="00FE62E1"/>
    <w:rsid w:val="00FE6308"/>
    <w:rsid w:val="00FE6313"/>
    <w:rsid w:val="00FE6462"/>
    <w:rsid w:val="00FE64E6"/>
    <w:rsid w:val="00FE6558"/>
    <w:rsid w:val="00FE66E5"/>
    <w:rsid w:val="00FE6702"/>
    <w:rsid w:val="00FE670F"/>
    <w:rsid w:val="00FE6721"/>
    <w:rsid w:val="00FE6727"/>
    <w:rsid w:val="00FE6819"/>
    <w:rsid w:val="00FE6856"/>
    <w:rsid w:val="00FE69A5"/>
    <w:rsid w:val="00FE6A6D"/>
    <w:rsid w:val="00FE6B7B"/>
    <w:rsid w:val="00FE6C00"/>
    <w:rsid w:val="00FE6C55"/>
    <w:rsid w:val="00FE6CA4"/>
    <w:rsid w:val="00FE6E17"/>
    <w:rsid w:val="00FE6E50"/>
    <w:rsid w:val="00FE700B"/>
    <w:rsid w:val="00FE713C"/>
    <w:rsid w:val="00FE71FD"/>
    <w:rsid w:val="00FE7217"/>
    <w:rsid w:val="00FE7282"/>
    <w:rsid w:val="00FE73A2"/>
    <w:rsid w:val="00FE7421"/>
    <w:rsid w:val="00FE7520"/>
    <w:rsid w:val="00FE75AB"/>
    <w:rsid w:val="00FE769D"/>
    <w:rsid w:val="00FE76B3"/>
    <w:rsid w:val="00FE77CB"/>
    <w:rsid w:val="00FE785E"/>
    <w:rsid w:val="00FE7892"/>
    <w:rsid w:val="00FE78DD"/>
    <w:rsid w:val="00FE78FD"/>
    <w:rsid w:val="00FE7907"/>
    <w:rsid w:val="00FE7967"/>
    <w:rsid w:val="00FE798E"/>
    <w:rsid w:val="00FE7B47"/>
    <w:rsid w:val="00FE7B83"/>
    <w:rsid w:val="00FE7C64"/>
    <w:rsid w:val="00FE7C8A"/>
    <w:rsid w:val="00FE7D0E"/>
    <w:rsid w:val="00FE7D6E"/>
    <w:rsid w:val="00FE7D7F"/>
    <w:rsid w:val="00FE7E84"/>
    <w:rsid w:val="00FE7EBC"/>
    <w:rsid w:val="00FE7F26"/>
    <w:rsid w:val="00FE7F3A"/>
    <w:rsid w:val="00FE7F59"/>
    <w:rsid w:val="00FE7F91"/>
    <w:rsid w:val="00FE7FB3"/>
    <w:rsid w:val="00FF003F"/>
    <w:rsid w:val="00FF0223"/>
    <w:rsid w:val="00FF0274"/>
    <w:rsid w:val="00FF0328"/>
    <w:rsid w:val="00FF0347"/>
    <w:rsid w:val="00FF038F"/>
    <w:rsid w:val="00FF04B3"/>
    <w:rsid w:val="00FF04DF"/>
    <w:rsid w:val="00FF05A4"/>
    <w:rsid w:val="00FF065D"/>
    <w:rsid w:val="00FF07A5"/>
    <w:rsid w:val="00FF0801"/>
    <w:rsid w:val="00FF0B29"/>
    <w:rsid w:val="00FF0B92"/>
    <w:rsid w:val="00FF0BFD"/>
    <w:rsid w:val="00FF0CD1"/>
    <w:rsid w:val="00FF0DA1"/>
    <w:rsid w:val="00FF0DAD"/>
    <w:rsid w:val="00FF0DE3"/>
    <w:rsid w:val="00FF0DEF"/>
    <w:rsid w:val="00FF0DF3"/>
    <w:rsid w:val="00FF0E1E"/>
    <w:rsid w:val="00FF0EB7"/>
    <w:rsid w:val="00FF1069"/>
    <w:rsid w:val="00FF1266"/>
    <w:rsid w:val="00FF135C"/>
    <w:rsid w:val="00FF139F"/>
    <w:rsid w:val="00FF1403"/>
    <w:rsid w:val="00FF143E"/>
    <w:rsid w:val="00FF1464"/>
    <w:rsid w:val="00FF1465"/>
    <w:rsid w:val="00FF1567"/>
    <w:rsid w:val="00FF15AA"/>
    <w:rsid w:val="00FF15CF"/>
    <w:rsid w:val="00FF1677"/>
    <w:rsid w:val="00FF16A6"/>
    <w:rsid w:val="00FF16B0"/>
    <w:rsid w:val="00FF16C9"/>
    <w:rsid w:val="00FF16CC"/>
    <w:rsid w:val="00FF1700"/>
    <w:rsid w:val="00FF17CA"/>
    <w:rsid w:val="00FF17F0"/>
    <w:rsid w:val="00FF1825"/>
    <w:rsid w:val="00FF18BE"/>
    <w:rsid w:val="00FF1B7D"/>
    <w:rsid w:val="00FF1C9D"/>
    <w:rsid w:val="00FF1DEF"/>
    <w:rsid w:val="00FF1E7D"/>
    <w:rsid w:val="00FF1F03"/>
    <w:rsid w:val="00FF1F62"/>
    <w:rsid w:val="00FF1FB9"/>
    <w:rsid w:val="00FF1FDE"/>
    <w:rsid w:val="00FF2081"/>
    <w:rsid w:val="00FF2215"/>
    <w:rsid w:val="00FF2331"/>
    <w:rsid w:val="00FF2400"/>
    <w:rsid w:val="00FF24CE"/>
    <w:rsid w:val="00FF255F"/>
    <w:rsid w:val="00FF2669"/>
    <w:rsid w:val="00FF26A9"/>
    <w:rsid w:val="00FF26B8"/>
    <w:rsid w:val="00FF26C0"/>
    <w:rsid w:val="00FF27D1"/>
    <w:rsid w:val="00FF27E7"/>
    <w:rsid w:val="00FF2953"/>
    <w:rsid w:val="00FF2A57"/>
    <w:rsid w:val="00FF2AAB"/>
    <w:rsid w:val="00FF2ADC"/>
    <w:rsid w:val="00FF2BAC"/>
    <w:rsid w:val="00FF2D0E"/>
    <w:rsid w:val="00FF2D1B"/>
    <w:rsid w:val="00FF2D25"/>
    <w:rsid w:val="00FF2D31"/>
    <w:rsid w:val="00FF2E80"/>
    <w:rsid w:val="00FF2F10"/>
    <w:rsid w:val="00FF2FC7"/>
    <w:rsid w:val="00FF30DA"/>
    <w:rsid w:val="00FF3189"/>
    <w:rsid w:val="00FF32F7"/>
    <w:rsid w:val="00FF3302"/>
    <w:rsid w:val="00FF334B"/>
    <w:rsid w:val="00FF345B"/>
    <w:rsid w:val="00FF34FB"/>
    <w:rsid w:val="00FF350D"/>
    <w:rsid w:val="00FF3524"/>
    <w:rsid w:val="00FF35B6"/>
    <w:rsid w:val="00FF3600"/>
    <w:rsid w:val="00FF36BC"/>
    <w:rsid w:val="00FF36C5"/>
    <w:rsid w:val="00FF36FC"/>
    <w:rsid w:val="00FF376A"/>
    <w:rsid w:val="00FF37B8"/>
    <w:rsid w:val="00FF38FE"/>
    <w:rsid w:val="00FF393B"/>
    <w:rsid w:val="00FF397C"/>
    <w:rsid w:val="00FF3BC0"/>
    <w:rsid w:val="00FF3D2F"/>
    <w:rsid w:val="00FF3DF3"/>
    <w:rsid w:val="00FF3EBC"/>
    <w:rsid w:val="00FF3F44"/>
    <w:rsid w:val="00FF4012"/>
    <w:rsid w:val="00FF40F3"/>
    <w:rsid w:val="00FF4157"/>
    <w:rsid w:val="00FF41BF"/>
    <w:rsid w:val="00FF41C5"/>
    <w:rsid w:val="00FF43B7"/>
    <w:rsid w:val="00FF440F"/>
    <w:rsid w:val="00FF460F"/>
    <w:rsid w:val="00FF49D4"/>
    <w:rsid w:val="00FF4B48"/>
    <w:rsid w:val="00FF4BA2"/>
    <w:rsid w:val="00FF4CD1"/>
    <w:rsid w:val="00FF4DA7"/>
    <w:rsid w:val="00FF4DD6"/>
    <w:rsid w:val="00FF4E17"/>
    <w:rsid w:val="00FF4E35"/>
    <w:rsid w:val="00FF4E39"/>
    <w:rsid w:val="00FF4E7B"/>
    <w:rsid w:val="00FF4EEB"/>
    <w:rsid w:val="00FF4F75"/>
    <w:rsid w:val="00FF4FAF"/>
    <w:rsid w:val="00FF4FDA"/>
    <w:rsid w:val="00FF50B9"/>
    <w:rsid w:val="00FF520E"/>
    <w:rsid w:val="00FF5212"/>
    <w:rsid w:val="00FF522C"/>
    <w:rsid w:val="00FF5283"/>
    <w:rsid w:val="00FF528B"/>
    <w:rsid w:val="00FF5294"/>
    <w:rsid w:val="00FF5329"/>
    <w:rsid w:val="00FF53DF"/>
    <w:rsid w:val="00FF5571"/>
    <w:rsid w:val="00FF5592"/>
    <w:rsid w:val="00FF5658"/>
    <w:rsid w:val="00FF5662"/>
    <w:rsid w:val="00FF56C4"/>
    <w:rsid w:val="00FF571F"/>
    <w:rsid w:val="00FF579C"/>
    <w:rsid w:val="00FF588B"/>
    <w:rsid w:val="00FF5894"/>
    <w:rsid w:val="00FF5901"/>
    <w:rsid w:val="00FF5936"/>
    <w:rsid w:val="00FF593D"/>
    <w:rsid w:val="00FF59AA"/>
    <w:rsid w:val="00FF59CE"/>
    <w:rsid w:val="00FF5A46"/>
    <w:rsid w:val="00FF5A7C"/>
    <w:rsid w:val="00FF5AAA"/>
    <w:rsid w:val="00FF5ACD"/>
    <w:rsid w:val="00FF5BC0"/>
    <w:rsid w:val="00FF5CAC"/>
    <w:rsid w:val="00FF5CDD"/>
    <w:rsid w:val="00FF5E89"/>
    <w:rsid w:val="00FF5EB0"/>
    <w:rsid w:val="00FF5EDA"/>
    <w:rsid w:val="00FF5EE7"/>
    <w:rsid w:val="00FF5F4E"/>
    <w:rsid w:val="00FF5F69"/>
    <w:rsid w:val="00FF5FD2"/>
    <w:rsid w:val="00FF605D"/>
    <w:rsid w:val="00FF60A2"/>
    <w:rsid w:val="00FF62AF"/>
    <w:rsid w:val="00FF62D1"/>
    <w:rsid w:val="00FF630C"/>
    <w:rsid w:val="00FF6335"/>
    <w:rsid w:val="00FF6486"/>
    <w:rsid w:val="00FF64AA"/>
    <w:rsid w:val="00FF658D"/>
    <w:rsid w:val="00FF65CB"/>
    <w:rsid w:val="00FF663F"/>
    <w:rsid w:val="00FF6683"/>
    <w:rsid w:val="00FF66CA"/>
    <w:rsid w:val="00FF687D"/>
    <w:rsid w:val="00FF6945"/>
    <w:rsid w:val="00FF696A"/>
    <w:rsid w:val="00FF69C1"/>
    <w:rsid w:val="00FF6A2E"/>
    <w:rsid w:val="00FF6A4C"/>
    <w:rsid w:val="00FF6B03"/>
    <w:rsid w:val="00FF6B12"/>
    <w:rsid w:val="00FF6B29"/>
    <w:rsid w:val="00FF6B48"/>
    <w:rsid w:val="00FF6B5A"/>
    <w:rsid w:val="00FF6B89"/>
    <w:rsid w:val="00FF6BE0"/>
    <w:rsid w:val="00FF6BFA"/>
    <w:rsid w:val="00FF6CBB"/>
    <w:rsid w:val="00FF6E10"/>
    <w:rsid w:val="00FF6E26"/>
    <w:rsid w:val="00FF6F68"/>
    <w:rsid w:val="00FF705B"/>
    <w:rsid w:val="00FF70E3"/>
    <w:rsid w:val="00FF710E"/>
    <w:rsid w:val="00FF716B"/>
    <w:rsid w:val="00FF71C1"/>
    <w:rsid w:val="00FF7321"/>
    <w:rsid w:val="00FF7362"/>
    <w:rsid w:val="00FF7398"/>
    <w:rsid w:val="00FF7416"/>
    <w:rsid w:val="00FF742B"/>
    <w:rsid w:val="00FF74F9"/>
    <w:rsid w:val="00FF755C"/>
    <w:rsid w:val="00FF7893"/>
    <w:rsid w:val="00FF7ACB"/>
    <w:rsid w:val="00FF7AE1"/>
    <w:rsid w:val="00FF7AF6"/>
    <w:rsid w:val="00FF7B6F"/>
    <w:rsid w:val="00FF7D4D"/>
    <w:rsid w:val="00FF7D64"/>
    <w:rsid w:val="00FF7DA8"/>
    <w:rsid w:val="00FF7EAB"/>
    <w:rsid w:val="00FF7EBA"/>
    <w:rsid w:val="00FF7F9F"/>
    <w:rsid w:val="01059B39"/>
    <w:rsid w:val="010ADED9"/>
    <w:rsid w:val="01111D24"/>
    <w:rsid w:val="0119C8BB"/>
    <w:rsid w:val="011B4A93"/>
    <w:rsid w:val="0124815B"/>
    <w:rsid w:val="01265D41"/>
    <w:rsid w:val="012AC427"/>
    <w:rsid w:val="012D5C6A"/>
    <w:rsid w:val="012DD72F"/>
    <w:rsid w:val="012DEE22"/>
    <w:rsid w:val="012E309C"/>
    <w:rsid w:val="012F040E"/>
    <w:rsid w:val="0130DCD4"/>
    <w:rsid w:val="0134AD94"/>
    <w:rsid w:val="0134CC1C"/>
    <w:rsid w:val="013B9DF2"/>
    <w:rsid w:val="013CF102"/>
    <w:rsid w:val="013F0D57"/>
    <w:rsid w:val="013F9825"/>
    <w:rsid w:val="0140502A"/>
    <w:rsid w:val="0141F56F"/>
    <w:rsid w:val="0146345F"/>
    <w:rsid w:val="014BC861"/>
    <w:rsid w:val="01500221"/>
    <w:rsid w:val="0152B7D8"/>
    <w:rsid w:val="015DE6D6"/>
    <w:rsid w:val="0169EA0D"/>
    <w:rsid w:val="016AE99D"/>
    <w:rsid w:val="016B125F"/>
    <w:rsid w:val="016EB65C"/>
    <w:rsid w:val="016F2909"/>
    <w:rsid w:val="016FDD91"/>
    <w:rsid w:val="01721300"/>
    <w:rsid w:val="0172A4E7"/>
    <w:rsid w:val="0172BFB1"/>
    <w:rsid w:val="017FB37E"/>
    <w:rsid w:val="018443CB"/>
    <w:rsid w:val="0186A46F"/>
    <w:rsid w:val="0188ABF8"/>
    <w:rsid w:val="0189117E"/>
    <w:rsid w:val="018E533E"/>
    <w:rsid w:val="0194B2BB"/>
    <w:rsid w:val="01984B0D"/>
    <w:rsid w:val="019B4408"/>
    <w:rsid w:val="01AB8320"/>
    <w:rsid w:val="01AC1811"/>
    <w:rsid w:val="01B25B47"/>
    <w:rsid w:val="01B36393"/>
    <w:rsid w:val="01BB2B5F"/>
    <w:rsid w:val="01BB3A0E"/>
    <w:rsid w:val="01BE214E"/>
    <w:rsid w:val="01CF64ED"/>
    <w:rsid w:val="01D109F5"/>
    <w:rsid w:val="01D4DCB5"/>
    <w:rsid w:val="01DA32EE"/>
    <w:rsid w:val="01DC3A09"/>
    <w:rsid w:val="01DE0700"/>
    <w:rsid w:val="01E0D5E6"/>
    <w:rsid w:val="01E162FA"/>
    <w:rsid w:val="01E1B324"/>
    <w:rsid w:val="01E3803D"/>
    <w:rsid w:val="01E60920"/>
    <w:rsid w:val="01F0D3CF"/>
    <w:rsid w:val="02002B3B"/>
    <w:rsid w:val="020B2795"/>
    <w:rsid w:val="020EE065"/>
    <w:rsid w:val="02111E7C"/>
    <w:rsid w:val="021ACB5F"/>
    <w:rsid w:val="021D2CA4"/>
    <w:rsid w:val="0226D15B"/>
    <w:rsid w:val="02279B40"/>
    <w:rsid w:val="022A17AF"/>
    <w:rsid w:val="022CCE9D"/>
    <w:rsid w:val="022E76C6"/>
    <w:rsid w:val="02349D70"/>
    <w:rsid w:val="0234A5F6"/>
    <w:rsid w:val="0240E805"/>
    <w:rsid w:val="0241F859"/>
    <w:rsid w:val="024BFEED"/>
    <w:rsid w:val="024E7FE5"/>
    <w:rsid w:val="025074F6"/>
    <w:rsid w:val="026676D0"/>
    <w:rsid w:val="026904F8"/>
    <w:rsid w:val="026A8881"/>
    <w:rsid w:val="026BE3C0"/>
    <w:rsid w:val="026BFD73"/>
    <w:rsid w:val="026D4178"/>
    <w:rsid w:val="0272AECA"/>
    <w:rsid w:val="027579C5"/>
    <w:rsid w:val="0275EC64"/>
    <w:rsid w:val="0280F20A"/>
    <w:rsid w:val="02819C05"/>
    <w:rsid w:val="02886441"/>
    <w:rsid w:val="028D8674"/>
    <w:rsid w:val="028F0EEC"/>
    <w:rsid w:val="0291E727"/>
    <w:rsid w:val="02944E9A"/>
    <w:rsid w:val="0299EE11"/>
    <w:rsid w:val="029A2DB5"/>
    <w:rsid w:val="02A4E81B"/>
    <w:rsid w:val="02A987FB"/>
    <w:rsid w:val="02B4D3AC"/>
    <w:rsid w:val="02BACDCF"/>
    <w:rsid w:val="02BCFED8"/>
    <w:rsid w:val="02E37356"/>
    <w:rsid w:val="02E575F5"/>
    <w:rsid w:val="02FEDBB8"/>
    <w:rsid w:val="03051D2C"/>
    <w:rsid w:val="03124AE0"/>
    <w:rsid w:val="031E7933"/>
    <w:rsid w:val="0328637C"/>
    <w:rsid w:val="032C9076"/>
    <w:rsid w:val="032E5EE3"/>
    <w:rsid w:val="03332A05"/>
    <w:rsid w:val="03368BAC"/>
    <w:rsid w:val="033C8746"/>
    <w:rsid w:val="034172DF"/>
    <w:rsid w:val="03419E6E"/>
    <w:rsid w:val="0343BCE0"/>
    <w:rsid w:val="03498B8E"/>
    <w:rsid w:val="034B0384"/>
    <w:rsid w:val="035B0BBC"/>
    <w:rsid w:val="035C3C5D"/>
    <w:rsid w:val="0364F7E1"/>
    <w:rsid w:val="036A4F9B"/>
    <w:rsid w:val="0374EBB9"/>
    <w:rsid w:val="03797AFD"/>
    <w:rsid w:val="03799A36"/>
    <w:rsid w:val="0382E4A8"/>
    <w:rsid w:val="0386C29B"/>
    <w:rsid w:val="0387AD11"/>
    <w:rsid w:val="0387F820"/>
    <w:rsid w:val="038900DF"/>
    <w:rsid w:val="038CEEE5"/>
    <w:rsid w:val="039B11EA"/>
    <w:rsid w:val="039C8F3D"/>
    <w:rsid w:val="03A098B5"/>
    <w:rsid w:val="03A09AAE"/>
    <w:rsid w:val="03A41CF2"/>
    <w:rsid w:val="03AA670A"/>
    <w:rsid w:val="03ACA2C4"/>
    <w:rsid w:val="03B08B05"/>
    <w:rsid w:val="03B166AF"/>
    <w:rsid w:val="03B44C77"/>
    <w:rsid w:val="03BDB64F"/>
    <w:rsid w:val="03BF35B2"/>
    <w:rsid w:val="03C005DE"/>
    <w:rsid w:val="03C30D67"/>
    <w:rsid w:val="03C4DA63"/>
    <w:rsid w:val="03CE0999"/>
    <w:rsid w:val="03D091B3"/>
    <w:rsid w:val="03D36753"/>
    <w:rsid w:val="03D6DE98"/>
    <w:rsid w:val="03DC07F6"/>
    <w:rsid w:val="03DE0A76"/>
    <w:rsid w:val="03DF1841"/>
    <w:rsid w:val="03E5FF0D"/>
    <w:rsid w:val="03F3CC7A"/>
    <w:rsid w:val="03FCABD9"/>
    <w:rsid w:val="03FE7256"/>
    <w:rsid w:val="0401E623"/>
    <w:rsid w:val="0404287B"/>
    <w:rsid w:val="0404EF6B"/>
    <w:rsid w:val="04060968"/>
    <w:rsid w:val="04086DD0"/>
    <w:rsid w:val="040E29ED"/>
    <w:rsid w:val="04180CBF"/>
    <w:rsid w:val="04197B17"/>
    <w:rsid w:val="041983F5"/>
    <w:rsid w:val="0419A1DC"/>
    <w:rsid w:val="041A3142"/>
    <w:rsid w:val="041C8504"/>
    <w:rsid w:val="041E0317"/>
    <w:rsid w:val="0426C026"/>
    <w:rsid w:val="0427CFCA"/>
    <w:rsid w:val="042B96E2"/>
    <w:rsid w:val="042D20EA"/>
    <w:rsid w:val="04312118"/>
    <w:rsid w:val="043574BA"/>
    <w:rsid w:val="0440718F"/>
    <w:rsid w:val="0440E6FE"/>
    <w:rsid w:val="0441BA39"/>
    <w:rsid w:val="044702CC"/>
    <w:rsid w:val="044A0BD3"/>
    <w:rsid w:val="044A1AB6"/>
    <w:rsid w:val="044C1389"/>
    <w:rsid w:val="045B93F0"/>
    <w:rsid w:val="045C5A59"/>
    <w:rsid w:val="045D3ACC"/>
    <w:rsid w:val="0463FC94"/>
    <w:rsid w:val="04680FBE"/>
    <w:rsid w:val="04704203"/>
    <w:rsid w:val="0474B9F1"/>
    <w:rsid w:val="04762783"/>
    <w:rsid w:val="0478C7D5"/>
    <w:rsid w:val="047AD9E1"/>
    <w:rsid w:val="047AF13F"/>
    <w:rsid w:val="047B916A"/>
    <w:rsid w:val="0487849D"/>
    <w:rsid w:val="0488C364"/>
    <w:rsid w:val="048F4ECA"/>
    <w:rsid w:val="049193C7"/>
    <w:rsid w:val="04929269"/>
    <w:rsid w:val="049D596E"/>
    <w:rsid w:val="049F3A08"/>
    <w:rsid w:val="04A2F710"/>
    <w:rsid w:val="04A434CD"/>
    <w:rsid w:val="04A6708A"/>
    <w:rsid w:val="04A937C9"/>
    <w:rsid w:val="04B17F0F"/>
    <w:rsid w:val="04B1B942"/>
    <w:rsid w:val="04B22EF5"/>
    <w:rsid w:val="04BA6163"/>
    <w:rsid w:val="04BD256E"/>
    <w:rsid w:val="04C10EB1"/>
    <w:rsid w:val="04C2D409"/>
    <w:rsid w:val="04C63292"/>
    <w:rsid w:val="04C81100"/>
    <w:rsid w:val="04CDEF46"/>
    <w:rsid w:val="04D32006"/>
    <w:rsid w:val="04D76BC3"/>
    <w:rsid w:val="04DD6013"/>
    <w:rsid w:val="04DF242E"/>
    <w:rsid w:val="04DF7013"/>
    <w:rsid w:val="04E2E83E"/>
    <w:rsid w:val="04E88DA2"/>
    <w:rsid w:val="04FDA1E6"/>
    <w:rsid w:val="05055E33"/>
    <w:rsid w:val="050C57EA"/>
    <w:rsid w:val="0515CD39"/>
    <w:rsid w:val="05169D3D"/>
    <w:rsid w:val="051B8FDC"/>
    <w:rsid w:val="051BD119"/>
    <w:rsid w:val="051C7951"/>
    <w:rsid w:val="051CBF98"/>
    <w:rsid w:val="0521D1CA"/>
    <w:rsid w:val="0526621C"/>
    <w:rsid w:val="052A3442"/>
    <w:rsid w:val="052DC5BE"/>
    <w:rsid w:val="05324B34"/>
    <w:rsid w:val="05328106"/>
    <w:rsid w:val="0532E337"/>
    <w:rsid w:val="0537ED29"/>
    <w:rsid w:val="053A8A66"/>
    <w:rsid w:val="053C541A"/>
    <w:rsid w:val="053F55B0"/>
    <w:rsid w:val="0542254F"/>
    <w:rsid w:val="05473B54"/>
    <w:rsid w:val="05515165"/>
    <w:rsid w:val="0554AAB7"/>
    <w:rsid w:val="055AA6B3"/>
    <w:rsid w:val="055D7A80"/>
    <w:rsid w:val="05613A71"/>
    <w:rsid w:val="0565F7DC"/>
    <w:rsid w:val="0568BDFA"/>
    <w:rsid w:val="056D645A"/>
    <w:rsid w:val="056DE080"/>
    <w:rsid w:val="056EEF68"/>
    <w:rsid w:val="0580A288"/>
    <w:rsid w:val="0585A517"/>
    <w:rsid w:val="0586362C"/>
    <w:rsid w:val="058850BF"/>
    <w:rsid w:val="058867B4"/>
    <w:rsid w:val="058AB4C8"/>
    <w:rsid w:val="058CE3AD"/>
    <w:rsid w:val="059BF7F2"/>
    <w:rsid w:val="059CF49B"/>
    <w:rsid w:val="059E3239"/>
    <w:rsid w:val="05A5406F"/>
    <w:rsid w:val="05A770A0"/>
    <w:rsid w:val="05A7ED63"/>
    <w:rsid w:val="05AF202B"/>
    <w:rsid w:val="05B19024"/>
    <w:rsid w:val="05B1B9BD"/>
    <w:rsid w:val="05B3D122"/>
    <w:rsid w:val="05B661C4"/>
    <w:rsid w:val="05BDF606"/>
    <w:rsid w:val="05BF7E26"/>
    <w:rsid w:val="05C3905E"/>
    <w:rsid w:val="05CB7F34"/>
    <w:rsid w:val="05CD3A3C"/>
    <w:rsid w:val="05CE9DE2"/>
    <w:rsid w:val="05CEB068"/>
    <w:rsid w:val="05D1184C"/>
    <w:rsid w:val="05D19394"/>
    <w:rsid w:val="05D51B4B"/>
    <w:rsid w:val="05D78352"/>
    <w:rsid w:val="05E3F424"/>
    <w:rsid w:val="05EE3D0C"/>
    <w:rsid w:val="05EF0CDB"/>
    <w:rsid w:val="05EFD05F"/>
    <w:rsid w:val="05F3C3A4"/>
    <w:rsid w:val="05F69367"/>
    <w:rsid w:val="05FBC442"/>
    <w:rsid w:val="05FC79EF"/>
    <w:rsid w:val="05FEB882"/>
    <w:rsid w:val="05FF4D91"/>
    <w:rsid w:val="06028818"/>
    <w:rsid w:val="0605B3AF"/>
    <w:rsid w:val="06108CB1"/>
    <w:rsid w:val="061331E0"/>
    <w:rsid w:val="06161164"/>
    <w:rsid w:val="061BFB2C"/>
    <w:rsid w:val="061D968C"/>
    <w:rsid w:val="062286A3"/>
    <w:rsid w:val="06245D41"/>
    <w:rsid w:val="062467F9"/>
    <w:rsid w:val="062624DD"/>
    <w:rsid w:val="0628420C"/>
    <w:rsid w:val="062C826D"/>
    <w:rsid w:val="062D84C6"/>
    <w:rsid w:val="062DD161"/>
    <w:rsid w:val="06340BC6"/>
    <w:rsid w:val="063A822A"/>
    <w:rsid w:val="063C9654"/>
    <w:rsid w:val="063DB8A7"/>
    <w:rsid w:val="063F5F7D"/>
    <w:rsid w:val="0645044D"/>
    <w:rsid w:val="0647D74D"/>
    <w:rsid w:val="064873C4"/>
    <w:rsid w:val="064AF1E0"/>
    <w:rsid w:val="064B6C7D"/>
    <w:rsid w:val="065485F0"/>
    <w:rsid w:val="065884D8"/>
    <w:rsid w:val="065B46A0"/>
    <w:rsid w:val="065DE8FA"/>
    <w:rsid w:val="065EC837"/>
    <w:rsid w:val="06653B88"/>
    <w:rsid w:val="066988B1"/>
    <w:rsid w:val="066E776C"/>
    <w:rsid w:val="0671DAD7"/>
    <w:rsid w:val="06722085"/>
    <w:rsid w:val="0673EE9B"/>
    <w:rsid w:val="06742720"/>
    <w:rsid w:val="0682A3D2"/>
    <w:rsid w:val="068C1833"/>
    <w:rsid w:val="0691903A"/>
    <w:rsid w:val="06974E3B"/>
    <w:rsid w:val="0698AB9F"/>
    <w:rsid w:val="069C55C4"/>
    <w:rsid w:val="069F0A12"/>
    <w:rsid w:val="06A44E9D"/>
    <w:rsid w:val="06A77D4A"/>
    <w:rsid w:val="06A83B7A"/>
    <w:rsid w:val="06B06232"/>
    <w:rsid w:val="06B3D572"/>
    <w:rsid w:val="06BA11BA"/>
    <w:rsid w:val="06BA2CDE"/>
    <w:rsid w:val="06CA4933"/>
    <w:rsid w:val="06D2C76E"/>
    <w:rsid w:val="06DD9366"/>
    <w:rsid w:val="06DEE084"/>
    <w:rsid w:val="06E1D5EF"/>
    <w:rsid w:val="06E1F7D2"/>
    <w:rsid w:val="06E300C3"/>
    <w:rsid w:val="06E33044"/>
    <w:rsid w:val="06E462B4"/>
    <w:rsid w:val="06E8A082"/>
    <w:rsid w:val="06E95ACD"/>
    <w:rsid w:val="06EA19A7"/>
    <w:rsid w:val="06EA3D39"/>
    <w:rsid w:val="06F53564"/>
    <w:rsid w:val="06F7520D"/>
    <w:rsid w:val="070188D3"/>
    <w:rsid w:val="0706AADF"/>
    <w:rsid w:val="070FFB01"/>
    <w:rsid w:val="071008C6"/>
    <w:rsid w:val="07103D26"/>
    <w:rsid w:val="0711DB05"/>
    <w:rsid w:val="07141A18"/>
    <w:rsid w:val="07142967"/>
    <w:rsid w:val="071ACDBF"/>
    <w:rsid w:val="071BFCA2"/>
    <w:rsid w:val="07222775"/>
    <w:rsid w:val="0723ED2A"/>
    <w:rsid w:val="0724240A"/>
    <w:rsid w:val="07272AF0"/>
    <w:rsid w:val="07282EEF"/>
    <w:rsid w:val="0728667D"/>
    <w:rsid w:val="07322B20"/>
    <w:rsid w:val="073ED078"/>
    <w:rsid w:val="073F560B"/>
    <w:rsid w:val="07444A17"/>
    <w:rsid w:val="07445D92"/>
    <w:rsid w:val="07475B13"/>
    <w:rsid w:val="0752A632"/>
    <w:rsid w:val="0753299D"/>
    <w:rsid w:val="075374B0"/>
    <w:rsid w:val="0753F90F"/>
    <w:rsid w:val="075C657C"/>
    <w:rsid w:val="075D5BF1"/>
    <w:rsid w:val="075F27A3"/>
    <w:rsid w:val="0762258A"/>
    <w:rsid w:val="0764625D"/>
    <w:rsid w:val="07839FF1"/>
    <w:rsid w:val="0786BF56"/>
    <w:rsid w:val="07882B05"/>
    <w:rsid w:val="078F9FC6"/>
    <w:rsid w:val="07988587"/>
    <w:rsid w:val="079AB0CF"/>
    <w:rsid w:val="079B94D1"/>
    <w:rsid w:val="079DB1DC"/>
    <w:rsid w:val="07A53566"/>
    <w:rsid w:val="07AC62B7"/>
    <w:rsid w:val="07AFB2DC"/>
    <w:rsid w:val="07B4B5C9"/>
    <w:rsid w:val="07B824BC"/>
    <w:rsid w:val="07BDB00F"/>
    <w:rsid w:val="07BE8686"/>
    <w:rsid w:val="07C4460D"/>
    <w:rsid w:val="07C751D6"/>
    <w:rsid w:val="07CBD347"/>
    <w:rsid w:val="07CEAC40"/>
    <w:rsid w:val="07D3ED1B"/>
    <w:rsid w:val="07D766E0"/>
    <w:rsid w:val="07D84C63"/>
    <w:rsid w:val="07DB001A"/>
    <w:rsid w:val="07EAF1A3"/>
    <w:rsid w:val="07EC568E"/>
    <w:rsid w:val="07F63894"/>
    <w:rsid w:val="07FA5B84"/>
    <w:rsid w:val="0803864D"/>
    <w:rsid w:val="0804F3E1"/>
    <w:rsid w:val="08053CB7"/>
    <w:rsid w:val="080879C1"/>
    <w:rsid w:val="0808E5D2"/>
    <w:rsid w:val="080A69F9"/>
    <w:rsid w:val="08101DAA"/>
    <w:rsid w:val="0811B00F"/>
    <w:rsid w:val="0814B29B"/>
    <w:rsid w:val="08167CCE"/>
    <w:rsid w:val="081764E9"/>
    <w:rsid w:val="0817A212"/>
    <w:rsid w:val="08180ADD"/>
    <w:rsid w:val="081F707F"/>
    <w:rsid w:val="082033CD"/>
    <w:rsid w:val="0821139E"/>
    <w:rsid w:val="082C7DB2"/>
    <w:rsid w:val="082EAE2F"/>
    <w:rsid w:val="08311205"/>
    <w:rsid w:val="0833F9BE"/>
    <w:rsid w:val="08351D89"/>
    <w:rsid w:val="0839610F"/>
    <w:rsid w:val="0839E511"/>
    <w:rsid w:val="083B26CA"/>
    <w:rsid w:val="083D36DA"/>
    <w:rsid w:val="0847A7FF"/>
    <w:rsid w:val="08498473"/>
    <w:rsid w:val="084A7829"/>
    <w:rsid w:val="084CDBC8"/>
    <w:rsid w:val="084D0AB4"/>
    <w:rsid w:val="084ED8FD"/>
    <w:rsid w:val="084EFE4E"/>
    <w:rsid w:val="08578CBD"/>
    <w:rsid w:val="0861419B"/>
    <w:rsid w:val="0863556C"/>
    <w:rsid w:val="0866ADAA"/>
    <w:rsid w:val="086DEA8D"/>
    <w:rsid w:val="086EB11B"/>
    <w:rsid w:val="0873BABA"/>
    <w:rsid w:val="0873D021"/>
    <w:rsid w:val="0874D2CE"/>
    <w:rsid w:val="0875448E"/>
    <w:rsid w:val="0875881D"/>
    <w:rsid w:val="087853C3"/>
    <w:rsid w:val="0878687F"/>
    <w:rsid w:val="08787A28"/>
    <w:rsid w:val="087D16C3"/>
    <w:rsid w:val="08817521"/>
    <w:rsid w:val="088196D3"/>
    <w:rsid w:val="08838D76"/>
    <w:rsid w:val="088439E4"/>
    <w:rsid w:val="0884B350"/>
    <w:rsid w:val="0889BF8E"/>
    <w:rsid w:val="088C70FB"/>
    <w:rsid w:val="088C7F17"/>
    <w:rsid w:val="089763E7"/>
    <w:rsid w:val="0897DE12"/>
    <w:rsid w:val="0898B41C"/>
    <w:rsid w:val="089B84BD"/>
    <w:rsid w:val="08A238AF"/>
    <w:rsid w:val="08A9817C"/>
    <w:rsid w:val="08AD5F5D"/>
    <w:rsid w:val="08B81528"/>
    <w:rsid w:val="08B96559"/>
    <w:rsid w:val="08C23EFE"/>
    <w:rsid w:val="08C5199C"/>
    <w:rsid w:val="08D3BBBB"/>
    <w:rsid w:val="08DAFD23"/>
    <w:rsid w:val="08DD1B81"/>
    <w:rsid w:val="08DD2B1B"/>
    <w:rsid w:val="08DFACBB"/>
    <w:rsid w:val="08E627C7"/>
    <w:rsid w:val="08E7D3D5"/>
    <w:rsid w:val="08E9A13F"/>
    <w:rsid w:val="08ED0F30"/>
    <w:rsid w:val="08EF5731"/>
    <w:rsid w:val="08F446EB"/>
    <w:rsid w:val="08F44BA5"/>
    <w:rsid w:val="08F53B60"/>
    <w:rsid w:val="08FFC380"/>
    <w:rsid w:val="09085896"/>
    <w:rsid w:val="090A553B"/>
    <w:rsid w:val="090FB741"/>
    <w:rsid w:val="0910427B"/>
    <w:rsid w:val="09111C8A"/>
    <w:rsid w:val="091280F5"/>
    <w:rsid w:val="0912F4A0"/>
    <w:rsid w:val="0917EDA1"/>
    <w:rsid w:val="091830E2"/>
    <w:rsid w:val="091E2A55"/>
    <w:rsid w:val="0920F696"/>
    <w:rsid w:val="0923DB38"/>
    <w:rsid w:val="09274844"/>
    <w:rsid w:val="092C91EC"/>
    <w:rsid w:val="092F97CE"/>
    <w:rsid w:val="092FECCC"/>
    <w:rsid w:val="09348499"/>
    <w:rsid w:val="0941EB5F"/>
    <w:rsid w:val="094353F3"/>
    <w:rsid w:val="09512E04"/>
    <w:rsid w:val="0951D791"/>
    <w:rsid w:val="0952704E"/>
    <w:rsid w:val="09554106"/>
    <w:rsid w:val="09554C60"/>
    <w:rsid w:val="095C1E17"/>
    <w:rsid w:val="0960C3A2"/>
    <w:rsid w:val="09610FAD"/>
    <w:rsid w:val="096B1827"/>
    <w:rsid w:val="096BFD58"/>
    <w:rsid w:val="096CE69B"/>
    <w:rsid w:val="096E72A7"/>
    <w:rsid w:val="096F9AF0"/>
    <w:rsid w:val="0971ECF8"/>
    <w:rsid w:val="09749900"/>
    <w:rsid w:val="0974EA4D"/>
    <w:rsid w:val="097597EA"/>
    <w:rsid w:val="097A70F0"/>
    <w:rsid w:val="098A2B89"/>
    <w:rsid w:val="099495D1"/>
    <w:rsid w:val="0995B944"/>
    <w:rsid w:val="099BEA0D"/>
    <w:rsid w:val="099DC0E0"/>
    <w:rsid w:val="099F28B3"/>
    <w:rsid w:val="09A19274"/>
    <w:rsid w:val="09A8099F"/>
    <w:rsid w:val="09A8465D"/>
    <w:rsid w:val="09AF6DAB"/>
    <w:rsid w:val="09B35AA0"/>
    <w:rsid w:val="09B4F9A1"/>
    <w:rsid w:val="09BA9C18"/>
    <w:rsid w:val="09BCE3B8"/>
    <w:rsid w:val="09C72472"/>
    <w:rsid w:val="09CD2C40"/>
    <w:rsid w:val="09CE894F"/>
    <w:rsid w:val="09D4AD6F"/>
    <w:rsid w:val="09D78B53"/>
    <w:rsid w:val="09D92C6D"/>
    <w:rsid w:val="09DED0F7"/>
    <w:rsid w:val="09E06639"/>
    <w:rsid w:val="09E24FA8"/>
    <w:rsid w:val="09E582A3"/>
    <w:rsid w:val="09EFEBCA"/>
    <w:rsid w:val="09F00C4E"/>
    <w:rsid w:val="09F00F26"/>
    <w:rsid w:val="09F1AE49"/>
    <w:rsid w:val="09F3626E"/>
    <w:rsid w:val="09F60DEF"/>
    <w:rsid w:val="09F77C86"/>
    <w:rsid w:val="09FD324A"/>
    <w:rsid w:val="09FFC398"/>
    <w:rsid w:val="0A050E9F"/>
    <w:rsid w:val="0A052478"/>
    <w:rsid w:val="0A0BA8D1"/>
    <w:rsid w:val="0A0C49EA"/>
    <w:rsid w:val="0A0CBBC0"/>
    <w:rsid w:val="0A0CC3E8"/>
    <w:rsid w:val="0A0E1A04"/>
    <w:rsid w:val="0A0E9982"/>
    <w:rsid w:val="0A103219"/>
    <w:rsid w:val="0A19F556"/>
    <w:rsid w:val="0A1A6D7B"/>
    <w:rsid w:val="0A1E9377"/>
    <w:rsid w:val="0A281400"/>
    <w:rsid w:val="0A2B4D84"/>
    <w:rsid w:val="0A2C42CA"/>
    <w:rsid w:val="0A32ECB5"/>
    <w:rsid w:val="0A3A788F"/>
    <w:rsid w:val="0A3FDD6F"/>
    <w:rsid w:val="0A40603A"/>
    <w:rsid w:val="0A462A19"/>
    <w:rsid w:val="0A466C24"/>
    <w:rsid w:val="0A4B7855"/>
    <w:rsid w:val="0A4CC62D"/>
    <w:rsid w:val="0A5527D0"/>
    <w:rsid w:val="0A59410A"/>
    <w:rsid w:val="0A5A52D0"/>
    <w:rsid w:val="0A5E2DC9"/>
    <w:rsid w:val="0A631D8A"/>
    <w:rsid w:val="0A68ACF6"/>
    <w:rsid w:val="0A6B6B6A"/>
    <w:rsid w:val="0A6CF6A0"/>
    <w:rsid w:val="0A747BAD"/>
    <w:rsid w:val="0A7F312E"/>
    <w:rsid w:val="0A829A7A"/>
    <w:rsid w:val="0A88A8A9"/>
    <w:rsid w:val="0A92303F"/>
    <w:rsid w:val="0A92E64C"/>
    <w:rsid w:val="0A943435"/>
    <w:rsid w:val="0A954DB9"/>
    <w:rsid w:val="0A95B63B"/>
    <w:rsid w:val="0A95D33A"/>
    <w:rsid w:val="0A960E16"/>
    <w:rsid w:val="0A98595B"/>
    <w:rsid w:val="0A99AC7F"/>
    <w:rsid w:val="0A9A2EC1"/>
    <w:rsid w:val="0A9C0D08"/>
    <w:rsid w:val="0AA66E98"/>
    <w:rsid w:val="0AA9F4EA"/>
    <w:rsid w:val="0AB18F3D"/>
    <w:rsid w:val="0AB636F3"/>
    <w:rsid w:val="0ABBBB88"/>
    <w:rsid w:val="0ABE1064"/>
    <w:rsid w:val="0AC5A97E"/>
    <w:rsid w:val="0AC7192A"/>
    <w:rsid w:val="0AC9EB45"/>
    <w:rsid w:val="0ACBF2CE"/>
    <w:rsid w:val="0ACFD882"/>
    <w:rsid w:val="0AD0829C"/>
    <w:rsid w:val="0AD9997E"/>
    <w:rsid w:val="0ADF3BE7"/>
    <w:rsid w:val="0AE45F64"/>
    <w:rsid w:val="0AE4C366"/>
    <w:rsid w:val="0AE52ADC"/>
    <w:rsid w:val="0AE8FCE2"/>
    <w:rsid w:val="0AEABE58"/>
    <w:rsid w:val="0AEAD47B"/>
    <w:rsid w:val="0AECB56B"/>
    <w:rsid w:val="0AEF7460"/>
    <w:rsid w:val="0AF7A0AF"/>
    <w:rsid w:val="0B0155E8"/>
    <w:rsid w:val="0B0311BA"/>
    <w:rsid w:val="0B03AF28"/>
    <w:rsid w:val="0B06F3BC"/>
    <w:rsid w:val="0B0E5A69"/>
    <w:rsid w:val="0B11B656"/>
    <w:rsid w:val="0B14EADE"/>
    <w:rsid w:val="0B15C19C"/>
    <w:rsid w:val="0B1CFADC"/>
    <w:rsid w:val="0B1E52A6"/>
    <w:rsid w:val="0B29FB3A"/>
    <w:rsid w:val="0B2A17B3"/>
    <w:rsid w:val="0B2A4106"/>
    <w:rsid w:val="0B2FBFD4"/>
    <w:rsid w:val="0B3011FF"/>
    <w:rsid w:val="0B32EB46"/>
    <w:rsid w:val="0B3426EC"/>
    <w:rsid w:val="0B36FF0D"/>
    <w:rsid w:val="0B3775F3"/>
    <w:rsid w:val="0B3803E6"/>
    <w:rsid w:val="0B3C81AE"/>
    <w:rsid w:val="0B3CCF32"/>
    <w:rsid w:val="0B3D3477"/>
    <w:rsid w:val="0B4511FB"/>
    <w:rsid w:val="0B4CBD41"/>
    <w:rsid w:val="0B529D39"/>
    <w:rsid w:val="0B53E91D"/>
    <w:rsid w:val="0B55A869"/>
    <w:rsid w:val="0B56FF67"/>
    <w:rsid w:val="0B5E39EC"/>
    <w:rsid w:val="0B5E7299"/>
    <w:rsid w:val="0B6096FA"/>
    <w:rsid w:val="0B60A801"/>
    <w:rsid w:val="0B665ECB"/>
    <w:rsid w:val="0B6A08B4"/>
    <w:rsid w:val="0B7077A7"/>
    <w:rsid w:val="0B74B1B5"/>
    <w:rsid w:val="0B7C0A5D"/>
    <w:rsid w:val="0B7C4324"/>
    <w:rsid w:val="0B81C8C0"/>
    <w:rsid w:val="0B8260D1"/>
    <w:rsid w:val="0B84410E"/>
    <w:rsid w:val="0B87592C"/>
    <w:rsid w:val="0B881C44"/>
    <w:rsid w:val="0B88F90C"/>
    <w:rsid w:val="0B8BBF98"/>
    <w:rsid w:val="0B8CBB07"/>
    <w:rsid w:val="0B92A4DD"/>
    <w:rsid w:val="0B976D82"/>
    <w:rsid w:val="0B98A15D"/>
    <w:rsid w:val="0B9F2798"/>
    <w:rsid w:val="0B9FCC85"/>
    <w:rsid w:val="0BA20E42"/>
    <w:rsid w:val="0BA49652"/>
    <w:rsid w:val="0BAC4AA7"/>
    <w:rsid w:val="0BB44F12"/>
    <w:rsid w:val="0BB58B61"/>
    <w:rsid w:val="0BB7B950"/>
    <w:rsid w:val="0BC0D27B"/>
    <w:rsid w:val="0BC1C93B"/>
    <w:rsid w:val="0BCFAB73"/>
    <w:rsid w:val="0BD091E1"/>
    <w:rsid w:val="0BDE7643"/>
    <w:rsid w:val="0BE1DCB7"/>
    <w:rsid w:val="0BE2F580"/>
    <w:rsid w:val="0BE5FECD"/>
    <w:rsid w:val="0BE82D39"/>
    <w:rsid w:val="0BEE529D"/>
    <w:rsid w:val="0BEF2447"/>
    <w:rsid w:val="0BF15E25"/>
    <w:rsid w:val="0C12E074"/>
    <w:rsid w:val="0C14B448"/>
    <w:rsid w:val="0C150931"/>
    <w:rsid w:val="0C1DD840"/>
    <w:rsid w:val="0C1EB94F"/>
    <w:rsid w:val="0C23E2FB"/>
    <w:rsid w:val="0C242FFF"/>
    <w:rsid w:val="0C2508E4"/>
    <w:rsid w:val="0C29BF3C"/>
    <w:rsid w:val="0C2E36FB"/>
    <w:rsid w:val="0C317C56"/>
    <w:rsid w:val="0C3362AA"/>
    <w:rsid w:val="0C378234"/>
    <w:rsid w:val="0C37B32E"/>
    <w:rsid w:val="0C404C3C"/>
    <w:rsid w:val="0C409F1C"/>
    <w:rsid w:val="0C4699F2"/>
    <w:rsid w:val="0C4C4C48"/>
    <w:rsid w:val="0C4E0F24"/>
    <w:rsid w:val="0C5292D3"/>
    <w:rsid w:val="0C52C850"/>
    <w:rsid w:val="0C54AE86"/>
    <w:rsid w:val="0C5901ED"/>
    <w:rsid w:val="0C59322E"/>
    <w:rsid w:val="0C653C70"/>
    <w:rsid w:val="0C6B6D50"/>
    <w:rsid w:val="0C6EBE65"/>
    <w:rsid w:val="0C7674F0"/>
    <w:rsid w:val="0C780035"/>
    <w:rsid w:val="0C79DF95"/>
    <w:rsid w:val="0C7BCDEF"/>
    <w:rsid w:val="0C7DDE35"/>
    <w:rsid w:val="0C7F2F7F"/>
    <w:rsid w:val="0C81B81B"/>
    <w:rsid w:val="0C84656C"/>
    <w:rsid w:val="0C85E8A9"/>
    <w:rsid w:val="0C879262"/>
    <w:rsid w:val="0C8DD076"/>
    <w:rsid w:val="0C8E6EF2"/>
    <w:rsid w:val="0C8EE30D"/>
    <w:rsid w:val="0C90588A"/>
    <w:rsid w:val="0C91D8B5"/>
    <w:rsid w:val="0C931D64"/>
    <w:rsid w:val="0C95EA50"/>
    <w:rsid w:val="0C97270B"/>
    <w:rsid w:val="0C978715"/>
    <w:rsid w:val="0C9A0F40"/>
    <w:rsid w:val="0C9E9C9E"/>
    <w:rsid w:val="0CA175B4"/>
    <w:rsid w:val="0CA17782"/>
    <w:rsid w:val="0CA48900"/>
    <w:rsid w:val="0CA93A2B"/>
    <w:rsid w:val="0CABF52E"/>
    <w:rsid w:val="0CB3948F"/>
    <w:rsid w:val="0CBCCE57"/>
    <w:rsid w:val="0CC073C0"/>
    <w:rsid w:val="0CC14FAC"/>
    <w:rsid w:val="0CC6EEAE"/>
    <w:rsid w:val="0CCCF992"/>
    <w:rsid w:val="0CCD1E86"/>
    <w:rsid w:val="0CCF781B"/>
    <w:rsid w:val="0CD04B75"/>
    <w:rsid w:val="0CD26A1E"/>
    <w:rsid w:val="0CD43B92"/>
    <w:rsid w:val="0CDB53C3"/>
    <w:rsid w:val="0CDD71E3"/>
    <w:rsid w:val="0CDE779A"/>
    <w:rsid w:val="0CDFF3F0"/>
    <w:rsid w:val="0CE04028"/>
    <w:rsid w:val="0CE4A2EE"/>
    <w:rsid w:val="0CE8E6EF"/>
    <w:rsid w:val="0CE9C989"/>
    <w:rsid w:val="0CEC4309"/>
    <w:rsid w:val="0CEDDE29"/>
    <w:rsid w:val="0D01B9CE"/>
    <w:rsid w:val="0D023A32"/>
    <w:rsid w:val="0D037A97"/>
    <w:rsid w:val="0D0458E0"/>
    <w:rsid w:val="0D061F60"/>
    <w:rsid w:val="0D069642"/>
    <w:rsid w:val="0D09CF49"/>
    <w:rsid w:val="0D0A9A17"/>
    <w:rsid w:val="0D0D1154"/>
    <w:rsid w:val="0D0D4B79"/>
    <w:rsid w:val="0D0ED941"/>
    <w:rsid w:val="0D128914"/>
    <w:rsid w:val="0D174929"/>
    <w:rsid w:val="0D183482"/>
    <w:rsid w:val="0D1A9499"/>
    <w:rsid w:val="0D20FE45"/>
    <w:rsid w:val="0D25BFC2"/>
    <w:rsid w:val="0D284962"/>
    <w:rsid w:val="0D2970FA"/>
    <w:rsid w:val="0D2C730E"/>
    <w:rsid w:val="0D2E2669"/>
    <w:rsid w:val="0D381F87"/>
    <w:rsid w:val="0D43D6B6"/>
    <w:rsid w:val="0D46C95B"/>
    <w:rsid w:val="0D4EEA41"/>
    <w:rsid w:val="0D5102F9"/>
    <w:rsid w:val="0D529686"/>
    <w:rsid w:val="0D53A2B1"/>
    <w:rsid w:val="0D53B536"/>
    <w:rsid w:val="0D573F01"/>
    <w:rsid w:val="0D5AA390"/>
    <w:rsid w:val="0D69EE13"/>
    <w:rsid w:val="0D6F5204"/>
    <w:rsid w:val="0D6FC2D3"/>
    <w:rsid w:val="0D726369"/>
    <w:rsid w:val="0D78ACF6"/>
    <w:rsid w:val="0D78DE8E"/>
    <w:rsid w:val="0D79ECE7"/>
    <w:rsid w:val="0D82056A"/>
    <w:rsid w:val="0D85CF29"/>
    <w:rsid w:val="0D888A97"/>
    <w:rsid w:val="0D8918C9"/>
    <w:rsid w:val="0D8E1E8C"/>
    <w:rsid w:val="0D91BACC"/>
    <w:rsid w:val="0D99EA65"/>
    <w:rsid w:val="0DAE1D5F"/>
    <w:rsid w:val="0DB0ADEE"/>
    <w:rsid w:val="0DB79A45"/>
    <w:rsid w:val="0DB927B6"/>
    <w:rsid w:val="0DC05D17"/>
    <w:rsid w:val="0DC33293"/>
    <w:rsid w:val="0DC97C19"/>
    <w:rsid w:val="0DD00C6A"/>
    <w:rsid w:val="0DD2CFEC"/>
    <w:rsid w:val="0DD32957"/>
    <w:rsid w:val="0DD4975A"/>
    <w:rsid w:val="0DDA3BA9"/>
    <w:rsid w:val="0DDBE471"/>
    <w:rsid w:val="0DE0BA89"/>
    <w:rsid w:val="0DE171D7"/>
    <w:rsid w:val="0DE5559B"/>
    <w:rsid w:val="0DEA9167"/>
    <w:rsid w:val="0DEC6821"/>
    <w:rsid w:val="0DEDEBA7"/>
    <w:rsid w:val="0DF2B615"/>
    <w:rsid w:val="0DF8420C"/>
    <w:rsid w:val="0DFE387E"/>
    <w:rsid w:val="0E03B066"/>
    <w:rsid w:val="0E043E75"/>
    <w:rsid w:val="0E055A89"/>
    <w:rsid w:val="0E0B277E"/>
    <w:rsid w:val="0E0D5E3A"/>
    <w:rsid w:val="0E175E81"/>
    <w:rsid w:val="0E1FA010"/>
    <w:rsid w:val="0E20F420"/>
    <w:rsid w:val="0E245A99"/>
    <w:rsid w:val="0E268EB2"/>
    <w:rsid w:val="0E27C14E"/>
    <w:rsid w:val="0E2DE9F6"/>
    <w:rsid w:val="0E2E6947"/>
    <w:rsid w:val="0E33CB8E"/>
    <w:rsid w:val="0E3D3E25"/>
    <w:rsid w:val="0E3F7C7D"/>
    <w:rsid w:val="0E419368"/>
    <w:rsid w:val="0E4455D8"/>
    <w:rsid w:val="0E4BBC5F"/>
    <w:rsid w:val="0E512522"/>
    <w:rsid w:val="0E51263F"/>
    <w:rsid w:val="0E573409"/>
    <w:rsid w:val="0E57D77C"/>
    <w:rsid w:val="0E5A6B4E"/>
    <w:rsid w:val="0E63D3EF"/>
    <w:rsid w:val="0E6A12B5"/>
    <w:rsid w:val="0E6CDE61"/>
    <w:rsid w:val="0E70898F"/>
    <w:rsid w:val="0E71A67A"/>
    <w:rsid w:val="0E71A793"/>
    <w:rsid w:val="0E7247CE"/>
    <w:rsid w:val="0E76563F"/>
    <w:rsid w:val="0E78C849"/>
    <w:rsid w:val="0E7CF8AB"/>
    <w:rsid w:val="0E800B28"/>
    <w:rsid w:val="0E818D9C"/>
    <w:rsid w:val="0E86DDDF"/>
    <w:rsid w:val="0E87E67E"/>
    <w:rsid w:val="0E8E4E41"/>
    <w:rsid w:val="0E9164FF"/>
    <w:rsid w:val="0E92A709"/>
    <w:rsid w:val="0E955827"/>
    <w:rsid w:val="0E9FC86A"/>
    <w:rsid w:val="0EA73425"/>
    <w:rsid w:val="0EA91A3B"/>
    <w:rsid w:val="0EADC530"/>
    <w:rsid w:val="0EB21750"/>
    <w:rsid w:val="0EB40A31"/>
    <w:rsid w:val="0EB72C79"/>
    <w:rsid w:val="0EBAD937"/>
    <w:rsid w:val="0EBD61DA"/>
    <w:rsid w:val="0EC4BE84"/>
    <w:rsid w:val="0EC6FAED"/>
    <w:rsid w:val="0ECD8EF4"/>
    <w:rsid w:val="0ED44644"/>
    <w:rsid w:val="0ED641F9"/>
    <w:rsid w:val="0ED7F6CF"/>
    <w:rsid w:val="0EDF9813"/>
    <w:rsid w:val="0EE48929"/>
    <w:rsid w:val="0EE5A64E"/>
    <w:rsid w:val="0EECF4AB"/>
    <w:rsid w:val="0EEDC7CE"/>
    <w:rsid w:val="0EEE410E"/>
    <w:rsid w:val="0EF47F34"/>
    <w:rsid w:val="0EF4AEAC"/>
    <w:rsid w:val="0EF98573"/>
    <w:rsid w:val="0F040176"/>
    <w:rsid w:val="0F05BB9B"/>
    <w:rsid w:val="0F0DAF62"/>
    <w:rsid w:val="0F0EABDD"/>
    <w:rsid w:val="0F0F55E9"/>
    <w:rsid w:val="0F0FF140"/>
    <w:rsid w:val="0F1242E1"/>
    <w:rsid w:val="0F19F0AF"/>
    <w:rsid w:val="0F200183"/>
    <w:rsid w:val="0F2981E6"/>
    <w:rsid w:val="0F2A5806"/>
    <w:rsid w:val="0F2AE7FA"/>
    <w:rsid w:val="0F2FE254"/>
    <w:rsid w:val="0F31F1D4"/>
    <w:rsid w:val="0F404730"/>
    <w:rsid w:val="0F4096A6"/>
    <w:rsid w:val="0F40B562"/>
    <w:rsid w:val="0F471F85"/>
    <w:rsid w:val="0F48437B"/>
    <w:rsid w:val="0F4AEA7B"/>
    <w:rsid w:val="0F4DB839"/>
    <w:rsid w:val="0F4E4AF7"/>
    <w:rsid w:val="0F512CC5"/>
    <w:rsid w:val="0F576C39"/>
    <w:rsid w:val="0F5A00FF"/>
    <w:rsid w:val="0F60CFAC"/>
    <w:rsid w:val="0F61A5D9"/>
    <w:rsid w:val="0F62F923"/>
    <w:rsid w:val="0F6CCEF9"/>
    <w:rsid w:val="0F6D6EF8"/>
    <w:rsid w:val="0F6FCBB2"/>
    <w:rsid w:val="0F7109A0"/>
    <w:rsid w:val="0F71E686"/>
    <w:rsid w:val="0F724E06"/>
    <w:rsid w:val="0F73FF12"/>
    <w:rsid w:val="0F74A3D6"/>
    <w:rsid w:val="0F75ACE6"/>
    <w:rsid w:val="0F7F3305"/>
    <w:rsid w:val="0F858918"/>
    <w:rsid w:val="0F8AE05F"/>
    <w:rsid w:val="0F90706A"/>
    <w:rsid w:val="0FA1E8BB"/>
    <w:rsid w:val="0FA46221"/>
    <w:rsid w:val="0FA53944"/>
    <w:rsid w:val="0FA7CE7C"/>
    <w:rsid w:val="0FB9CB58"/>
    <w:rsid w:val="0FBB15EC"/>
    <w:rsid w:val="0FC81D06"/>
    <w:rsid w:val="0FC83DF3"/>
    <w:rsid w:val="0FC84B22"/>
    <w:rsid w:val="0FCAA48E"/>
    <w:rsid w:val="0FCEE35A"/>
    <w:rsid w:val="0FD191DA"/>
    <w:rsid w:val="0FD3ACAE"/>
    <w:rsid w:val="0FD846FA"/>
    <w:rsid w:val="0FE20AAE"/>
    <w:rsid w:val="0FE50F2E"/>
    <w:rsid w:val="0FF10A35"/>
    <w:rsid w:val="0FF37523"/>
    <w:rsid w:val="0FFF4801"/>
    <w:rsid w:val="10061A8E"/>
    <w:rsid w:val="10089562"/>
    <w:rsid w:val="100B62A5"/>
    <w:rsid w:val="101593A7"/>
    <w:rsid w:val="101872A9"/>
    <w:rsid w:val="1018E52B"/>
    <w:rsid w:val="101BEB65"/>
    <w:rsid w:val="1024D6BD"/>
    <w:rsid w:val="102575E8"/>
    <w:rsid w:val="102D173F"/>
    <w:rsid w:val="102D3B83"/>
    <w:rsid w:val="103FC18D"/>
    <w:rsid w:val="10462B46"/>
    <w:rsid w:val="10469073"/>
    <w:rsid w:val="104694E2"/>
    <w:rsid w:val="104BF44F"/>
    <w:rsid w:val="104E0435"/>
    <w:rsid w:val="104EF1A6"/>
    <w:rsid w:val="10513512"/>
    <w:rsid w:val="105387BE"/>
    <w:rsid w:val="1054BB64"/>
    <w:rsid w:val="10560100"/>
    <w:rsid w:val="105758F0"/>
    <w:rsid w:val="1057EEC7"/>
    <w:rsid w:val="10616071"/>
    <w:rsid w:val="10683E01"/>
    <w:rsid w:val="1068D109"/>
    <w:rsid w:val="10692644"/>
    <w:rsid w:val="106AA59B"/>
    <w:rsid w:val="106C564C"/>
    <w:rsid w:val="10725201"/>
    <w:rsid w:val="107A29E7"/>
    <w:rsid w:val="107F8189"/>
    <w:rsid w:val="10812B52"/>
    <w:rsid w:val="10816730"/>
    <w:rsid w:val="1082C993"/>
    <w:rsid w:val="108E12C2"/>
    <w:rsid w:val="109384D8"/>
    <w:rsid w:val="1095B27F"/>
    <w:rsid w:val="109C427B"/>
    <w:rsid w:val="109E4CB8"/>
    <w:rsid w:val="109FFB70"/>
    <w:rsid w:val="10A1A0AF"/>
    <w:rsid w:val="10CE1EDD"/>
    <w:rsid w:val="10D06ADF"/>
    <w:rsid w:val="10D0ACD0"/>
    <w:rsid w:val="10D3C5D9"/>
    <w:rsid w:val="10DC45F6"/>
    <w:rsid w:val="10DF1054"/>
    <w:rsid w:val="10E3B76B"/>
    <w:rsid w:val="10E72840"/>
    <w:rsid w:val="10E9503E"/>
    <w:rsid w:val="10EAD809"/>
    <w:rsid w:val="10EAE406"/>
    <w:rsid w:val="10F01161"/>
    <w:rsid w:val="10F17980"/>
    <w:rsid w:val="10F87F86"/>
    <w:rsid w:val="10FB3003"/>
    <w:rsid w:val="10FC976D"/>
    <w:rsid w:val="110162DE"/>
    <w:rsid w:val="11020812"/>
    <w:rsid w:val="110835F6"/>
    <w:rsid w:val="11096202"/>
    <w:rsid w:val="110E8BF5"/>
    <w:rsid w:val="111002D0"/>
    <w:rsid w:val="1112D637"/>
    <w:rsid w:val="111480BE"/>
    <w:rsid w:val="111C7C53"/>
    <w:rsid w:val="111FCF58"/>
    <w:rsid w:val="11201DA7"/>
    <w:rsid w:val="11259853"/>
    <w:rsid w:val="112C40D7"/>
    <w:rsid w:val="112FDD15"/>
    <w:rsid w:val="11381757"/>
    <w:rsid w:val="11382195"/>
    <w:rsid w:val="1139E76A"/>
    <w:rsid w:val="113DAB1A"/>
    <w:rsid w:val="113DB777"/>
    <w:rsid w:val="1144B97E"/>
    <w:rsid w:val="1151F5BF"/>
    <w:rsid w:val="11521375"/>
    <w:rsid w:val="11528CC8"/>
    <w:rsid w:val="11543959"/>
    <w:rsid w:val="11583765"/>
    <w:rsid w:val="115CADC1"/>
    <w:rsid w:val="1167AA9D"/>
    <w:rsid w:val="1167EC9B"/>
    <w:rsid w:val="1168388D"/>
    <w:rsid w:val="11695BB9"/>
    <w:rsid w:val="116F164F"/>
    <w:rsid w:val="1172A6F7"/>
    <w:rsid w:val="1175FC42"/>
    <w:rsid w:val="11767F3C"/>
    <w:rsid w:val="11798D7E"/>
    <w:rsid w:val="117D4073"/>
    <w:rsid w:val="117F070F"/>
    <w:rsid w:val="1184A804"/>
    <w:rsid w:val="1186BB82"/>
    <w:rsid w:val="118AB7F3"/>
    <w:rsid w:val="118BA462"/>
    <w:rsid w:val="118E79C5"/>
    <w:rsid w:val="118FC710"/>
    <w:rsid w:val="11969AFF"/>
    <w:rsid w:val="1196AE8C"/>
    <w:rsid w:val="1199C4B5"/>
    <w:rsid w:val="119B6257"/>
    <w:rsid w:val="119BAAC2"/>
    <w:rsid w:val="119C1457"/>
    <w:rsid w:val="11A05369"/>
    <w:rsid w:val="11A06574"/>
    <w:rsid w:val="11A0ACA9"/>
    <w:rsid w:val="11A1073B"/>
    <w:rsid w:val="11A1BCFC"/>
    <w:rsid w:val="11A369B0"/>
    <w:rsid w:val="11A4882F"/>
    <w:rsid w:val="11A6827F"/>
    <w:rsid w:val="11A7C093"/>
    <w:rsid w:val="11A924E1"/>
    <w:rsid w:val="11AAF6C7"/>
    <w:rsid w:val="11B2E4D6"/>
    <w:rsid w:val="11B5FCC5"/>
    <w:rsid w:val="11D6949D"/>
    <w:rsid w:val="11D73705"/>
    <w:rsid w:val="11DC0748"/>
    <w:rsid w:val="11DC38C9"/>
    <w:rsid w:val="11DE6382"/>
    <w:rsid w:val="11E11F6A"/>
    <w:rsid w:val="11E6B7FA"/>
    <w:rsid w:val="11E7796A"/>
    <w:rsid w:val="11E97042"/>
    <w:rsid w:val="11EA3110"/>
    <w:rsid w:val="11F3F4C5"/>
    <w:rsid w:val="11FA9300"/>
    <w:rsid w:val="11FCB290"/>
    <w:rsid w:val="1205150E"/>
    <w:rsid w:val="12052BFB"/>
    <w:rsid w:val="120711D6"/>
    <w:rsid w:val="120AE67F"/>
    <w:rsid w:val="120E09AE"/>
    <w:rsid w:val="1217C1F8"/>
    <w:rsid w:val="121D74A0"/>
    <w:rsid w:val="122ABABE"/>
    <w:rsid w:val="122C3487"/>
    <w:rsid w:val="122D66B4"/>
    <w:rsid w:val="122F4F2F"/>
    <w:rsid w:val="1234709B"/>
    <w:rsid w:val="12382AE1"/>
    <w:rsid w:val="1240ACF1"/>
    <w:rsid w:val="1244E50D"/>
    <w:rsid w:val="1246FC13"/>
    <w:rsid w:val="1249C249"/>
    <w:rsid w:val="124D8DD6"/>
    <w:rsid w:val="124DE71A"/>
    <w:rsid w:val="124FB213"/>
    <w:rsid w:val="1250D5A7"/>
    <w:rsid w:val="12552FBC"/>
    <w:rsid w:val="1258B7EC"/>
    <w:rsid w:val="12593B7D"/>
    <w:rsid w:val="12594A56"/>
    <w:rsid w:val="125F58EF"/>
    <w:rsid w:val="1260DFF5"/>
    <w:rsid w:val="12648015"/>
    <w:rsid w:val="126A1085"/>
    <w:rsid w:val="126A880F"/>
    <w:rsid w:val="126BE8B9"/>
    <w:rsid w:val="126FAFE2"/>
    <w:rsid w:val="12750E4A"/>
    <w:rsid w:val="1280E81A"/>
    <w:rsid w:val="128FB090"/>
    <w:rsid w:val="129786D9"/>
    <w:rsid w:val="129E2926"/>
    <w:rsid w:val="12A0B80C"/>
    <w:rsid w:val="12A15CBD"/>
    <w:rsid w:val="12AB3174"/>
    <w:rsid w:val="12B18D3E"/>
    <w:rsid w:val="12B6EF32"/>
    <w:rsid w:val="12B6FA9E"/>
    <w:rsid w:val="12C3E24C"/>
    <w:rsid w:val="12C68E75"/>
    <w:rsid w:val="12C8DA0D"/>
    <w:rsid w:val="12D0DCA0"/>
    <w:rsid w:val="12D26B8F"/>
    <w:rsid w:val="12D82439"/>
    <w:rsid w:val="12ED6846"/>
    <w:rsid w:val="12F3B072"/>
    <w:rsid w:val="12F472F7"/>
    <w:rsid w:val="1301F0C7"/>
    <w:rsid w:val="130B5E2B"/>
    <w:rsid w:val="130D54C1"/>
    <w:rsid w:val="131BCF9C"/>
    <w:rsid w:val="131C3A7A"/>
    <w:rsid w:val="131F0086"/>
    <w:rsid w:val="13213979"/>
    <w:rsid w:val="1322896D"/>
    <w:rsid w:val="13237CF1"/>
    <w:rsid w:val="1324B1CD"/>
    <w:rsid w:val="132505FB"/>
    <w:rsid w:val="1327D33E"/>
    <w:rsid w:val="132C6722"/>
    <w:rsid w:val="132E8F5B"/>
    <w:rsid w:val="132F5941"/>
    <w:rsid w:val="132FED51"/>
    <w:rsid w:val="1335640F"/>
    <w:rsid w:val="133B0823"/>
    <w:rsid w:val="133BB7BE"/>
    <w:rsid w:val="133C3012"/>
    <w:rsid w:val="133ED1A3"/>
    <w:rsid w:val="13404E65"/>
    <w:rsid w:val="1341494C"/>
    <w:rsid w:val="134441AA"/>
    <w:rsid w:val="13473D26"/>
    <w:rsid w:val="134AFCF5"/>
    <w:rsid w:val="1358106F"/>
    <w:rsid w:val="13619B2B"/>
    <w:rsid w:val="1361BEC9"/>
    <w:rsid w:val="1363C2A8"/>
    <w:rsid w:val="13643787"/>
    <w:rsid w:val="1364B200"/>
    <w:rsid w:val="136551CE"/>
    <w:rsid w:val="13671C5B"/>
    <w:rsid w:val="136D9822"/>
    <w:rsid w:val="136E3701"/>
    <w:rsid w:val="137088B5"/>
    <w:rsid w:val="1372DE66"/>
    <w:rsid w:val="13735AB1"/>
    <w:rsid w:val="137502D7"/>
    <w:rsid w:val="137A27F4"/>
    <w:rsid w:val="137D9841"/>
    <w:rsid w:val="1385E839"/>
    <w:rsid w:val="1387E642"/>
    <w:rsid w:val="13919A22"/>
    <w:rsid w:val="13923391"/>
    <w:rsid w:val="1393AF7A"/>
    <w:rsid w:val="1394CAE3"/>
    <w:rsid w:val="1395CF7F"/>
    <w:rsid w:val="1399FE43"/>
    <w:rsid w:val="139B0932"/>
    <w:rsid w:val="139B2AD1"/>
    <w:rsid w:val="13A1EB47"/>
    <w:rsid w:val="13A29816"/>
    <w:rsid w:val="13AF035E"/>
    <w:rsid w:val="13AFD0A2"/>
    <w:rsid w:val="13B0290A"/>
    <w:rsid w:val="13B61745"/>
    <w:rsid w:val="13BB39D8"/>
    <w:rsid w:val="13BC8116"/>
    <w:rsid w:val="13BD1E46"/>
    <w:rsid w:val="13C4856D"/>
    <w:rsid w:val="13C4EED9"/>
    <w:rsid w:val="13D31B2D"/>
    <w:rsid w:val="13D5C298"/>
    <w:rsid w:val="13D92AFB"/>
    <w:rsid w:val="13DE279D"/>
    <w:rsid w:val="13E51B9D"/>
    <w:rsid w:val="13E904FE"/>
    <w:rsid w:val="13EB96B1"/>
    <w:rsid w:val="13EF14D0"/>
    <w:rsid w:val="13F58F27"/>
    <w:rsid w:val="13F977D2"/>
    <w:rsid w:val="13FC6977"/>
    <w:rsid w:val="14003CA4"/>
    <w:rsid w:val="14071544"/>
    <w:rsid w:val="140A18EF"/>
    <w:rsid w:val="140A64FD"/>
    <w:rsid w:val="141681DC"/>
    <w:rsid w:val="141A0BE7"/>
    <w:rsid w:val="142C6B2E"/>
    <w:rsid w:val="142E9BD8"/>
    <w:rsid w:val="142EE436"/>
    <w:rsid w:val="14313E8D"/>
    <w:rsid w:val="143421D0"/>
    <w:rsid w:val="1438D162"/>
    <w:rsid w:val="143E8328"/>
    <w:rsid w:val="144D1EC4"/>
    <w:rsid w:val="14563DD4"/>
    <w:rsid w:val="145BB272"/>
    <w:rsid w:val="14621C24"/>
    <w:rsid w:val="146EA239"/>
    <w:rsid w:val="14718B8E"/>
    <w:rsid w:val="14730534"/>
    <w:rsid w:val="1477F2DF"/>
    <w:rsid w:val="1479FD2C"/>
    <w:rsid w:val="147A611E"/>
    <w:rsid w:val="147BF66B"/>
    <w:rsid w:val="147C0699"/>
    <w:rsid w:val="147CE673"/>
    <w:rsid w:val="147DC446"/>
    <w:rsid w:val="1488C3C5"/>
    <w:rsid w:val="148BA84E"/>
    <w:rsid w:val="148F5B20"/>
    <w:rsid w:val="14928087"/>
    <w:rsid w:val="14954006"/>
    <w:rsid w:val="14975289"/>
    <w:rsid w:val="149C9F6C"/>
    <w:rsid w:val="14A572D3"/>
    <w:rsid w:val="14A7E7E5"/>
    <w:rsid w:val="14AC1110"/>
    <w:rsid w:val="14AC9592"/>
    <w:rsid w:val="14B05FC2"/>
    <w:rsid w:val="14B6E3D0"/>
    <w:rsid w:val="14B9363D"/>
    <w:rsid w:val="14B9BC77"/>
    <w:rsid w:val="14BDEBEC"/>
    <w:rsid w:val="14C47C71"/>
    <w:rsid w:val="14C5442D"/>
    <w:rsid w:val="14C9161F"/>
    <w:rsid w:val="14CCA83C"/>
    <w:rsid w:val="14CD1C99"/>
    <w:rsid w:val="14DE8D57"/>
    <w:rsid w:val="14DF0F0E"/>
    <w:rsid w:val="14E5123F"/>
    <w:rsid w:val="14EC0174"/>
    <w:rsid w:val="14EEAA4C"/>
    <w:rsid w:val="14F54F58"/>
    <w:rsid w:val="14F66D3D"/>
    <w:rsid w:val="14F68475"/>
    <w:rsid w:val="14F9A144"/>
    <w:rsid w:val="14FBF39E"/>
    <w:rsid w:val="14FCCBE6"/>
    <w:rsid w:val="14FE5658"/>
    <w:rsid w:val="15076EEC"/>
    <w:rsid w:val="15081B28"/>
    <w:rsid w:val="150FA534"/>
    <w:rsid w:val="151C1649"/>
    <w:rsid w:val="1527034D"/>
    <w:rsid w:val="152B325D"/>
    <w:rsid w:val="153111CB"/>
    <w:rsid w:val="15344025"/>
    <w:rsid w:val="153C4AB8"/>
    <w:rsid w:val="1541DCAB"/>
    <w:rsid w:val="154226DA"/>
    <w:rsid w:val="1542FFEE"/>
    <w:rsid w:val="15457968"/>
    <w:rsid w:val="15481B3E"/>
    <w:rsid w:val="1551526D"/>
    <w:rsid w:val="1557399B"/>
    <w:rsid w:val="15621455"/>
    <w:rsid w:val="156D3A6E"/>
    <w:rsid w:val="156F0D12"/>
    <w:rsid w:val="15729512"/>
    <w:rsid w:val="157A5387"/>
    <w:rsid w:val="1580BAEE"/>
    <w:rsid w:val="15838A1E"/>
    <w:rsid w:val="15873552"/>
    <w:rsid w:val="158B3368"/>
    <w:rsid w:val="158BD9F9"/>
    <w:rsid w:val="158C3E5B"/>
    <w:rsid w:val="1596DE78"/>
    <w:rsid w:val="1598877C"/>
    <w:rsid w:val="159A459F"/>
    <w:rsid w:val="159EC038"/>
    <w:rsid w:val="15A27AA5"/>
    <w:rsid w:val="15A434F7"/>
    <w:rsid w:val="15A5886A"/>
    <w:rsid w:val="15A6F2C2"/>
    <w:rsid w:val="15A8298F"/>
    <w:rsid w:val="15AACE9C"/>
    <w:rsid w:val="15AD8E7A"/>
    <w:rsid w:val="15B4D238"/>
    <w:rsid w:val="15B7DD30"/>
    <w:rsid w:val="15BBDEE8"/>
    <w:rsid w:val="15BE52D6"/>
    <w:rsid w:val="15C6A95A"/>
    <w:rsid w:val="15C707ED"/>
    <w:rsid w:val="15C76975"/>
    <w:rsid w:val="15D347E9"/>
    <w:rsid w:val="15DABF93"/>
    <w:rsid w:val="15DBD9A4"/>
    <w:rsid w:val="15DC4FA1"/>
    <w:rsid w:val="15DDF9AE"/>
    <w:rsid w:val="15DF7A85"/>
    <w:rsid w:val="15E0ADC0"/>
    <w:rsid w:val="15E4DE7A"/>
    <w:rsid w:val="15E5CBC1"/>
    <w:rsid w:val="15E9103F"/>
    <w:rsid w:val="15EBE4D6"/>
    <w:rsid w:val="15EDB16A"/>
    <w:rsid w:val="15F244AD"/>
    <w:rsid w:val="15F37666"/>
    <w:rsid w:val="15F58F81"/>
    <w:rsid w:val="15F73659"/>
    <w:rsid w:val="15F898B4"/>
    <w:rsid w:val="15F9C49B"/>
    <w:rsid w:val="15FA5CD0"/>
    <w:rsid w:val="15FC809A"/>
    <w:rsid w:val="15FCE12F"/>
    <w:rsid w:val="15FF278E"/>
    <w:rsid w:val="1602BE05"/>
    <w:rsid w:val="1603AEC9"/>
    <w:rsid w:val="1607E247"/>
    <w:rsid w:val="16092537"/>
    <w:rsid w:val="16093DE4"/>
    <w:rsid w:val="160AC7DD"/>
    <w:rsid w:val="160D78C3"/>
    <w:rsid w:val="16100C81"/>
    <w:rsid w:val="16118816"/>
    <w:rsid w:val="161317FF"/>
    <w:rsid w:val="1617DF59"/>
    <w:rsid w:val="161A592F"/>
    <w:rsid w:val="161E77AD"/>
    <w:rsid w:val="1626703F"/>
    <w:rsid w:val="162A6E32"/>
    <w:rsid w:val="162CE74B"/>
    <w:rsid w:val="16301CA4"/>
    <w:rsid w:val="16305FBB"/>
    <w:rsid w:val="16314526"/>
    <w:rsid w:val="16315975"/>
    <w:rsid w:val="1631B701"/>
    <w:rsid w:val="1637C621"/>
    <w:rsid w:val="1638DC35"/>
    <w:rsid w:val="163FF835"/>
    <w:rsid w:val="1645401D"/>
    <w:rsid w:val="1655FA7F"/>
    <w:rsid w:val="16560141"/>
    <w:rsid w:val="165A9AAA"/>
    <w:rsid w:val="16602BD2"/>
    <w:rsid w:val="16610C1E"/>
    <w:rsid w:val="16686F16"/>
    <w:rsid w:val="16691019"/>
    <w:rsid w:val="1669625D"/>
    <w:rsid w:val="166BE3ED"/>
    <w:rsid w:val="167735A2"/>
    <w:rsid w:val="167803EB"/>
    <w:rsid w:val="1679C7AE"/>
    <w:rsid w:val="167A867C"/>
    <w:rsid w:val="167DD402"/>
    <w:rsid w:val="16879BD2"/>
    <w:rsid w:val="1687DC9B"/>
    <w:rsid w:val="169347AB"/>
    <w:rsid w:val="169369C4"/>
    <w:rsid w:val="169409F0"/>
    <w:rsid w:val="16973562"/>
    <w:rsid w:val="1697CC8A"/>
    <w:rsid w:val="169800D1"/>
    <w:rsid w:val="16A152E5"/>
    <w:rsid w:val="16A1E471"/>
    <w:rsid w:val="16A3403E"/>
    <w:rsid w:val="16A6A2E3"/>
    <w:rsid w:val="16AC86B8"/>
    <w:rsid w:val="16AD191A"/>
    <w:rsid w:val="16AF2FAA"/>
    <w:rsid w:val="16B00CDE"/>
    <w:rsid w:val="16B52A21"/>
    <w:rsid w:val="16B835D3"/>
    <w:rsid w:val="16C2DF23"/>
    <w:rsid w:val="16C3984C"/>
    <w:rsid w:val="16C4000B"/>
    <w:rsid w:val="16C5A3F9"/>
    <w:rsid w:val="16D431F3"/>
    <w:rsid w:val="16D7386B"/>
    <w:rsid w:val="16D9EBBA"/>
    <w:rsid w:val="16DAFCF7"/>
    <w:rsid w:val="16DD773E"/>
    <w:rsid w:val="16DF2449"/>
    <w:rsid w:val="16E2B837"/>
    <w:rsid w:val="16E7E9F2"/>
    <w:rsid w:val="16EE0627"/>
    <w:rsid w:val="16EEFB24"/>
    <w:rsid w:val="16EF5445"/>
    <w:rsid w:val="16F348E6"/>
    <w:rsid w:val="17126FB8"/>
    <w:rsid w:val="1719AC84"/>
    <w:rsid w:val="171B156E"/>
    <w:rsid w:val="171F1312"/>
    <w:rsid w:val="172000C1"/>
    <w:rsid w:val="172265C6"/>
    <w:rsid w:val="1724F9C7"/>
    <w:rsid w:val="1724FF54"/>
    <w:rsid w:val="17274E6D"/>
    <w:rsid w:val="172803B5"/>
    <w:rsid w:val="172CBDE0"/>
    <w:rsid w:val="173128AB"/>
    <w:rsid w:val="1737BE29"/>
    <w:rsid w:val="173EB17D"/>
    <w:rsid w:val="174178B0"/>
    <w:rsid w:val="1745C2F4"/>
    <w:rsid w:val="1748895E"/>
    <w:rsid w:val="175187E3"/>
    <w:rsid w:val="17582257"/>
    <w:rsid w:val="175A3B0B"/>
    <w:rsid w:val="175A478D"/>
    <w:rsid w:val="17754158"/>
    <w:rsid w:val="177F051C"/>
    <w:rsid w:val="1783157D"/>
    <w:rsid w:val="178475F7"/>
    <w:rsid w:val="1786B96B"/>
    <w:rsid w:val="17883EFB"/>
    <w:rsid w:val="178DD7B3"/>
    <w:rsid w:val="17969310"/>
    <w:rsid w:val="179A70D7"/>
    <w:rsid w:val="179C93B4"/>
    <w:rsid w:val="17A58AF3"/>
    <w:rsid w:val="17B0B412"/>
    <w:rsid w:val="17B0E677"/>
    <w:rsid w:val="17B36FC0"/>
    <w:rsid w:val="17B40578"/>
    <w:rsid w:val="17B502D2"/>
    <w:rsid w:val="17B60D33"/>
    <w:rsid w:val="17B62578"/>
    <w:rsid w:val="17B76B17"/>
    <w:rsid w:val="17B79D10"/>
    <w:rsid w:val="17B79FAF"/>
    <w:rsid w:val="17B9EF68"/>
    <w:rsid w:val="17BB10CC"/>
    <w:rsid w:val="17C08BAD"/>
    <w:rsid w:val="17C2DE3B"/>
    <w:rsid w:val="17C69A3F"/>
    <w:rsid w:val="17C69C6D"/>
    <w:rsid w:val="17D0B96E"/>
    <w:rsid w:val="17D5CBEB"/>
    <w:rsid w:val="17DE7035"/>
    <w:rsid w:val="17E497C3"/>
    <w:rsid w:val="17E9FB68"/>
    <w:rsid w:val="17F32432"/>
    <w:rsid w:val="17F6F42B"/>
    <w:rsid w:val="17F87EC1"/>
    <w:rsid w:val="17F96BD0"/>
    <w:rsid w:val="17FBB5D8"/>
    <w:rsid w:val="17FCE419"/>
    <w:rsid w:val="17FE43C4"/>
    <w:rsid w:val="17FE53DE"/>
    <w:rsid w:val="18052B0D"/>
    <w:rsid w:val="180663A7"/>
    <w:rsid w:val="1809854C"/>
    <w:rsid w:val="18100625"/>
    <w:rsid w:val="1810459A"/>
    <w:rsid w:val="181453F2"/>
    <w:rsid w:val="181AFD8D"/>
    <w:rsid w:val="181B156B"/>
    <w:rsid w:val="1823A9FC"/>
    <w:rsid w:val="18251685"/>
    <w:rsid w:val="182AA027"/>
    <w:rsid w:val="183E4985"/>
    <w:rsid w:val="183ED540"/>
    <w:rsid w:val="18459FDD"/>
    <w:rsid w:val="1848B94B"/>
    <w:rsid w:val="184A964F"/>
    <w:rsid w:val="184E1FB4"/>
    <w:rsid w:val="1854DB94"/>
    <w:rsid w:val="1858427B"/>
    <w:rsid w:val="18593C38"/>
    <w:rsid w:val="185F1DCB"/>
    <w:rsid w:val="18647253"/>
    <w:rsid w:val="1864C807"/>
    <w:rsid w:val="186715E7"/>
    <w:rsid w:val="18694533"/>
    <w:rsid w:val="18698D09"/>
    <w:rsid w:val="186D32AB"/>
    <w:rsid w:val="1879C933"/>
    <w:rsid w:val="187CB767"/>
    <w:rsid w:val="1881287C"/>
    <w:rsid w:val="1884B9DA"/>
    <w:rsid w:val="1888A1A8"/>
    <w:rsid w:val="1888F42A"/>
    <w:rsid w:val="1889656C"/>
    <w:rsid w:val="188F5314"/>
    <w:rsid w:val="18915A2C"/>
    <w:rsid w:val="18918284"/>
    <w:rsid w:val="18958028"/>
    <w:rsid w:val="18959838"/>
    <w:rsid w:val="189A9E08"/>
    <w:rsid w:val="189FCC46"/>
    <w:rsid w:val="18A1C159"/>
    <w:rsid w:val="18A4B9C5"/>
    <w:rsid w:val="18A77356"/>
    <w:rsid w:val="18A7C71D"/>
    <w:rsid w:val="18A8F2E6"/>
    <w:rsid w:val="18AFCFAE"/>
    <w:rsid w:val="18B553F7"/>
    <w:rsid w:val="18B7E780"/>
    <w:rsid w:val="18B90200"/>
    <w:rsid w:val="18B98E4E"/>
    <w:rsid w:val="18BF0EB4"/>
    <w:rsid w:val="18C0D501"/>
    <w:rsid w:val="18C44FB6"/>
    <w:rsid w:val="18C60631"/>
    <w:rsid w:val="18C76B4A"/>
    <w:rsid w:val="18C9CBD9"/>
    <w:rsid w:val="18D11E73"/>
    <w:rsid w:val="18D1758E"/>
    <w:rsid w:val="18D46FF5"/>
    <w:rsid w:val="18DE4515"/>
    <w:rsid w:val="18E35DE1"/>
    <w:rsid w:val="18E5F1EF"/>
    <w:rsid w:val="18F052A1"/>
    <w:rsid w:val="18F24A26"/>
    <w:rsid w:val="18F74FBC"/>
    <w:rsid w:val="1902FBFE"/>
    <w:rsid w:val="19038B7C"/>
    <w:rsid w:val="190EDC2D"/>
    <w:rsid w:val="19149EA5"/>
    <w:rsid w:val="19155E1B"/>
    <w:rsid w:val="191CA08C"/>
    <w:rsid w:val="192AC192"/>
    <w:rsid w:val="192BDB23"/>
    <w:rsid w:val="192F131C"/>
    <w:rsid w:val="19327C89"/>
    <w:rsid w:val="1933C9A6"/>
    <w:rsid w:val="19491583"/>
    <w:rsid w:val="19495EA0"/>
    <w:rsid w:val="194E2F19"/>
    <w:rsid w:val="195C4F03"/>
    <w:rsid w:val="1963EEA7"/>
    <w:rsid w:val="196723C7"/>
    <w:rsid w:val="196A8A2A"/>
    <w:rsid w:val="196F8833"/>
    <w:rsid w:val="197092C5"/>
    <w:rsid w:val="1971DCFC"/>
    <w:rsid w:val="19768BA7"/>
    <w:rsid w:val="1979F5E8"/>
    <w:rsid w:val="1980FA5E"/>
    <w:rsid w:val="19859C86"/>
    <w:rsid w:val="1985DC09"/>
    <w:rsid w:val="19866AB4"/>
    <w:rsid w:val="198A408B"/>
    <w:rsid w:val="198EAC96"/>
    <w:rsid w:val="19926F71"/>
    <w:rsid w:val="1997245A"/>
    <w:rsid w:val="19A2F3E5"/>
    <w:rsid w:val="19A33026"/>
    <w:rsid w:val="19A862BD"/>
    <w:rsid w:val="19ADE785"/>
    <w:rsid w:val="19B4693E"/>
    <w:rsid w:val="19B6203A"/>
    <w:rsid w:val="19B7209D"/>
    <w:rsid w:val="19BBD76D"/>
    <w:rsid w:val="19C1B82C"/>
    <w:rsid w:val="19C1F532"/>
    <w:rsid w:val="19C2791C"/>
    <w:rsid w:val="19C5C8F0"/>
    <w:rsid w:val="19CB8489"/>
    <w:rsid w:val="19CC4CA7"/>
    <w:rsid w:val="19CEF6DC"/>
    <w:rsid w:val="19D2EB86"/>
    <w:rsid w:val="19D3D2EB"/>
    <w:rsid w:val="19DFB712"/>
    <w:rsid w:val="19E5B984"/>
    <w:rsid w:val="19E683CF"/>
    <w:rsid w:val="19E706E3"/>
    <w:rsid w:val="19E96399"/>
    <w:rsid w:val="19F672BB"/>
    <w:rsid w:val="19F6FE9D"/>
    <w:rsid w:val="19FE133A"/>
    <w:rsid w:val="1A05CFF8"/>
    <w:rsid w:val="1A09F92A"/>
    <w:rsid w:val="1A0C71C1"/>
    <w:rsid w:val="1A1651E4"/>
    <w:rsid w:val="1A174298"/>
    <w:rsid w:val="1A1D1A78"/>
    <w:rsid w:val="1A1E843B"/>
    <w:rsid w:val="1A1F8F92"/>
    <w:rsid w:val="1A24CDFD"/>
    <w:rsid w:val="1A261A00"/>
    <w:rsid w:val="1A287E8C"/>
    <w:rsid w:val="1A2A6BAF"/>
    <w:rsid w:val="1A2B21A2"/>
    <w:rsid w:val="1A2D658F"/>
    <w:rsid w:val="1A2D96D7"/>
    <w:rsid w:val="1A2DDDB3"/>
    <w:rsid w:val="1A30125F"/>
    <w:rsid w:val="1A3232B1"/>
    <w:rsid w:val="1A353439"/>
    <w:rsid w:val="1A35AED9"/>
    <w:rsid w:val="1A3D4AC9"/>
    <w:rsid w:val="1A428049"/>
    <w:rsid w:val="1A429F37"/>
    <w:rsid w:val="1A448108"/>
    <w:rsid w:val="1A4FCDEA"/>
    <w:rsid w:val="1A5B41F7"/>
    <w:rsid w:val="1A5E277A"/>
    <w:rsid w:val="1A6362CA"/>
    <w:rsid w:val="1A6CB57C"/>
    <w:rsid w:val="1A6CD37E"/>
    <w:rsid w:val="1A706C5E"/>
    <w:rsid w:val="1A7178B0"/>
    <w:rsid w:val="1A74102B"/>
    <w:rsid w:val="1A763C57"/>
    <w:rsid w:val="1A7688D0"/>
    <w:rsid w:val="1A7DBCB9"/>
    <w:rsid w:val="1A7DBEFA"/>
    <w:rsid w:val="1A7E9CEC"/>
    <w:rsid w:val="1A82B806"/>
    <w:rsid w:val="1A8F43AD"/>
    <w:rsid w:val="1A9400BB"/>
    <w:rsid w:val="1A98AC49"/>
    <w:rsid w:val="1A991FD0"/>
    <w:rsid w:val="1A9F2F2A"/>
    <w:rsid w:val="1AA04E25"/>
    <w:rsid w:val="1AA297BF"/>
    <w:rsid w:val="1AA52406"/>
    <w:rsid w:val="1AAAA236"/>
    <w:rsid w:val="1AAEE978"/>
    <w:rsid w:val="1AAF22FA"/>
    <w:rsid w:val="1AB04113"/>
    <w:rsid w:val="1ACB07DD"/>
    <w:rsid w:val="1ACCFDDE"/>
    <w:rsid w:val="1AD1A3B2"/>
    <w:rsid w:val="1ADA2429"/>
    <w:rsid w:val="1ADD3C63"/>
    <w:rsid w:val="1ADE0EF0"/>
    <w:rsid w:val="1AE0DB6C"/>
    <w:rsid w:val="1AE31B07"/>
    <w:rsid w:val="1AE3B73D"/>
    <w:rsid w:val="1AE50746"/>
    <w:rsid w:val="1AE80AE8"/>
    <w:rsid w:val="1AF61F90"/>
    <w:rsid w:val="1AFBCF12"/>
    <w:rsid w:val="1AFD3501"/>
    <w:rsid w:val="1B00C8AC"/>
    <w:rsid w:val="1B0280BD"/>
    <w:rsid w:val="1B06B043"/>
    <w:rsid w:val="1B09D7F5"/>
    <w:rsid w:val="1B0BBD32"/>
    <w:rsid w:val="1B0C2514"/>
    <w:rsid w:val="1B12262F"/>
    <w:rsid w:val="1B122EA5"/>
    <w:rsid w:val="1B143214"/>
    <w:rsid w:val="1B1EF2BB"/>
    <w:rsid w:val="1B26D6CB"/>
    <w:rsid w:val="1B2818B3"/>
    <w:rsid w:val="1B2C774B"/>
    <w:rsid w:val="1B31625D"/>
    <w:rsid w:val="1B3248C8"/>
    <w:rsid w:val="1B3AF4DF"/>
    <w:rsid w:val="1B426229"/>
    <w:rsid w:val="1B43C290"/>
    <w:rsid w:val="1B472450"/>
    <w:rsid w:val="1B4BEFC6"/>
    <w:rsid w:val="1B4CFDD7"/>
    <w:rsid w:val="1B4D3C52"/>
    <w:rsid w:val="1B4D6756"/>
    <w:rsid w:val="1B4E6F84"/>
    <w:rsid w:val="1B4EB146"/>
    <w:rsid w:val="1B4FF5DA"/>
    <w:rsid w:val="1B510132"/>
    <w:rsid w:val="1B519258"/>
    <w:rsid w:val="1B52934E"/>
    <w:rsid w:val="1B58EFDE"/>
    <w:rsid w:val="1B590B7F"/>
    <w:rsid w:val="1B5F9FC1"/>
    <w:rsid w:val="1B609DD7"/>
    <w:rsid w:val="1B61D405"/>
    <w:rsid w:val="1B64A565"/>
    <w:rsid w:val="1B69E237"/>
    <w:rsid w:val="1B6E0AEA"/>
    <w:rsid w:val="1B6E7AC6"/>
    <w:rsid w:val="1B750196"/>
    <w:rsid w:val="1B75141E"/>
    <w:rsid w:val="1B7721F8"/>
    <w:rsid w:val="1B7D2B33"/>
    <w:rsid w:val="1B8CDCF0"/>
    <w:rsid w:val="1B8E0DF2"/>
    <w:rsid w:val="1B951620"/>
    <w:rsid w:val="1B95A3DE"/>
    <w:rsid w:val="1B987E13"/>
    <w:rsid w:val="1B98FF3F"/>
    <w:rsid w:val="1B9A3C68"/>
    <w:rsid w:val="1B9D89E8"/>
    <w:rsid w:val="1BA2B7F3"/>
    <w:rsid w:val="1BA70373"/>
    <w:rsid w:val="1BAB2AC0"/>
    <w:rsid w:val="1BAE421B"/>
    <w:rsid w:val="1BAF872E"/>
    <w:rsid w:val="1BB2FB64"/>
    <w:rsid w:val="1BBF4619"/>
    <w:rsid w:val="1BC2F740"/>
    <w:rsid w:val="1BC3EBF7"/>
    <w:rsid w:val="1BC5E07F"/>
    <w:rsid w:val="1BCDD0BD"/>
    <w:rsid w:val="1BCE56FB"/>
    <w:rsid w:val="1BDBAA27"/>
    <w:rsid w:val="1BDC5BBC"/>
    <w:rsid w:val="1BDEE669"/>
    <w:rsid w:val="1BE8CB95"/>
    <w:rsid w:val="1BE8E33F"/>
    <w:rsid w:val="1BEB3CB7"/>
    <w:rsid w:val="1BEB86F9"/>
    <w:rsid w:val="1BEE325E"/>
    <w:rsid w:val="1BF18956"/>
    <w:rsid w:val="1BF57E8E"/>
    <w:rsid w:val="1C028BE2"/>
    <w:rsid w:val="1C0AF266"/>
    <w:rsid w:val="1C12EC97"/>
    <w:rsid w:val="1C13B82B"/>
    <w:rsid w:val="1C160196"/>
    <w:rsid w:val="1C1C4E92"/>
    <w:rsid w:val="1C20BD2D"/>
    <w:rsid w:val="1C21333E"/>
    <w:rsid w:val="1C25CB13"/>
    <w:rsid w:val="1C28AABE"/>
    <w:rsid w:val="1C2BA073"/>
    <w:rsid w:val="1C2E1043"/>
    <w:rsid w:val="1C3141E8"/>
    <w:rsid w:val="1C31EEC5"/>
    <w:rsid w:val="1C37200A"/>
    <w:rsid w:val="1C3864F9"/>
    <w:rsid w:val="1C3A8A71"/>
    <w:rsid w:val="1C3DFE9A"/>
    <w:rsid w:val="1C4150B9"/>
    <w:rsid w:val="1C439DD3"/>
    <w:rsid w:val="1C4D19BA"/>
    <w:rsid w:val="1C4D8EBB"/>
    <w:rsid w:val="1C4E2C4F"/>
    <w:rsid w:val="1C4EC742"/>
    <w:rsid w:val="1C59E9C0"/>
    <w:rsid w:val="1C613CA9"/>
    <w:rsid w:val="1C62369B"/>
    <w:rsid w:val="1C623D8C"/>
    <w:rsid w:val="1C677E35"/>
    <w:rsid w:val="1C70C69A"/>
    <w:rsid w:val="1C7998B9"/>
    <w:rsid w:val="1C7DD547"/>
    <w:rsid w:val="1C7FBDB7"/>
    <w:rsid w:val="1C83FDEF"/>
    <w:rsid w:val="1C84DE57"/>
    <w:rsid w:val="1C8838D6"/>
    <w:rsid w:val="1C8A5873"/>
    <w:rsid w:val="1C92953E"/>
    <w:rsid w:val="1C979A89"/>
    <w:rsid w:val="1C97ADDF"/>
    <w:rsid w:val="1C990540"/>
    <w:rsid w:val="1C9A876D"/>
    <w:rsid w:val="1C9C8F3C"/>
    <w:rsid w:val="1CABCD97"/>
    <w:rsid w:val="1CACA53D"/>
    <w:rsid w:val="1CAD6242"/>
    <w:rsid w:val="1CAF2F32"/>
    <w:rsid w:val="1CB1A67E"/>
    <w:rsid w:val="1CB2433A"/>
    <w:rsid w:val="1CB50B53"/>
    <w:rsid w:val="1CB68BD2"/>
    <w:rsid w:val="1CB7ED72"/>
    <w:rsid w:val="1CB8ED42"/>
    <w:rsid w:val="1CB9666A"/>
    <w:rsid w:val="1CBC7CB0"/>
    <w:rsid w:val="1CC4615E"/>
    <w:rsid w:val="1CCB1A17"/>
    <w:rsid w:val="1CD008E1"/>
    <w:rsid w:val="1CD22603"/>
    <w:rsid w:val="1CD22F26"/>
    <w:rsid w:val="1CD44CFC"/>
    <w:rsid w:val="1CD95D5B"/>
    <w:rsid w:val="1CDA266F"/>
    <w:rsid w:val="1CDA5C81"/>
    <w:rsid w:val="1CDAFE83"/>
    <w:rsid w:val="1CF53E73"/>
    <w:rsid w:val="1CFC83BB"/>
    <w:rsid w:val="1D0307C1"/>
    <w:rsid w:val="1D05A0B2"/>
    <w:rsid w:val="1D0909EE"/>
    <w:rsid w:val="1D09358F"/>
    <w:rsid w:val="1D11FDF2"/>
    <w:rsid w:val="1D127EC6"/>
    <w:rsid w:val="1D143583"/>
    <w:rsid w:val="1D17398C"/>
    <w:rsid w:val="1D18A7CD"/>
    <w:rsid w:val="1D1D1620"/>
    <w:rsid w:val="1D1F8B03"/>
    <w:rsid w:val="1D213135"/>
    <w:rsid w:val="1D21CCB4"/>
    <w:rsid w:val="1D2AC36D"/>
    <w:rsid w:val="1D2C9846"/>
    <w:rsid w:val="1D2D626D"/>
    <w:rsid w:val="1D2FE8F9"/>
    <w:rsid w:val="1D31861D"/>
    <w:rsid w:val="1D32A8C8"/>
    <w:rsid w:val="1D33C878"/>
    <w:rsid w:val="1D35D401"/>
    <w:rsid w:val="1D39233A"/>
    <w:rsid w:val="1D3AC301"/>
    <w:rsid w:val="1D3CAA65"/>
    <w:rsid w:val="1D40893B"/>
    <w:rsid w:val="1D411B3F"/>
    <w:rsid w:val="1D458F2D"/>
    <w:rsid w:val="1D46AAD9"/>
    <w:rsid w:val="1D4A5D8A"/>
    <w:rsid w:val="1D4F7CDD"/>
    <w:rsid w:val="1D533911"/>
    <w:rsid w:val="1D589D83"/>
    <w:rsid w:val="1D59EF99"/>
    <w:rsid w:val="1D696D19"/>
    <w:rsid w:val="1D69E712"/>
    <w:rsid w:val="1D6DB509"/>
    <w:rsid w:val="1D724BC5"/>
    <w:rsid w:val="1D73E6A4"/>
    <w:rsid w:val="1D76C364"/>
    <w:rsid w:val="1D793B27"/>
    <w:rsid w:val="1D7CB286"/>
    <w:rsid w:val="1D84AE0A"/>
    <w:rsid w:val="1D8A3623"/>
    <w:rsid w:val="1D8ADF02"/>
    <w:rsid w:val="1D8E01E3"/>
    <w:rsid w:val="1D92081E"/>
    <w:rsid w:val="1D93023A"/>
    <w:rsid w:val="1D96AF17"/>
    <w:rsid w:val="1D9E0BBC"/>
    <w:rsid w:val="1D9EFFFA"/>
    <w:rsid w:val="1DA771A4"/>
    <w:rsid w:val="1DA8C53B"/>
    <w:rsid w:val="1DAC457D"/>
    <w:rsid w:val="1DAF4740"/>
    <w:rsid w:val="1DB66B75"/>
    <w:rsid w:val="1DBFBE05"/>
    <w:rsid w:val="1DC21C59"/>
    <w:rsid w:val="1DC3F2E4"/>
    <w:rsid w:val="1DC4C15A"/>
    <w:rsid w:val="1DC5E8A9"/>
    <w:rsid w:val="1DC9113E"/>
    <w:rsid w:val="1DD62140"/>
    <w:rsid w:val="1DDFE0EB"/>
    <w:rsid w:val="1DE0E1B5"/>
    <w:rsid w:val="1DE19B5E"/>
    <w:rsid w:val="1DE2A88A"/>
    <w:rsid w:val="1DE329EA"/>
    <w:rsid w:val="1DE5342E"/>
    <w:rsid w:val="1DE6FBF2"/>
    <w:rsid w:val="1DE81AEA"/>
    <w:rsid w:val="1DE85BE3"/>
    <w:rsid w:val="1DEB5FE8"/>
    <w:rsid w:val="1DEFC63B"/>
    <w:rsid w:val="1DF47A47"/>
    <w:rsid w:val="1DFF2B52"/>
    <w:rsid w:val="1E01D82D"/>
    <w:rsid w:val="1E05B459"/>
    <w:rsid w:val="1E0B9E10"/>
    <w:rsid w:val="1E168182"/>
    <w:rsid w:val="1E224D8B"/>
    <w:rsid w:val="1E2A86DB"/>
    <w:rsid w:val="1E3062FA"/>
    <w:rsid w:val="1E358338"/>
    <w:rsid w:val="1E388CDE"/>
    <w:rsid w:val="1E3B6B05"/>
    <w:rsid w:val="1E3DD5A1"/>
    <w:rsid w:val="1E40E191"/>
    <w:rsid w:val="1E44BBAA"/>
    <w:rsid w:val="1E504AD7"/>
    <w:rsid w:val="1E529345"/>
    <w:rsid w:val="1E530A28"/>
    <w:rsid w:val="1E541545"/>
    <w:rsid w:val="1E55401D"/>
    <w:rsid w:val="1E56AD8B"/>
    <w:rsid w:val="1E592A51"/>
    <w:rsid w:val="1E5CA2C9"/>
    <w:rsid w:val="1E5D08AB"/>
    <w:rsid w:val="1E5D363C"/>
    <w:rsid w:val="1E5F4369"/>
    <w:rsid w:val="1E654494"/>
    <w:rsid w:val="1E65D490"/>
    <w:rsid w:val="1E6D8770"/>
    <w:rsid w:val="1E707E7E"/>
    <w:rsid w:val="1E770B5C"/>
    <w:rsid w:val="1E78F040"/>
    <w:rsid w:val="1E79B8B8"/>
    <w:rsid w:val="1E7D0778"/>
    <w:rsid w:val="1E7FA0F4"/>
    <w:rsid w:val="1E849E6E"/>
    <w:rsid w:val="1E895D70"/>
    <w:rsid w:val="1E8D82C3"/>
    <w:rsid w:val="1E8E840D"/>
    <w:rsid w:val="1E8F787E"/>
    <w:rsid w:val="1E90B47B"/>
    <w:rsid w:val="1E9CF79C"/>
    <w:rsid w:val="1E9F6EB8"/>
    <w:rsid w:val="1E9FFCC0"/>
    <w:rsid w:val="1EA367B7"/>
    <w:rsid w:val="1EA5B045"/>
    <w:rsid w:val="1EA6F9DF"/>
    <w:rsid w:val="1EA8C56E"/>
    <w:rsid w:val="1EAE718E"/>
    <w:rsid w:val="1EB06A1C"/>
    <w:rsid w:val="1EB9DC1D"/>
    <w:rsid w:val="1EBD3206"/>
    <w:rsid w:val="1ECC29DF"/>
    <w:rsid w:val="1ECD59BF"/>
    <w:rsid w:val="1ECDD16D"/>
    <w:rsid w:val="1ED0B6C9"/>
    <w:rsid w:val="1ED121CB"/>
    <w:rsid w:val="1ED48104"/>
    <w:rsid w:val="1ED52EC2"/>
    <w:rsid w:val="1ED62EDE"/>
    <w:rsid w:val="1ED688CC"/>
    <w:rsid w:val="1ED7DFC5"/>
    <w:rsid w:val="1EDF1722"/>
    <w:rsid w:val="1EE3C169"/>
    <w:rsid w:val="1EEA252F"/>
    <w:rsid w:val="1EEA6B03"/>
    <w:rsid w:val="1EF42C9B"/>
    <w:rsid w:val="1EFA3851"/>
    <w:rsid w:val="1EFCA21C"/>
    <w:rsid w:val="1EFD720C"/>
    <w:rsid w:val="1EFEB184"/>
    <w:rsid w:val="1F015131"/>
    <w:rsid w:val="1F1B85A0"/>
    <w:rsid w:val="1F1DC64B"/>
    <w:rsid w:val="1F313AFE"/>
    <w:rsid w:val="1F375012"/>
    <w:rsid w:val="1F3C8D9C"/>
    <w:rsid w:val="1F3E44D6"/>
    <w:rsid w:val="1F41682B"/>
    <w:rsid w:val="1F42860A"/>
    <w:rsid w:val="1F46E6D2"/>
    <w:rsid w:val="1F4A37B8"/>
    <w:rsid w:val="1F4A3C36"/>
    <w:rsid w:val="1F4B8E5A"/>
    <w:rsid w:val="1F53DEEA"/>
    <w:rsid w:val="1F56F795"/>
    <w:rsid w:val="1F596E47"/>
    <w:rsid w:val="1F5CC9B4"/>
    <w:rsid w:val="1F6046F7"/>
    <w:rsid w:val="1F6145A5"/>
    <w:rsid w:val="1F62E10E"/>
    <w:rsid w:val="1F63671A"/>
    <w:rsid w:val="1F6C1F31"/>
    <w:rsid w:val="1F6C2C01"/>
    <w:rsid w:val="1F723596"/>
    <w:rsid w:val="1F72A58C"/>
    <w:rsid w:val="1F732F77"/>
    <w:rsid w:val="1F7B2542"/>
    <w:rsid w:val="1F7C99EE"/>
    <w:rsid w:val="1F89EB34"/>
    <w:rsid w:val="1F8B181E"/>
    <w:rsid w:val="1F98237E"/>
    <w:rsid w:val="1F9986D7"/>
    <w:rsid w:val="1FA07913"/>
    <w:rsid w:val="1FAC9F78"/>
    <w:rsid w:val="1FAD600A"/>
    <w:rsid w:val="1FB274BF"/>
    <w:rsid w:val="1FB3EA68"/>
    <w:rsid w:val="1FBC5792"/>
    <w:rsid w:val="1FC07FBE"/>
    <w:rsid w:val="1FC87E02"/>
    <w:rsid w:val="1FC93B81"/>
    <w:rsid w:val="1FCABF26"/>
    <w:rsid w:val="1FCEE840"/>
    <w:rsid w:val="1FD10112"/>
    <w:rsid w:val="1FD9FE11"/>
    <w:rsid w:val="1FDAA9FE"/>
    <w:rsid w:val="1FDB6EA4"/>
    <w:rsid w:val="1FDF86AD"/>
    <w:rsid w:val="1FE502E0"/>
    <w:rsid w:val="1FEA3A87"/>
    <w:rsid w:val="1FEAFB9A"/>
    <w:rsid w:val="1FFBC39E"/>
    <w:rsid w:val="1FFD637B"/>
    <w:rsid w:val="1FFF1640"/>
    <w:rsid w:val="2002149A"/>
    <w:rsid w:val="200398B3"/>
    <w:rsid w:val="200AE3ED"/>
    <w:rsid w:val="201033E0"/>
    <w:rsid w:val="2010A34E"/>
    <w:rsid w:val="2021FF97"/>
    <w:rsid w:val="20291561"/>
    <w:rsid w:val="2034431F"/>
    <w:rsid w:val="2036B2A5"/>
    <w:rsid w:val="20372334"/>
    <w:rsid w:val="203BDFCB"/>
    <w:rsid w:val="203CFF70"/>
    <w:rsid w:val="203DE2CE"/>
    <w:rsid w:val="2043613B"/>
    <w:rsid w:val="2044AAB9"/>
    <w:rsid w:val="2049C107"/>
    <w:rsid w:val="204AA220"/>
    <w:rsid w:val="204AC092"/>
    <w:rsid w:val="204E9C53"/>
    <w:rsid w:val="2050F352"/>
    <w:rsid w:val="20514D95"/>
    <w:rsid w:val="20543A90"/>
    <w:rsid w:val="2055D0B7"/>
    <w:rsid w:val="205CEA09"/>
    <w:rsid w:val="205DC448"/>
    <w:rsid w:val="20633318"/>
    <w:rsid w:val="2064F21A"/>
    <w:rsid w:val="206CED1F"/>
    <w:rsid w:val="2071079D"/>
    <w:rsid w:val="20773407"/>
    <w:rsid w:val="2080A12F"/>
    <w:rsid w:val="20828554"/>
    <w:rsid w:val="20880031"/>
    <w:rsid w:val="208AF4EB"/>
    <w:rsid w:val="209455EC"/>
    <w:rsid w:val="209A29C9"/>
    <w:rsid w:val="209AF240"/>
    <w:rsid w:val="20A218C4"/>
    <w:rsid w:val="20A25594"/>
    <w:rsid w:val="20A27AC9"/>
    <w:rsid w:val="20A43A01"/>
    <w:rsid w:val="20A44B94"/>
    <w:rsid w:val="20A68444"/>
    <w:rsid w:val="20A8EA92"/>
    <w:rsid w:val="20AC6C65"/>
    <w:rsid w:val="20AE0833"/>
    <w:rsid w:val="20BAD86A"/>
    <w:rsid w:val="20BCCA63"/>
    <w:rsid w:val="20BD9D3A"/>
    <w:rsid w:val="20C1550E"/>
    <w:rsid w:val="20C71F04"/>
    <w:rsid w:val="20CC8E29"/>
    <w:rsid w:val="20CE75F2"/>
    <w:rsid w:val="20D20F98"/>
    <w:rsid w:val="20D4A036"/>
    <w:rsid w:val="20D4E19E"/>
    <w:rsid w:val="20D5ADDC"/>
    <w:rsid w:val="20D7172E"/>
    <w:rsid w:val="20DB45A6"/>
    <w:rsid w:val="20DE87D1"/>
    <w:rsid w:val="20DEE742"/>
    <w:rsid w:val="20DFD8C7"/>
    <w:rsid w:val="20E43580"/>
    <w:rsid w:val="20E6E7DC"/>
    <w:rsid w:val="20E8D288"/>
    <w:rsid w:val="20E9C14C"/>
    <w:rsid w:val="20EF3854"/>
    <w:rsid w:val="20F2108A"/>
    <w:rsid w:val="20FF98F7"/>
    <w:rsid w:val="21063421"/>
    <w:rsid w:val="21072AC4"/>
    <w:rsid w:val="210C796D"/>
    <w:rsid w:val="210E3FD5"/>
    <w:rsid w:val="210E8E22"/>
    <w:rsid w:val="211A75C2"/>
    <w:rsid w:val="211AF568"/>
    <w:rsid w:val="211F34DC"/>
    <w:rsid w:val="21255A6A"/>
    <w:rsid w:val="21260EA3"/>
    <w:rsid w:val="2129BC4E"/>
    <w:rsid w:val="212F9F2B"/>
    <w:rsid w:val="213111F5"/>
    <w:rsid w:val="2138BCDF"/>
    <w:rsid w:val="213E6FD2"/>
    <w:rsid w:val="2141A56A"/>
    <w:rsid w:val="21446E2E"/>
    <w:rsid w:val="214952D7"/>
    <w:rsid w:val="214A5770"/>
    <w:rsid w:val="215B419A"/>
    <w:rsid w:val="215C0906"/>
    <w:rsid w:val="215C52C3"/>
    <w:rsid w:val="215CBF3A"/>
    <w:rsid w:val="215CE194"/>
    <w:rsid w:val="215D4249"/>
    <w:rsid w:val="215F0B00"/>
    <w:rsid w:val="215F902B"/>
    <w:rsid w:val="2168509D"/>
    <w:rsid w:val="216A5846"/>
    <w:rsid w:val="216FD18D"/>
    <w:rsid w:val="217C41C2"/>
    <w:rsid w:val="217D9522"/>
    <w:rsid w:val="217F898C"/>
    <w:rsid w:val="21833295"/>
    <w:rsid w:val="21843A16"/>
    <w:rsid w:val="21861766"/>
    <w:rsid w:val="218A1BD8"/>
    <w:rsid w:val="219299FB"/>
    <w:rsid w:val="2192C02A"/>
    <w:rsid w:val="219506E0"/>
    <w:rsid w:val="2198862B"/>
    <w:rsid w:val="21A9DCA8"/>
    <w:rsid w:val="21AA6D87"/>
    <w:rsid w:val="21ABD190"/>
    <w:rsid w:val="21AFE87B"/>
    <w:rsid w:val="21B2E9EC"/>
    <w:rsid w:val="21B37EC9"/>
    <w:rsid w:val="21B641E4"/>
    <w:rsid w:val="21BD4574"/>
    <w:rsid w:val="21BE3685"/>
    <w:rsid w:val="21C24D16"/>
    <w:rsid w:val="21C70390"/>
    <w:rsid w:val="21C75956"/>
    <w:rsid w:val="21C78548"/>
    <w:rsid w:val="21C9ECAF"/>
    <w:rsid w:val="21CC1867"/>
    <w:rsid w:val="21CD2AF0"/>
    <w:rsid w:val="21CF4F74"/>
    <w:rsid w:val="21D5044B"/>
    <w:rsid w:val="21D67CD1"/>
    <w:rsid w:val="21DAF936"/>
    <w:rsid w:val="21E28811"/>
    <w:rsid w:val="21E2E258"/>
    <w:rsid w:val="21E5E6CB"/>
    <w:rsid w:val="21E8012B"/>
    <w:rsid w:val="21EA9F4B"/>
    <w:rsid w:val="21F612EE"/>
    <w:rsid w:val="21F73E6C"/>
    <w:rsid w:val="21FA7287"/>
    <w:rsid w:val="21FCBDF6"/>
    <w:rsid w:val="21FF86DD"/>
    <w:rsid w:val="22002433"/>
    <w:rsid w:val="220220A8"/>
    <w:rsid w:val="22083128"/>
    <w:rsid w:val="220ABB38"/>
    <w:rsid w:val="220D4324"/>
    <w:rsid w:val="220F302A"/>
    <w:rsid w:val="221284E0"/>
    <w:rsid w:val="2214B34E"/>
    <w:rsid w:val="2217DFDF"/>
    <w:rsid w:val="2219F6BC"/>
    <w:rsid w:val="221A2D5C"/>
    <w:rsid w:val="221FE417"/>
    <w:rsid w:val="2223A9DF"/>
    <w:rsid w:val="22242662"/>
    <w:rsid w:val="22247FAD"/>
    <w:rsid w:val="222A8861"/>
    <w:rsid w:val="222CF9EA"/>
    <w:rsid w:val="2231D873"/>
    <w:rsid w:val="2232438D"/>
    <w:rsid w:val="2234C7C2"/>
    <w:rsid w:val="223A0B14"/>
    <w:rsid w:val="223A76EE"/>
    <w:rsid w:val="223B15C5"/>
    <w:rsid w:val="224903C4"/>
    <w:rsid w:val="224A12E2"/>
    <w:rsid w:val="224F2D02"/>
    <w:rsid w:val="225A7E08"/>
    <w:rsid w:val="2266EBD2"/>
    <w:rsid w:val="226C9A64"/>
    <w:rsid w:val="226F7ED8"/>
    <w:rsid w:val="22706B3C"/>
    <w:rsid w:val="2271C95A"/>
    <w:rsid w:val="22720989"/>
    <w:rsid w:val="2275ABD2"/>
    <w:rsid w:val="2279728B"/>
    <w:rsid w:val="227DFDF8"/>
    <w:rsid w:val="227E06D3"/>
    <w:rsid w:val="227F8EB3"/>
    <w:rsid w:val="228626A5"/>
    <w:rsid w:val="228FB349"/>
    <w:rsid w:val="22929498"/>
    <w:rsid w:val="229D5F8E"/>
    <w:rsid w:val="229E1831"/>
    <w:rsid w:val="22A09A94"/>
    <w:rsid w:val="22A50065"/>
    <w:rsid w:val="22A5DDC3"/>
    <w:rsid w:val="22AD5800"/>
    <w:rsid w:val="22B5347A"/>
    <w:rsid w:val="22B9677E"/>
    <w:rsid w:val="22C2D40F"/>
    <w:rsid w:val="22C7455B"/>
    <w:rsid w:val="22CBDD73"/>
    <w:rsid w:val="22CF81D2"/>
    <w:rsid w:val="22D4F90F"/>
    <w:rsid w:val="22D90728"/>
    <w:rsid w:val="22D957AF"/>
    <w:rsid w:val="22DAE9DB"/>
    <w:rsid w:val="22DD8ECA"/>
    <w:rsid w:val="22E111C9"/>
    <w:rsid w:val="22E33A1E"/>
    <w:rsid w:val="22E449ED"/>
    <w:rsid w:val="22E4C903"/>
    <w:rsid w:val="22EC0C25"/>
    <w:rsid w:val="22EE2D7F"/>
    <w:rsid w:val="22EED2A8"/>
    <w:rsid w:val="22EFCDBE"/>
    <w:rsid w:val="22F4AB92"/>
    <w:rsid w:val="22FA9D89"/>
    <w:rsid w:val="22FE75B1"/>
    <w:rsid w:val="23013E32"/>
    <w:rsid w:val="2306193E"/>
    <w:rsid w:val="23072412"/>
    <w:rsid w:val="23081050"/>
    <w:rsid w:val="2309A0D4"/>
    <w:rsid w:val="230A0069"/>
    <w:rsid w:val="230EE3A8"/>
    <w:rsid w:val="230FA34F"/>
    <w:rsid w:val="23123C54"/>
    <w:rsid w:val="231482F7"/>
    <w:rsid w:val="2314AF70"/>
    <w:rsid w:val="2314F661"/>
    <w:rsid w:val="2316D4CC"/>
    <w:rsid w:val="2319579B"/>
    <w:rsid w:val="2325C7A5"/>
    <w:rsid w:val="2326B241"/>
    <w:rsid w:val="23274CC6"/>
    <w:rsid w:val="232AF4E4"/>
    <w:rsid w:val="232E0E7F"/>
    <w:rsid w:val="23364157"/>
    <w:rsid w:val="2338C6E6"/>
    <w:rsid w:val="233D7DF5"/>
    <w:rsid w:val="233DF9B0"/>
    <w:rsid w:val="23403FCF"/>
    <w:rsid w:val="23466B7B"/>
    <w:rsid w:val="2349391E"/>
    <w:rsid w:val="234CCE07"/>
    <w:rsid w:val="234EA9AC"/>
    <w:rsid w:val="234F34A2"/>
    <w:rsid w:val="235295B2"/>
    <w:rsid w:val="23591B3D"/>
    <w:rsid w:val="235DBE1A"/>
    <w:rsid w:val="23652905"/>
    <w:rsid w:val="2365DF70"/>
    <w:rsid w:val="236BCDB6"/>
    <w:rsid w:val="236CDFE4"/>
    <w:rsid w:val="23715062"/>
    <w:rsid w:val="237380D0"/>
    <w:rsid w:val="23786F4A"/>
    <w:rsid w:val="2379DDA6"/>
    <w:rsid w:val="237D9D06"/>
    <w:rsid w:val="2380B630"/>
    <w:rsid w:val="2384C21C"/>
    <w:rsid w:val="2388744C"/>
    <w:rsid w:val="2389547D"/>
    <w:rsid w:val="238A4EF7"/>
    <w:rsid w:val="2392D1D5"/>
    <w:rsid w:val="2394F635"/>
    <w:rsid w:val="2398E164"/>
    <w:rsid w:val="239B16FF"/>
    <w:rsid w:val="23A12709"/>
    <w:rsid w:val="23A3FB97"/>
    <w:rsid w:val="23AF7FB1"/>
    <w:rsid w:val="23B046D9"/>
    <w:rsid w:val="23B9C36C"/>
    <w:rsid w:val="23BA38B7"/>
    <w:rsid w:val="23BD89CE"/>
    <w:rsid w:val="23BDC759"/>
    <w:rsid w:val="23C576A1"/>
    <w:rsid w:val="23C6498D"/>
    <w:rsid w:val="23CCB8DD"/>
    <w:rsid w:val="23CEFDD3"/>
    <w:rsid w:val="23D1FB1C"/>
    <w:rsid w:val="23D32F15"/>
    <w:rsid w:val="23D7743C"/>
    <w:rsid w:val="23DC6032"/>
    <w:rsid w:val="23DCAFEE"/>
    <w:rsid w:val="23DDEE35"/>
    <w:rsid w:val="23DE1AA6"/>
    <w:rsid w:val="23E12FC3"/>
    <w:rsid w:val="23E25B34"/>
    <w:rsid w:val="23E48ED8"/>
    <w:rsid w:val="23F4B07F"/>
    <w:rsid w:val="240159CD"/>
    <w:rsid w:val="24066BC1"/>
    <w:rsid w:val="240789B2"/>
    <w:rsid w:val="240F37CE"/>
    <w:rsid w:val="2411F861"/>
    <w:rsid w:val="2416027F"/>
    <w:rsid w:val="24183353"/>
    <w:rsid w:val="2418D32C"/>
    <w:rsid w:val="2419592A"/>
    <w:rsid w:val="241D0382"/>
    <w:rsid w:val="241E280F"/>
    <w:rsid w:val="242AA1D8"/>
    <w:rsid w:val="243138FD"/>
    <w:rsid w:val="2433A8A2"/>
    <w:rsid w:val="24342945"/>
    <w:rsid w:val="24352C43"/>
    <w:rsid w:val="24380C3D"/>
    <w:rsid w:val="243AE8A2"/>
    <w:rsid w:val="243C0445"/>
    <w:rsid w:val="243F301B"/>
    <w:rsid w:val="244191D9"/>
    <w:rsid w:val="244237CC"/>
    <w:rsid w:val="24448DAA"/>
    <w:rsid w:val="2448B3CC"/>
    <w:rsid w:val="244A8700"/>
    <w:rsid w:val="244C454F"/>
    <w:rsid w:val="244C758E"/>
    <w:rsid w:val="244C8C26"/>
    <w:rsid w:val="2457649A"/>
    <w:rsid w:val="245A42CA"/>
    <w:rsid w:val="245FDEF0"/>
    <w:rsid w:val="246F4F11"/>
    <w:rsid w:val="24730EF2"/>
    <w:rsid w:val="24816754"/>
    <w:rsid w:val="2482077B"/>
    <w:rsid w:val="2485C097"/>
    <w:rsid w:val="24894F71"/>
    <w:rsid w:val="248F4AE2"/>
    <w:rsid w:val="2492F347"/>
    <w:rsid w:val="249EBA54"/>
    <w:rsid w:val="24A4E941"/>
    <w:rsid w:val="24A8E214"/>
    <w:rsid w:val="24AA2794"/>
    <w:rsid w:val="24B00DFB"/>
    <w:rsid w:val="24B39F26"/>
    <w:rsid w:val="24B8CFD0"/>
    <w:rsid w:val="24BA8809"/>
    <w:rsid w:val="24BA9E74"/>
    <w:rsid w:val="24C1168E"/>
    <w:rsid w:val="24C30937"/>
    <w:rsid w:val="24C55563"/>
    <w:rsid w:val="24C91D65"/>
    <w:rsid w:val="24C991EE"/>
    <w:rsid w:val="24D0CC5D"/>
    <w:rsid w:val="24D3D318"/>
    <w:rsid w:val="24D7B769"/>
    <w:rsid w:val="24E5732C"/>
    <w:rsid w:val="24E9E7C1"/>
    <w:rsid w:val="24EBB390"/>
    <w:rsid w:val="24EC9F05"/>
    <w:rsid w:val="24EC9FE6"/>
    <w:rsid w:val="24F29FAE"/>
    <w:rsid w:val="24F3152D"/>
    <w:rsid w:val="24F3BAE5"/>
    <w:rsid w:val="24F62BE6"/>
    <w:rsid w:val="24FD5054"/>
    <w:rsid w:val="24FF4C03"/>
    <w:rsid w:val="24FFDB64"/>
    <w:rsid w:val="2500915F"/>
    <w:rsid w:val="2501B8AC"/>
    <w:rsid w:val="250349D1"/>
    <w:rsid w:val="250B0E4E"/>
    <w:rsid w:val="25143FE8"/>
    <w:rsid w:val="2518B717"/>
    <w:rsid w:val="2518F2B6"/>
    <w:rsid w:val="251B2DF8"/>
    <w:rsid w:val="251DC00F"/>
    <w:rsid w:val="25292DDF"/>
    <w:rsid w:val="252AAC40"/>
    <w:rsid w:val="252B4D87"/>
    <w:rsid w:val="252FBE31"/>
    <w:rsid w:val="2531CCDE"/>
    <w:rsid w:val="2532021F"/>
    <w:rsid w:val="25327BA8"/>
    <w:rsid w:val="2536F10A"/>
    <w:rsid w:val="253A3C13"/>
    <w:rsid w:val="253EF5FE"/>
    <w:rsid w:val="25456FF1"/>
    <w:rsid w:val="254649C4"/>
    <w:rsid w:val="254D9C02"/>
    <w:rsid w:val="254FB6EE"/>
    <w:rsid w:val="255184DA"/>
    <w:rsid w:val="2553222B"/>
    <w:rsid w:val="2555F32E"/>
    <w:rsid w:val="2559E4BB"/>
    <w:rsid w:val="255AD183"/>
    <w:rsid w:val="255C1244"/>
    <w:rsid w:val="256882B9"/>
    <w:rsid w:val="256DB230"/>
    <w:rsid w:val="25731F33"/>
    <w:rsid w:val="2579277C"/>
    <w:rsid w:val="257F69A9"/>
    <w:rsid w:val="2582804E"/>
    <w:rsid w:val="25870496"/>
    <w:rsid w:val="258957C9"/>
    <w:rsid w:val="258BF279"/>
    <w:rsid w:val="25952837"/>
    <w:rsid w:val="2596A0D6"/>
    <w:rsid w:val="259DF54F"/>
    <w:rsid w:val="259EC4EC"/>
    <w:rsid w:val="259F70BE"/>
    <w:rsid w:val="25ACA77F"/>
    <w:rsid w:val="25B61A6A"/>
    <w:rsid w:val="25BB5BAE"/>
    <w:rsid w:val="25C1AF42"/>
    <w:rsid w:val="25C294F9"/>
    <w:rsid w:val="25C5F739"/>
    <w:rsid w:val="25C7D3C3"/>
    <w:rsid w:val="25C84B6F"/>
    <w:rsid w:val="25CE5E3F"/>
    <w:rsid w:val="25CF56C4"/>
    <w:rsid w:val="25E61E84"/>
    <w:rsid w:val="25E67276"/>
    <w:rsid w:val="25F29CE5"/>
    <w:rsid w:val="25F32299"/>
    <w:rsid w:val="25FCD803"/>
    <w:rsid w:val="26001268"/>
    <w:rsid w:val="2602C1B9"/>
    <w:rsid w:val="2603A41C"/>
    <w:rsid w:val="26077647"/>
    <w:rsid w:val="2607B87D"/>
    <w:rsid w:val="26157A6A"/>
    <w:rsid w:val="2615B1A8"/>
    <w:rsid w:val="26196EB3"/>
    <w:rsid w:val="261E3E83"/>
    <w:rsid w:val="261E9AB5"/>
    <w:rsid w:val="261F1E51"/>
    <w:rsid w:val="26249326"/>
    <w:rsid w:val="262901D0"/>
    <w:rsid w:val="262AC2D5"/>
    <w:rsid w:val="262CC8AD"/>
    <w:rsid w:val="263482C3"/>
    <w:rsid w:val="263514E3"/>
    <w:rsid w:val="2635A826"/>
    <w:rsid w:val="2635AAA5"/>
    <w:rsid w:val="263E3CA7"/>
    <w:rsid w:val="263E429D"/>
    <w:rsid w:val="263ED65B"/>
    <w:rsid w:val="26411D8B"/>
    <w:rsid w:val="2644498A"/>
    <w:rsid w:val="264804B1"/>
    <w:rsid w:val="264968A8"/>
    <w:rsid w:val="264F837C"/>
    <w:rsid w:val="2660C83A"/>
    <w:rsid w:val="2661537F"/>
    <w:rsid w:val="26681506"/>
    <w:rsid w:val="26687CCF"/>
    <w:rsid w:val="26734C63"/>
    <w:rsid w:val="26746AE5"/>
    <w:rsid w:val="267629CA"/>
    <w:rsid w:val="26774328"/>
    <w:rsid w:val="26849917"/>
    <w:rsid w:val="268638D2"/>
    <w:rsid w:val="2690011A"/>
    <w:rsid w:val="26955542"/>
    <w:rsid w:val="2699D275"/>
    <w:rsid w:val="26A05BDA"/>
    <w:rsid w:val="26A3E4A4"/>
    <w:rsid w:val="26A710AE"/>
    <w:rsid w:val="26A74B52"/>
    <w:rsid w:val="26B1ECDB"/>
    <w:rsid w:val="26B5F438"/>
    <w:rsid w:val="26B83B34"/>
    <w:rsid w:val="26BDEBFA"/>
    <w:rsid w:val="26C681D0"/>
    <w:rsid w:val="26C984E4"/>
    <w:rsid w:val="26CA5CAB"/>
    <w:rsid w:val="26CABAF5"/>
    <w:rsid w:val="26CB6512"/>
    <w:rsid w:val="26CD455A"/>
    <w:rsid w:val="26D18319"/>
    <w:rsid w:val="26D27BBB"/>
    <w:rsid w:val="26D46904"/>
    <w:rsid w:val="26DE4EB0"/>
    <w:rsid w:val="26DF2ECF"/>
    <w:rsid w:val="26E23A55"/>
    <w:rsid w:val="26EA9520"/>
    <w:rsid w:val="26EE62E2"/>
    <w:rsid w:val="26F0A066"/>
    <w:rsid w:val="26F6E751"/>
    <w:rsid w:val="26F7ACAD"/>
    <w:rsid w:val="26FD40BF"/>
    <w:rsid w:val="27041743"/>
    <w:rsid w:val="2704CE4A"/>
    <w:rsid w:val="2704ECF0"/>
    <w:rsid w:val="270C2257"/>
    <w:rsid w:val="270EDB2E"/>
    <w:rsid w:val="27107A27"/>
    <w:rsid w:val="2710C9EA"/>
    <w:rsid w:val="2711B7E6"/>
    <w:rsid w:val="27166130"/>
    <w:rsid w:val="2716B4DF"/>
    <w:rsid w:val="27219821"/>
    <w:rsid w:val="2726C8F4"/>
    <w:rsid w:val="2729EFAA"/>
    <w:rsid w:val="272A0437"/>
    <w:rsid w:val="272F9CA2"/>
    <w:rsid w:val="2732F1D9"/>
    <w:rsid w:val="2734ECD2"/>
    <w:rsid w:val="273A31D4"/>
    <w:rsid w:val="273B5FFB"/>
    <w:rsid w:val="27429C1D"/>
    <w:rsid w:val="274445D1"/>
    <w:rsid w:val="274574B4"/>
    <w:rsid w:val="2746C1C6"/>
    <w:rsid w:val="27487816"/>
    <w:rsid w:val="274C4119"/>
    <w:rsid w:val="274C8730"/>
    <w:rsid w:val="274D9836"/>
    <w:rsid w:val="275057AA"/>
    <w:rsid w:val="27510F60"/>
    <w:rsid w:val="275185E0"/>
    <w:rsid w:val="27520C78"/>
    <w:rsid w:val="275994A2"/>
    <w:rsid w:val="275C2C50"/>
    <w:rsid w:val="275FF535"/>
    <w:rsid w:val="2760B4DA"/>
    <w:rsid w:val="276C48EA"/>
    <w:rsid w:val="2773D5CB"/>
    <w:rsid w:val="27753859"/>
    <w:rsid w:val="2777BE21"/>
    <w:rsid w:val="277F6E96"/>
    <w:rsid w:val="277F9D98"/>
    <w:rsid w:val="2782699C"/>
    <w:rsid w:val="278725CD"/>
    <w:rsid w:val="2787B0EB"/>
    <w:rsid w:val="278DBAFD"/>
    <w:rsid w:val="2798BFC7"/>
    <w:rsid w:val="279FF633"/>
    <w:rsid w:val="27A3A1A4"/>
    <w:rsid w:val="27A50406"/>
    <w:rsid w:val="27A80082"/>
    <w:rsid w:val="27B62F61"/>
    <w:rsid w:val="27BDAE5C"/>
    <w:rsid w:val="27C0560D"/>
    <w:rsid w:val="27C15316"/>
    <w:rsid w:val="27C3B9E7"/>
    <w:rsid w:val="27C5AC7D"/>
    <w:rsid w:val="27C921B7"/>
    <w:rsid w:val="27CAE8C9"/>
    <w:rsid w:val="27CCE4A3"/>
    <w:rsid w:val="27CE83AD"/>
    <w:rsid w:val="27D06DD4"/>
    <w:rsid w:val="27D30C7E"/>
    <w:rsid w:val="27D61070"/>
    <w:rsid w:val="27D68F85"/>
    <w:rsid w:val="27D7AFFF"/>
    <w:rsid w:val="27E2A0E7"/>
    <w:rsid w:val="27E9BF0B"/>
    <w:rsid w:val="27F570D1"/>
    <w:rsid w:val="27F608E5"/>
    <w:rsid w:val="27F8E758"/>
    <w:rsid w:val="27FF4467"/>
    <w:rsid w:val="2804A99A"/>
    <w:rsid w:val="28115B8D"/>
    <w:rsid w:val="28116309"/>
    <w:rsid w:val="281192E4"/>
    <w:rsid w:val="281295C4"/>
    <w:rsid w:val="2814A557"/>
    <w:rsid w:val="2814C06C"/>
    <w:rsid w:val="281CC4F1"/>
    <w:rsid w:val="28206336"/>
    <w:rsid w:val="2829E1EA"/>
    <w:rsid w:val="282A551D"/>
    <w:rsid w:val="282C2325"/>
    <w:rsid w:val="283210ED"/>
    <w:rsid w:val="2832FA49"/>
    <w:rsid w:val="28508024"/>
    <w:rsid w:val="285B374A"/>
    <w:rsid w:val="285C045E"/>
    <w:rsid w:val="28647BF2"/>
    <w:rsid w:val="2864BDD0"/>
    <w:rsid w:val="28685F8C"/>
    <w:rsid w:val="286B65EF"/>
    <w:rsid w:val="286E4C55"/>
    <w:rsid w:val="286E93F9"/>
    <w:rsid w:val="287285A0"/>
    <w:rsid w:val="28764AB9"/>
    <w:rsid w:val="2879CC56"/>
    <w:rsid w:val="287AE501"/>
    <w:rsid w:val="287BA7E3"/>
    <w:rsid w:val="287DBDEF"/>
    <w:rsid w:val="287EC7CB"/>
    <w:rsid w:val="287FB0F2"/>
    <w:rsid w:val="28870B1F"/>
    <w:rsid w:val="288ED2C9"/>
    <w:rsid w:val="2898F62D"/>
    <w:rsid w:val="289B1CD8"/>
    <w:rsid w:val="28A18E3A"/>
    <w:rsid w:val="28A3D4F4"/>
    <w:rsid w:val="28AFE57E"/>
    <w:rsid w:val="28B25E2A"/>
    <w:rsid w:val="28B4BA8B"/>
    <w:rsid w:val="28B6ABEE"/>
    <w:rsid w:val="28BC12D1"/>
    <w:rsid w:val="28C01024"/>
    <w:rsid w:val="28C2C2BE"/>
    <w:rsid w:val="28C2DF71"/>
    <w:rsid w:val="28C69F92"/>
    <w:rsid w:val="28CA642D"/>
    <w:rsid w:val="28D60DE5"/>
    <w:rsid w:val="28D7E366"/>
    <w:rsid w:val="28DB031E"/>
    <w:rsid w:val="28E08D69"/>
    <w:rsid w:val="28E2AD5C"/>
    <w:rsid w:val="28E469F7"/>
    <w:rsid w:val="28ED2940"/>
    <w:rsid w:val="28EEDBE6"/>
    <w:rsid w:val="28F43E7B"/>
    <w:rsid w:val="28F4CE66"/>
    <w:rsid w:val="28F5FCB0"/>
    <w:rsid w:val="28FB0709"/>
    <w:rsid w:val="28FC4665"/>
    <w:rsid w:val="28FFD086"/>
    <w:rsid w:val="2903801C"/>
    <w:rsid w:val="2904BF75"/>
    <w:rsid w:val="290634CD"/>
    <w:rsid w:val="290854BB"/>
    <w:rsid w:val="2909C40C"/>
    <w:rsid w:val="290D7A8E"/>
    <w:rsid w:val="2914A2BD"/>
    <w:rsid w:val="291742CD"/>
    <w:rsid w:val="2926D033"/>
    <w:rsid w:val="292B8A55"/>
    <w:rsid w:val="292D052D"/>
    <w:rsid w:val="292E9958"/>
    <w:rsid w:val="293037A0"/>
    <w:rsid w:val="29315FA0"/>
    <w:rsid w:val="29380656"/>
    <w:rsid w:val="293B951B"/>
    <w:rsid w:val="293CC021"/>
    <w:rsid w:val="293D4091"/>
    <w:rsid w:val="29497AF2"/>
    <w:rsid w:val="2949A062"/>
    <w:rsid w:val="294BEF9B"/>
    <w:rsid w:val="294FA964"/>
    <w:rsid w:val="2950CD8C"/>
    <w:rsid w:val="29649416"/>
    <w:rsid w:val="296958E9"/>
    <w:rsid w:val="296BEFE4"/>
    <w:rsid w:val="29727D83"/>
    <w:rsid w:val="2977845D"/>
    <w:rsid w:val="29795494"/>
    <w:rsid w:val="297D4FE4"/>
    <w:rsid w:val="297E852A"/>
    <w:rsid w:val="29819FE9"/>
    <w:rsid w:val="29832CC2"/>
    <w:rsid w:val="29858F99"/>
    <w:rsid w:val="2986E7EC"/>
    <w:rsid w:val="2989CA5F"/>
    <w:rsid w:val="298B3FBF"/>
    <w:rsid w:val="298B640D"/>
    <w:rsid w:val="298C8009"/>
    <w:rsid w:val="298D65FC"/>
    <w:rsid w:val="298E254C"/>
    <w:rsid w:val="298F33E5"/>
    <w:rsid w:val="29963A9E"/>
    <w:rsid w:val="29983CE3"/>
    <w:rsid w:val="299EFCE0"/>
    <w:rsid w:val="29A79461"/>
    <w:rsid w:val="29AAD47F"/>
    <w:rsid w:val="29B2CDD9"/>
    <w:rsid w:val="29C413B1"/>
    <w:rsid w:val="29C6F274"/>
    <w:rsid w:val="29CA49C6"/>
    <w:rsid w:val="29CD50DD"/>
    <w:rsid w:val="29D00CE7"/>
    <w:rsid w:val="29D2E0F2"/>
    <w:rsid w:val="29D49383"/>
    <w:rsid w:val="29D95890"/>
    <w:rsid w:val="29DAEEBA"/>
    <w:rsid w:val="29DD8EE6"/>
    <w:rsid w:val="29E20776"/>
    <w:rsid w:val="29EB5320"/>
    <w:rsid w:val="29F3ECF4"/>
    <w:rsid w:val="29F48E3A"/>
    <w:rsid w:val="29F5C970"/>
    <w:rsid w:val="29F95CD7"/>
    <w:rsid w:val="29FCBCBF"/>
    <w:rsid w:val="29FD2CBA"/>
    <w:rsid w:val="2A0557B2"/>
    <w:rsid w:val="2A09C0E3"/>
    <w:rsid w:val="2A1129F3"/>
    <w:rsid w:val="2A14E6DA"/>
    <w:rsid w:val="2A194A2D"/>
    <w:rsid w:val="2A269D31"/>
    <w:rsid w:val="2A406663"/>
    <w:rsid w:val="2A48019A"/>
    <w:rsid w:val="2A488159"/>
    <w:rsid w:val="2A4D14B6"/>
    <w:rsid w:val="2A4E795F"/>
    <w:rsid w:val="2A56AEC4"/>
    <w:rsid w:val="2A59A570"/>
    <w:rsid w:val="2A5EA3F0"/>
    <w:rsid w:val="2A61ABC4"/>
    <w:rsid w:val="2A6578D7"/>
    <w:rsid w:val="2A678FE0"/>
    <w:rsid w:val="2A68B09D"/>
    <w:rsid w:val="2A68BD7B"/>
    <w:rsid w:val="2A6A40F5"/>
    <w:rsid w:val="2A6EA462"/>
    <w:rsid w:val="2A702F71"/>
    <w:rsid w:val="2A713BD5"/>
    <w:rsid w:val="2A725C9C"/>
    <w:rsid w:val="2A741B99"/>
    <w:rsid w:val="2A7B3FFA"/>
    <w:rsid w:val="2A80B780"/>
    <w:rsid w:val="2A8A0B67"/>
    <w:rsid w:val="2A8A3E45"/>
    <w:rsid w:val="2A8BDB88"/>
    <w:rsid w:val="2A8F773F"/>
    <w:rsid w:val="2A913F25"/>
    <w:rsid w:val="2A91D74D"/>
    <w:rsid w:val="2A9BC756"/>
    <w:rsid w:val="2A9C1A67"/>
    <w:rsid w:val="2A9C99C2"/>
    <w:rsid w:val="2AA0C53A"/>
    <w:rsid w:val="2AA4B16C"/>
    <w:rsid w:val="2AA6B161"/>
    <w:rsid w:val="2AAAF482"/>
    <w:rsid w:val="2AACB60F"/>
    <w:rsid w:val="2AB6BD45"/>
    <w:rsid w:val="2AB824C6"/>
    <w:rsid w:val="2AC04C35"/>
    <w:rsid w:val="2AC29C1A"/>
    <w:rsid w:val="2AC9BB03"/>
    <w:rsid w:val="2ACAC331"/>
    <w:rsid w:val="2AD17041"/>
    <w:rsid w:val="2AD342B7"/>
    <w:rsid w:val="2AD4B8FD"/>
    <w:rsid w:val="2AE0F08C"/>
    <w:rsid w:val="2AE5B3A9"/>
    <w:rsid w:val="2AE5DA0E"/>
    <w:rsid w:val="2AE800E2"/>
    <w:rsid w:val="2AEA7677"/>
    <w:rsid w:val="2AEE0943"/>
    <w:rsid w:val="2AF23012"/>
    <w:rsid w:val="2AF2567E"/>
    <w:rsid w:val="2AF266B7"/>
    <w:rsid w:val="2AF6A39D"/>
    <w:rsid w:val="2AF99817"/>
    <w:rsid w:val="2B022903"/>
    <w:rsid w:val="2B0639A1"/>
    <w:rsid w:val="2B099F1F"/>
    <w:rsid w:val="2B0A454E"/>
    <w:rsid w:val="2B0B29D1"/>
    <w:rsid w:val="2B0CFE30"/>
    <w:rsid w:val="2B0E95B4"/>
    <w:rsid w:val="2B108D1C"/>
    <w:rsid w:val="2B128C1B"/>
    <w:rsid w:val="2B13F386"/>
    <w:rsid w:val="2B2492A6"/>
    <w:rsid w:val="2B296953"/>
    <w:rsid w:val="2B307FDD"/>
    <w:rsid w:val="2B37DF5D"/>
    <w:rsid w:val="2B3B98D4"/>
    <w:rsid w:val="2B3EBB2E"/>
    <w:rsid w:val="2B40DA74"/>
    <w:rsid w:val="2B42D8A5"/>
    <w:rsid w:val="2B4500E2"/>
    <w:rsid w:val="2B45D137"/>
    <w:rsid w:val="2B4C5C5E"/>
    <w:rsid w:val="2B4D29C9"/>
    <w:rsid w:val="2B5267A1"/>
    <w:rsid w:val="2B5DBFB9"/>
    <w:rsid w:val="2B601ADC"/>
    <w:rsid w:val="2B637AAF"/>
    <w:rsid w:val="2B6435C8"/>
    <w:rsid w:val="2B685781"/>
    <w:rsid w:val="2B6AD6A1"/>
    <w:rsid w:val="2B6D3EE1"/>
    <w:rsid w:val="2B6E0993"/>
    <w:rsid w:val="2B6F3448"/>
    <w:rsid w:val="2B6F8E98"/>
    <w:rsid w:val="2B776EB4"/>
    <w:rsid w:val="2B77CA66"/>
    <w:rsid w:val="2B7A2CA5"/>
    <w:rsid w:val="2B7DEECD"/>
    <w:rsid w:val="2B7EE4B7"/>
    <w:rsid w:val="2B84DCF9"/>
    <w:rsid w:val="2B8B0DD9"/>
    <w:rsid w:val="2B93776C"/>
    <w:rsid w:val="2B967183"/>
    <w:rsid w:val="2B96C3D2"/>
    <w:rsid w:val="2B975EBF"/>
    <w:rsid w:val="2B98DBD4"/>
    <w:rsid w:val="2B9A85F3"/>
    <w:rsid w:val="2B9BD0E2"/>
    <w:rsid w:val="2B9BF6B6"/>
    <w:rsid w:val="2B9C83FC"/>
    <w:rsid w:val="2BA4C9B4"/>
    <w:rsid w:val="2BA67811"/>
    <w:rsid w:val="2BACF82E"/>
    <w:rsid w:val="2BB785AD"/>
    <w:rsid w:val="2BB93612"/>
    <w:rsid w:val="2BC01CC0"/>
    <w:rsid w:val="2BC327ED"/>
    <w:rsid w:val="2BC82C45"/>
    <w:rsid w:val="2BD1BC64"/>
    <w:rsid w:val="2BD1F914"/>
    <w:rsid w:val="2BD972B6"/>
    <w:rsid w:val="2BDAC51E"/>
    <w:rsid w:val="2BDDDB9A"/>
    <w:rsid w:val="2BE0590D"/>
    <w:rsid w:val="2BE43019"/>
    <w:rsid w:val="2BE5EFF3"/>
    <w:rsid w:val="2BE78A1B"/>
    <w:rsid w:val="2BEB97EB"/>
    <w:rsid w:val="2BF9DB06"/>
    <w:rsid w:val="2BFEBE8D"/>
    <w:rsid w:val="2C060B1F"/>
    <w:rsid w:val="2C07F9D1"/>
    <w:rsid w:val="2C0A8ECD"/>
    <w:rsid w:val="2C0B5FB4"/>
    <w:rsid w:val="2C0DD4E8"/>
    <w:rsid w:val="2C0E98AE"/>
    <w:rsid w:val="2C0FE314"/>
    <w:rsid w:val="2C14A8BB"/>
    <w:rsid w:val="2C1FD384"/>
    <w:rsid w:val="2C205EA9"/>
    <w:rsid w:val="2C20FB4B"/>
    <w:rsid w:val="2C2C5F57"/>
    <w:rsid w:val="2C31B39C"/>
    <w:rsid w:val="2C334965"/>
    <w:rsid w:val="2C33FDEA"/>
    <w:rsid w:val="2C36F05C"/>
    <w:rsid w:val="2C3E0CBC"/>
    <w:rsid w:val="2C41DF54"/>
    <w:rsid w:val="2C427371"/>
    <w:rsid w:val="2C44173C"/>
    <w:rsid w:val="2C4567B6"/>
    <w:rsid w:val="2C4A520F"/>
    <w:rsid w:val="2C4EA19A"/>
    <w:rsid w:val="2C57FC59"/>
    <w:rsid w:val="2C58EBB1"/>
    <w:rsid w:val="2C5B23ED"/>
    <w:rsid w:val="2C5E6D5C"/>
    <w:rsid w:val="2C5F654D"/>
    <w:rsid w:val="2C60DC37"/>
    <w:rsid w:val="2C61E546"/>
    <w:rsid w:val="2C68D11B"/>
    <w:rsid w:val="2C696AA6"/>
    <w:rsid w:val="2C6977E1"/>
    <w:rsid w:val="2C6EC459"/>
    <w:rsid w:val="2C7655AA"/>
    <w:rsid w:val="2C7B2ABE"/>
    <w:rsid w:val="2C8441F7"/>
    <w:rsid w:val="2C8760D9"/>
    <w:rsid w:val="2C898D1F"/>
    <w:rsid w:val="2C8E9E44"/>
    <w:rsid w:val="2C8E9F5D"/>
    <w:rsid w:val="2C8FFB96"/>
    <w:rsid w:val="2C933791"/>
    <w:rsid w:val="2C945623"/>
    <w:rsid w:val="2C987247"/>
    <w:rsid w:val="2C9BF539"/>
    <w:rsid w:val="2CA78119"/>
    <w:rsid w:val="2CA9F14A"/>
    <w:rsid w:val="2CB4C5EC"/>
    <w:rsid w:val="2CC0ABDC"/>
    <w:rsid w:val="2CC0C456"/>
    <w:rsid w:val="2CC1701C"/>
    <w:rsid w:val="2CC75194"/>
    <w:rsid w:val="2CC7CD68"/>
    <w:rsid w:val="2CCC8029"/>
    <w:rsid w:val="2CD3607E"/>
    <w:rsid w:val="2CDB3AA5"/>
    <w:rsid w:val="2CDC59FC"/>
    <w:rsid w:val="2CDCE827"/>
    <w:rsid w:val="2CDF404F"/>
    <w:rsid w:val="2CDF6660"/>
    <w:rsid w:val="2CE17A3E"/>
    <w:rsid w:val="2CE40EDF"/>
    <w:rsid w:val="2CE54D30"/>
    <w:rsid w:val="2CE76D3B"/>
    <w:rsid w:val="2CE9CA63"/>
    <w:rsid w:val="2CEC544D"/>
    <w:rsid w:val="2CEF3FB3"/>
    <w:rsid w:val="2CF27658"/>
    <w:rsid w:val="2CF2A402"/>
    <w:rsid w:val="2CF9A22A"/>
    <w:rsid w:val="2CFF8CB3"/>
    <w:rsid w:val="2CFFE21F"/>
    <w:rsid w:val="2D03B20E"/>
    <w:rsid w:val="2D0A5557"/>
    <w:rsid w:val="2D128E4E"/>
    <w:rsid w:val="2D15139D"/>
    <w:rsid w:val="2D198C04"/>
    <w:rsid w:val="2D1BAB50"/>
    <w:rsid w:val="2D1BCF82"/>
    <w:rsid w:val="2D1E48AE"/>
    <w:rsid w:val="2D1FD92D"/>
    <w:rsid w:val="2D2A5DA4"/>
    <w:rsid w:val="2D3514A7"/>
    <w:rsid w:val="2D371AAE"/>
    <w:rsid w:val="2D3BC296"/>
    <w:rsid w:val="2D3F245E"/>
    <w:rsid w:val="2D40DC22"/>
    <w:rsid w:val="2D410B8A"/>
    <w:rsid w:val="2D457D6B"/>
    <w:rsid w:val="2D45C493"/>
    <w:rsid w:val="2D4857EA"/>
    <w:rsid w:val="2D4F2730"/>
    <w:rsid w:val="2D5266C2"/>
    <w:rsid w:val="2D53224C"/>
    <w:rsid w:val="2D57DD25"/>
    <w:rsid w:val="2D5C8A2B"/>
    <w:rsid w:val="2D5CA558"/>
    <w:rsid w:val="2D5CA6FB"/>
    <w:rsid w:val="2D5F481B"/>
    <w:rsid w:val="2D6156A5"/>
    <w:rsid w:val="2D6D10BF"/>
    <w:rsid w:val="2D72C818"/>
    <w:rsid w:val="2D78E322"/>
    <w:rsid w:val="2D7904E0"/>
    <w:rsid w:val="2D7950E2"/>
    <w:rsid w:val="2D79FC17"/>
    <w:rsid w:val="2D7CF884"/>
    <w:rsid w:val="2D7ED635"/>
    <w:rsid w:val="2D8153E8"/>
    <w:rsid w:val="2D81913A"/>
    <w:rsid w:val="2D823290"/>
    <w:rsid w:val="2D830F60"/>
    <w:rsid w:val="2D868C29"/>
    <w:rsid w:val="2D907808"/>
    <w:rsid w:val="2D91EDF8"/>
    <w:rsid w:val="2D98943B"/>
    <w:rsid w:val="2D98F641"/>
    <w:rsid w:val="2D9ED918"/>
    <w:rsid w:val="2DA44613"/>
    <w:rsid w:val="2DA9956A"/>
    <w:rsid w:val="2DAC6C83"/>
    <w:rsid w:val="2DAED866"/>
    <w:rsid w:val="2DB2C20C"/>
    <w:rsid w:val="2DB30379"/>
    <w:rsid w:val="2DB65D6B"/>
    <w:rsid w:val="2DB9594D"/>
    <w:rsid w:val="2DC1C14D"/>
    <w:rsid w:val="2DC64D41"/>
    <w:rsid w:val="2DC6A745"/>
    <w:rsid w:val="2DCEAA53"/>
    <w:rsid w:val="2DCF5E58"/>
    <w:rsid w:val="2DD46317"/>
    <w:rsid w:val="2DD9F290"/>
    <w:rsid w:val="2DDB8609"/>
    <w:rsid w:val="2DEA0334"/>
    <w:rsid w:val="2DED8703"/>
    <w:rsid w:val="2DF16667"/>
    <w:rsid w:val="2DF1B535"/>
    <w:rsid w:val="2DF4C67E"/>
    <w:rsid w:val="2DF61B72"/>
    <w:rsid w:val="2E04D678"/>
    <w:rsid w:val="2E04E787"/>
    <w:rsid w:val="2E0B9154"/>
    <w:rsid w:val="2E1494D3"/>
    <w:rsid w:val="2E1959DA"/>
    <w:rsid w:val="2E1FC99F"/>
    <w:rsid w:val="2E216A4A"/>
    <w:rsid w:val="2E28157D"/>
    <w:rsid w:val="2E2949EC"/>
    <w:rsid w:val="2E2F9623"/>
    <w:rsid w:val="2E2FBA4D"/>
    <w:rsid w:val="2E327623"/>
    <w:rsid w:val="2E35A6B8"/>
    <w:rsid w:val="2E372A61"/>
    <w:rsid w:val="2E3BC2A5"/>
    <w:rsid w:val="2E3ECEB3"/>
    <w:rsid w:val="2E3FCD3F"/>
    <w:rsid w:val="2E469F56"/>
    <w:rsid w:val="2E4A040E"/>
    <w:rsid w:val="2E4C66A6"/>
    <w:rsid w:val="2E4CBC34"/>
    <w:rsid w:val="2E4DBD88"/>
    <w:rsid w:val="2E4F2D5E"/>
    <w:rsid w:val="2E58C0C4"/>
    <w:rsid w:val="2E60D59C"/>
    <w:rsid w:val="2E64FADE"/>
    <w:rsid w:val="2E73CD57"/>
    <w:rsid w:val="2E743953"/>
    <w:rsid w:val="2E767603"/>
    <w:rsid w:val="2E793ED4"/>
    <w:rsid w:val="2E90B439"/>
    <w:rsid w:val="2E90CC60"/>
    <w:rsid w:val="2E9CCAFC"/>
    <w:rsid w:val="2E9F624C"/>
    <w:rsid w:val="2E9FA4A7"/>
    <w:rsid w:val="2EA17D26"/>
    <w:rsid w:val="2EA36F47"/>
    <w:rsid w:val="2EA4FDE6"/>
    <w:rsid w:val="2EA51685"/>
    <w:rsid w:val="2EADED32"/>
    <w:rsid w:val="2EB585EA"/>
    <w:rsid w:val="2EB6BEDE"/>
    <w:rsid w:val="2EB7484E"/>
    <w:rsid w:val="2EB86414"/>
    <w:rsid w:val="2EBADC4A"/>
    <w:rsid w:val="2EBC4BDF"/>
    <w:rsid w:val="2EC4F5FA"/>
    <w:rsid w:val="2ED48434"/>
    <w:rsid w:val="2ED7CC3D"/>
    <w:rsid w:val="2ED971C9"/>
    <w:rsid w:val="2EE7C721"/>
    <w:rsid w:val="2EE82868"/>
    <w:rsid w:val="2EE97860"/>
    <w:rsid w:val="2EEA9645"/>
    <w:rsid w:val="2EEF50A0"/>
    <w:rsid w:val="2EF9B6A5"/>
    <w:rsid w:val="2EF9FE49"/>
    <w:rsid w:val="2F00C9F3"/>
    <w:rsid w:val="2F023489"/>
    <w:rsid w:val="2F0502D0"/>
    <w:rsid w:val="2F05A812"/>
    <w:rsid w:val="2F071C0D"/>
    <w:rsid w:val="2F0BF29D"/>
    <w:rsid w:val="2F0DCEE4"/>
    <w:rsid w:val="2F0EA23B"/>
    <w:rsid w:val="2F11EA2E"/>
    <w:rsid w:val="2F131675"/>
    <w:rsid w:val="2F17743E"/>
    <w:rsid w:val="2F17C7F5"/>
    <w:rsid w:val="2F224269"/>
    <w:rsid w:val="2F224852"/>
    <w:rsid w:val="2F24636E"/>
    <w:rsid w:val="2F279658"/>
    <w:rsid w:val="2F342209"/>
    <w:rsid w:val="2F350605"/>
    <w:rsid w:val="2F385179"/>
    <w:rsid w:val="2F3F513C"/>
    <w:rsid w:val="2F55A848"/>
    <w:rsid w:val="2F581800"/>
    <w:rsid w:val="2F589C1B"/>
    <w:rsid w:val="2F5C9042"/>
    <w:rsid w:val="2F5E4A32"/>
    <w:rsid w:val="2F61ECD4"/>
    <w:rsid w:val="2F634846"/>
    <w:rsid w:val="2F7320D4"/>
    <w:rsid w:val="2F77D940"/>
    <w:rsid w:val="2F7D03B7"/>
    <w:rsid w:val="2F859C09"/>
    <w:rsid w:val="2F8A8F67"/>
    <w:rsid w:val="2F8B65DE"/>
    <w:rsid w:val="2F8C2851"/>
    <w:rsid w:val="2F903D89"/>
    <w:rsid w:val="2F9280E3"/>
    <w:rsid w:val="2F9644B5"/>
    <w:rsid w:val="2F9F393B"/>
    <w:rsid w:val="2FA1C957"/>
    <w:rsid w:val="2FAA3A97"/>
    <w:rsid w:val="2FAAFBFF"/>
    <w:rsid w:val="2FAC189F"/>
    <w:rsid w:val="2FAD1E37"/>
    <w:rsid w:val="2FB67D4F"/>
    <w:rsid w:val="2FBACD02"/>
    <w:rsid w:val="2FC09502"/>
    <w:rsid w:val="2FC3EC7E"/>
    <w:rsid w:val="2FC5026B"/>
    <w:rsid w:val="2FC7B4CF"/>
    <w:rsid w:val="2FC8A218"/>
    <w:rsid w:val="2FCE343C"/>
    <w:rsid w:val="2FCF1E5E"/>
    <w:rsid w:val="2FD014AA"/>
    <w:rsid w:val="2FD7EAC9"/>
    <w:rsid w:val="2FD87363"/>
    <w:rsid w:val="2FD8C548"/>
    <w:rsid w:val="2FDA2B62"/>
    <w:rsid w:val="2FDC7BD8"/>
    <w:rsid w:val="2FDE0E38"/>
    <w:rsid w:val="2FF48AA3"/>
    <w:rsid w:val="2FF704BA"/>
    <w:rsid w:val="2FF9072B"/>
    <w:rsid w:val="2FFB6C58"/>
    <w:rsid w:val="30000BAD"/>
    <w:rsid w:val="3003D22F"/>
    <w:rsid w:val="30049C1F"/>
    <w:rsid w:val="3007019B"/>
    <w:rsid w:val="30155555"/>
    <w:rsid w:val="30159F64"/>
    <w:rsid w:val="301742E1"/>
    <w:rsid w:val="301758D6"/>
    <w:rsid w:val="3017C562"/>
    <w:rsid w:val="301DF7C8"/>
    <w:rsid w:val="3020175A"/>
    <w:rsid w:val="3020A0AA"/>
    <w:rsid w:val="3021577A"/>
    <w:rsid w:val="30285AE3"/>
    <w:rsid w:val="302AD285"/>
    <w:rsid w:val="30339841"/>
    <w:rsid w:val="303496A9"/>
    <w:rsid w:val="303BFE30"/>
    <w:rsid w:val="303D73F6"/>
    <w:rsid w:val="303DC823"/>
    <w:rsid w:val="303E1FD2"/>
    <w:rsid w:val="3043959A"/>
    <w:rsid w:val="3045E6DA"/>
    <w:rsid w:val="304D3C14"/>
    <w:rsid w:val="304EF189"/>
    <w:rsid w:val="3054E297"/>
    <w:rsid w:val="305AC81C"/>
    <w:rsid w:val="3067FE49"/>
    <w:rsid w:val="3067FF03"/>
    <w:rsid w:val="306E6B25"/>
    <w:rsid w:val="30704589"/>
    <w:rsid w:val="307AF62F"/>
    <w:rsid w:val="307B334A"/>
    <w:rsid w:val="307D2ED4"/>
    <w:rsid w:val="307E6FB1"/>
    <w:rsid w:val="307F85E8"/>
    <w:rsid w:val="308283D4"/>
    <w:rsid w:val="30831344"/>
    <w:rsid w:val="3087EE99"/>
    <w:rsid w:val="30893CEB"/>
    <w:rsid w:val="308975BA"/>
    <w:rsid w:val="308B5C1D"/>
    <w:rsid w:val="308BA0AE"/>
    <w:rsid w:val="30984A2B"/>
    <w:rsid w:val="30A30727"/>
    <w:rsid w:val="30A5D2D4"/>
    <w:rsid w:val="30A6E634"/>
    <w:rsid w:val="30AAEEDF"/>
    <w:rsid w:val="30AC138E"/>
    <w:rsid w:val="30B0B5F0"/>
    <w:rsid w:val="30B56C01"/>
    <w:rsid w:val="30B5B646"/>
    <w:rsid w:val="30B9D5EC"/>
    <w:rsid w:val="30BD2892"/>
    <w:rsid w:val="30C0A022"/>
    <w:rsid w:val="30C4EDD4"/>
    <w:rsid w:val="30C58FFD"/>
    <w:rsid w:val="30C8F93A"/>
    <w:rsid w:val="30D233F6"/>
    <w:rsid w:val="30D292E3"/>
    <w:rsid w:val="30DEE577"/>
    <w:rsid w:val="30E41081"/>
    <w:rsid w:val="30EC9615"/>
    <w:rsid w:val="30F6954C"/>
    <w:rsid w:val="30F6F965"/>
    <w:rsid w:val="3103311C"/>
    <w:rsid w:val="31037FDE"/>
    <w:rsid w:val="310C0978"/>
    <w:rsid w:val="310F13A2"/>
    <w:rsid w:val="31172BFB"/>
    <w:rsid w:val="3118D480"/>
    <w:rsid w:val="311AFFA8"/>
    <w:rsid w:val="311C169F"/>
    <w:rsid w:val="312721F8"/>
    <w:rsid w:val="3129BF3A"/>
    <w:rsid w:val="312C97C8"/>
    <w:rsid w:val="313318DC"/>
    <w:rsid w:val="31357E54"/>
    <w:rsid w:val="3139EC97"/>
    <w:rsid w:val="313BEE37"/>
    <w:rsid w:val="3140A247"/>
    <w:rsid w:val="314314A8"/>
    <w:rsid w:val="31433652"/>
    <w:rsid w:val="31474654"/>
    <w:rsid w:val="314AA3DB"/>
    <w:rsid w:val="314E7C29"/>
    <w:rsid w:val="31518616"/>
    <w:rsid w:val="315555C2"/>
    <w:rsid w:val="315FE439"/>
    <w:rsid w:val="316011CC"/>
    <w:rsid w:val="31631A03"/>
    <w:rsid w:val="3167A4A2"/>
    <w:rsid w:val="31699F01"/>
    <w:rsid w:val="31701E25"/>
    <w:rsid w:val="3174D28D"/>
    <w:rsid w:val="31779AB3"/>
    <w:rsid w:val="3177C58B"/>
    <w:rsid w:val="3185268E"/>
    <w:rsid w:val="3186765B"/>
    <w:rsid w:val="3187122A"/>
    <w:rsid w:val="318BBFAC"/>
    <w:rsid w:val="31907300"/>
    <w:rsid w:val="31918CA2"/>
    <w:rsid w:val="3196BA29"/>
    <w:rsid w:val="3199F7CC"/>
    <w:rsid w:val="319F4CA2"/>
    <w:rsid w:val="31A0CED8"/>
    <w:rsid w:val="31AEF0ED"/>
    <w:rsid w:val="31B27D84"/>
    <w:rsid w:val="31B35B85"/>
    <w:rsid w:val="31BB6A8D"/>
    <w:rsid w:val="31C5609E"/>
    <w:rsid w:val="31C7200E"/>
    <w:rsid w:val="31C74F71"/>
    <w:rsid w:val="31CE1133"/>
    <w:rsid w:val="31CEBAD5"/>
    <w:rsid w:val="31D162F6"/>
    <w:rsid w:val="31D1A570"/>
    <w:rsid w:val="31D4A1EB"/>
    <w:rsid w:val="31D60328"/>
    <w:rsid w:val="31DD3479"/>
    <w:rsid w:val="31E04ECE"/>
    <w:rsid w:val="31E1FAF1"/>
    <w:rsid w:val="31E589E9"/>
    <w:rsid w:val="31E8F217"/>
    <w:rsid w:val="31E9F479"/>
    <w:rsid w:val="31EE9798"/>
    <w:rsid w:val="31F1C08A"/>
    <w:rsid w:val="31FBD8D4"/>
    <w:rsid w:val="31FCF517"/>
    <w:rsid w:val="32009AF4"/>
    <w:rsid w:val="32046742"/>
    <w:rsid w:val="320922CB"/>
    <w:rsid w:val="32096D40"/>
    <w:rsid w:val="3209C325"/>
    <w:rsid w:val="320BCFE2"/>
    <w:rsid w:val="320ECF8E"/>
    <w:rsid w:val="321194C9"/>
    <w:rsid w:val="3216FF7A"/>
    <w:rsid w:val="321CEE48"/>
    <w:rsid w:val="321F10F0"/>
    <w:rsid w:val="3221A211"/>
    <w:rsid w:val="32229AD4"/>
    <w:rsid w:val="32240FD3"/>
    <w:rsid w:val="32255D9B"/>
    <w:rsid w:val="32268BA3"/>
    <w:rsid w:val="32331634"/>
    <w:rsid w:val="323327E6"/>
    <w:rsid w:val="3243CFB7"/>
    <w:rsid w:val="324BBB3E"/>
    <w:rsid w:val="324D37E7"/>
    <w:rsid w:val="32517F29"/>
    <w:rsid w:val="3251CE05"/>
    <w:rsid w:val="32565F31"/>
    <w:rsid w:val="3257B85D"/>
    <w:rsid w:val="3258009C"/>
    <w:rsid w:val="325D443D"/>
    <w:rsid w:val="325E4B62"/>
    <w:rsid w:val="32658950"/>
    <w:rsid w:val="32682013"/>
    <w:rsid w:val="3268500C"/>
    <w:rsid w:val="326B126E"/>
    <w:rsid w:val="3275CC27"/>
    <w:rsid w:val="327625EE"/>
    <w:rsid w:val="3278665B"/>
    <w:rsid w:val="3279FFB7"/>
    <w:rsid w:val="327DAC36"/>
    <w:rsid w:val="32808EBE"/>
    <w:rsid w:val="328181E7"/>
    <w:rsid w:val="3283281D"/>
    <w:rsid w:val="3285052E"/>
    <w:rsid w:val="328A35A1"/>
    <w:rsid w:val="328D7CA1"/>
    <w:rsid w:val="328FDCC3"/>
    <w:rsid w:val="329B38AB"/>
    <w:rsid w:val="329E617F"/>
    <w:rsid w:val="32A28EB2"/>
    <w:rsid w:val="32A294DA"/>
    <w:rsid w:val="32A78B41"/>
    <w:rsid w:val="32AB1674"/>
    <w:rsid w:val="32B9DA60"/>
    <w:rsid w:val="32BA56ED"/>
    <w:rsid w:val="32BC435C"/>
    <w:rsid w:val="32C6A08A"/>
    <w:rsid w:val="32C7C277"/>
    <w:rsid w:val="32C812F9"/>
    <w:rsid w:val="32CD80AD"/>
    <w:rsid w:val="32D8FE42"/>
    <w:rsid w:val="32DB58C1"/>
    <w:rsid w:val="32DBD2E0"/>
    <w:rsid w:val="32E7B1CC"/>
    <w:rsid w:val="32E8E509"/>
    <w:rsid w:val="32F2B366"/>
    <w:rsid w:val="32F5687A"/>
    <w:rsid w:val="32FA9CBA"/>
    <w:rsid w:val="32FF5A54"/>
    <w:rsid w:val="3304173E"/>
    <w:rsid w:val="3305EE51"/>
    <w:rsid w:val="3308AE93"/>
    <w:rsid w:val="33116840"/>
    <w:rsid w:val="33144EC2"/>
    <w:rsid w:val="331862DA"/>
    <w:rsid w:val="331B6F0A"/>
    <w:rsid w:val="331F1201"/>
    <w:rsid w:val="331F5329"/>
    <w:rsid w:val="3322538D"/>
    <w:rsid w:val="332291E2"/>
    <w:rsid w:val="3329068D"/>
    <w:rsid w:val="332ADB3D"/>
    <w:rsid w:val="332E7A1A"/>
    <w:rsid w:val="332F5E2F"/>
    <w:rsid w:val="33337956"/>
    <w:rsid w:val="3336D486"/>
    <w:rsid w:val="3337D7C6"/>
    <w:rsid w:val="333BDECC"/>
    <w:rsid w:val="333C3789"/>
    <w:rsid w:val="333D7AE8"/>
    <w:rsid w:val="333E98FE"/>
    <w:rsid w:val="333EFAAF"/>
    <w:rsid w:val="33431EB1"/>
    <w:rsid w:val="3343E711"/>
    <w:rsid w:val="33471E22"/>
    <w:rsid w:val="3354AC7B"/>
    <w:rsid w:val="3356F9CF"/>
    <w:rsid w:val="33605082"/>
    <w:rsid w:val="336139C7"/>
    <w:rsid w:val="3361F7F5"/>
    <w:rsid w:val="3370FADB"/>
    <w:rsid w:val="33741A87"/>
    <w:rsid w:val="337E53EE"/>
    <w:rsid w:val="3384C020"/>
    <w:rsid w:val="338F6BAD"/>
    <w:rsid w:val="3391BC06"/>
    <w:rsid w:val="3395F6A0"/>
    <w:rsid w:val="3397E28C"/>
    <w:rsid w:val="339AA88A"/>
    <w:rsid w:val="339D0EFD"/>
    <w:rsid w:val="339DCFE3"/>
    <w:rsid w:val="339E717A"/>
    <w:rsid w:val="33A1261D"/>
    <w:rsid w:val="33AB1781"/>
    <w:rsid w:val="33BE6BE4"/>
    <w:rsid w:val="33C13A6A"/>
    <w:rsid w:val="33C1A4A4"/>
    <w:rsid w:val="33C53A4A"/>
    <w:rsid w:val="33C9FF73"/>
    <w:rsid w:val="33D15165"/>
    <w:rsid w:val="33D1D284"/>
    <w:rsid w:val="33D30AEF"/>
    <w:rsid w:val="33D4710E"/>
    <w:rsid w:val="33D8E66D"/>
    <w:rsid w:val="33E5A0BB"/>
    <w:rsid w:val="33E6F438"/>
    <w:rsid w:val="33EB8136"/>
    <w:rsid w:val="33EBAA13"/>
    <w:rsid w:val="33F0EFAF"/>
    <w:rsid w:val="33F63702"/>
    <w:rsid w:val="33F81A5D"/>
    <w:rsid w:val="33F8CE33"/>
    <w:rsid w:val="33FA453D"/>
    <w:rsid w:val="3400C769"/>
    <w:rsid w:val="3401916F"/>
    <w:rsid w:val="34027A9A"/>
    <w:rsid w:val="3403C573"/>
    <w:rsid w:val="3404B06B"/>
    <w:rsid w:val="34085139"/>
    <w:rsid w:val="3410935E"/>
    <w:rsid w:val="341A9979"/>
    <w:rsid w:val="3421ED9C"/>
    <w:rsid w:val="342515DF"/>
    <w:rsid w:val="3426F8B8"/>
    <w:rsid w:val="342F5604"/>
    <w:rsid w:val="3430A798"/>
    <w:rsid w:val="343DA267"/>
    <w:rsid w:val="343FB63A"/>
    <w:rsid w:val="34417BF0"/>
    <w:rsid w:val="34426321"/>
    <w:rsid w:val="344C25DB"/>
    <w:rsid w:val="3451A137"/>
    <w:rsid w:val="3461710D"/>
    <w:rsid w:val="3462A2F5"/>
    <w:rsid w:val="34641CFB"/>
    <w:rsid w:val="346646CC"/>
    <w:rsid w:val="34666460"/>
    <w:rsid w:val="3469E163"/>
    <w:rsid w:val="346BB04D"/>
    <w:rsid w:val="34749BAF"/>
    <w:rsid w:val="3476D560"/>
    <w:rsid w:val="347A0CFE"/>
    <w:rsid w:val="347E148D"/>
    <w:rsid w:val="347EFF3E"/>
    <w:rsid w:val="3483843D"/>
    <w:rsid w:val="34849E6B"/>
    <w:rsid w:val="34887276"/>
    <w:rsid w:val="348B2EAD"/>
    <w:rsid w:val="348BB991"/>
    <w:rsid w:val="3498F4CA"/>
    <w:rsid w:val="3499B3A2"/>
    <w:rsid w:val="34A25FC1"/>
    <w:rsid w:val="34A8D5A9"/>
    <w:rsid w:val="34A909BC"/>
    <w:rsid w:val="34AACEAB"/>
    <w:rsid w:val="34AC6C9E"/>
    <w:rsid w:val="34AD7F44"/>
    <w:rsid w:val="34AE0016"/>
    <w:rsid w:val="34BBCDA3"/>
    <w:rsid w:val="34C17808"/>
    <w:rsid w:val="34C7CAEF"/>
    <w:rsid w:val="34CE329D"/>
    <w:rsid w:val="34D136A2"/>
    <w:rsid w:val="34D28C9B"/>
    <w:rsid w:val="34D329EB"/>
    <w:rsid w:val="34D42BCC"/>
    <w:rsid w:val="34D69BEC"/>
    <w:rsid w:val="34DCDCCB"/>
    <w:rsid w:val="34DE91B3"/>
    <w:rsid w:val="34EA199D"/>
    <w:rsid w:val="34F7068C"/>
    <w:rsid w:val="34F9D4CB"/>
    <w:rsid w:val="34FE61F8"/>
    <w:rsid w:val="3509B2B5"/>
    <w:rsid w:val="3511795A"/>
    <w:rsid w:val="351A2783"/>
    <w:rsid w:val="3524F86E"/>
    <w:rsid w:val="352745C6"/>
    <w:rsid w:val="352FF9EA"/>
    <w:rsid w:val="3533C44E"/>
    <w:rsid w:val="35353CF9"/>
    <w:rsid w:val="353A3A2D"/>
    <w:rsid w:val="35464FC9"/>
    <w:rsid w:val="35469874"/>
    <w:rsid w:val="35551124"/>
    <w:rsid w:val="35562383"/>
    <w:rsid w:val="35564617"/>
    <w:rsid w:val="355D0023"/>
    <w:rsid w:val="356F916C"/>
    <w:rsid w:val="357B1775"/>
    <w:rsid w:val="358071A0"/>
    <w:rsid w:val="35843048"/>
    <w:rsid w:val="358CDCD7"/>
    <w:rsid w:val="358F1A16"/>
    <w:rsid w:val="3590AD00"/>
    <w:rsid w:val="3590DE9B"/>
    <w:rsid w:val="3590E983"/>
    <w:rsid w:val="35913585"/>
    <w:rsid w:val="3596E7A7"/>
    <w:rsid w:val="359B4D3D"/>
    <w:rsid w:val="359B979C"/>
    <w:rsid w:val="359CF0F7"/>
    <w:rsid w:val="35A66F45"/>
    <w:rsid w:val="35AD1F1C"/>
    <w:rsid w:val="35AE6FAC"/>
    <w:rsid w:val="35B2C965"/>
    <w:rsid w:val="35BA6186"/>
    <w:rsid w:val="35BADDDB"/>
    <w:rsid w:val="35BB7CE4"/>
    <w:rsid w:val="35C6B0D3"/>
    <w:rsid w:val="35C85B71"/>
    <w:rsid w:val="35CCADF0"/>
    <w:rsid w:val="35D03570"/>
    <w:rsid w:val="35D03A5E"/>
    <w:rsid w:val="35E355E5"/>
    <w:rsid w:val="35E4D174"/>
    <w:rsid w:val="35E74A16"/>
    <w:rsid w:val="35EC6EDE"/>
    <w:rsid w:val="35EC7D55"/>
    <w:rsid w:val="35F36BF0"/>
    <w:rsid w:val="35F69D09"/>
    <w:rsid w:val="3602878F"/>
    <w:rsid w:val="36040288"/>
    <w:rsid w:val="36041BDB"/>
    <w:rsid w:val="36087962"/>
    <w:rsid w:val="360DCC74"/>
    <w:rsid w:val="360E6605"/>
    <w:rsid w:val="360EA6C4"/>
    <w:rsid w:val="360F7C29"/>
    <w:rsid w:val="361AF9E2"/>
    <w:rsid w:val="3621744E"/>
    <w:rsid w:val="3624E8D6"/>
    <w:rsid w:val="362B752C"/>
    <w:rsid w:val="362E1ADB"/>
    <w:rsid w:val="362F7C2C"/>
    <w:rsid w:val="36313A82"/>
    <w:rsid w:val="363CD9A3"/>
    <w:rsid w:val="36412516"/>
    <w:rsid w:val="3641395F"/>
    <w:rsid w:val="3645549F"/>
    <w:rsid w:val="364A3526"/>
    <w:rsid w:val="364EAF20"/>
    <w:rsid w:val="364F3213"/>
    <w:rsid w:val="365470FD"/>
    <w:rsid w:val="3654E35C"/>
    <w:rsid w:val="365A7A93"/>
    <w:rsid w:val="36672E16"/>
    <w:rsid w:val="366ACE92"/>
    <w:rsid w:val="366BBB1A"/>
    <w:rsid w:val="366FDFE7"/>
    <w:rsid w:val="3674D80F"/>
    <w:rsid w:val="36775531"/>
    <w:rsid w:val="3677FB56"/>
    <w:rsid w:val="3678F01B"/>
    <w:rsid w:val="3679465F"/>
    <w:rsid w:val="367B9471"/>
    <w:rsid w:val="367ED32A"/>
    <w:rsid w:val="368099A9"/>
    <w:rsid w:val="368194AA"/>
    <w:rsid w:val="3681AFA8"/>
    <w:rsid w:val="36824BEC"/>
    <w:rsid w:val="36867ADA"/>
    <w:rsid w:val="368901FD"/>
    <w:rsid w:val="368E8AE7"/>
    <w:rsid w:val="3692FFCE"/>
    <w:rsid w:val="36936467"/>
    <w:rsid w:val="36941BAC"/>
    <w:rsid w:val="36958021"/>
    <w:rsid w:val="36A2EA50"/>
    <w:rsid w:val="36A375F3"/>
    <w:rsid w:val="36AA4CCF"/>
    <w:rsid w:val="36AFC929"/>
    <w:rsid w:val="36B2287C"/>
    <w:rsid w:val="36B58850"/>
    <w:rsid w:val="36BB70DB"/>
    <w:rsid w:val="36BF6323"/>
    <w:rsid w:val="36C4FC62"/>
    <w:rsid w:val="36D1CCF4"/>
    <w:rsid w:val="36D5EBEF"/>
    <w:rsid w:val="36D97982"/>
    <w:rsid w:val="36DC866B"/>
    <w:rsid w:val="36DD66AA"/>
    <w:rsid w:val="36DE0AB0"/>
    <w:rsid w:val="36E5423F"/>
    <w:rsid w:val="36E5F38C"/>
    <w:rsid w:val="36E6D707"/>
    <w:rsid w:val="36E7FB45"/>
    <w:rsid w:val="36E8FDFA"/>
    <w:rsid w:val="36EE4D2E"/>
    <w:rsid w:val="36EE64DB"/>
    <w:rsid w:val="36F30D8D"/>
    <w:rsid w:val="36F8FBF1"/>
    <w:rsid w:val="36F9AF69"/>
    <w:rsid w:val="37031F72"/>
    <w:rsid w:val="370B8B60"/>
    <w:rsid w:val="3712B9D8"/>
    <w:rsid w:val="3716B3F9"/>
    <w:rsid w:val="37238660"/>
    <w:rsid w:val="37255C01"/>
    <w:rsid w:val="3726F1C4"/>
    <w:rsid w:val="372A1FAD"/>
    <w:rsid w:val="373D30D7"/>
    <w:rsid w:val="373EDDAE"/>
    <w:rsid w:val="373F3545"/>
    <w:rsid w:val="37478AD9"/>
    <w:rsid w:val="37499440"/>
    <w:rsid w:val="374DD820"/>
    <w:rsid w:val="374E621F"/>
    <w:rsid w:val="3756FF6B"/>
    <w:rsid w:val="375BF9DC"/>
    <w:rsid w:val="37605863"/>
    <w:rsid w:val="376424E9"/>
    <w:rsid w:val="3769704E"/>
    <w:rsid w:val="376A0EA8"/>
    <w:rsid w:val="376A8732"/>
    <w:rsid w:val="376FFE4F"/>
    <w:rsid w:val="377C4B65"/>
    <w:rsid w:val="377F20AC"/>
    <w:rsid w:val="37861FF0"/>
    <w:rsid w:val="378835A9"/>
    <w:rsid w:val="3790A117"/>
    <w:rsid w:val="37945BF9"/>
    <w:rsid w:val="3797798C"/>
    <w:rsid w:val="37984E9C"/>
    <w:rsid w:val="37A0C988"/>
    <w:rsid w:val="37AA1649"/>
    <w:rsid w:val="37AF0759"/>
    <w:rsid w:val="37B27B16"/>
    <w:rsid w:val="37B4B06E"/>
    <w:rsid w:val="37BAF90A"/>
    <w:rsid w:val="37BECA6F"/>
    <w:rsid w:val="37C3FB1D"/>
    <w:rsid w:val="37C79A5C"/>
    <w:rsid w:val="37CDAD4E"/>
    <w:rsid w:val="37D2E7FA"/>
    <w:rsid w:val="37D9ED20"/>
    <w:rsid w:val="37DAD923"/>
    <w:rsid w:val="37DB3DCB"/>
    <w:rsid w:val="37DF9B02"/>
    <w:rsid w:val="37E14860"/>
    <w:rsid w:val="37E68EDE"/>
    <w:rsid w:val="37EA6CC8"/>
    <w:rsid w:val="37EB0B1D"/>
    <w:rsid w:val="37EB5FC3"/>
    <w:rsid w:val="37F14533"/>
    <w:rsid w:val="37F5CB26"/>
    <w:rsid w:val="37F613F2"/>
    <w:rsid w:val="37F69D41"/>
    <w:rsid w:val="37FC2860"/>
    <w:rsid w:val="37FFCD53"/>
    <w:rsid w:val="3805ADAC"/>
    <w:rsid w:val="380A783E"/>
    <w:rsid w:val="380ED5C3"/>
    <w:rsid w:val="38103B52"/>
    <w:rsid w:val="38128376"/>
    <w:rsid w:val="3812E44C"/>
    <w:rsid w:val="38161FFA"/>
    <w:rsid w:val="38191DE9"/>
    <w:rsid w:val="381BFC68"/>
    <w:rsid w:val="381C4FC1"/>
    <w:rsid w:val="381EFCCC"/>
    <w:rsid w:val="381FE1C4"/>
    <w:rsid w:val="3825CB63"/>
    <w:rsid w:val="382A4A9C"/>
    <w:rsid w:val="383556A8"/>
    <w:rsid w:val="3839CBB3"/>
    <w:rsid w:val="383E5BFD"/>
    <w:rsid w:val="3849536A"/>
    <w:rsid w:val="384C3936"/>
    <w:rsid w:val="384DFB98"/>
    <w:rsid w:val="384F3C33"/>
    <w:rsid w:val="38512185"/>
    <w:rsid w:val="3853D6F5"/>
    <w:rsid w:val="38667D2B"/>
    <w:rsid w:val="386703C4"/>
    <w:rsid w:val="3868CE8B"/>
    <w:rsid w:val="3869CDB6"/>
    <w:rsid w:val="38709B86"/>
    <w:rsid w:val="387183D9"/>
    <w:rsid w:val="3871FF55"/>
    <w:rsid w:val="3875E11E"/>
    <w:rsid w:val="3876A1E3"/>
    <w:rsid w:val="38773722"/>
    <w:rsid w:val="38774529"/>
    <w:rsid w:val="387926B9"/>
    <w:rsid w:val="38792B65"/>
    <w:rsid w:val="387BB7FA"/>
    <w:rsid w:val="388227D7"/>
    <w:rsid w:val="388E5BCA"/>
    <w:rsid w:val="388EF2FB"/>
    <w:rsid w:val="389783DC"/>
    <w:rsid w:val="389905F3"/>
    <w:rsid w:val="389CA33C"/>
    <w:rsid w:val="389D6B78"/>
    <w:rsid w:val="389F42F9"/>
    <w:rsid w:val="38A1CA57"/>
    <w:rsid w:val="38A9259D"/>
    <w:rsid w:val="38B6FBA5"/>
    <w:rsid w:val="38B78FE7"/>
    <w:rsid w:val="38B868A1"/>
    <w:rsid w:val="38B964B6"/>
    <w:rsid w:val="38BABED7"/>
    <w:rsid w:val="38C72E36"/>
    <w:rsid w:val="38C8E34A"/>
    <w:rsid w:val="38CCD503"/>
    <w:rsid w:val="38D26939"/>
    <w:rsid w:val="38D304B5"/>
    <w:rsid w:val="38D7E3FB"/>
    <w:rsid w:val="38DEDB40"/>
    <w:rsid w:val="38E7DCFA"/>
    <w:rsid w:val="38F08592"/>
    <w:rsid w:val="38F2DD26"/>
    <w:rsid w:val="38F43A5B"/>
    <w:rsid w:val="38F7733D"/>
    <w:rsid w:val="38F99FD7"/>
    <w:rsid w:val="38FAED23"/>
    <w:rsid w:val="38FBCF08"/>
    <w:rsid w:val="390C471C"/>
    <w:rsid w:val="390DE8BD"/>
    <w:rsid w:val="3910808C"/>
    <w:rsid w:val="3910EAEF"/>
    <w:rsid w:val="39163204"/>
    <w:rsid w:val="3919789A"/>
    <w:rsid w:val="391BFE90"/>
    <w:rsid w:val="39224CD1"/>
    <w:rsid w:val="39246E90"/>
    <w:rsid w:val="39257B29"/>
    <w:rsid w:val="3941E618"/>
    <w:rsid w:val="39483C17"/>
    <w:rsid w:val="3948F37A"/>
    <w:rsid w:val="394DE09A"/>
    <w:rsid w:val="394E3305"/>
    <w:rsid w:val="394ED008"/>
    <w:rsid w:val="39505D6B"/>
    <w:rsid w:val="3950F7C4"/>
    <w:rsid w:val="3951F2BF"/>
    <w:rsid w:val="3955DF12"/>
    <w:rsid w:val="395645B5"/>
    <w:rsid w:val="3956551A"/>
    <w:rsid w:val="39568F09"/>
    <w:rsid w:val="395781E6"/>
    <w:rsid w:val="395BD1AE"/>
    <w:rsid w:val="395BDD5C"/>
    <w:rsid w:val="39698FA2"/>
    <w:rsid w:val="396A43C3"/>
    <w:rsid w:val="396C1906"/>
    <w:rsid w:val="39777941"/>
    <w:rsid w:val="397E761F"/>
    <w:rsid w:val="39801DCC"/>
    <w:rsid w:val="39802FD4"/>
    <w:rsid w:val="39806F95"/>
    <w:rsid w:val="398245A3"/>
    <w:rsid w:val="3987BED9"/>
    <w:rsid w:val="3992BD8A"/>
    <w:rsid w:val="39958116"/>
    <w:rsid w:val="3996F017"/>
    <w:rsid w:val="399891C7"/>
    <w:rsid w:val="39996DB5"/>
    <w:rsid w:val="399BDF90"/>
    <w:rsid w:val="39A342ED"/>
    <w:rsid w:val="39A6BBE9"/>
    <w:rsid w:val="39A82152"/>
    <w:rsid w:val="39AAF822"/>
    <w:rsid w:val="39ACB3FF"/>
    <w:rsid w:val="39AE1C57"/>
    <w:rsid w:val="39B29284"/>
    <w:rsid w:val="39B5CC24"/>
    <w:rsid w:val="39BB78C3"/>
    <w:rsid w:val="39C217D8"/>
    <w:rsid w:val="39C38674"/>
    <w:rsid w:val="39C51DC9"/>
    <w:rsid w:val="39C74942"/>
    <w:rsid w:val="39C7BDB0"/>
    <w:rsid w:val="39C84910"/>
    <w:rsid w:val="39C9F4FF"/>
    <w:rsid w:val="39D0C671"/>
    <w:rsid w:val="39D37D67"/>
    <w:rsid w:val="39D3A8A3"/>
    <w:rsid w:val="39D795A2"/>
    <w:rsid w:val="39D9E078"/>
    <w:rsid w:val="39DB0B94"/>
    <w:rsid w:val="39E1851F"/>
    <w:rsid w:val="39E69632"/>
    <w:rsid w:val="39E70A84"/>
    <w:rsid w:val="39E8C6BB"/>
    <w:rsid w:val="39EAD6D2"/>
    <w:rsid w:val="39EBC8DC"/>
    <w:rsid w:val="39EC8F98"/>
    <w:rsid w:val="39ED656D"/>
    <w:rsid w:val="39EDFB73"/>
    <w:rsid w:val="39F261AC"/>
    <w:rsid w:val="39F47E30"/>
    <w:rsid w:val="39F84F9E"/>
    <w:rsid w:val="3A06B52C"/>
    <w:rsid w:val="3A08BBB4"/>
    <w:rsid w:val="3A0A938D"/>
    <w:rsid w:val="3A0D2342"/>
    <w:rsid w:val="3A10E957"/>
    <w:rsid w:val="3A111C68"/>
    <w:rsid w:val="3A130DCC"/>
    <w:rsid w:val="3A161856"/>
    <w:rsid w:val="3A169FE7"/>
    <w:rsid w:val="3A16B380"/>
    <w:rsid w:val="3A16C51D"/>
    <w:rsid w:val="3A1AB3AF"/>
    <w:rsid w:val="3A1AC34B"/>
    <w:rsid w:val="3A22068B"/>
    <w:rsid w:val="3A247E41"/>
    <w:rsid w:val="3A3557A8"/>
    <w:rsid w:val="3A37DD27"/>
    <w:rsid w:val="3A38F651"/>
    <w:rsid w:val="3A3CAA0D"/>
    <w:rsid w:val="3A446394"/>
    <w:rsid w:val="3A48FF42"/>
    <w:rsid w:val="3A491F0D"/>
    <w:rsid w:val="3A50911C"/>
    <w:rsid w:val="3A5BC7A8"/>
    <w:rsid w:val="3A5E123D"/>
    <w:rsid w:val="3A70F92D"/>
    <w:rsid w:val="3A72417C"/>
    <w:rsid w:val="3A739376"/>
    <w:rsid w:val="3A766561"/>
    <w:rsid w:val="3A778034"/>
    <w:rsid w:val="3A7AACAC"/>
    <w:rsid w:val="3A824DA2"/>
    <w:rsid w:val="3A861183"/>
    <w:rsid w:val="3A8A6E3C"/>
    <w:rsid w:val="3A8BBA6F"/>
    <w:rsid w:val="3A92FD81"/>
    <w:rsid w:val="3A96722B"/>
    <w:rsid w:val="3A976F03"/>
    <w:rsid w:val="3A9A3DAF"/>
    <w:rsid w:val="3A9D5D42"/>
    <w:rsid w:val="3A9D6EC8"/>
    <w:rsid w:val="3AA00AA4"/>
    <w:rsid w:val="3AA18B7F"/>
    <w:rsid w:val="3AA1F084"/>
    <w:rsid w:val="3AA809D4"/>
    <w:rsid w:val="3AA82537"/>
    <w:rsid w:val="3AA9F4E4"/>
    <w:rsid w:val="3AADC057"/>
    <w:rsid w:val="3AAFE137"/>
    <w:rsid w:val="3AB19382"/>
    <w:rsid w:val="3AB2D40E"/>
    <w:rsid w:val="3AB74599"/>
    <w:rsid w:val="3ABCF417"/>
    <w:rsid w:val="3ABEF658"/>
    <w:rsid w:val="3AC340CA"/>
    <w:rsid w:val="3ACD44B6"/>
    <w:rsid w:val="3ACE0585"/>
    <w:rsid w:val="3AD036B8"/>
    <w:rsid w:val="3AD05530"/>
    <w:rsid w:val="3AD52684"/>
    <w:rsid w:val="3AE402EB"/>
    <w:rsid w:val="3AE5157F"/>
    <w:rsid w:val="3AEE9D81"/>
    <w:rsid w:val="3AF14F76"/>
    <w:rsid w:val="3AF9C207"/>
    <w:rsid w:val="3AFFD6D0"/>
    <w:rsid w:val="3B0BB422"/>
    <w:rsid w:val="3B0D2780"/>
    <w:rsid w:val="3B1BCCBF"/>
    <w:rsid w:val="3B2D77D6"/>
    <w:rsid w:val="3B30B43B"/>
    <w:rsid w:val="3B320B48"/>
    <w:rsid w:val="3B3A6202"/>
    <w:rsid w:val="3B3A9C08"/>
    <w:rsid w:val="3B413B3E"/>
    <w:rsid w:val="3B424A70"/>
    <w:rsid w:val="3B4DD032"/>
    <w:rsid w:val="3B514A23"/>
    <w:rsid w:val="3B55B5CA"/>
    <w:rsid w:val="3B560655"/>
    <w:rsid w:val="3B571380"/>
    <w:rsid w:val="3B571A9A"/>
    <w:rsid w:val="3B5DF65E"/>
    <w:rsid w:val="3B5E6CA4"/>
    <w:rsid w:val="3B5E6F00"/>
    <w:rsid w:val="3B5FE45E"/>
    <w:rsid w:val="3B60C43E"/>
    <w:rsid w:val="3B630D14"/>
    <w:rsid w:val="3B66C1EA"/>
    <w:rsid w:val="3B702F09"/>
    <w:rsid w:val="3B78A846"/>
    <w:rsid w:val="3B79010D"/>
    <w:rsid w:val="3B7CAA64"/>
    <w:rsid w:val="3B85D91F"/>
    <w:rsid w:val="3B8810BC"/>
    <w:rsid w:val="3B8EABAE"/>
    <w:rsid w:val="3B8FBB92"/>
    <w:rsid w:val="3B8FF417"/>
    <w:rsid w:val="3B955027"/>
    <w:rsid w:val="3B95B838"/>
    <w:rsid w:val="3B9833A2"/>
    <w:rsid w:val="3B9BC241"/>
    <w:rsid w:val="3BA6BC36"/>
    <w:rsid w:val="3BAA4056"/>
    <w:rsid w:val="3BB20A28"/>
    <w:rsid w:val="3BB9745D"/>
    <w:rsid w:val="3BC146D9"/>
    <w:rsid w:val="3BCAE5F0"/>
    <w:rsid w:val="3BD0BBC8"/>
    <w:rsid w:val="3BD2EDF1"/>
    <w:rsid w:val="3BDC3ABD"/>
    <w:rsid w:val="3BDE07EE"/>
    <w:rsid w:val="3BE469DD"/>
    <w:rsid w:val="3BE4FFC4"/>
    <w:rsid w:val="3BE5BB6C"/>
    <w:rsid w:val="3BE79FFA"/>
    <w:rsid w:val="3BE853A6"/>
    <w:rsid w:val="3BEC96BA"/>
    <w:rsid w:val="3BF1A669"/>
    <w:rsid w:val="3BF2AAF5"/>
    <w:rsid w:val="3BF305F8"/>
    <w:rsid w:val="3BF44ED3"/>
    <w:rsid w:val="3BF9E3F4"/>
    <w:rsid w:val="3BFE7316"/>
    <w:rsid w:val="3C0179B1"/>
    <w:rsid w:val="3C019F88"/>
    <w:rsid w:val="3C029BE2"/>
    <w:rsid w:val="3C0324CB"/>
    <w:rsid w:val="3C0B9383"/>
    <w:rsid w:val="3C13C7A0"/>
    <w:rsid w:val="3C13F3CA"/>
    <w:rsid w:val="3C163FBF"/>
    <w:rsid w:val="3C17C59F"/>
    <w:rsid w:val="3C1C2156"/>
    <w:rsid w:val="3C225B51"/>
    <w:rsid w:val="3C29589F"/>
    <w:rsid w:val="3C2E7AC1"/>
    <w:rsid w:val="3C31B9F8"/>
    <w:rsid w:val="3C32F1E8"/>
    <w:rsid w:val="3C390875"/>
    <w:rsid w:val="3C3BF02E"/>
    <w:rsid w:val="3C3DFB8C"/>
    <w:rsid w:val="3C3E5AF6"/>
    <w:rsid w:val="3C3F3AA8"/>
    <w:rsid w:val="3C4155E5"/>
    <w:rsid w:val="3C47C1B7"/>
    <w:rsid w:val="3C4814B5"/>
    <w:rsid w:val="3C493342"/>
    <w:rsid w:val="3C49AA93"/>
    <w:rsid w:val="3C4D102A"/>
    <w:rsid w:val="3C4E54B3"/>
    <w:rsid w:val="3C4E6346"/>
    <w:rsid w:val="3C534894"/>
    <w:rsid w:val="3C57E39B"/>
    <w:rsid w:val="3C5BF7AB"/>
    <w:rsid w:val="3C5CA9E9"/>
    <w:rsid w:val="3C5DE63E"/>
    <w:rsid w:val="3C619159"/>
    <w:rsid w:val="3C72479B"/>
    <w:rsid w:val="3C7265AB"/>
    <w:rsid w:val="3C736AB1"/>
    <w:rsid w:val="3C749AE9"/>
    <w:rsid w:val="3C7901BA"/>
    <w:rsid w:val="3C7963DB"/>
    <w:rsid w:val="3C7B8099"/>
    <w:rsid w:val="3C7EF15D"/>
    <w:rsid w:val="3C82B017"/>
    <w:rsid w:val="3C87116D"/>
    <w:rsid w:val="3C8F7730"/>
    <w:rsid w:val="3C97BD1C"/>
    <w:rsid w:val="3C98D887"/>
    <w:rsid w:val="3CA171B3"/>
    <w:rsid w:val="3CA4B013"/>
    <w:rsid w:val="3CA86C06"/>
    <w:rsid w:val="3CAA2011"/>
    <w:rsid w:val="3CBDDE51"/>
    <w:rsid w:val="3CD3B679"/>
    <w:rsid w:val="3CD79FDD"/>
    <w:rsid w:val="3CDA2DC4"/>
    <w:rsid w:val="3CDAEBCF"/>
    <w:rsid w:val="3CDD5AD6"/>
    <w:rsid w:val="3CDD798B"/>
    <w:rsid w:val="3CDF4758"/>
    <w:rsid w:val="3CE9E45E"/>
    <w:rsid w:val="3CEBCE29"/>
    <w:rsid w:val="3CF1DA7A"/>
    <w:rsid w:val="3CFAC193"/>
    <w:rsid w:val="3CFBBE5E"/>
    <w:rsid w:val="3CFDB919"/>
    <w:rsid w:val="3CFE5F26"/>
    <w:rsid w:val="3CFF741A"/>
    <w:rsid w:val="3D04FEF2"/>
    <w:rsid w:val="3D05B639"/>
    <w:rsid w:val="3D05F37A"/>
    <w:rsid w:val="3D106593"/>
    <w:rsid w:val="3D10B49C"/>
    <w:rsid w:val="3D126799"/>
    <w:rsid w:val="3D13F5AB"/>
    <w:rsid w:val="3D14FE20"/>
    <w:rsid w:val="3D15F314"/>
    <w:rsid w:val="3D17FBFF"/>
    <w:rsid w:val="3D1A7704"/>
    <w:rsid w:val="3D1BD352"/>
    <w:rsid w:val="3D221548"/>
    <w:rsid w:val="3D2533E2"/>
    <w:rsid w:val="3D26D2C3"/>
    <w:rsid w:val="3D2B8D31"/>
    <w:rsid w:val="3D2E1E7B"/>
    <w:rsid w:val="3D338D13"/>
    <w:rsid w:val="3D388241"/>
    <w:rsid w:val="3D39D862"/>
    <w:rsid w:val="3D3EA079"/>
    <w:rsid w:val="3D415620"/>
    <w:rsid w:val="3D4684B0"/>
    <w:rsid w:val="3D4E1E92"/>
    <w:rsid w:val="3D54422C"/>
    <w:rsid w:val="3D5603AC"/>
    <w:rsid w:val="3D5D9F3D"/>
    <w:rsid w:val="3D5E458E"/>
    <w:rsid w:val="3D609E96"/>
    <w:rsid w:val="3D61BFA4"/>
    <w:rsid w:val="3D63CB17"/>
    <w:rsid w:val="3D63E4A8"/>
    <w:rsid w:val="3D65701D"/>
    <w:rsid w:val="3D751C55"/>
    <w:rsid w:val="3D7A7A98"/>
    <w:rsid w:val="3D7CFE7E"/>
    <w:rsid w:val="3D7DF922"/>
    <w:rsid w:val="3D83C236"/>
    <w:rsid w:val="3D88860B"/>
    <w:rsid w:val="3D8AB1CF"/>
    <w:rsid w:val="3D8FC5FC"/>
    <w:rsid w:val="3D91C61C"/>
    <w:rsid w:val="3D93DB67"/>
    <w:rsid w:val="3D9439E5"/>
    <w:rsid w:val="3D976898"/>
    <w:rsid w:val="3D9C2642"/>
    <w:rsid w:val="3D9D86D5"/>
    <w:rsid w:val="3DA50D5C"/>
    <w:rsid w:val="3DA58F6A"/>
    <w:rsid w:val="3DAA5EA0"/>
    <w:rsid w:val="3DAAC174"/>
    <w:rsid w:val="3DAC82A2"/>
    <w:rsid w:val="3DB07863"/>
    <w:rsid w:val="3DB56F30"/>
    <w:rsid w:val="3DB5D7EB"/>
    <w:rsid w:val="3DB6EBBC"/>
    <w:rsid w:val="3DBA5D4B"/>
    <w:rsid w:val="3DBCDB40"/>
    <w:rsid w:val="3DC2E21B"/>
    <w:rsid w:val="3DC3E2A3"/>
    <w:rsid w:val="3DC4345C"/>
    <w:rsid w:val="3DC6D7F1"/>
    <w:rsid w:val="3DCEA34C"/>
    <w:rsid w:val="3DCF0942"/>
    <w:rsid w:val="3DD0257C"/>
    <w:rsid w:val="3DD1E162"/>
    <w:rsid w:val="3DD24D74"/>
    <w:rsid w:val="3DD33A02"/>
    <w:rsid w:val="3DDFA100"/>
    <w:rsid w:val="3DDFBFFF"/>
    <w:rsid w:val="3DE372C8"/>
    <w:rsid w:val="3DEAA8D2"/>
    <w:rsid w:val="3DF4DE5F"/>
    <w:rsid w:val="3DF77C57"/>
    <w:rsid w:val="3DFA9AE3"/>
    <w:rsid w:val="3E01F982"/>
    <w:rsid w:val="3E04A050"/>
    <w:rsid w:val="3E0A2E27"/>
    <w:rsid w:val="3E0DD848"/>
    <w:rsid w:val="3E15C3F5"/>
    <w:rsid w:val="3E1D9470"/>
    <w:rsid w:val="3E1E6FB0"/>
    <w:rsid w:val="3E1F3F56"/>
    <w:rsid w:val="3E22B6BB"/>
    <w:rsid w:val="3E246850"/>
    <w:rsid w:val="3E26E040"/>
    <w:rsid w:val="3E2BDFE4"/>
    <w:rsid w:val="3E2F8E41"/>
    <w:rsid w:val="3E331961"/>
    <w:rsid w:val="3E439771"/>
    <w:rsid w:val="3E473A7D"/>
    <w:rsid w:val="3E4A3494"/>
    <w:rsid w:val="3E507FC2"/>
    <w:rsid w:val="3E54D1A5"/>
    <w:rsid w:val="3E57A0AF"/>
    <w:rsid w:val="3E587CE8"/>
    <w:rsid w:val="3E58B903"/>
    <w:rsid w:val="3E5A4EF5"/>
    <w:rsid w:val="3E5EC396"/>
    <w:rsid w:val="3E644824"/>
    <w:rsid w:val="3E647EF0"/>
    <w:rsid w:val="3E66DBDC"/>
    <w:rsid w:val="3E692A56"/>
    <w:rsid w:val="3E69B17C"/>
    <w:rsid w:val="3E761362"/>
    <w:rsid w:val="3E7D476A"/>
    <w:rsid w:val="3E81E2E8"/>
    <w:rsid w:val="3E852809"/>
    <w:rsid w:val="3E91404B"/>
    <w:rsid w:val="3E9F91AA"/>
    <w:rsid w:val="3EA07062"/>
    <w:rsid w:val="3EA9779D"/>
    <w:rsid w:val="3EACA84D"/>
    <w:rsid w:val="3EB2DB4F"/>
    <w:rsid w:val="3EB3ED85"/>
    <w:rsid w:val="3EB43AAC"/>
    <w:rsid w:val="3EB9E9DA"/>
    <w:rsid w:val="3EBA3436"/>
    <w:rsid w:val="3EC1C24C"/>
    <w:rsid w:val="3EC528A5"/>
    <w:rsid w:val="3EC58A49"/>
    <w:rsid w:val="3ECB70E8"/>
    <w:rsid w:val="3ECD73D2"/>
    <w:rsid w:val="3ECF2CA3"/>
    <w:rsid w:val="3ED32109"/>
    <w:rsid w:val="3ED698E7"/>
    <w:rsid w:val="3ED9AEE0"/>
    <w:rsid w:val="3EDD43FC"/>
    <w:rsid w:val="3EE4AB27"/>
    <w:rsid w:val="3EE5706A"/>
    <w:rsid w:val="3EE9E6A6"/>
    <w:rsid w:val="3EEA973A"/>
    <w:rsid w:val="3EEBB63E"/>
    <w:rsid w:val="3EEC4890"/>
    <w:rsid w:val="3EF44887"/>
    <w:rsid w:val="3EFD8FC0"/>
    <w:rsid w:val="3F02D5DF"/>
    <w:rsid w:val="3F08B223"/>
    <w:rsid w:val="3F0B1922"/>
    <w:rsid w:val="3F111684"/>
    <w:rsid w:val="3F12F0EB"/>
    <w:rsid w:val="3F13A43C"/>
    <w:rsid w:val="3F152DF5"/>
    <w:rsid w:val="3F173904"/>
    <w:rsid w:val="3F207C48"/>
    <w:rsid w:val="3F212552"/>
    <w:rsid w:val="3F2572F9"/>
    <w:rsid w:val="3F26F446"/>
    <w:rsid w:val="3F28B614"/>
    <w:rsid w:val="3F2F2D10"/>
    <w:rsid w:val="3F3079F5"/>
    <w:rsid w:val="3F31330E"/>
    <w:rsid w:val="3F330E7A"/>
    <w:rsid w:val="3F3A3D17"/>
    <w:rsid w:val="3F3A4C25"/>
    <w:rsid w:val="3F40C851"/>
    <w:rsid w:val="3F44BB89"/>
    <w:rsid w:val="3F46A1B9"/>
    <w:rsid w:val="3F4F98E4"/>
    <w:rsid w:val="3F505163"/>
    <w:rsid w:val="3F5854E3"/>
    <w:rsid w:val="3F5D6A4C"/>
    <w:rsid w:val="3F5E6F35"/>
    <w:rsid w:val="3F5EAB9C"/>
    <w:rsid w:val="3F5EDADD"/>
    <w:rsid w:val="3F5FE59E"/>
    <w:rsid w:val="3F6368B0"/>
    <w:rsid w:val="3F6BEF88"/>
    <w:rsid w:val="3F6CDCA6"/>
    <w:rsid w:val="3F70F09E"/>
    <w:rsid w:val="3F73A22B"/>
    <w:rsid w:val="3F73F0D0"/>
    <w:rsid w:val="3F75AF2C"/>
    <w:rsid w:val="3F76F299"/>
    <w:rsid w:val="3F7A58B0"/>
    <w:rsid w:val="3F7B0549"/>
    <w:rsid w:val="3F7DBBC1"/>
    <w:rsid w:val="3F813D20"/>
    <w:rsid w:val="3F8502BC"/>
    <w:rsid w:val="3F8BB05F"/>
    <w:rsid w:val="3F9350D5"/>
    <w:rsid w:val="3F97C6B9"/>
    <w:rsid w:val="3F990854"/>
    <w:rsid w:val="3FA02896"/>
    <w:rsid w:val="3FA6A63B"/>
    <w:rsid w:val="3FA74B83"/>
    <w:rsid w:val="3FAC2BBC"/>
    <w:rsid w:val="3FAFEC40"/>
    <w:rsid w:val="3FB35BF5"/>
    <w:rsid w:val="3FB513B8"/>
    <w:rsid w:val="3FB66A77"/>
    <w:rsid w:val="3FBA4E73"/>
    <w:rsid w:val="3FBC3405"/>
    <w:rsid w:val="3FC92BD3"/>
    <w:rsid w:val="3FCA16AA"/>
    <w:rsid w:val="3FCEFC60"/>
    <w:rsid w:val="3FCEFD63"/>
    <w:rsid w:val="3FD22505"/>
    <w:rsid w:val="3FD4BC5A"/>
    <w:rsid w:val="3FD680DC"/>
    <w:rsid w:val="3FD8DA17"/>
    <w:rsid w:val="3FDDC42C"/>
    <w:rsid w:val="3FDF294F"/>
    <w:rsid w:val="3FE17B8D"/>
    <w:rsid w:val="3FE4DE8E"/>
    <w:rsid w:val="3FE63F2A"/>
    <w:rsid w:val="3FE8C9AD"/>
    <w:rsid w:val="3FF20391"/>
    <w:rsid w:val="3FF72B49"/>
    <w:rsid w:val="3FFB3B09"/>
    <w:rsid w:val="3FFC62C1"/>
    <w:rsid w:val="3FFC945E"/>
    <w:rsid w:val="400652C7"/>
    <w:rsid w:val="4008C9F7"/>
    <w:rsid w:val="40099418"/>
    <w:rsid w:val="400DD3D7"/>
    <w:rsid w:val="400FFAAD"/>
    <w:rsid w:val="40119DAF"/>
    <w:rsid w:val="4014AAEE"/>
    <w:rsid w:val="401E672B"/>
    <w:rsid w:val="402650E9"/>
    <w:rsid w:val="4027CED7"/>
    <w:rsid w:val="402E5B87"/>
    <w:rsid w:val="4039926C"/>
    <w:rsid w:val="403D83E1"/>
    <w:rsid w:val="4040DA23"/>
    <w:rsid w:val="404BF09E"/>
    <w:rsid w:val="404CC5CD"/>
    <w:rsid w:val="40543C72"/>
    <w:rsid w:val="4055CA05"/>
    <w:rsid w:val="4058B614"/>
    <w:rsid w:val="4061F49C"/>
    <w:rsid w:val="406E6367"/>
    <w:rsid w:val="406F6902"/>
    <w:rsid w:val="40707B67"/>
    <w:rsid w:val="407234DA"/>
    <w:rsid w:val="4077DCC0"/>
    <w:rsid w:val="407CD17D"/>
    <w:rsid w:val="407F05F4"/>
    <w:rsid w:val="40800D93"/>
    <w:rsid w:val="40850EE2"/>
    <w:rsid w:val="4085EA12"/>
    <w:rsid w:val="408CE94D"/>
    <w:rsid w:val="408DB069"/>
    <w:rsid w:val="4098E708"/>
    <w:rsid w:val="40994901"/>
    <w:rsid w:val="409A5FB2"/>
    <w:rsid w:val="40A221D2"/>
    <w:rsid w:val="40A39D26"/>
    <w:rsid w:val="40A3C489"/>
    <w:rsid w:val="40A5EDD2"/>
    <w:rsid w:val="40A8863C"/>
    <w:rsid w:val="40A89061"/>
    <w:rsid w:val="40AB9C25"/>
    <w:rsid w:val="40AB9CD9"/>
    <w:rsid w:val="40AFE3E6"/>
    <w:rsid w:val="40B44F41"/>
    <w:rsid w:val="40B8ED11"/>
    <w:rsid w:val="40C177F7"/>
    <w:rsid w:val="40CB27E8"/>
    <w:rsid w:val="40CD7286"/>
    <w:rsid w:val="40D501F7"/>
    <w:rsid w:val="40D7E795"/>
    <w:rsid w:val="40D8D566"/>
    <w:rsid w:val="40DA67AD"/>
    <w:rsid w:val="40DAFD38"/>
    <w:rsid w:val="40DF3C89"/>
    <w:rsid w:val="40E192D8"/>
    <w:rsid w:val="40E39F3F"/>
    <w:rsid w:val="40E53D42"/>
    <w:rsid w:val="40E8A053"/>
    <w:rsid w:val="40EBBAEA"/>
    <w:rsid w:val="40EE5D88"/>
    <w:rsid w:val="40EEBE27"/>
    <w:rsid w:val="40F11874"/>
    <w:rsid w:val="40F12811"/>
    <w:rsid w:val="40F1CB5C"/>
    <w:rsid w:val="40F47B3E"/>
    <w:rsid w:val="40F57545"/>
    <w:rsid w:val="40FBB4CA"/>
    <w:rsid w:val="40FF8128"/>
    <w:rsid w:val="41020038"/>
    <w:rsid w:val="4102A0FA"/>
    <w:rsid w:val="410C65C2"/>
    <w:rsid w:val="410F0F17"/>
    <w:rsid w:val="4114142B"/>
    <w:rsid w:val="41145837"/>
    <w:rsid w:val="411984F5"/>
    <w:rsid w:val="41231255"/>
    <w:rsid w:val="41261A56"/>
    <w:rsid w:val="412AB8B5"/>
    <w:rsid w:val="413258D0"/>
    <w:rsid w:val="413F7D1B"/>
    <w:rsid w:val="41424910"/>
    <w:rsid w:val="414375CE"/>
    <w:rsid w:val="4144AD9F"/>
    <w:rsid w:val="414725B2"/>
    <w:rsid w:val="414BE92C"/>
    <w:rsid w:val="414D6D6F"/>
    <w:rsid w:val="41516D9E"/>
    <w:rsid w:val="41519365"/>
    <w:rsid w:val="415256E0"/>
    <w:rsid w:val="415323E2"/>
    <w:rsid w:val="415B3BDC"/>
    <w:rsid w:val="4160DCF9"/>
    <w:rsid w:val="4161F934"/>
    <w:rsid w:val="416D2339"/>
    <w:rsid w:val="4171E0B6"/>
    <w:rsid w:val="4173D98D"/>
    <w:rsid w:val="4174CADD"/>
    <w:rsid w:val="41781302"/>
    <w:rsid w:val="417A3480"/>
    <w:rsid w:val="418B6F84"/>
    <w:rsid w:val="41907864"/>
    <w:rsid w:val="41960CC2"/>
    <w:rsid w:val="4199E9AF"/>
    <w:rsid w:val="41A0A521"/>
    <w:rsid w:val="41A42BE2"/>
    <w:rsid w:val="41A522E5"/>
    <w:rsid w:val="41A5AD90"/>
    <w:rsid w:val="41A9177A"/>
    <w:rsid w:val="41A9BF79"/>
    <w:rsid w:val="41AD4051"/>
    <w:rsid w:val="41AF54F2"/>
    <w:rsid w:val="41BE7FD1"/>
    <w:rsid w:val="41BFB91E"/>
    <w:rsid w:val="41C8B5DA"/>
    <w:rsid w:val="41CE3F66"/>
    <w:rsid w:val="41D0E482"/>
    <w:rsid w:val="41DCFF27"/>
    <w:rsid w:val="41DEBFF4"/>
    <w:rsid w:val="41E0A3B9"/>
    <w:rsid w:val="41EA1E44"/>
    <w:rsid w:val="41EB3C8B"/>
    <w:rsid w:val="41EDF485"/>
    <w:rsid w:val="41F3049E"/>
    <w:rsid w:val="41F86B68"/>
    <w:rsid w:val="41FC9B14"/>
    <w:rsid w:val="420DAB44"/>
    <w:rsid w:val="420DB4B1"/>
    <w:rsid w:val="420EA013"/>
    <w:rsid w:val="421159EE"/>
    <w:rsid w:val="42128AE4"/>
    <w:rsid w:val="42157794"/>
    <w:rsid w:val="42184AE1"/>
    <w:rsid w:val="42187694"/>
    <w:rsid w:val="421C31F1"/>
    <w:rsid w:val="422187D0"/>
    <w:rsid w:val="42281489"/>
    <w:rsid w:val="4231D8D7"/>
    <w:rsid w:val="42329A9F"/>
    <w:rsid w:val="4233D002"/>
    <w:rsid w:val="42342F7E"/>
    <w:rsid w:val="42371989"/>
    <w:rsid w:val="4237E112"/>
    <w:rsid w:val="4238FE91"/>
    <w:rsid w:val="4239E60E"/>
    <w:rsid w:val="423C09D1"/>
    <w:rsid w:val="423E6E41"/>
    <w:rsid w:val="4240BD79"/>
    <w:rsid w:val="4244793E"/>
    <w:rsid w:val="424D2212"/>
    <w:rsid w:val="4251F789"/>
    <w:rsid w:val="4261EB0E"/>
    <w:rsid w:val="4262DF5F"/>
    <w:rsid w:val="426AB6B7"/>
    <w:rsid w:val="426F7E3C"/>
    <w:rsid w:val="427F3B32"/>
    <w:rsid w:val="427F8918"/>
    <w:rsid w:val="427FBDF7"/>
    <w:rsid w:val="428E82BF"/>
    <w:rsid w:val="4298858D"/>
    <w:rsid w:val="429D3863"/>
    <w:rsid w:val="429DAE44"/>
    <w:rsid w:val="42A28270"/>
    <w:rsid w:val="42B17D03"/>
    <w:rsid w:val="42B3131F"/>
    <w:rsid w:val="42B5E8F1"/>
    <w:rsid w:val="42BCB793"/>
    <w:rsid w:val="42BDB362"/>
    <w:rsid w:val="42BE232B"/>
    <w:rsid w:val="42BF2B3B"/>
    <w:rsid w:val="42BFE857"/>
    <w:rsid w:val="42C7AA63"/>
    <w:rsid w:val="42C87129"/>
    <w:rsid w:val="42CA25CD"/>
    <w:rsid w:val="42CC5326"/>
    <w:rsid w:val="42CD2551"/>
    <w:rsid w:val="42CF55BF"/>
    <w:rsid w:val="42D29CA0"/>
    <w:rsid w:val="42D5776B"/>
    <w:rsid w:val="42D7F48E"/>
    <w:rsid w:val="42DA67D8"/>
    <w:rsid w:val="42EC77A4"/>
    <w:rsid w:val="42FAFA8B"/>
    <w:rsid w:val="42FB951E"/>
    <w:rsid w:val="42FD550B"/>
    <w:rsid w:val="42FDAB5A"/>
    <w:rsid w:val="4300B90B"/>
    <w:rsid w:val="43068C2D"/>
    <w:rsid w:val="4308B8D0"/>
    <w:rsid w:val="43094D63"/>
    <w:rsid w:val="4309F6DB"/>
    <w:rsid w:val="430A6649"/>
    <w:rsid w:val="430C025A"/>
    <w:rsid w:val="430C29AE"/>
    <w:rsid w:val="430D18F4"/>
    <w:rsid w:val="430E29C3"/>
    <w:rsid w:val="4310560E"/>
    <w:rsid w:val="4310EA11"/>
    <w:rsid w:val="4313CFE1"/>
    <w:rsid w:val="43180A99"/>
    <w:rsid w:val="431CF096"/>
    <w:rsid w:val="431FCE67"/>
    <w:rsid w:val="4324CF3B"/>
    <w:rsid w:val="4324EBFB"/>
    <w:rsid w:val="432954AA"/>
    <w:rsid w:val="4332075E"/>
    <w:rsid w:val="4336F1E8"/>
    <w:rsid w:val="433A57E7"/>
    <w:rsid w:val="433CA10B"/>
    <w:rsid w:val="433F8BA3"/>
    <w:rsid w:val="434016B7"/>
    <w:rsid w:val="434172D9"/>
    <w:rsid w:val="4348CEC0"/>
    <w:rsid w:val="434A9F46"/>
    <w:rsid w:val="4351B226"/>
    <w:rsid w:val="43528163"/>
    <w:rsid w:val="43595A4B"/>
    <w:rsid w:val="435FA04F"/>
    <w:rsid w:val="4362157C"/>
    <w:rsid w:val="436A9FC6"/>
    <w:rsid w:val="436D2186"/>
    <w:rsid w:val="436EAB32"/>
    <w:rsid w:val="4380E3B7"/>
    <w:rsid w:val="43872CAA"/>
    <w:rsid w:val="438A8885"/>
    <w:rsid w:val="4390B3E1"/>
    <w:rsid w:val="43946E83"/>
    <w:rsid w:val="4394ECEB"/>
    <w:rsid w:val="439C082C"/>
    <w:rsid w:val="439CD229"/>
    <w:rsid w:val="439EC4C6"/>
    <w:rsid w:val="43A0D7A8"/>
    <w:rsid w:val="43A42D2B"/>
    <w:rsid w:val="43B0C253"/>
    <w:rsid w:val="43B58558"/>
    <w:rsid w:val="43BEA512"/>
    <w:rsid w:val="43C55790"/>
    <w:rsid w:val="43CBF565"/>
    <w:rsid w:val="43D5FA20"/>
    <w:rsid w:val="43DA53C6"/>
    <w:rsid w:val="43DAE5C1"/>
    <w:rsid w:val="43DB2C9A"/>
    <w:rsid w:val="43EA7E38"/>
    <w:rsid w:val="43EC1206"/>
    <w:rsid w:val="43EF1BCE"/>
    <w:rsid w:val="43F54C0A"/>
    <w:rsid w:val="43F6C02C"/>
    <w:rsid w:val="43F6FB77"/>
    <w:rsid w:val="43FAAC04"/>
    <w:rsid w:val="43FDEEDD"/>
    <w:rsid w:val="4407D07F"/>
    <w:rsid w:val="440BE057"/>
    <w:rsid w:val="4415DBDD"/>
    <w:rsid w:val="441AEFD5"/>
    <w:rsid w:val="441E2E88"/>
    <w:rsid w:val="441F1BA7"/>
    <w:rsid w:val="44263586"/>
    <w:rsid w:val="442AF1A2"/>
    <w:rsid w:val="442CED99"/>
    <w:rsid w:val="44300B80"/>
    <w:rsid w:val="4433674A"/>
    <w:rsid w:val="4441C122"/>
    <w:rsid w:val="4446125F"/>
    <w:rsid w:val="4447654F"/>
    <w:rsid w:val="4448B554"/>
    <w:rsid w:val="444A40BD"/>
    <w:rsid w:val="444F84C1"/>
    <w:rsid w:val="444FB579"/>
    <w:rsid w:val="4457EB9D"/>
    <w:rsid w:val="445EA0BD"/>
    <w:rsid w:val="446F0737"/>
    <w:rsid w:val="44724BD2"/>
    <w:rsid w:val="447BFF2B"/>
    <w:rsid w:val="447DEC48"/>
    <w:rsid w:val="4481797C"/>
    <w:rsid w:val="448270DF"/>
    <w:rsid w:val="44889352"/>
    <w:rsid w:val="4488BF0E"/>
    <w:rsid w:val="448B240C"/>
    <w:rsid w:val="44945402"/>
    <w:rsid w:val="4494A34F"/>
    <w:rsid w:val="4497D8E0"/>
    <w:rsid w:val="44981647"/>
    <w:rsid w:val="449B5792"/>
    <w:rsid w:val="449BB629"/>
    <w:rsid w:val="449BFA29"/>
    <w:rsid w:val="449D9506"/>
    <w:rsid w:val="449E36B3"/>
    <w:rsid w:val="449F7FDA"/>
    <w:rsid w:val="44A1CB60"/>
    <w:rsid w:val="44A39A70"/>
    <w:rsid w:val="44AAEF9E"/>
    <w:rsid w:val="44AE0FEE"/>
    <w:rsid w:val="44AEE737"/>
    <w:rsid w:val="44BBCD27"/>
    <w:rsid w:val="44BEF9B3"/>
    <w:rsid w:val="44C0134E"/>
    <w:rsid w:val="44C0BD29"/>
    <w:rsid w:val="44C0D210"/>
    <w:rsid w:val="44C891D1"/>
    <w:rsid w:val="44C951CC"/>
    <w:rsid w:val="44CE085B"/>
    <w:rsid w:val="44D6926A"/>
    <w:rsid w:val="44D7605F"/>
    <w:rsid w:val="44DB47BE"/>
    <w:rsid w:val="44DC874B"/>
    <w:rsid w:val="44DF014F"/>
    <w:rsid w:val="44E4B8F6"/>
    <w:rsid w:val="44EE97C4"/>
    <w:rsid w:val="4506345F"/>
    <w:rsid w:val="4506A8C0"/>
    <w:rsid w:val="450F795D"/>
    <w:rsid w:val="45119079"/>
    <w:rsid w:val="45197F5F"/>
    <w:rsid w:val="451FEAD3"/>
    <w:rsid w:val="4520CC70"/>
    <w:rsid w:val="4526BD4E"/>
    <w:rsid w:val="45280B57"/>
    <w:rsid w:val="45290216"/>
    <w:rsid w:val="452B616D"/>
    <w:rsid w:val="45300D25"/>
    <w:rsid w:val="4534F2BF"/>
    <w:rsid w:val="4539DE1B"/>
    <w:rsid w:val="453C291B"/>
    <w:rsid w:val="45477E68"/>
    <w:rsid w:val="454B57D4"/>
    <w:rsid w:val="454D4A5F"/>
    <w:rsid w:val="4555AB84"/>
    <w:rsid w:val="4559810C"/>
    <w:rsid w:val="455AA0DC"/>
    <w:rsid w:val="4561A3FB"/>
    <w:rsid w:val="45620273"/>
    <w:rsid w:val="45626082"/>
    <w:rsid w:val="456363F4"/>
    <w:rsid w:val="4564714E"/>
    <w:rsid w:val="4568A61A"/>
    <w:rsid w:val="4569506E"/>
    <w:rsid w:val="457798FC"/>
    <w:rsid w:val="45807302"/>
    <w:rsid w:val="4582CCBB"/>
    <w:rsid w:val="4587EE63"/>
    <w:rsid w:val="458F9234"/>
    <w:rsid w:val="4590CAA7"/>
    <w:rsid w:val="4595759E"/>
    <w:rsid w:val="45962ACD"/>
    <w:rsid w:val="459B3E7F"/>
    <w:rsid w:val="45A4B80A"/>
    <w:rsid w:val="45A5C9F9"/>
    <w:rsid w:val="45ABCB72"/>
    <w:rsid w:val="45AEFECD"/>
    <w:rsid w:val="45B0E1E7"/>
    <w:rsid w:val="45B6223A"/>
    <w:rsid w:val="45BBD237"/>
    <w:rsid w:val="45BD0B96"/>
    <w:rsid w:val="45BF4B59"/>
    <w:rsid w:val="45BFF26F"/>
    <w:rsid w:val="45C3557E"/>
    <w:rsid w:val="45C7300A"/>
    <w:rsid w:val="45C8FFC7"/>
    <w:rsid w:val="45CD3354"/>
    <w:rsid w:val="45CD95A1"/>
    <w:rsid w:val="45CF7385"/>
    <w:rsid w:val="45D027E9"/>
    <w:rsid w:val="45D67629"/>
    <w:rsid w:val="45DA9153"/>
    <w:rsid w:val="45DC8282"/>
    <w:rsid w:val="45DCEE11"/>
    <w:rsid w:val="45DD3FED"/>
    <w:rsid w:val="45EAC78D"/>
    <w:rsid w:val="45EC7DAA"/>
    <w:rsid w:val="45F043B9"/>
    <w:rsid w:val="45FDCAEA"/>
    <w:rsid w:val="4602822A"/>
    <w:rsid w:val="46041671"/>
    <w:rsid w:val="4609AF6C"/>
    <w:rsid w:val="4609E386"/>
    <w:rsid w:val="460B3A91"/>
    <w:rsid w:val="4612BFAF"/>
    <w:rsid w:val="461327E0"/>
    <w:rsid w:val="4616A24B"/>
    <w:rsid w:val="4625A19C"/>
    <w:rsid w:val="462665C6"/>
    <w:rsid w:val="4626AC9B"/>
    <w:rsid w:val="46272F81"/>
    <w:rsid w:val="4631C61E"/>
    <w:rsid w:val="46356372"/>
    <w:rsid w:val="46390D2D"/>
    <w:rsid w:val="463A94F8"/>
    <w:rsid w:val="46434985"/>
    <w:rsid w:val="46470D76"/>
    <w:rsid w:val="464CD605"/>
    <w:rsid w:val="46528719"/>
    <w:rsid w:val="465560E8"/>
    <w:rsid w:val="465EF0D3"/>
    <w:rsid w:val="46615629"/>
    <w:rsid w:val="466491BB"/>
    <w:rsid w:val="4664BE38"/>
    <w:rsid w:val="466BEF9D"/>
    <w:rsid w:val="4670FCAF"/>
    <w:rsid w:val="46724D6C"/>
    <w:rsid w:val="467454FD"/>
    <w:rsid w:val="4682047B"/>
    <w:rsid w:val="46827EE3"/>
    <w:rsid w:val="468295BA"/>
    <w:rsid w:val="468342A8"/>
    <w:rsid w:val="46867DB8"/>
    <w:rsid w:val="4688A52E"/>
    <w:rsid w:val="4697B726"/>
    <w:rsid w:val="469B67A3"/>
    <w:rsid w:val="469EAF77"/>
    <w:rsid w:val="469F19E9"/>
    <w:rsid w:val="46A04F4C"/>
    <w:rsid w:val="46A06C27"/>
    <w:rsid w:val="46A324E5"/>
    <w:rsid w:val="46A698BE"/>
    <w:rsid w:val="46AA6A1C"/>
    <w:rsid w:val="46AD6D2D"/>
    <w:rsid w:val="46B29AF4"/>
    <w:rsid w:val="46B66759"/>
    <w:rsid w:val="46B90010"/>
    <w:rsid w:val="46B9CF29"/>
    <w:rsid w:val="46C2D43D"/>
    <w:rsid w:val="46C67C33"/>
    <w:rsid w:val="46CB6228"/>
    <w:rsid w:val="46CD12AB"/>
    <w:rsid w:val="46D481B5"/>
    <w:rsid w:val="46D83102"/>
    <w:rsid w:val="46D8F609"/>
    <w:rsid w:val="46EF818A"/>
    <w:rsid w:val="46EFFE9D"/>
    <w:rsid w:val="46F54A0C"/>
    <w:rsid w:val="46FBE97B"/>
    <w:rsid w:val="46FF24F1"/>
    <w:rsid w:val="47024627"/>
    <w:rsid w:val="4704E41A"/>
    <w:rsid w:val="470865B7"/>
    <w:rsid w:val="47087B3F"/>
    <w:rsid w:val="470E5223"/>
    <w:rsid w:val="470F7D5D"/>
    <w:rsid w:val="4713E1AF"/>
    <w:rsid w:val="471640B3"/>
    <w:rsid w:val="471A9802"/>
    <w:rsid w:val="471E25E4"/>
    <w:rsid w:val="4724320C"/>
    <w:rsid w:val="47265D6F"/>
    <w:rsid w:val="4726A00A"/>
    <w:rsid w:val="4727AE3E"/>
    <w:rsid w:val="4729CE93"/>
    <w:rsid w:val="472AA781"/>
    <w:rsid w:val="472B1F34"/>
    <w:rsid w:val="472C04F1"/>
    <w:rsid w:val="473882E7"/>
    <w:rsid w:val="4740E0A7"/>
    <w:rsid w:val="47420798"/>
    <w:rsid w:val="47425FFB"/>
    <w:rsid w:val="4746129A"/>
    <w:rsid w:val="474F4B79"/>
    <w:rsid w:val="47509A4B"/>
    <w:rsid w:val="47515EEF"/>
    <w:rsid w:val="4755B7C7"/>
    <w:rsid w:val="4759DF4A"/>
    <w:rsid w:val="4760EB7F"/>
    <w:rsid w:val="47684155"/>
    <w:rsid w:val="47696EEF"/>
    <w:rsid w:val="47698451"/>
    <w:rsid w:val="476CBB8C"/>
    <w:rsid w:val="477773E3"/>
    <w:rsid w:val="47829083"/>
    <w:rsid w:val="4786D09F"/>
    <w:rsid w:val="478B9444"/>
    <w:rsid w:val="478FE487"/>
    <w:rsid w:val="479AD7BC"/>
    <w:rsid w:val="479D987C"/>
    <w:rsid w:val="479E342A"/>
    <w:rsid w:val="47A05DAB"/>
    <w:rsid w:val="47AF4942"/>
    <w:rsid w:val="47B4409A"/>
    <w:rsid w:val="47BC624F"/>
    <w:rsid w:val="47BC70DB"/>
    <w:rsid w:val="47C027A6"/>
    <w:rsid w:val="47C1E1D3"/>
    <w:rsid w:val="47C348CD"/>
    <w:rsid w:val="47C604F6"/>
    <w:rsid w:val="47C917F7"/>
    <w:rsid w:val="47CD78C0"/>
    <w:rsid w:val="47CFDBAB"/>
    <w:rsid w:val="47D10F0D"/>
    <w:rsid w:val="47DCC7BD"/>
    <w:rsid w:val="47DDF5C4"/>
    <w:rsid w:val="47DF24C3"/>
    <w:rsid w:val="47E28438"/>
    <w:rsid w:val="47E2ABFB"/>
    <w:rsid w:val="47E5BD5A"/>
    <w:rsid w:val="47E7E163"/>
    <w:rsid w:val="47E9D5DD"/>
    <w:rsid w:val="47E9FA7E"/>
    <w:rsid w:val="47EA373E"/>
    <w:rsid w:val="47EA4C62"/>
    <w:rsid w:val="47F057A6"/>
    <w:rsid w:val="47F9BA52"/>
    <w:rsid w:val="47FDF8C1"/>
    <w:rsid w:val="48017C2E"/>
    <w:rsid w:val="4802EB53"/>
    <w:rsid w:val="4804E2C6"/>
    <w:rsid w:val="480A31D0"/>
    <w:rsid w:val="480D31F2"/>
    <w:rsid w:val="4814C8EF"/>
    <w:rsid w:val="4816CC48"/>
    <w:rsid w:val="482332DC"/>
    <w:rsid w:val="48270DBA"/>
    <w:rsid w:val="482B6023"/>
    <w:rsid w:val="482E2BB8"/>
    <w:rsid w:val="48307EF4"/>
    <w:rsid w:val="4833AE44"/>
    <w:rsid w:val="4836A2A2"/>
    <w:rsid w:val="483891BA"/>
    <w:rsid w:val="483E28EE"/>
    <w:rsid w:val="4841CC85"/>
    <w:rsid w:val="4841E753"/>
    <w:rsid w:val="4842A03A"/>
    <w:rsid w:val="4846AF28"/>
    <w:rsid w:val="484A6D05"/>
    <w:rsid w:val="484B246E"/>
    <w:rsid w:val="484E35D9"/>
    <w:rsid w:val="4856ED55"/>
    <w:rsid w:val="485BC8DF"/>
    <w:rsid w:val="485E74B0"/>
    <w:rsid w:val="485F375C"/>
    <w:rsid w:val="48602453"/>
    <w:rsid w:val="48643BA7"/>
    <w:rsid w:val="486A1987"/>
    <w:rsid w:val="4872F3F4"/>
    <w:rsid w:val="4876F026"/>
    <w:rsid w:val="487CCCD1"/>
    <w:rsid w:val="488D3905"/>
    <w:rsid w:val="488FACCC"/>
    <w:rsid w:val="4891C6FA"/>
    <w:rsid w:val="4898133F"/>
    <w:rsid w:val="48985D81"/>
    <w:rsid w:val="489A1244"/>
    <w:rsid w:val="489A7955"/>
    <w:rsid w:val="489C322D"/>
    <w:rsid w:val="489CD0BE"/>
    <w:rsid w:val="48B1AA0D"/>
    <w:rsid w:val="48B97656"/>
    <w:rsid w:val="48BE9A18"/>
    <w:rsid w:val="48C0CF01"/>
    <w:rsid w:val="48C46C43"/>
    <w:rsid w:val="48D3B17D"/>
    <w:rsid w:val="48D41697"/>
    <w:rsid w:val="48D50410"/>
    <w:rsid w:val="48D9E63E"/>
    <w:rsid w:val="48DFB759"/>
    <w:rsid w:val="48E34883"/>
    <w:rsid w:val="48E3B3E7"/>
    <w:rsid w:val="48E614D5"/>
    <w:rsid w:val="48E66D9F"/>
    <w:rsid w:val="48EBB96E"/>
    <w:rsid w:val="48EFCED9"/>
    <w:rsid w:val="48F31C6C"/>
    <w:rsid w:val="48F3B6EF"/>
    <w:rsid w:val="48F414A7"/>
    <w:rsid w:val="48F5EF50"/>
    <w:rsid w:val="48FF294E"/>
    <w:rsid w:val="49089558"/>
    <w:rsid w:val="49094891"/>
    <w:rsid w:val="490C83CB"/>
    <w:rsid w:val="491011FD"/>
    <w:rsid w:val="491040FE"/>
    <w:rsid w:val="49146402"/>
    <w:rsid w:val="4917F474"/>
    <w:rsid w:val="491958FF"/>
    <w:rsid w:val="491B81C7"/>
    <w:rsid w:val="491C4B28"/>
    <w:rsid w:val="491DE419"/>
    <w:rsid w:val="49259F30"/>
    <w:rsid w:val="4927E912"/>
    <w:rsid w:val="49310B53"/>
    <w:rsid w:val="49337E18"/>
    <w:rsid w:val="49353138"/>
    <w:rsid w:val="4937A53C"/>
    <w:rsid w:val="4938C1EC"/>
    <w:rsid w:val="493D0159"/>
    <w:rsid w:val="49418D8C"/>
    <w:rsid w:val="4944F3BF"/>
    <w:rsid w:val="494B645B"/>
    <w:rsid w:val="494DC095"/>
    <w:rsid w:val="49538238"/>
    <w:rsid w:val="49571381"/>
    <w:rsid w:val="4959722A"/>
    <w:rsid w:val="4959888F"/>
    <w:rsid w:val="495AA572"/>
    <w:rsid w:val="495B23EE"/>
    <w:rsid w:val="495F00D3"/>
    <w:rsid w:val="495FA409"/>
    <w:rsid w:val="4965DD06"/>
    <w:rsid w:val="4969F186"/>
    <w:rsid w:val="496A9B40"/>
    <w:rsid w:val="497148CF"/>
    <w:rsid w:val="4975FE00"/>
    <w:rsid w:val="4976CFE2"/>
    <w:rsid w:val="49778334"/>
    <w:rsid w:val="49804651"/>
    <w:rsid w:val="4980B6F4"/>
    <w:rsid w:val="4980FC0F"/>
    <w:rsid w:val="4982EEA1"/>
    <w:rsid w:val="4984334A"/>
    <w:rsid w:val="49853C50"/>
    <w:rsid w:val="4988B17B"/>
    <w:rsid w:val="498A7932"/>
    <w:rsid w:val="498CB9DB"/>
    <w:rsid w:val="498D9803"/>
    <w:rsid w:val="498F5587"/>
    <w:rsid w:val="49939C5F"/>
    <w:rsid w:val="4999AB3A"/>
    <w:rsid w:val="499A05ED"/>
    <w:rsid w:val="499C445C"/>
    <w:rsid w:val="49A99937"/>
    <w:rsid w:val="49AA5F00"/>
    <w:rsid w:val="49ABDBD5"/>
    <w:rsid w:val="49AC44C4"/>
    <w:rsid w:val="49B0C582"/>
    <w:rsid w:val="49B33627"/>
    <w:rsid w:val="49B72F23"/>
    <w:rsid w:val="49B770F1"/>
    <w:rsid w:val="49B902F0"/>
    <w:rsid w:val="49BED927"/>
    <w:rsid w:val="49C1E0AE"/>
    <w:rsid w:val="49C2C84B"/>
    <w:rsid w:val="49C4A299"/>
    <w:rsid w:val="49C4B484"/>
    <w:rsid w:val="49C9AE52"/>
    <w:rsid w:val="49CD5C76"/>
    <w:rsid w:val="49CE6568"/>
    <w:rsid w:val="49CFAC0B"/>
    <w:rsid w:val="49D443DD"/>
    <w:rsid w:val="49D4A09D"/>
    <w:rsid w:val="49D6B90D"/>
    <w:rsid w:val="49D73BE2"/>
    <w:rsid w:val="49DC10F8"/>
    <w:rsid w:val="49E0CC71"/>
    <w:rsid w:val="49E2E637"/>
    <w:rsid w:val="49E66836"/>
    <w:rsid w:val="49EF5CF6"/>
    <w:rsid w:val="49F92CA9"/>
    <w:rsid w:val="49FE5296"/>
    <w:rsid w:val="49FF91C3"/>
    <w:rsid w:val="4A0232E3"/>
    <w:rsid w:val="4A059A93"/>
    <w:rsid w:val="4A0AFE04"/>
    <w:rsid w:val="4A0D7103"/>
    <w:rsid w:val="4A10BE87"/>
    <w:rsid w:val="4A114B84"/>
    <w:rsid w:val="4A152DBD"/>
    <w:rsid w:val="4A180E15"/>
    <w:rsid w:val="4A19DDA5"/>
    <w:rsid w:val="4A1A4635"/>
    <w:rsid w:val="4A1AF85E"/>
    <w:rsid w:val="4A1F4D94"/>
    <w:rsid w:val="4A21A896"/>
    <w:rsid w:val="4A233959"/>
    <w:rsid w:val="4A325FE5"/>
    <w:rsid w:val="4A342EE0"/>
    <w:rsid w:val="4A360211"/>
    <w:rsid w:val="4A3AEC79"/>
    <w:rsid w:val="4A468285"/>
    <w:rsid w:val="4A4C0188"/>
    <w:rsid w:val="4A4C1E41"/>
    <w:rsid w:val="4A589EA9"/>
    <w:rsid w:val="4A5CA5A8"/>
    <w:rsid w:val="4A5FF4BC"/>
    <w:rsid w:val="4A658438"/>
    <w:rsid w:val="4A6D8572"/>
    <w:rsid w:val="4A6E50C8"/>
    <w:rsid w:val="4A6E7BED"/>
    <w:rsid w:val="4A717915"/>
    <w:rsid w:val="4A7D70E7"/>
    <w:rsid w:val="4A7EE883"/>
    <w:rsid w:val="4A85EA45"/>
    <w:rsid w:val="4A8ECEA5"/>
    <w:rsid w:val="4A90EBD0"/>
    <w:rsid w:val="4A930495"/>
    <w:rsid w:val="4AA01F45"/>
    <w:rsid w:val="4AA25BE2"/>
    <w:rsid w:val="4AA31A27"/>
    <w:rsid w:val="4AAA663F"/>
    <w:rsid w:val="4AAC0477"/>
    <w:rsid w:val="4AB775AC"/>
    <w:rsid w:val="4AB91004"/>
    <w:rsid w:val="4AC1520A"/>
    <w:rsid w:val="4AD1D1C6"/>
    <w:rsid w:val="4AD2DA80"/>
    <w:rsid w:val="4AD4F2C5"/>
    <w:rsid w:val="4AD5CC71"/>
    <w:rsid w:val="4ADE07CD"/>
    <w:rsid w:val="4AEB9000"/>
    <w:rsid w:val="4AECD7DC"/>
    <w:rsid w:val="4AED73FA"/>
    <w:rsid w:val="4AEE1B81"/>
    <w:rsid w:val="4AEE9F66"/>
    <w:rsid w:val="4AEF4887"/>
    <w:rsid w:val="4AF19458"/>
    <w:rsid w:val="4AF37A4E"/>
    <w:rsid w:val="4AF9A4DA"/>
    <w:rsid w:val="4AFC4F47"/>
    <w:rsid w:val="4AFE8B7A"/>
    <w:rsid w:val="4B032EEB"/>
    <w:rsid w:val="4B0A556D"/>
    <w:rsid w:val="4B0AA7E8"/>
    <w:rsid w:val="4B0FAA84"/>
    <w:rsid w:val="4B12766C"/>
    <w:rsid w:val="4B13494E"/>
    <w:rsid w:val="4B210191"/>
    <w:rsid w:val="4B22E14B"/>
    <w:rsid w:val="4B236F66"/>
    <w:rsid w:val="4B277CF0"/>
    <w:rsid w:val="4B280A4B"/>
    <w:rsid w:val="4B2A66E5"/>
    <w:rsid w:val="4B368FA0"/>
    <w:rsid w:val="4B3BD8BD"/>
    <w:rsid w:val="4B3C6C77"/>
    <w:rsid w:val="4B41865E"/>
    <w:rsid w:val="4B43049D"/>
    <w:rsid w:val="4B43A9FB"/>
    <w:rsid w:val="4B452E5D"/>
    <w:rsid w:val="4B45FAB8"/>
    <w:rsid w:val="4B4673A7"/>
    <w:rsid w:val="4B46B043"/>
    <w:rsid w:val="4B4893FB"/>
    <w:rsid w:val="4B4FACED"/>
    <w:rsid w:val="4B586E02"/>
    <w:rsid w:val="4B61CC4B"/>
    <w:rsid w:val="4B6698F5"/>
    <w:rsid w:val="4B672105"/>
    <w:rsid w:val="4B6A660E"/>
    <w:rsid w:val="4B6F6830"/>
    <w:rsid w:val="4B72DB43"/>
    <w:rsid w:val="4B73CA52"/>
    <w:rsid w:val="4B770258"/>
    <w:rsid w:val="4B7977A3"/>
    <w:rsid w:val="4B7BD62B"/>
    <w:rsid w:val="4B824D05"/>
    <w:rsid w:val="4B83AB83"/>
    <w:rsid w:val="4B9101AA"/>
    <w:rsid w:val="4B98DC57"/>
    <w:rsid w:val="4B9EF9D6"/>
    <w:rsid w:val="4BAA5FAE"/>
    <w:rsid w:val="4BB171E6"/>
    <w:rsid w:val="4BC04F26"/>
    <w:rsid w:val="4BC06405"/>
    <w:rsid w:val="4BC145E6"/>
    <w:rsid w:val="4BC521FC"/>
    <w:rsid w:val="4BC6A415"/>
    <w:rsid w:val="4BC6D347"/>
    <w:rsid w:val="4BD7D475"/>
    <w:rsid w:val="4BDC64A4"/>
    <w:rsid w:val="4BDC9A14"/>
    <w:rsid w:val="4BE359F4"/>
    <w:rsid w:val="4BE5F9EB"/>
    <w:rsid w:val="4BE70F3D"/>
    <w:rsid w:val="4BE880D9"/>
    <w:rsid w:val="4BEA2B44"/>
    <w:rsid w:val="4BEED1FA"/>
    <w:rsid w:val="4BF2E1DD"/>
    <w:rsid w:val="4BF605B9"/>
    <w:rsid w:val="4BFCB3A5"/>
    <w:rsid w:val="4BFD3181"/>
    <w:rsid w:val="4BFF9900"/>
    <w:rsid w:val="4C02A2CF"/>
    <w:rsid w:val="4C085AEB"/>
    <w:rsid w:val="4C08B9AF"/>
    <w:rsid w:val="4C0FA51A"/>
    <w:rsid w:val="4C171676"/>
    <w:rsid w:val="4C230C9D"/>
    <w:rsid w:val="4C29077D"/>
    <w:rsid w:val="4C2A9048"/>
    <w:rsid w:val="4C2B916E"/>
    <w:rsid w:val="4C3AF9C4"/>
    <w:rsid w:val="4C3BEF66"/>
    <w:rsid w:val="4C43FE71"/>
    <w:rsid w:val="4C461596"/>
    <w:rsid w:val="4C49E5D5"/>
    <w:rsid w:val="4C4C9FCC"/>
    <w:rsid w:val="4C51A5DB"/>
    <w:rsid w:val="4C56262B"/>
    <w:rsid w:val="4C5F1D3B"/>
    <w:rsid w:val="4C66A63D"/>
    <w:rsid w:val="4C6CADC7"/>
    <w:rsid w:val="4C7B3EAA"/>
    <w:rsid w:val="4C7F4D2F"/>
    <w:rsid w:val="4C8241EB"/>
    <w:rsid w:val="4C9086B4"/>
    <w:rsid w:val="4C916DDD"/>
    <w:rsid w:val="4C91FFD9"/>
    <w:rsid w:val="4C95FE80"/>
    <w:rsid w:val="4C96F984"/>
    <w:rsid w:val="4C978AE3"/>
    <w:rsid w:val="4C99608E"/>
    <w:rsid w:val="4C9B7443"/>
    <w:rsid w:val="4C9C3FCF"/>
    <w:rsid w:val="4C9F4336"/>
    <w:rsid w:val="4CAD0C7A"/>
    <w:rsid w:val="4CAE9A82"/>
    <w:rsid w:val="4CB44087"/>
    <w:rsid w:val="4CB6C6F1"/>
    <w:rsid w:val="4CB6D3F3"/>
    <w:rsid w:val="4CC3BD0D"/>
    <w:rsid w:val="4CC4787E"/>
    <w:rsid w:val="4CC6C440"/>
    <w:rsid w:val="4CC82731"/>
    <w:rsid w:val="4CC88F77"/>
    <w:rsid w:val="4CCA98B9"/>
    <w:rsid w:val="4CCDC2D1"/>
    <w:rsid w:val="4CD35DFC"/>
    <w:rsid w:val="4CD379EF"/>
    <w:rsid w:val="4CDB75C7"/>
    <w:rsid w:val="4CDE37B8"/>
    <w:rsid w:val="4CDF366E"/>
    <w:rsid w:val="4CE00084"/>
    <w:rsid w:val="4CE1B9A0"/>
    <w:rsid w:val="4CE1E63C"/>
    <w:rsid w:val="4CE254BD"/>
    <w:rsid w:val="4CE53C4A"/>
    <w:rsid w:val="4CEA8E1C"/>
    <w:rsid w:val="4CED0AF0"/>
    <w:rsid w:val="4CEF257F"/>
    <w:rsid w:val="4CF02DC5"/>
    <w:rsid w:val="4CFC13B2"/>
    <w:rsid w:val="4CFE245E"/>
    <w:rsid w:val="4D017925"/>
    <w:rsid w:val="4D03044D"/>
    <w:rsid w:val="4D036DA0"/>
    <w:rsid w:val="4D06A173"/>
    <w:rsid w:val="4D09AB20"/>
    <w:rsid w:val="4D143208"/>
    <w:rsid w:val="4D153C75"/>
    <w:rsid w:val="4D16B768"/>
    <w:rsid w:val="4D19175A"/>
    <w:rsid w:val="4D264370"/>
    <w:rsid w:val="4D274C12"/>
    <w:rsid w:val="4D2956F1"/>
    <w:rsid w:val="4D2C27B1"/>
    <w:rsid w:val="4D2CA38E"/>
    <w:rsid w:val="4D329CA9"/>
    <w:rsid w:val="4D381435"/>
    <w:rsid w:val="4D43DAAB"/>
    <w:rsid w:val="4D45E12F"/>
    <w:rsid w:val="4D4AD7E9"/>
    <w:rsid w:val="4D4C8162"/>
    <w:rsid w:val="4D4FA4D3"/>
    <w:rsid w:val="4D4FC11E"/>
    <w:rsid w:val="4D51CD72"/>
    <w:rsid w:val="4D5216EE"/>
    <w:rsid w:val="4D52BBC4"/>
    <w:rsid w:val="4D532B9D"/>
    <w:rsid w:val="4D56E39A"/>
    <w:rsid w:val="4D593229"/>
    <w:rsid w:val="4D5D1EBD"/>
    <w:rsid w:val="4D5ECF33"/>
    <w:rsid w:val="4D5F8593"/>
    <w:rsid w:val="4D62098E"/>
    <w:rsid w:val="4D67155A"/>
    <w:rsid w:val="4D689D40"/>
    <w:rsid w:val="4D7C8049"/>
    <w:rsid w:val="4D7E9E40"/>
    <w:rsid w:val="4D808E43"/>
    <w:rsid w:val="4D819EEF"/>
    <w:rsid w:val="4D846799"/>
    <w:rsid w:val="4D8793EA"/>
    <w:rsid w:val="4D8AF5A5"/>
    <w:rsid w:val="4D8D3707"/>
    <w:rsid w:val="4D8F6906"/>
    <w:rsid w:val="4D929FA5"/>
    <w:rsid w:val="4D937125"/>
    <w:rsid w:val="4D97B223"/>
    <w:rsid w:val="4D996087"/>
    <w:rsid w:val="4D99DC12"/>
    <w:rsid w:val="4D9B1355"/>
    <w:rsid w:val="4D9FE8E7"/>
    <w:rsid w:val="4DA35735"/>
    <w:rsid w:val="4DAA0CCB"/>
    <w:rsid w:val="4DAA471E"/>
    <w:rsid w:val="4DAB2C12"/>
    <w:rsid w:val="4DADCEA1"/>
    <w:rsid w:val="4DAEFCE4"/>
    <w:rsid w:val="4DB02414"/>
    <w:rsid w:val="4DB0A19C"/>
    <w:rsid w:val="4DB320DC"/>
    <w:rsid w:val="4DB3554B"/>
    <w:rsid w:val="4DB99437"/>
    <w:rsid w:val="4DB9B33D"/>
    <w:rsid w:val="4DC15226"/>
    <w:rsid w:val="4DC54FD0"/>
    <w:rsid w:val="4DC55D14"/>
    <w:rsid w:val="4DD4B875"/>
    <w:rsid w:val="4DDC4EFF"/>
    <w:rsid w:val="4DE4B906"/>
    <w:rsid w:val="4DF067EE"/>
    <w:rsid w:val="4DF774DE"/>
    <w:rsid w:val="4DFAE2BA"/>
    <w:rsid w:val="4E033D32"/>
    <w:rsid w:val="4E06AE58"/>
    <w:rsid w:val="4E0FC61A"/>
    <w:rsid w:val="4E12F948"/>
    <w:rsid w:val="4E137846"/>
    <w:rsid w:val="4E167E13"/>
    <w:rsid w:val="4E1899DA"/>
    <w:rsid w:val="4E190E1D"/>
    <w:rsid w:val="4E1B2E7F"/>
    <w:rsid w:val="4E1D18FC"/>
    <w:rsid w:val="4E1DFC97"/>
    <w:rsid w:val="4E1FE148"/>
    <w:rsid w:val="4E2265F5"/>
    <w:rsid w:val="4E233DC8"/>
    <w:rsid w:val="4E2A5102"/>
    <w:rsid w:val="4E2B73EB"/>
    <w:rsid w:val="4E2D95CD"/>
    <w:rsid w:val="4E435A06"/>
    <w:rsid w:val="4E437414"/>
    <w:rsid w:val="4E445364"/>
    <w:rsid w:val="4E446B85"/>
    <w:rsid w:val="4E467CFA"/>
    <w:rsid w:val="4E533778"/>
    <w:rsid w:val="4E585EBD"/>
    <w:rsid w:val="4E5BAA00"/>
    <w:rsid w:val="4E5D6B35"/>
    <w:rsid w:val="4E5DAB91"/>
    <w:rsid w:val="4E64B4F2"/>
    <w:rsid w:val="4E6886B5"/>
    <w:rsid w:val="4E69AD4F"/>
    <w:rsid w:val="4E6A1FD0"/>
    <w:rsid w:val="4E6BC97C"/>
    <w:rsid w:val="4E6D06A8"/>
    <w:rsid w:val="4E6E98FD"/>
    <w:rsid w:val="4E6F71E3"/>
    <w:rsid w:val="4E6FCFD4"/>
    <w:rsid w:val="4E7154A6"/>
    <w:rsid w:val="4E79F131"/>
    <w:rsid w:val="4E7ABCFA"/>
    <w:rsid w:val="4E7E764D"/>
    <w:rsid w:val="4E82A305"/>
    <w:rsid w:val="4E838500"/>
    <w:rsid w:val="4E898D88"/>
    <w:rsid w:val="4E8FA17C"/>
    <w:rsid w:val="4E90FDDC"/>
    <w:rsid w:val="4E95D05F"/>
    <w:rsid w:val="4E99D218"/>
    <w:rsid w:val="4E99E1F6"/>
    <w:rsid w:val="4E9B973E"/>
    <w:rsid w:val="4E9EAB45"/>
    <w:rsid w:val="4EA09F79"/>
    <w:rsid w:val="4EA6B4B4"/>
    <w:rsid w:val="4EA86368"/>
    <w:rsid w:val="4EACD1B1"/>
    <w:rsid w:val="4EAD86CB"/>
    <w:rsid w:val="4EADA527"/>
    <w:rsid w:val="4EAF3C7A"/>
    <w:rsid w:val="4EB9175D"/>
    <w:rsid w:val="4EB9E743"/>
    <w:rsid w:val="4EBE9058"/>
    <w:rsid w:val="4ECFD0A1"/>
    <w:rsid w:val="4ED10880"/>
    <w:rsid w:val="4ED3365E"/>
    <w:rsid w:val="4ED8025F"/>
    <w:rsid w:val="4ED8F048"/>
    <w:rsid w:val="4ED9C6F0"/>
    <w:rsid w:val="4EDD0F7A"/>
    <w:rsid w:val="4EE71BD2"/>
    <w:rsid w:val="4EEC21B7"/>
    <w:rsid w:val="4EEE8CED"/>
    <w:rsid w:val="4EF2CACC"/>
    <w:rsid w:val="4EF37F46"/>
    <w:rsid w:val="4EF3B2CA"/>
    <w:rsid w:val="4EF456F7"/>
    <w:rsid w:val="4EF7C5EE"/>
    <w:rsid w:val="4F03AC44"/>
    <w:rsid w:val="4F046B0F"/>
    <w:rsid w:val="4F0768C2"/>
    <w:rsid w:val="4F0A0FF4"/>
    <w:rsid w:val="4F10206E"/>
    <w:rsid w:val="4F1138EE"/>
    <w:rsid w:val="4F15196C"/>
    <w:rsid w:val="4F2089CC"/>
    <w:rsid w:val="4F28558C"/>
    <w:rsid w:val="4F2F1C01"/>
    <w:rsid w:val="4F34B3C8"/>
    <w:rsid w:val="4F390E1B"/>
    <w:rsid w:val="4F3FB8F9"/>
    <w:rsid w:val="4F3FD93F"/>
    <w:rsid w:val="4F433540"/>
    <w:rsid w:val="4F44E9B8"/>
    <w:rsid w:val="4F482FD0"/>
    <w:rsid w:val="4F4A28A6"/>
    <w:rsid w:val="4F4DE6E5"/>
    <w:rsid w:val="4F507C5C"/>
    <w:rsid w:val="4F528D5C"/>
    <w:rsid w:val="4F53514F"/>
    <w:rsid w:val="4F5426B4"/>
    <w:rsid w:val="4F5E180A"/>
    <w:rsid w:val="4F68064B"/>
    <w:rsid w:val="4F693723"/>
    <w:rsid w:val="4F7164C7"/>
    <w:rsid w:val="4F73714B"/>
    <w:rsid w:val="4F7E5CAE"/>
    <w:rsid w:val="4F7EA4B6"/>
    <w:rsid w:val="4F862A94"/>
    <w:rsid w:val="4F8A7708"/>
    <w:rsid w:val="4F8AAD7F"/>
    <w:rsid w:val="4F91FA8F"/>
    <w:rsid w:val="4F93A67E"/>
    <w:rsid w:val="4F968847"/>
    <w:rsid w:val="4F97CB61"/>
    <w:rsid w:val="4F986786"/>
    <w:rsid w:val="4FA09F4B"/>
    <w:rsid w:val="4FA9D847"/>
    <w:rsid w:val="4FAAD0F4"/>
    <w:rsid w:val="4FAE1AE7"/>
    <w:rsid w:val="4FB2867B"/>
    <w:rsid w:val="4FB7BAC1"/>
    <w:rsid w:val="4FB94B5B"/>
    <w:rsid w:val="4FBBB660"/>
    <w:rsid w:val="4FC4E636"/>
    <w:rsid w:val="4FC68F2A"/>
    <w:rsid w:val="4FC748F3"/>
    <w:rsid w:val="4FD0BB32"/>
    <w:rsid w:val="4FD6C447"/>
    <w:rsid w:val="4FD6FD91"/>
    <w:rsid w:val="4FE0840F"/>
    <w:rsid w:val="4FE0DED3"/>
    <w:rsid w:val="4FE42FB6"/>
    <w:rsid w:val="4FE5F7B8"/>
    <w:rsid w:val="4FE76B98"/>
    <w:rsid w:val="4FE7B71E"/>
    <w:rsid w:val="4FE98EE5"/>
    <w:rsid w:val="4FEB51DF"/>
    <w:rsid w:val="4FF2925F"/>
    <w:rsid w:val="4FF34CF6"/>
    <w:rsid w:val="4FF5F129"/>
    <w:rsid w:val="4FF99796"/>
    <w:rsid w:val="4FFA2428"/>
    <w:rsid w:val="4FFCCD7C"/>
    <w:rsid w:val="4FFF3DE0"/>
    <w:rsid w:val="50034B0E"/>
    <w:rsid w:val="50056877"/>
    <w:rsid w:val="500ADF06"/>
    <w:rsid w:val="500EF2CE"/>
    <w:rsid w:val="5010A05A"/>
    <w:rsid w:val="5011936A"/>
    <w:rsid w:val="50145BED"/>
    <w:rsid w:val="501AEEB7"/>
    <w:rsid w:val="50248038"/>
    <w:rsid w:val="50250D91"/>
    <w:rsid w:val="5025E25C"/>
    <w:rsid w:val="5031818D"/>
    <w:rsid w:val="50327AFC"/>
    <w:rsid w:val="5033AF19"/>
    <w:rsid w:val="503626B2"/>
    <w:rsid w:val="503ECC04"/>
    <w:rsid w:val="50415454"/>
    <w:rsid w:val="50424EB2"/>
    <w:rsid w:val="5049F5BC"/>
    <w:rsid w:val="50546006"/>
    <w:rsid w:val="5054D715"/>
    <w:rsid w:val="505D6A40"/>
    <w:rsid w:val="5061BF88"/>
    <w:rsid w:val="5066AA8D"/>
    <w:rsid w:val="50679354"/>
    <w:rsid w:val="50695A81"/>
    <w:rsid w:val="506A1218"/>
    <w:rsid w:val="5085789E"/>
    <w:rsid w:val="508ABBC2"/>
    <w:rsid w:val="508D75FC"/>
    <w:rsid w:val="5092440B"/>
    <w:rsid w:val="50986247"/>
    <w:rsid w:val="50A3DAFA"/>
    <w:rsid w:val="50A59714"/>
    <w:rsid w:val="50A7228A"/>
    <w:rsid w:val="50AB5768"/>
    <w:rsid w:val="50AC1FB9"/>
    <w:rsid w:val="50ACCC35"/>
    <w:rsid w:val="50AF1AFB"/>
    <w:rsid w:val="50B39619"/>
    <w:rsid w:val="50B59588"/>
    <w:rsid w:val="50B69C86"/>
    <w:rsid w:val="50B770D9"/>
    <w:rsid w:val="50B85774"/>
    <w:rsid w:val="50BC0525"/>
    <w:rsid w:val="50BEFC4C"/>
    <w:rsid w:val="50C03144"/>
    <w:rsid w:val="50C3FDB3"/>
    <w:rsid w:val="50C4A22D"/>
    <w:rsid w:val="50DCBDB9"/>
    <w:rsid w:val="50DD6023"/>
    <w:rsid w:val="50DD9CAA"/>
    <w:rsid w:val="50DF0986"/>
    <w:rsid w:val="50E0F1DB"/>
    <w:rsid w:val="50E4E57E"/>
    <w:rsid w:val="50E5EFFD"/>
    <w:rsid w:val="50F0A807"/>
    <w:rsid w:val="50F1E71C"/>
    <w:rsid w:val="50F2D6E8"/>
    <w:rsid w:val="50F4BF20"/>
    <w:rsid w:val="50F7AD68"/>
    <w:rsid w:val="50F94B11"/>
    <w:rsid w:val="51000860"/>
    <w:rsid w:val="51030C04"/>
    <w:rsid w:val="5104788E"/>
    <w:rsid w:val="511D0FD0"/>
    <w:rsid w:val="511E6F30"/>
    <w:rsid w:val="512333B5"/>
    <w:rsid w:val="51288689"/>
    <w:rsid w:val="512C477A"/>
    <w:rsid w:val="512DADD2"/>
    <w:rsid w:val="513651C5"/>
    <w:rsid w:val="513EF9B2"/>
    <w:rsid w:val="514A3B76"/>
    <w:rsid w:val="51531457"/>
    <w:rsid w:val="515464FB"/>
    <w:rsid w:val="5155AAC7"/>
    <w:rsid w:val="51598E8B"/>
    <w:rsid w:val="515CFCED"/>
    <w:rsid w:val="5160DB5E"/>
    <w:rsid w:val="51631D35"/>
    <w:rsid w:val="5168BDAD"/>
    <w:rsid w:val="516A5DFF"/>
    <w:rsid w:val="516B50E4"/>
    <w:rsid w:val="516DB50E"/>
    <w:rsid w:val="51744438"/>
    <w:rsid w:val="5176841C"/>
    <w:rsid w:val="517A291B"/>
    <w:rsid w:val="518078A6"/>
    <w:rsid w:val="5183DF8E"/>
    <w:rsid w:val="5184CB40"/>
    <w:rsid w:val="518E761A"/>
    <w:rsid w:val="5193EB8B"/>
    <w:rsid w:val="51947620"/>
    <w:rsid w:val="519BF605"/>
    <w:rsid w:val="519EC3E8"/>
    <w:rsid w:val="51A296BB"/>
    <w:rsid w:val="51A34262"/>
    <w:rsid w:val="51AB48DC"/>
    <w:rsid w:val="51AFAE66"/>
    <w:rsid w:val="51B1E2FD"/>
    <w:rsid w:val="51B6B1D0"/>
    <w:rsid w:val="51B745E6"/>
    <w:rsid w:val="51B84AE8"/>
    <w:rsid w:val="51B94A02"/>
    <w:rsid w:val="51BBA154"/>
    <w:rsid w:val="51C563CB"/>
    <w:rsid w:val="51C8EBA9"/>
    <w:rsid w:val="51CE32A5"/>
    <w:rsid w:val="51CE71D3"/>
    <w:rsid w:val="51D30FCB"/>
    <w:rsid w:val="51DE9CAE"/>
    <w:rsid w:val="51E03B1B"/>
    <w:rsid w:val="51EE94F3"/>
    <w:rsid w:val="51F15DC5"/>
    <w:rsid w:val="51FA499A"/>
    <w:rsid w:val="52037569"/>
    <w:rsid w:val="52093505"/>
    <w:rsid w:val="520AF6F2"/>
    <w:rsid w:val="520E97B9"/>
    <w:rsid w:val="5210332C"/>
    <w:rsid w:val="5212332D"/>
    <w:rsid w:val="5212C9DD"/>
    <w:rsid w:val="5213A375"/>
    <w:rsid w:val="52167F0F"/>
    <w:rsid w:val="5216B002"/>
    <w:rsid w:val="521876FD"/>
    <w:rsid w:val="521895E5"/>
    <w:rsid w:val="521C70D8"/>
    <w:rsid w:val="521D3A83"/>
    <w:rsid w:val="521E8739"/>
    <w:rsid w:val="521E9D2E"/>
    <w:rsid w:val="521F0FE0"/>
    <w:rsid w:val="5220809A"/>
    <w:rsid w:val="5220D681"/>
    <w:rsid w:val="5228490E"/>
    <w:rsid w:val="522A4BF3"/>
    <w:rsid w:val="522D8429"/>
    <w:rsid w:val="522E4BC7"/>
    <w:rsid w:val="522FD10B"/>
    <w:rsid w:val="5232021A"/>
    <w:rsid w:val="523472D0"/>
    <w:rsid w:val="5235BAE6"/>
    <w:rsid w:val="5236C318"/>
    <w:rsid w:val="52397EA2"/>
    <w:rsid w:val="524284F0"/>
    <w:rsid w:val="52448D56"/>
    <w:rsid w:val="5244FF89"/>
    <w:rsid w:val="52475F61"/>
    <w:rsid w:val="524C90AB"/>
    <w:rsid w:val="524D65EE"/>
    <w:rsid w:val="5252059A"/>
    <w:rsid w:val="5252F7FE"/>
    <w:rsid w:val="5255978C"/>
    <w:rsid w:val="5255E9FC"/>
    <w:rsid w:val="5255ECB2"/>
    <w:rsid w:val="5257DB1E"/>
    <w:rsid w:val="525ADA24"/>
    <w:rsid w:val="5260F4F1"/>
    <w:rsid w:val="52622DCC"/>
    <w:rsid w:val="5264F387"/>
    <w:rsid w:val="5269B6A8"/>
    <w:rsid w:val="5270D726"/>
    <w:rsid w:val="5272E9E3"/>
    <w:rsid w:val="527957C8"/>
    <w:rsid w:val="527B7ADF"/>
    <w:rsid w:val="527D973A"/>
    <w:rsid w:val="527F5F1E"/>
    <w:rsid w:val="52875DA9"/>
    <w:rsid w:val="52883D2A"/>
    <w:rsid w:val="528B70A8"/>
    <w:rsid w:val="529028F7"/>
    <w:rsid w:val="529085F1"/>
    <w:rsid w:val="5295953E"/>
    <w:rsid w:val="529AA56B"/>
    <w:rsid w:val="52A00591"/>
    <w:rsid w:val="52A0C10F"/>
    <w:rsid w:val="52A22CEC"/>
    <w:rsid w:val="52A7E9A6"/>
    <w:rsid w:val="52A919BF"/>
    <w:rsid w:val="52A9E40F"/>
    <w:rsid w:val="52A9EA06"/>
    <w:rsid w:val="52ADB48F"/>
    <w:rsid w:val="52B0B19E"/>
    <w:rsid w:val="52B1C423"/>
    <w:rsid w:val="52B22837"/>
    <w:rsid w:val="52B2A013"/>
    <w:rsid w:val="52B470F5"/>
    <w:rsid w:val="52B4D586"/>
    <w:rsid w:val="52B9D857"/>
    <w:rsid w:val="52BFB0A4"/>
    <w:rsid w:val="52C7B408"/>
    <w:rsid w:val="52CE1A4E"/>
    <w:rsid w:val="52D06FFB"/>
    <w:rsid w:val="52D08432"/>
    <w:rsid w:val="52D49439"/>
    <w:rsid w:val="52DB364A"/>
    <w:rsid w:val="52DE4ABE"/>
    <w:rsid w:val="52DF7A93"/>
    <w:rsid w:val="52E02B9E"/>
    <w:rsid w:val="52E6C8A1"/>
    <w:rsid w:val="52E9D406"/>
    <w:rsid w:val="52EE3AAF"/>
    <w:rsid w:val="52FA059C"/>
    <w:rsid w:val="53039EF6"/>
    <w:rsid w:val="53043DEE"/>
    <w:rsid w:val="530EC01D"/>
    <w:rsid w:val="531361C7"/>
    <w:rsid w:val="5315D3FA"/>
    <w:rsid w:val="532264CE"/>
    <w:rsid w:val="5327B7A2"/>
    <w:rsid w:val="53286989"/>
    <w:rsid w:val="5333105C"/>
    <w:rsid w:val="5334186D"/>
    <w:rsid w:val="5335B98E"/>
    <w:rsid w:val="534DA38D"/>
    <w:rsid w:val="534FCBA7"/>
    <w:rsid w:val="5352D2BF"/>
    <w:rsid w:val="53538EDF"/>
    <w:rsid w:val="53626AE0"/>
    <w:rsid w:val="5362E8A7"/>
    <w:rsid w:val="5362FB9D"/>
    <w:rsid w:val="53631663"/>
    <w:rsid w:val="5363C32D"/>
    <w:rsid w:val="5366DD2F"/>
    <w:rsid w:val="53674A53"/>
    <w:rsid w:val="5369D657"/>
    <w:rsid w:val="536A47FB"/>
    <w:rsid w:val="536D98A5"/>
    <w:rsid w:val="5373E1F0"/>
    <w:rsid w:val="537A0714"/>
    <w:rsid w:val="538062CD"/>
    <w:rsid w:val="5381518F"/>
    <w:rsid w:val="5388E008"/>
    <w:rsid w:val="538CC5B3"/>
    <w:rsid w:val="5391157D"/>
    <w:rsid w:val="539376B0"/>
    <w:rsid w:val="539633BF"/>
    <w:rsid w:val="539F26BC"/>
    <w:rsid w:val="53A6FE33"/>
    <w:rsid w:val="53AE8478"/>
    <w:rsid w:val="53B27155"/>
    <w:rsid w:val="53B7F692"/>
    <w:rsid w:val="53B9A6BB"/>
    <w:rsid w:val="53BFA5BA"/>
    <w:rsid w:val="53C025A3"/>
    <w:rsid w:val="53C5C150"/>
    <w:rsid w:val="53C97464"/>
    <w:rsid w:val="53D3D147"/>
    <w:rsid w:val="53D6BD0E"/>
    <w:rsid w:val="53E08088"/>
    <w:rsid w:val="53E087A3"/>
    <w:rsid w:val="53E85D3D"/>
    <w:rsid w:val="53EBBA4A"/>
    <w:rsid w:val="53ED016B"/>
    <w:rsid w:val="53F8222D"/>
    <w:rsid w:val="53FAA318"/>
    <w:rsid w:val="54003ADF"/>
    <w:rsid w:val="5401AAB8"/>
    <w:rsid w:val="5404FE2D"/>
    <w:rsid w:val="54054A4A"/>
    <w:rsid w:val="54091ED8"/>
    <w:rsid w:val="5409B400"/>
    <w:rsid w:val="5417D890"/>
    <w:rsid w:val="5419ADAC"/>
    <w:rsid w:val="541F08C6"/>
    <w:rsid w:val="541F1D47"/>
    <w:rsid w:val="542345EC"/>
    <w:rsid w:val="542438F3"/>
    <w:rsid w:val="542857F5"/>
    <w:rsid w:val="542CC04D"/>
    <w:rsid w:val="543118E0"/>
    <w:rsid w:val="5436870C"/>
    <w:rsid w:val="5436A237"/>
    <w:rsid w:val="543A4278"/>
    <w:rsid w:val="54414C5D"/>
    <w:rsid w:val="5448F2E7"/>
    <w:rsid w:val="544A61BA"/>
    <w:rsid w:val="544E46A9"/>
    <w:rsid w:val="54577676"/>
    <w:rsid w:val="5458248D"/>
    <w:rsid w:val="5458BAE3"/>
    <w:rsid w:val="545EE432"/>
    <w:rsid w:val="54696E23"/>
    <w:rsid w:val="546C37C4"/>
    <w:rsid w:val="5476E9AA"/>
    <w:rsid w:val="54808086"/>
    <w:rsid w:val="54819546"/>
    <w:rsid w:val="5483105F"/>
    <w:rsid w:val="5483AB82"/>
    <w:rsid w:val="5485768B"/>
    <w:rsid w:val="5486036E"/>
    <w:rsid w:val="548A1120"/>
    <w:rsid w:val="548F0482"/>
    <w:rsid w:val="54917AE2"/>
    <w:rsid w:val="5496752E"/>
    <w:rsid w:val="549B6AA9"/>
    <w:rsid w:val="549BB172"/>
    <w:rsid w:val="549BC232"/>
    <w:rsid w:val="54A10353"/>
    <w:rsid w:val="54A1D209"/>
    <w:rsid w:val="54A596F5"/>
    <w:rsid w:val="54A86EC8"/>
    <w:rsid w:val="54ABF111"/>
    <w:rsid w:val="54ABFD4F"/>
    <w:rsid w:val="54B0CDAA"/>
    <w:rsid w:val="54B5F2E5"/>
    <w:rsid w:val="54BEFC60"/>
    <w:rsid w:val="54BFFFED"/>
    <w:rsid w:val="54C1AE77"/>
    <w:rsid w:val="54C27D60"/>
    <w:rsid w:val="54C8B513"/>
    <w:rsid w:val="54CCB9F3"/>
    <w:rsid w:val="54CE818B"/>
    <w:rsid w:val="54D153FD"/>
    <w:rsid w:val="54D27B4C"/>
    <w:rsid w:val="54D5485E"/>
    <w:rsid w:val="54D60E5F"/>
    <w:rsid w:val="54DC0321"/>
    <w:rsid w:val="54E36BB4"/>
    <w:rsid w:val="54EE059C"/>
    <w:rsid w:val="54F72FD1"/>
    <w:rsid w:val="54F7AC51"/>
    <w:rsid w:val="54FA30D1"/>
    <w:rsid w:val="54FCAE20"/>
    <w:rsid w:val="55071702"/>
    <w:rsid w:val="5509C261"/>
    <w:rsid w:val="550DB85D"/>
    <w:rsid w:val="550DBB7B"/>
    <w:rsid w:val="550DF206"/>
    <w:rsid w:val="5510C854"/>
    <w:rsid w:val="55156021"/>
    <w:rsid w:val="551D5C41"/>
    <w:rsid w:val="551E1A51"/>
    <w:rsid w:val="5520D788"/>
    <w:rsid w:val="5529C4CE"/>
    <w:rsid w:val="552B01E5"/>
    <w:rsid w:val="552D45D7"/>
    <w:rsid w:val="552F6D63"/>
    <w:rsid w:val="553E9654"/>
    <w:rsid w:val="553EEAC7"/>
    <w:rsid w:val="553FF5AB"/>
    <w:rsid w:val="55446B9D"/>
    <w:rsid w:val="55495722"/>
    <w:rsid w:val="55511FED"/>
    <w:rsid w:val="555D081E"/>
    <w:rsid w:val="555EBE78"/>
    <w:rsid w:val="55676C5B"/>
    <w:rsid w:val="5567FE93"/>
    <w:rsid w:val="556C92A8"/>
    <w:rsid w:val="556F0995"/>
    <w:rsid w:val="556F5F7A"/>
    <w:rsid w:val="55701DB5"/>
    <w:rsid w:val="55709906"/>
    <w:rsid w:val="55728E35"/>
    <w:rsid w:val="5577DA01"/>
    <w:rsid w:val="557F6620"/>
    <w:rsid w:val="557FEB5A"/>
    <w:rsid w:val="55817B07"/>
    <w:rsid w:val="5588D41E"/>
    <w:rsid w:val="558C5FA4"/>
    <w:rsid w:val="558DE201"/>
    <w:rsid w:val="5592CA5E"/>
    <w:rsid w:val="559B9786"/>
    <w:rsid w:val="55A0FE04"/>
    <w:rsid w:val="55A6A81E"/>
    <w:rsid w:val="55A8930E"/>
    <w:rsid w:val="55AB05E5"/>
    <w:rsid w:val="55AF26C4"/>
    <w:rsid w:val="55BBE3E1"/>
    <w:rsid w:val="55BC776E"/>
    <w:rsid w:val="55BD3E59"/>
    <w:rsid w:val="55C7C6C0"/>
    <w:rsid w:val="55CEB19C"/>
    <w:rsid w:val="55D4B34E"/>
    <w:rsid w:val="55D79E17"/>
    <w:rsid w:val="55D9E912"/>
    <w:rsid w:val="55DD1579"/>
    <w:rsid w:val="55DEA5ED"/>
    <w:rsid w:val="55E0E584"/>
    <w:rsid w:val="55E319B4"/>
    <w:rsid w:val="55E5E2C8"/>
    <w:rsid w:val="55E9428E"/>
    <w:rsid w:val="55ED594C"/>
    <w:rsid w:val="55F1FE99"/>
    <w:rsid w:val="55FAE18F"/>
    <w:rsid w:val="55FD008A"/>
    <w:rsid w:val="5600369D"/>
    <w:rsid w:val="56046A5B"/>
    <w:rsid w:val="560B4E50"/>
    <w:rsid w:val="560BAA65"/>
    <w:rsid w:val="56119AB7"/>
    <w:rsid w:val="56143CE3"/>
    <w:rsid w:val="5619AFA5"/>
    <w:rsid w:val="561CA68A"/>
    <w:rsid w:val="561CD44A"/>
    <w:rsid w:val="5620D3C7"/>
    <w:rsid w:val="5621673A"/>
    <w:rsid w:val="562475A3"/>
    <w:rsid w:val="5627A5EF"/>
    <w:rsid w:val="562ADA0B"/>
    <w:rsid w:val="562BC7D0"/>
    <w:rsid w:val="562CDB94"/>
    <w:rsid w:val="562EC0CF"/>
    <w:rsid w:val="56355F84"/>
    <w:rsid w:val="563ED930"/>
    <w:rsid w:val="564ADA8F"/>
    <w:rsid w:val="564D21E0"/>
    <w:rsid w:val="564D4629"/>
    <w:rsid w:val="565412F9"/>
    <w:rsid w:val="5655B159"/>
    <w:rsid w:val="565A6DA0"/>
    <w:rsid w:val="565BE503"/>
    <w:rsid w:val="5663B99B"/>
    <w:rsid w:val="56692CAD"/>
    <w:rsid w:val="566A6365"/>
    <w:rsid w:val="566D6327"/>
    <w:rsid w:val="56711685"/>
    <w:rsid w:val="56766B09"/>
    <w:rsid w:val="5679204C"/>
    <w:rsid w:val="567CCEB7"/>
    <w:rsid w:val="568073C3"/>
    <w:rsid w:val="56893664"/>
    <w:rsid w:val="568C9361"/>
    <w:rsid w:val="5698CC38"/>
    <w:rsid w:val="5698F201"/>
    <w:rsid w:val="5699C406"/>
    <w:rsid w:val="569E7F86"/>
    <w:rsid w:val="569FC6D3"/>
    <w:rsid w:val="56A2ABCC"/>
    <w:rsid w:val="56AAB810"/>
    <w:rsid w:val="56AD066D"/>
    <w:rsid w:val="56AD6EC8"/>
    <w:rsid w:val="56AEAFD4"/>
    <w:rsid w:val="56AFC8D1"/>
    <w:rsid w:val="56B9EB3B"/>
    <w:rsid w:val="56BC91CF"/>
    <w:rsid w:val="56BD2F12"/>
    <w:rsid w:val="56C511B8"/>
    <w:rsid w:val="56C8C6A0"/>
    <w:rsid w:val="56CDF95A"/>
    <w:rsid w:val="56CFF24F"/>
    <w:rsid w:val="56DEF60D"/>
    <w:rsid w:val="56E0BA7E"/>
    <w:rsid w:val="56E3AB85"/>
    <w:rsid w:val="56E40EC9"/>
    <w:rsid w:val="56E54B03"/>
    <w:rsid w:val="56E724F3"/>
    <w:rsid w:val="56E79A17"/>
    <w:rsid w:val="56F3F099"/>
    <w:rsid w:val="56F8D009"/>
    <w:rsid w:val="56FC49FB"/>
    <w:rsid w:val="56FE75EC"/>
    <w:rsid w:val="57048293"/>
    <w:rsid w:val="57070886"/>
    <w:rsid w:val="570BCF07"/>
    <w:rsid w:val="57161C66"/>
    <w:rsid w:val="5719C747"/>
    <w:rsid w:val="57329191"/>
    <w:rsid w:val="573A1D2A"/>
    <w:rsid w:val="57406F79"/>
    <w:rsid w:val="5749AD55"/>
    <w:rsid w:val="574BAD96"/>
    <w:rsid w:val="574BDFD7"/>
    <w:rsid w:val="575246C7"/>
    <w:rsid w:val="575784C2"/>
    <w:rsid w:val="575DDE00"/>
    <w:rsid w:val="57656B3E"/>
    <w:rsid w:val="576EF0CF"/>
    <w:rsid w:val="577F03C6"/>
    <w:rsid w:val="5783253D"/>
    <w:rsid w:val="5787248A"/>
    <w:rsid w:val="5789EE10"/>
    <w:rsid w:val="57942E64"/>
    <w:rsid w:val="579D9181"/>
    <w:rsid w:val="57A390C7"/>
    <w:rsid w:val="57A598A2"/>
    <w:rsid w:val="57A5B1A2"/>
    <w:rsid w:val="57A69BE3"/>
    <w:rsid w:val="57A8EAC3"/>
    <w:rsid w:val="57A918F1"/>
    <w:rsid w:val="57AE17BB"/>
    <w:rsid w:val="57B635F5"/>
    <w:rsid w:val="57B8310D"/>
    <w:rsid w:val="57BCCD8C"/>
    <w:rsid w:val="57BF091F"/>
    <w:rsid w:val="57C1D609"/>
    <w:rsid w:val="57C212FE"/>
    <w:rsid w:val="57C6ACD2"/>
    <w:rsid w:val="57C7DEA2"/>
    <w:rsid w:val="57D9D96E"/>
    <w:rsid w:val="57DAAB71"/>
    <w:rsid w:val="57E03308"/>
    <w:rsid w:val="57E5B250"/>
    <w:rsid w:val="57E96931"/>
    <w:rsid w:val="57ED7574"/>
    <w:rsid w:val="57F3E4FB"/>
    <w:rsid w:val="57F7FAAB"/>
    <w:rsid w:val="57F9A5CB"/>
    <w:rsid w:val="57FCD87C"/>
    <w:rsid w:val="5800CE1A"/>
    <w:rsid w:val="58036617"/>
    <w:rsid w:val="5803D605"/>
    <w:rsid w:val="58097966"/>
    <w:rsid w:val="5810739A"/>
    <w:rsid w:val="58127D57"/>
    <w:rsid w:val="58150C3E"/>
    <w:rsid w:val="5815400A"/>
    <w:rsid w:val="5816C652"/>
    <w:rsid w:val="58191794"/>
    <w:rsid w:val="581B25D8"/>
    <w:rsid w:val="58258106"/>
    <w:rsid w:val="582CC2A7"/>
    <w:rsid w:val="583CA5D7"/>
    <w:rsid w:val="5840FFCF"/>
    <w:rsid w:val="58479456"/>
    <w:rsid w:val="5847D2B5"/>
    <w:rsid w:val="58485A85"/>
    <w:rsid w:val="5849D815"/>
    <w:rsid w:val="584C913C"/>
    <w:rsid w:val="584D8CEC"/>
    <w:rsid w:val="585340CC"/>
    <w:rsid w:val="58544FC9"/>
    <w:rsid w:val="58571FEF"/>
    <w:rsid w:val="58575DC9"/>
    <w:rsid w:val="5859ED2C"/>
    <w:rsid w:val="585C669B"/>
    <w:rsid w:val="585CB807"/>
    <w:rsid w:val="5869CE8A"/>
    <w:rsid w:val="586BAE17"/>
    <w:rsid w:val="586EE05F"/>
    <w:rsid w:val="586F03BA"/>
    <w:rsid w:val="586FE3F4"/>
    <w:rsid w:val="58751254"/>
    <w:rsid w:val="587670F4"/>
    <w:rsid w:val="5879A469"/>
    <w:rsid w:val="587C8B1C"/>
    <w:rsid w:val="58841E3F"/>
    <w:rsid w:val="5885C025"/>
    <w:rsid w:val="5888C6CC"/>
    <w:rsid w:val="58914330"/>
    <w:rsid w:val="58967D3A"/>
    <w:rsid w:val="589B7E70"/>
    <w:rsid w:val="589C591C"/>
    <w:rsid w:val="589FB04D"/>
    <w:rsid w:val="58A15D0E"/>
    <w:rsid w:val="58A58DF7"/>
    <w:rsid w:val="58A63AE2"/>
    <w:rsid w:val="58A8EAA4"/>
    <w:rsid w:val="58ACBD80"/>
    <w:rsid w:val="58B0CE2D"/>
    <w:rsid w:val="58B647D7"/>
    <w:rsid w:val="58BE7E37"/>
    <w:rsid w:val="58BEA35A"/>
    <w:rsid w:val="58C6E050"/>
    <w:rsid w:val="58C97AA4"/>
    <w:rsid w:val="58CBEB37"/>
    <w:rsid w:val="58CCF98B"/>
    <w:rsid w:val="58CD3530"/>
    <w:rsid w:val="58D0AC03"/>
    <w:rsid w:val="58D24389"/>
    <w:rsid w:val="58D3E974"/>
    <w:rsid w:val="58D59326"/>
    <w:rsid w:val="58D8EDC8"/>
    <w:rsid w:val="58DFBFD2"/>
    <w:rsid w:val="58E36E24"/>
    <w:rsid w:val="58E8A354"/>
    <w:rsid w:val="58ED7215"/>
    <w:rsid w:val="58EDC8BE"/>
    <w:rsid w:val="58F22A37"/>
    <w:rsid w:val="58F6112C"/>
    <w:rsid w:val="58F680F2"/>
    <w:rsid w:val="58F6C72A"/>
    <w:rsid w:val="58F8BB14"/>
    <w:rsid w:val="58FA98BD"/>
    <w:rsid w:val="58FD5D45"/>
    <w:rsid w:val="58FD7051"/>
    <w:rsid w:val="5903A01C"/>
    <w:rsid w:val="5906654D"/>
    <w:rsid w:val="5909B984"/>
    <w:rsid w:val="590B9CDF"/>
    <w:rsid w:val="590DC2A2"/>
    <w:rsid w:val="590E4106"/>
    <w:rsid w:val="59154189"/>
    <w:rsid w:val="59219521"/>
    <w:rsid w:val="5924E9C0"/>
    <w:rsid w:val="5928038B"/>
    <w:rsid w:val="593150E4"/>
    <w:rsid w:val="59321315"/>
    <w:rsid w:val="5938EC41"/>
    <w:rsid w:val="593C2459"/>
    <w:rsid w:val="593CEF3A"/>
    <w:rsid w:val="59410483"/>
    <w:rsid w:val="5942DB75"/>
    <w:rsid w:val="59474845"/>
    <w:rsid w:val="594AF33D"/>
    <w:rsid w:val="594AF95B"/>
    <w:rsid w:val="595444E8"/>
    <w:rsid w:val="595673FB"/>
    <w:rsid w:val="5958FE77"/>
    <w:rsid w:val="5959EA14"/>
    <w:rsid w:val="5963105D"/>
    <w:rsid w:val="59654780"/>
    <w:rsid w:val="5969CFC4"/>
    <w:rsid w:val="596A51EE"/>
    <w:rsid w:val="596CB711"/>
    <w:rsid w:val="596DBC6F"/>
    <w:rsid w:val="5974C4AB"/>
    <w:rsid w:val="597CA3B3"/>
    <w:rsid w:val="5980368C"/>
    <w:rsid w:val="5983FEDB"/>
    <w:rsid w:val="598F7521"/>
    <w:rsid w:val="5991CE6E"/>
    <w:rsid w:val="59A43C48"/>
    <w:rsid w:val="59A93F9E"/>
    <w:rsid w:val="59B06383"/>
    <w:rsid w:val="59B57F97"/>
    <w:rsid w:val="59C2669B"/>
    <w:rsid w:val="59C557D1"/>
    <w:rsid w:val="59CB8B47"/>
    <w:rsid w:val="59CD8ED9"/>
    <w:rsid w:val="59D18DF0"/>
    <w:rsid w:val="59D2FDAC"/>
    <w:rsid w:val="59D64AB5"/>
    <w:rsid w:val="59DB598F"/>
    <w:rsid w:val="59DC0BB5"/>
    <w:rsid w:val="59DE8EA7"/>
    <w:rsid w:val="59DFCACE"/>
    <w:rsid w:val="59E3C5E3"/>
    <w:rsid w:val="59E75BA0"/>
    <w:rsid w:val="59EDF398"/>
    <w:rsid w:val="59EF4BCD"/>
    <w:rsid w:val="59F4430F"/>
    <w:rsid w:val="59FFD793"/>
    <w:rsid w:val="5A00C627"/>
    <w:rsid w:val="5A039D75"/>
    <w:rsid w:val="5A0F2AA5"/>
    <w:rsid w:val="5A107E92"/>
    <w:rsid w:val="5A148F35"/>
    <w:rsid w:val="5A19795E"/>
    <w:rsid w:val="5A1DC021"/>
    <w:rsid w:val="5A1EC1A6"/>
    <w:rsid w:val="5A1ECB00"/>
    <w:rsid w:val="5A1F1B50"/>
    <w:rsid w:val="5A1FD836"/>
    <w:rsid w:val="5A20BD7C"/>
    <w:rsid w:val="5A220691"/>
    <w:rsid w:val="5A22A617"/>
    <w:rsid w:val="5A262FCD"/>
    <w:rsid w:val="5A29C87A"/>
    <w:rsid w:val="5A2ED997"/>
    <w:rsid w:val="5A2F8824"/>
    <w:rsid w:val="5A313373"/>
    <w:rsid w:val="5A368E2A"/>
    <w:rsid w:val="5A38EC7A"/>
    <w:rsid w:val="5A3DDC30"/>
    <w:rsid w:val="5A45749F"/>
    <w:rsid w:val="5A4C7E05"/>
    <w:rsid w:val="5A4CAB9E"/>
    <w:rsid w:val="5A536024"/>
    <w:rsid w:val="5A5416B8"/>
    <w:rsid w:val="5A5F06E6"/>
    <w:rsid w:val="5A5FC9AB"/>
    <w:rsid w:val="5A601716"/>
    <w:rsid w:val="5A6345D4"/>
    <w:rsid w:val="5A6ED4F5"/>
    <w:rsid w:val="5A716CC6"/>
    <w:rsid w:val="5A72948A"/>
    <w:rsid w:val="5A7390D6"/>
    <w:rsid w:val="5A778183"/>
    <w:rsid w:val="5A787342"/>
    <w:rsid w:val="5A7F20F7"/>
    <w:rsid w:val="5A7FEC9F"/>
    <w:rsid w:val="5A874CD2"/>
    <w:rsid w:val="5A8AD3E0"/>
    <w:rsid w:val="5A8BBDE0"/>
    <w:rsid w:val="5A8BBFE3"/>
    <w:rsid w:val="5A8BD5BD"/>
    <w:rsid w:val="5AB08F43"/>
    <w:rsid w:val="5AB1E971"/>
    <w:rsid w:val="5AB6378E"/>
    <w:rsid w:val="5AC2F7CA"/>
    <w:rsid w:val="5AC4E714"/>
    <w:rsid w:val="5AC86D49"/>
    <w:rsid w:val="5ACD5068"/>
    <w:rsid w:val="5ACEBAE7"/>
    <w:rsid w:val="5AD13F30"/>
    <w:rsid w:val="5AD7D706"/>
    <w:rsid w:val="5AD9E7D3"/>
    <w:rsid w:val="5ADEB7C5"/>
    <w:rsid w:val="5ADFDBF5"/>
    <w:rsid w:val="5AE94291"/>
    <w:rsid w:val="5AEA9151"/>
    <w:rsid w:val="5AEA9655"/>
    <w:rsid w:val="5AECB7CE"/>
    <w:rsid w:val="5AEDDF12"/>
    <w:rsid w:val="5AF2C2BF"/>
    <w:rsid w:val="5AF82A53"/>
    <w:rsid w:val="5AFFC23F"/>
    <w:rsid w:val="5B030AE4"/>
    <w:rsid w:val="5B0919B6"/>
    <w:rsid w:val="5B14C184"/>
    <w:rsid w:val="5B179A60"/>
    <w:rsid w:val="5B1B74A8"/>
    <w:rsid w:val="5B2195A5"/>
    <w:rsid w:val="5B2A3740"/>
    <w:rsid w:val="5B2E5195"/>
    <w:rsid w:val="5B2E6FBF"/>
    <w:rsid w:val="5B317533"/>
    <w:rsid w:val="5B31FBDE"/>
    <w:rsid w:val="5B35A146"/>
    <w:rsid w:val="5B38B92A"/>
    <w:rsid w:val="5B4BBFB5"/>
    <w:rsid w:val="5B4E6C29"/>
    <w:rsid w:val="5B581B1B"/>
    <w:rsid w:val="5B5AD5D2"/>
    <w:rsid w:val="5B69060C"/>
    <w:rsid w:val="5B69B6A2"/>
    <w:rsid w:val="5B6B0D56"/>
    <w:rsid w:val="5B6D59C4"/>
    <w:rsid w:val="5B726810"/>
    <w:rsid w:val="5B78403B"/>
    <w:rsid w:val="5B7AFB9B"/>
    <w:rsid w:val="5B7DB943"/>
    <w:rsid w:val="5B802C06"/>
    <w:rsid w:val="5B8371D8"/>
    <w:rsid w:val="5B882074"/>
    <w:rsid w:val="5B8CEE30"/>
    <w:rsid w:val="5B8D27CE"/>
    <w:rsid w:val="5B900C3E"/>
    <w:rsid w:val="5B91E56B"/>
    <w:rsid w:val="5B973099"/>
    <w:rsid w:val="5B98E0C1"/>
    <w:rsid w:val="5B9931F2"/>
    <w:rsid w:val="5BA0609E"/>
    <w:rsid w:val="5BA38187"/>
    <w:rsid w:val="5BA77805"/>
    <w:rsid w:val="5BA8A890"/>
    <w:rsid w:val="5BB17F2A"/>
    <w:rsid w:val="5BB22C07"/>
    <w:rsid w:val="5BB4E0F2"/>
    <w:rsid w:val="5BC04670"/>
    <w:rsid w:val="5BC3A16E"/>
    <w:rsid w:val="5BC430CD"/>
    <w:rsid w:val="5BC78894"/>
    <w:rsid w:val="5BD1D413"/>
    <w:rsid w:val="5BE0C333"/>
    <w:rsid w:val="5BEC4601"/>
    <w:rsid w:val="5BEC6BB9"/>
    <w:rsid w:val="5BED418E"/>
    <w:rsid w:val="5BEFC29B"/>
    <w:rsid w:val="5BF68E58"/>
    <w:rsid w:val="5BFAEEF8"/>
    <w:rsid w:val="5BFB330E"/>
    <w:rsid w:val="5BFE633F"/>
    <w:rsid w:val="5BFF706F"/>
    <w:rsid w:val="5C0214F1"/>
    <w:rsid w:val="5C029ADE"/>
    <w:rsid w:val="5C09B888"/>
    <w:rsid w:val="5C0F0C6A"/>
    <w:rsid w:val="5C120EAB"/>
    <w:rsid w:val="5C1EFBE9"/>
    <w:rsid w:val="5C2A56A5"/>
    <w:rsid w:val="5C2CD33E"/>
    <w:rsid w:val="5C2F07B9"/>
    <w:rsid w:val="5C319C42"/>
    <w:rsid w:val="5C390B0A"/>
    <w:rsid w:val="5C416860"/>
    <w:rsid w:val="5C5C1625"/>
    <w:rsid w:val="5C62A27C"/>
    <w:rsid w:val="5C63A0A4"/>
    <w:rsid w:val="5C671076"/>
    <w:rsid w:val="5C69CEFA"/>
    <w:rsid w:val="5C6A63E9"/>
    <w:rsid w:val="5C6F0B13"/>
    <w:rsid w:val="5C705C3B"/>
    <w:rsid w:val="5C7897FE"/>
    <w:rsid w:val="5C78B0D7"/>
    <w:rsid w:val="5C7A5551"/>
    <w:rsid w:val="5C7C2FD2"/>
    <w:rsid w:val="5C800B06"/>
    <w:rsid w:val="5C826AC5"/>
    <w:rsid w:val="5C85031E"/>
    <w:rsid w:val="5C88D8A4"/>
    <w:rsid w:val="5C88F6C5"/>
    <w:rsid w:val="5C891F33"/>
    <w:rsid w:val="5C892E29"/>
    <w:rsid w:val="5C8D4ABF"/>
    <w:rsid w:val="5C8D64DE"/>
    <w:rsid w:val="5C922704"/>
    <w:rsid w:val="5C96AF97"/>
    <w:rsid w:val="5C9AFE99"/>
    <w:rsid w:val="5CA206F0"/>
    <w:rsid w:val="5CA63B35"/>
    <w:rsid w:val="5CA7E527"/>
    <w:rsid w:val="5CA838CD"/>
    <w:rsid w:val="5CAB5242"/>
    <w:rsid w:val="5CAD1360"/>
    <w:rsid w:val="5CAEA84B"/>
    <w:rsid w:val="5CAF744D"/>
    <w:rsid w:val="5CAFD772"/>
    <w:rsid w:val="5CC3D0EE"/>
    <w:rsid w:val="5CCD145A"/>
    <w:rsid w:val="5CD06BA7"/>
    <w:rsid w:val="5CD1148D"/>
    <w:rsid w:val="5CD73B01"/>
    <w:rsid w:val="5CD7BDF4"/>
    <w:rsid w:val="5CDE7123"/>
    <w:rsid w:val="5CE7D466"/>
    <w:rsid w:val="5CE9B43B"/>
    <w:rsid w:val="5CEA269F"/>
    <w:rsid w:val="5CEA557D"/>
    <w:rsid w:val="5CEEDF23"/>
    <w:rsid w:val="5CF2F2C6"/>
    <w:rsid w:val="5CF8775E"/>
    <w:rsid w:val="5CFBE8E2"/>
    <w:rsid w:val="5CFD3041"/>
    <w:rsid w:val="5CFE30FF"/>
    <w:rsid w:val="5CFED121"/>
    <w:rsid w:val="5D07D4EA"/>
    <w:rsid w:val="5D18F9E7"/>
    <w:rsid w:val="5D1B3399"/>
    <w:rsid w:val="5D1B92B8"/>
    <w:rsid w:val="5D28AF4F"/>
    <w:rsid w:val="5D321768"/>
    <w:rsid w:val="5D3728A8"/>
    <w:rsid w:val="5D399F48"/>
    <w:rsid w:val="5D3A43B4"/>
    <w:rsid w:val="5D3B79CB"/>
    <w:rsid w:val="5D40F067"/>
    <w:rsid w:val="5D422CF7"/>
    <w:rsid w:val="5D43E78C"/>
    <w:rsid w:val="5D48BADC"/>
    <w:rsid w:val="5D4D4A73"/>
    <w:rsid w:val="5D4E201A"/>
    <w:rsid w:val="5D4ECF5D"/>
    <w:rsid w:val="5D512C06"/>
    <w:rsid w:val="5D5219D2"/>
    <w:rsid w:val="5D5AC30C"/>
    <w:rsid w:val="5D5BA2BA"/>
    <w:rsid w:val="5D602956"/>
    <w:rsid w:val="5D63DF86"/>
    <w:rsid w:val="5D673B53"/>
    <w:rsid w:val="5D69EF20"/>
    <w:rsid w:val="5D6C71E0"/>
    <w:rsid w:val="5D72FF9F"/>
    <w:rsid w:val="5D732928"/>
    <w:rsid w:val="5D74AF8E"/>
    <w:rsid w:val="5D7E3EE7"/>
    <w:rsid w:val="5D7E7893"/>
    <w:rsid w:val="5D80C3AD"/>
    <w:rsid w:val="5D81EE50"/>
    <w:rsid w:val="5D81EEB4"/>
    <w:rsid w:val="5D8540E7"/>
    <w:rsid w:val="5D8DEF30"/>
    <w:rsid w:val="5D8FED94"/>
    <w:rsid w:val="5D98004F"/>
    <w:rsid w:val="5DA00EE9"/>
    <w:rsid w:val="5DA3DDF6"/>
    <w:rsid w:val="5DA55D7C"/>
    <w:rsid w:val="5DAFE70F"/>
    <w:rsid w:val="5DB190B3"/>
    <w:rsid w:val="5DB4D6E8"/>
    <w:rsid w:val="5DB60196"/>
    <w:rsid w:val="5DB75B8C"/>
    <w:rsid w:val="5DB9A8D8"/>
    <w:rsid w:val="5DBCB659"/>
    <w:rsid w:val="5DC9F6C5"/>
    <w:rsid w:val="5DCEAD37"/>
    <w:rsid w:val="5DD54382"/>
    <w:rsid w:val="5DD8BC8B"/>
    <w:rsid w:val="5DDCD75E"/>
    <w:rsid w:val="5DDDC6BD"/>
    <w:rsid w:val="5DDE2C55"/>
    <w:rsid w:val="5DE078A1"/>
    <w:rsid w:val="5DEF62E7"/>
    <w:rsid w:val="5E02AC46"/>
    <w:rsid w:val="5E07C3EC"/>
    <w:rsid w:val="5E08F007"/>
    <w:rsid w:val="5E094F40"/>
    <w:rsid w:val="5E0AE2F6"/>
    <w:rsid w:val="5E0B0CDF"/>
    <w:rsid w:val="5E10CB16"/>
    <w:rsid w:val="5E129B17"/>
    <w:rsid w:val="5E1A47EC"/>
    <w:rsid w:val="5E1EB3AA"/>
    <w:rsid w:val="5E237342"/>
    <w:rsid w:val="5E2CE8E0"/>
    <w:rsid w:val="5E2D2AC7"/>
    <w:rsid w:val="5E2E41A4"/>
    <w:rsid w:val="5E2E69FA"/>
    <w:rsid w:val="5E30809F"/>
    <w:rsid w:val="5E30ACC9"/>
    <w:rsid w:val="5E3792D0"/>
    <w:rsid w:val="5E3A2B55"/>
    <w:rsid w:val="5E4100FA"/>
    <w:rsid w:val="5E4529B0"/>
    <w:rsid w:val="5E46D70B"/>
    <w:rsid w:val="5E48F402"/>
    <w:rsid w:val="5E49B708"/>
    <w:rsid w:val="5E541DA3"/>
    <w:rsid w:val="5E551257"/>
    <w:rsid w:val="5E575A8D"/>
    <w:rsid w:val="5E598550"/>
    <w:rsid w:val="5E60EF0C"/>
    <w:rsid w:val="5E6154D0"/>
    <w:rsid w:val="5E699F4A"/>
    <w:rsid w:val="5E6CD8E2"/>
    <w:rsid w:val="5E6FCA08"/>
    <w:rsid w:val="5E71063D"/>
    <w:rsid w:val="5E7309FB"/>
    <w:rsid w:val="5E797B73"/>
    <w:rsid w:val="5E7C6AB6"/>
    <w:rsid w:val="5E7FD611"/>
    <w:rsid w:val="5E83D127"/>
    <w:rsid w:val="5E86C09A"/>
    <w:rsid w:val="5E87456D"/>
    <w:rsid w:val="5E880095"/>
    <w:rsid w:val="5E881152"/>
    <w:rsid w:val="5E89F4D4"/>
    <w:rsid w:val="5E8BFE92"/>
    <w:rsid w:val="5E941906"/>
    <w:rsid w:val="5E99901E"/>
    <w:rsid w:val="5E9A2C26"/>
    <w:rsid w:val="5EA22B28"/>
    <w:rsid w:val="5EA8835C"/>
    <w:rsid w:val="5EA88815"/>
    <w:rsid w:val="5EAD4A40"/>
    <w:rsid w:val="5EAE9E80"/>
    <w:rsid w:val="5EB83F02"/>
    <w:rsid w:val="5EB9DAC2"/>
    <w:rsid w:val="5EBC5356"/>
    <w:rsid w:val="5EBF311E"/>
    <w:rsid w:val="5EC3E18A"/>
    <w:rsid w:val="5EC53F9F"/>
    <w:rsid w:val="5EC7B005"/>
    <w:rsid w:val="5ED04356"/>
    <w:rsid w:val="5ED2A9F9"/>
    <w:rsid w:val="5ED39BF8"/>
    <w:rsid w:val="5ED47993"/>
    <w:rsid w:val="5ED6EEF4"/>
    <w:rsid w:val="5EDA48AE"/>
    <w:rsid w:val="5EDC8963"/>
    <w:rsid w:val="5EE2FBF2"/>
    <w:rsid w:val="5EE7E10C"/>
    <w:rsid w:val="5EE919E0"/>
    <w:rsid w:val="5EEBA2F0"/>
    <w:rsid w:val="5EEFD37D"/>
    <w:rsid w:val="5EF18609"/>
    <w:rsid w:val="5EFB24D2"/>
    <w:rsid w:val="5EFC0559"/>
    <w:rsid w:val="5EFDB820"/>
    <w:rsid w:val="5F05D058"/>
    <w:rsid w:val="5F0BC0A8"/>
    <w:rsid w:val="5F0C8980"/>
    <w:rsid w:val="5F0E5B6E"/>
    <w:rsid w:val="5F0FC62C"/>
    <w:rsid w:val="5F1B0CE0"/>
    <w:rsid w:val="5F20ED80"/>
    <w:rsid w:val="5F262320"/>
    <w:rsid w:val="5F2B6F74"/>
    <w:rsid w:val="5F2DDBEC"/>
    <w:rsid w:val="5F2EDED7"/>
    <w:rsid w:val="5F344EF0"/>
    <w:rsid w:val="5F34EAC8"/>
    <w:rsid w:val="5F3B5249"/>
    <w:rsid w:val="5F3C8754"/>
    <w:rsid w:val="5F3F6A6E"/>
    <w:rsid w:val="5F406CEC"/>
    <w:rsid w:val="5F40E7D2"/>
    <w:rsid w:val="5F460A71"/>
    <w:rsid w:val="5F536385"/>
    <w:rsid w:val="5F5B6567"/>
    <w:rsid w:val="5F6141CC"/>
    <w:rsid w:val="5F65C0D1"/>
    <w:rsid w:val="5F6C226B"/>
    <w:rsid w:val="5F6CB361"/>
    <w:rsid w:val="5F6D3ED9"/>
    <w:rsid w:val="5F7828AB"/>
    <w:rsid w:val="5F81A04D"/>
    <w:rsid w:val="5F8307C5"/>
    <w:rsid w:val="5F85041F"/>
    <w:rsid w:val="5F8688DA"/>
    <w:rsid w:val="5F86F13F"/>
    <w:rsid w:val="5F8FF3E5"/>
    <w:rsid w:val="5F9501BE"/>
    <w:rsid w:val="5F96E33F"/>
    <w:rsid w:val="5F99D7AF"/>
    <w:rsid w:val="5F9BF05B"/>
    <w:rsid w:val="5F9DEAAC"/>
    <w:rsid w:val="5FA0F827"/>
    <w:rsid w:val="5FA9C890"/>
    <w:rsid w:val="5FAA3128"/>
    <w:rsid w:val="5FAB4720"/>
    <w:rsid w:val="5FAC6E0F"/>
    <w:rsid w:val="5FAEE1F0"/>
    <w:rsid w:val="5FB05055"/>
    <w:rsid w:val="5FB6A803"/>
    <w:rsid w:val="5FB85EF3"/>
    <w:rsid w:val="5FB9822F"/>
    <w:rsid w:val="5FC9BA24"/>
    <w:rsid w:val="5FCCAF9D"/>
    <w:rsid w:val="5FCDB9BE"/>
    <w:rsid w:val="5FCE0AC2"/>
    <w:rsid w:val="5FCEC548"/>
    <w:rsid w:val="5FD188E1"/>
    <w:rsid w:val="5FD2311B"/>
    <w:rsid w:val="5FD24027"/>
    <w:rsid w:val="5FD2CF6C"/>
    <w:rsid w:val="5FD713C9"/>
    <w:rsid w:val="5FDC0655"/>
    <w:rsid w:val="5FDD5B9A"/>
    <w:rsid w:val="5FE7F9C7"/>
    <w:rsid w:val="5FEB55A1"/>
    <w:rsid w:val="5FEE20A6"/>
    <w:rsid w:val="5FF259EF"/>
    <w:rsid w:val="5FF3F167"/>
    <w:rsid w:val="6003BA20"/>
    <w:rsid w:val="6012A730"/>
    <w:rsid w:val="60133FF7"/>
    <w:rsid w:val="6014F061"/>
    <w:rsid w:val="601A125A"/>
    <w:rsid w:val="601AC30D"/>
    <w:rsid w:val="601F9464"/>
    <w:rsid w:val="601FF199"/>
    <w:rsid w:val="60225011"/>
    <w:rsid w:val="60267C9D"/>
    <w:rsid w:val="602730F1"/>
    <w:rsid w:val="60277C53"/>
    <w:rsid w:val="60278A24"/>
    <w:rsid w:val="6028A76B"/>
    <w:rsid w:val="602B4837"/>
    <w:rsid w:val="60315123"/>
    <w:rsid w:val="603C10F9"/>
    <w:rsid w:val="60416102"/>
    <w:rsid w:val="6043A2E5"/>
    <w:rsid w:val="604987A0"/>
    <w:rsid w:val="604EBAF6"/>
    <w:rsid w:val="604FC0B0"/>
    <w:rsid w:val="60509B2E"/>
    <w:rsid w:val="60519456"/>
    <w:rsid w:val="60557319"/>
    <w:rsid w:val="6058015B"/>
    <w:rsid w:val="605839EC"/>
    <w:rsid w:val="605BE08B"/>
    <w:rsid w:val="6060D2E2"/>
    <w:rsid w:val="60641F9B"/>
    <w:rsid w:val="6064BB74"/>
    <w:rsid w:val="606B0CBB"/>
    <w:rsid w:val="606DA2F6"/>
    <w:rsid w:val="607285C3"/>
    <w:rsid w:val="60737367"/>
    <w:rsid w:val="6076569F"/>
    <w:rsid w:val="607C5B9C"/>
    <w:rsid w:val="60815C2C"/>
    <w:rsid w:val="60876C7E"/>
    <w:rsid w:val="6089DE58"/>
    <w:rsid w:val="608A191F"/>
    <w:rsid w:val="6091D35B"/>
    <w:rsid w:val="60941ADC"/>
    <w:rsid w:val="60966DF0"/>
    <w:rsid w:val="60980E87"/>
    <w:rsid w:val="6099C362"/>
    <w:rsid w:val="609A6587"/>
    <w:rsid w:val="609ED327"/>
    <w:rsid w:val="60A495F8"/>
    <w:rsid w:val="60A928E3"/>
    <w:rsid w:val="60AACAC7"/>
    <w:rsid w:val="60AE4DC1"/>
    <w:rsid w:val="60B0EFE5"/>
    <w:rsid w:val="60B3A4B5"/>
    <w:rsid w:val="60B47EE9"/>
    <w:rsid w:val="60B7CD9A"/>
    <w:rsid w:val="60B833B4"/>
    <w:rsid w:val="60BFD9A5"/>
    <w:rsid w:val="60C73D26"/>
    <w:rsid w:val="60C7A6F4"/>
    <w:rsid w:val="60D04387"/>
    <w:rsid w:val="60D7F761"/>
    <w:rsid w:val="60D9FBDF"/>
    <w:rsid w:val="60DB9F9E"/>
    <w:rsid w:val="60DCC33C"/>
    <w:rsid w:val="60DE9F62"/>
    <w:rsid w:val="60DFB385"/>
    <w:rsid w:val="60DFE301"/>
    <w:rsid w:val="60E1A851"/>
    <w:rsid w:val="60E5805F"/>
    <w:rsid w:val="60E9008E"/>
    <w:rsid w:val="60EE6F25"/>
    <w:rsid w:val="60F24436"/>
    <w:rsid w:val="60F4852E"/>
    <w:rsid w:val="60F88687"/>
    <w:rsid w:val="60FF3E19"/>
    <w:rsid w:val="61048C43"/>
    <w:rsid w:val="6107A75F"/>
    <w:rsid w:val="610A0BA8"/>
    <w:rsid w:val="610B22C5"/>
    <w:rsid w:val="610CB334"/>
    <w:rsid w:val="61175664"/>
    <w:rsid w:val="611C8D27"/>
    <w:rsid w:val="611CDD02"/>
    <w:rsid w:val="611FFA3C"/>
    <w:rsid w:val="61232321"/>
    <w:rsid w:val="6129FDDC"/>
    <w:rsid w:val="613104EF"/>
    <w:rsid w:val="61310F75"/>
    <w:rsid w:val="613A1620"/>
    <w:rsid w:val="613A64A6"/>
    <w:rsid w:val="613B1489"/>
    <w:rsid w:val="613D3C59"/>
    <w:rsid w:val="614102E4"/>
    <w:rsid w:val="614A0954"/>
    <w:rsid w:val="614B1D4B"/>
    <w:rsid w:val="614F19EF"/>
    <w:rsid w:val="61501FDC"/>
    <w:rsid w:val="615CBAA5"/>
    <w:rsid w:val="6165E146"/>
    <w:rsid w:val="61676E6B"/>
    <w:rsid w:val="616BBE6D"/>
    <w:rsid w:val="616C8AD3"/>
    <w:rsid w:val="616CC6D0"/>
    <w:rsid w:val="616DF459"/>
    <w:rsid w:val="6170AD9E"/>
    <w:rsid w:val="61840703"/>
    <w:rsid w:val="6187109F"/>
    <w:rsid w:val="618E7E5D"/>
    <w:rsid w:val="61918A10"/>
    <w:rsid w:val="6191EF66"/>
    <w:rsid w:val="61947AFA"/>
    <w:rsid w:val="61966649"/>
    <w:rsid w:val="619927D2"/>
    <w:rsid w:val="61AA821D"/>
    <w:rsid w:val="61ABCC04"/>
    <w:rsid w:val="61AEBA69"/>
    <w:rsid w:val="61AFC6A6"/>
    <w:rsid w:val="61B85CF4"/>
    <w:rsid w:val="61B8C97C"/>
    <w:rsid w:val="61BA7E1E"/>
    <w:rsid w:val="61C37F20"/>
    <w:rsid w:val="61C7950F"/>
    <w:rsid w:val="61C8CD07"/>
    <w:rsid w:val="61D31DFB"/>
    <w:rsid w:val="61D3A557"/>
    <w:rsid w:val="61D48377"/>
    <w:rsid w:val="61D56818"/>
    <w:rsid w:val="61DA7D0B"/>
    <w:rsid w:val="61DD6048"/>
    <w:rsid w:val="61DFB411"/>
    <w:rsid w:val="61E0B0E7"/>
    <w:rsid w:val="61E2DA28"/>
    <w:rsid w:val="61E51813"/>
    <w:rsid w:val="61E924F4"/>
    <w:rsid w:val="61EAFD91"/>
    <w:rsid w:val="61EB80D5"/>
    <w:rsid w:val="61EBD0FB"/>
    <w:rsid w:val="61F07AAD"/>
    <w:rsid w:val="61F4DCB4"/>
    <w:rsid w:val="61FD9A9F"/>
    <w:rsid w:val="61FEE1ED"/>
    <w:rsid w:val="6201FF8B"/>
    <w:rsid w:val="620442D2"/>
    <w:rsid w:val="62047F95"/>
    <w:rsid w:val="6205C29A"/>
    <w:rsid w:val="620CD2EF"/>
    <w:rsid w:val="6210735D"/>
    <w:rsid w:val="6217F53F"/>
    <w:rsid w:val="62184C34"/>
    <w:rsid w:val="621D32CD"/>
    <w:rsid w:val="622418AB"/>
    <w:rsid w:val="6225A31C"/>
    <w:rsid w:val="6229ED88"/>
    <w:rsid w:val="622C390D"/>
    <w:rsid w:val="6235BFFE"/>
    <w:rsid w:val="62378D03"/>
    <w:rsid w:val="623B8C85"/>
    <w:rsid w:val="6241492A"/>
    <w:rsid w:val="6243C0CF"/>
    <w:rsid w:val="6248EA98"/>
    <w:rsid w:val="624DC972"/>
    <w:rsid w:val="62513AB6"/>
    <w:rsid w:val="62517917"/>
    <w:rsid w:val="625C448A"/>
    <w:rsid w:val="625E07E3"/>
    <w:rsid w:val="62662D43"/>
    <w:rsid w:val="6268CFDD"/>
    <w:rsid w:val="626B4A87"/>
    <w:rsid w:val="627321EB"/>
    <w:rsid w:val="6282BCF2"/>
    <w:rsid w:val="6285C21E"/>
    <w:rsid w:val="6286848C"/>
    <w:rsid w:val="628BFE7B"/>
    <w:rsid w:val="628F9EEA"/>
    <w:rsid w:val="628FCE8F"/>
    <w:rsid w:val="62907564"/>
    <w:rsid w:val="6291F569"/>
    <w:rsid w:val="629612F3"/>
    <w:rsid w:val="62970DC8"/>
    <w:rsid w:val="6297450D"/>
    <w:rsid w:val="6299C91B"/>
    <w:rsid w:val="629A36B9"/>
    <w:rsid w:val="629B0CD6"/>
    <w:rsid w:val="629E3174"/>
    <w:rsid w:val="62A2A408"/>
    <w:rsid w:val="62A62978"/>
    <w:rsid w:val="62A9401A"/>
    <w:rsid w:val="62AE70EE"/>
    <w:rsid w:val="62B0875F"/>
    <w:rsid w:val="62B2696F"/>
    <w:rsid w:val="62B3D17F"/>
    <w:rsid w:val="62C7CB92"/>
    <w:rsid w:val="62C84E74"/>
    <w:rsid w:val="62CA0069"/>
    <w:rsid w:val="62CB281B"/>
    <w:rsid w:val="62CDA634"/>
    <w:rsid w:val="62CE4F9D"/>
    <w:rsid w:val="62D088D9"/>
    <w:rsid w:val="62DC4378"/>
    <w:rsid w:val="62DDE9D5"/>
    <w:rsid w:val="62DF2E1B"/>
    <w:rsid w:val="62E1CC2A"/>
    <w:rsid w:val="62EB85C7"/>
    <w:rsid w:val="62F7039B"/>
    <w:rsid w:val="62FB7020"/>
    <w:rsid w:val="62FE171F"/>
    <w:rsid w:val="6303DAAE"/>
    <w:rsid w:val="63065B74"/>
    <w:rsid w:val="6309FD45"/>
    <w:rsid w:val="630D3321"/>
    <w:rsid w:val="6316C56A"/>
    <w:rsid w:val="63181409"/>
    <w:rsid w:val="631B231F"/>
    <w:rsid w:val="631CFD14"/>
    <w:rsid w:val="631F625F"/>
    <w:rsid w:val="6321DCB5"/>
    <w:rsid w:val="632713B4"/>
    <w:rsid w:val="632A2606"/>
    <w:rsid w:val="632F0E39"/>
    <w:rsid w:val="63374F50"/>
    <w:rsid w:val="6339BE3D"/>
    <w:rsid w:val="633CFBC5"/>
    <w:rsid w:val="63429772"/>
    <w:rsid w:val="63436029"/>
    <w:rsid w:val="63438720"/>
    <w:rsid w:val="63452744"/>
    <w:rsid w:val="6345D306"/>
    <w:rsid w:val="635F74DE"/>
    <w:rsid w:val="63608FD8"/>
    <w:rsid w:val="636200F7"/>
    <w:rsid w:val="6362419C"/>
    <w:rsid w:val="63658EB3"/>
    <w:rsid w:val="636F1680"/>
    <w:rsid w:val="63758CA9"/>
    <w:rsid w:val="6375CF62"/>
    <w:rsid w:val="637BDA61"/>
    <w:rsid w:val="637E3B32"/>
    <w:rsid w:val="63802419"/>
    <w:rsid w:val="6381B0AA"/>
    <w:rsid w:val="638D529C"/>
    <w:rsid w:val="638DA321"/>
    <w:rsid w:val="6390A0DC"/>
    <w:rsid w:val="6399C3EB"/>
    <w:rsid w:val="63A51EF9"/>
    <w:rsid w:val="63A7A603"/>
    <w:rsid w:val="63ABE772"/>
    <w:rsid w:val="63AF9115"/>
    <w:rsid w:val="63AFE954"/>
    <w:rsid w:val="63B16E4C"/>
    <w:rsid w:val="63B38752"/>
    <w:rsid w:val="63C03FF2"/>
    <w:rsid w:val="63C1F732"/>
    <w:rsid w:val="63C45EBD"/>
    <w:rsid w:val="63C5CC50"/>
    <w:rsid w:val="63C7C4F9"/>
    <w:rsid w:val="63C85AA6"/>
    <w:rsid w:val="63C9B6A8"/>
    <w:rsid w:val="63DA5D0F"/>
    <w:rsid w:val="63E09427"/>
    <w:rsid w:val="63E819BD"/>
    <w:rsid w:val="63EA5978"/>
    <w:rsid w:val="63F38FA0"/>
    <w:rsid w:val="63FFE6FE"/>
    <w:rsid w:val="64058B1A"/>
    <w:rsid w:val="640FBC56"/>
    <w:rsid w:val="64195B24"/>
    <w:rsid w:val="641B561E"/>
    <w:rsid w:val="641BC6D7"/>
    <w:rsid w:val="641BE790"/>
    <w:rsid w:val="641C03FE"/>
    <w:rsid w:val="6422E71C"/>
    <w:rsid w:val="64280AD0"/>
    <w:rsid w:val="642B4181"/>
    <w:rsid w:val="642D10FD"/>
    <w:rsid w:val="643C993E"/>
    <w:rsid w:val="643D2572"/>
    <w:rsid w:val="643E8EB1"/>
    <w:rsid w:val="6440E932"/>
    <w:rsid w:val="6445683F"/>
    <w:rsid w:val="64463177"/>
    <w:rsid w:val="6446E3BA"/>
    <w:rsid w:val="64474716"/>
    <w:rsid w:val="6447CA55"/>
    <w:rsid w:val="64484106"/>
    <w:rsid w:val="644C5E4D"/>
    <w:rsid w:val="644D94DF"/>
    <w:rsid w:val="64542A49"/>
    <w:rsid w:val="6456B3C4"/>
    <w:rsid w:val="6460A795"/>
    <w:rsid w:val="64640584"/>
    <w:rsid w:val="646CA7D7"/>
    <w:rsid w:val="646E8AB6"/>
    <w:rsid w:val="6475D883"/>
    <w:rsid w:val="647B4518"/>
    <w:rsid w:val="647BCA73"/>
    <w:rsid w:val="64802534"/>
    <w:rsid w:val="6484CE10"/>
    <w:rsid w:val="648EECED"/>
    <w:rsid w:val="6490C31C"/>
    <w:rsid w:val="64971EC1"/>
    <w:rsid w:val="649A9F72"/>
    <w:rsid w:val="649EABA5"/>
    <w:rsid w:val="649F917F"/>
    <w:rsid w:val="64AB210A"/>
    <w:rsid w:val="64AF8C80"/>
    <w:rsid w:val="64B09A9F"/>
    <w:rsid w:val="64C3C13A"/>
    <w:rsid w:val="64C7FAD2"/>
    <w:rsid w:val="64CAF872"/>
    <w:rsid w:val="64CE3B62"/>
    <w:rsid w:val="64D6D96C"/>
    <w:rsid w:val="64DF04CD"/>
    <w:rsid w:val="64DF48B8"/>
    <w:rsid w:val="64E4910C"/>
    <w:rsid w:val="64E76ED9"/>
    <w:rsid w:val="64E903EA"/>
    <w:rsid w:val="64F19E79"/>
    <w:rsid w:val="64F5F926"/>
    <w:rsid w:val="64F78B10"/>
    <w:rsid w:val="64FE6A5C"/>
    <w:rsid w:val="64FF1A7D"/>
    <w:rsid w:val="650272DA"/>
    <w:rsid w:val="650BE8E3"/>
    <w:rsid w:val="650EBEC7"/>
    <w:rsid w:val="6526C2B7"/>
    <w:rsid w:val="652E9B2C"/>
    <w:rsid w:val="65333CCB"/>
    <w:rsid w:val="6535EB19"/>
    <w:rsid w:val="653957B3"/>
    <w:rsid w:val="653B291F"/>
    <w:rsid w:val="653DBC31"/>
    <w:rsid w:val="653FC9EF"/>
    <w:rsid w:val="65429D5B"/>
    <w:rsid w:val="6545CF4A"/>
    <w:rsid w:val="654B6EBF"/>
    <w:rsid w:val="654CAFFD"/>
    <w:rsid w:val="65535E0D"/>
    <w:rsid w:val="655455F3"/>
    <w:rsid w:val="655764FE"/>
    <w:rsid w:val="655B1B5E"/>
    <w:rsid w:val="655C9E09"/>
    <w:rsid w:val="655CE470"/>
    <w:rsid w:val="655E541B"/>
    <w:rsid w:val="655EB40E"/>
    <w:rsid w:val="6560DB09"/>
    <w:rsid w:val="6561D4FD"/>
    <w:rsid w:val="65648911"/>
    <w:rsid w:val="6566A4E0"/>
    <w:rsid w:val="656C52A6"/>
    <w:rsid w:val="65719712"/>
    <w:rsid w:val="657504C0"/>
    <w:rsid w:val="657EDD2E"/>
    <w:rsid w:val="657F0AD5"/>
    <w:rsid w:val="657F0D82"/>
    <w:rsid w:val="65809F37"/>
    <w:rsid w:val="6587631C"/>
    <w:rsid w:val="658C495C"/>
    <w:rsid w:val="6593F25A"/>
    <w:rsid w:val="659623C9"/>
    <w:rsid w:val="659A4AF6"/>
    <w:rsid w:val="659BC57A"/>
    <w:rsid w:val="65A45C2D"/>
    <w:rsid w:val="65A9C1FF"/>
    <w:rsid w:val="65ADB7C5"/>
    <w:rsid w:val="65B0931A"/>
    <w:rsid w:val="65BAFE88"/>
    <w:rsid w:val="65C072EC"/>
    <w:rsid w:val="65CAC2FB"/>
    <w:rsid w:val="65CBB0FC"/>
    <w:rsid w:val="65D7465C"/>
    <w:rsid w:val="65DC3739"/>
    <w:rsid w:val="65E6E004"/>
    <w:rsid w:val="65E7D766"/>
    <w:rsid w:val="65E8CD67"/>
    <w:rsid w:val="65F895A2"/>
    <w:rsid w:val="65FAA28B"/>
    <w:rsid w:val="65FFAC17"/>
    <w:rsid w:val="660288A2"/>
    <w:rsid w:val="66030624"/>
    <w:rsid w:val="660A54FA"/>
    <w:rsid w:val="6614CB00"/>
    <w:rsid w:val="661A25A7"/>
    <w:rsid w:val="661FF8CD"/>
    <w:rsid w:val="662124A9"/>
    <w:rsid w:val="6628A5C8"/>
    <w:rsid w:val="6628C80F"/>
    <w:rsid w:val="662DE757"/>
    <w:rsid w:val="662FEEA8"/>
    <w:rsid w:val="663373CF"/>
    <w:rsid w:val="6636FC53"/>
    <w:rsid w:val="663990F6"/>
    <w:rsid w:val="663A5D4A"/>
    <w:rsid w:val="663EE3D8"/>
    <w:rsid w:val="663EFB11"/>
    <w:rsid w:val="6640E8A9"/>
    <w:rsid w:val="6645114C"/>
    <w:rsid w:val="664EADF3"/>
    <w:rsid w:val="664F4BCC"/>
    <w:rsid w:val="6658C5DB"/>
    <w:rsid w:val="665BD060"/>
    <w:rsid w:val="665D69A9"/>
    <w:rsid w:val="666478FF"/>
    <w:rsid w:val="666512D3"/>
    <w:rsid w:val="6675B4BD"/>
    <w:rsid w:val="667B9E56"/>
    <w:rsid w:val="66887D89"/>
    <w:rsid w:val="6689F791"/>
    <w:rsid w:val="668CAD1F"/>
    <w:rsid w:val="66920DD8"/>
    <w:rsid w:val="6693D899"/>
    <w:rsid w:val="669B4F94"/>
    <w:rsid w:val="669E4F18"/>
    <w:rsid w:val="66A9A32A"/>
    <w:rsid w:val="66B25EF1"/>
    <w:rsid w:val="66B59D1A"/>
    <w:rsid w:val="66B8676E"/>
    <w:rsid w:val="66C39C19"/>
    <w:rsid w:val="66C8746F"/>
    <w:rsid w:val="66CC8277"/>
    <w:rsid w:val="66CDED9A"/>
    <w:rsid w:val="66D0BADD"/>
    <w:rsid w:val="66D8B083"/>
    <w:rsid w:val="66DCA7BC"/>
    <w:rsid w:val="66DCAB19"/>
    <w:rsid w:val="66E6FBF5"/>
    <w:rsid w:val="66E8F1A2"/>
    <w:rsid w:val="66EA15EB"/>
    <w:rsid w:val="66EEFBF2"/>
    <w:rsid w:val="66F05BD6"/>
    <w:rsid w:val="66FAB4C4"/>
    <w:rsid w:val="66FBAB4C"/>
    <w:rsid w:val="66FC6E62"/>
    <w:rsid w:val="66FCCBC6"/>
    <w:rsid w:val="67030756"/>
    <w:rsid w:val="67133210"/>
    <w:rsid w:val="67191C92"/>
    <w:rsid w:val="671BEA06"/>
    <w:rsid w:val="672C919B"/>
    <w:rsid w:val="672DAE2D"/>
    <w:rsid w:val="672F7AB7"/>
    <w:rsid w:val="67337B24"/>
    <w:rsid w:val="6736039F"/>
    <w:rsid w:val="6737C07D"/>
    <w:rsid w:val="673A1600"/>
    <w:rsid w:val="674307AF"/>
    <w:rsid w:val="67440378"/>
    <w:rsid w:val="674C8AFA"/>
    <w:rsid w:val="67581A88"/>
    <w:rsid w:val="675DCB14"/>
    <w:rsid w:val="676155A0"/>
    <w:rsid w:val="676263EF"/>
    <w:rsid w:val="676337EB"/>
    <w:rsid w:val="6764F243"/>
    <w:rsid w:val="676527F6"/>
    <w:rsid w:val="676F2F27"/>
    <w:rsid w:val="676F414F"/>
    <w:rsid w:val="6770F99B"/>
    <w:rsid w:val="6778398C"/>
    <w:rsid w:val="677D88B1"/>
    <w:rsid w:val="677F6DBE"/>
    <w:rsid w:val="6780EECA"/>
    <w:rsid w:val="678EBE9B"/>
    <w:rsid w:val="67992ECC"/>
    <w:rsid w:val="679E665E"/>
    <w:rsid w:val="679F0695"/>
    <w:rsid w:val="67A1B251"/>
    <w:rsid w:val="67A3F107"/>
    <w:rsid w:val="67AA089F"/>
    <w:rsid w:val="67ABCBC3"/>
    <w:rsid w:val="67ABD33A"/>
    <w:rsid w:val="67AC9C24"/>
    <w:rsid w:val="67AEDF97"/>
    <w:rsid w:val="67AF70C3"/>
    <w:rsid w:val="67AFD727"/>
    <w:rsid w:val="67B8E2D1"/>
    <w:rsid w:val="67BB1BE1"/>
    <w:rsid w:val="67BF0E4F"/>
    <w:rsid w:val="67C9B223"/>
    <w:rsid w:val="67CD5E91"/>
    <w:rsid w:val="67CF6F0E"/>
    <w:rsid w:val="67D425D0"/>
    <w:rsid w:val="67D55AE9"/>
    <w:rsid w:val="67D72335"/>
    <w:rsid w:val="67DDB481"/>
    <w:rsid w:val="67DE3C98"/>
    <w:rsid w:val="67DE8D5E"/>
    <w:rsid w:val="67DEF496"/>
    <w:rsid w:val="67DF86D5"/>
    <w:rsid w:val="67E04836"/>
    <w:rsid w:val="67E59974"/>
    <w:rsid w:val="67E919DC"/>
    <w:rsid w:val="67F3A206"/>
    <w:rsid w:val="67F509F4"/>
    <w:rsid w:val="67FE9044"/>
    <w:rsid w:val="67FF8B06"/>
    <w:rsid w:val="68041585"/>
    <w:rsid w:val="68047C62"/>
    <w:rsid w:val="6806A4D3"/>
    <w:rsid w:val="68072604"/>
    <w:rsid w:val="68085A0A"/>
    <w:rsid w:val="68089990"/>
    <w:rsid w:val="6809883B"/>
    <w:rsid w:val="680BB334"/>
    <w:rsid w:val="68101C4F"/>
    <w:rsid w:val="6815420E"/>
    <w:rsid w:val="6818BBBA"/>
    <w:rsid w:val="682100E7"/>
    <w:rsid w:val="6821EFCF"/>
    <w:rsid w:val="682279E4"/>
    <w:rsid w:val="68233CAF"/>
    <w:rsid w:val="6823EFFB"/>
    <w:rsid w:val="68267625"/>
    <w:rsid w:val="682DBDE9"/>
    <w:rsid w:val="682FD877"/>
    <w:rsid w:val="6830B3B0"/>
    <w:rsid w:val="68375C3A"/>
    <w:rsid w:val="68388062"/>
    <w:rsid w:val="683A5F5C"/>
    <w:rsid w:val="683AB924"/>
    <w:rsid w:val="683B677C"/>
    <w:rsid w:val="6842BA2B"/>
    <w:rsid w:val="6843B6B3"/>
    <w:rsid w:val="684414EB"/>
    <w:rsid w:val="68451E19"/>
    <w:rsid w:val="6846C492"/>
    <w:rsid w:val="685533EC"/>
    <w:rsid w:val="6858C630"/>
    <w:rsid w:val="6858D2FA"/>
    <w:rsid w:val="6859C571"/>
    <w:rsid w:val="685B6770"/>
    <w:rsid w:val="685BFF9C"/>
    <w:rsid w:val="6860339A"/>
    <w:rsid w:val="68682EBB"/>
    <w:rsid w:val="6868BAD1"/>
    <w:rsid w:val="68692647"/>
    <w:rsid w:val="686E5E15"/>
    <w:rsid w:val="6877A399"/>
    <w:rsid w:val="68798C23"/>
    <w:rsid w:val="687AD33B"/>
    <w:rsid w:val="687E2C37"/>
    <w:rsid w:val="687F36F7"/>
    <w:rsid w:val="687FC9A6"/>
    <w:rsid w:val="6888BE73"/>
    <w:rsid w:val="688D3F8D"/>
    <w:rsid w:val="68963940"/>
    <w:rsid w:val="689EB56D"/>
    <w:rsid w:val="68A0EC13"/>
    <w:rsid w:val="68A1CADF"/>
    <w:rsid w:val="68A3B462"/>
    <w:rsid w:val="68A45F39"/>
    <w:rsid w:val="68BB3CEF"/>
    <w:rsid w:val="68BE4290"/>
    <w:rsid w:val="68C0BEF9"/>
    <w:rsid w:val="68C44E69"/>
    <w:rsid w:val="68C6C1E1"/>
    <w:rsid w:val="68C7D1A0"/>
    <w:rsid w:val="68C86E9E"/>
    <w:rsid w:val="68CB1793"/>
    <w:rsid w:val="68CB2A26"/>
    <w:rsid w:val="68CC003D"/>
    <w:rsid w:val="68D1A878"/>
    <w:rsid w:val="68D2A4BB"/>
    <w:rsid w:val="68DA1517"/>
    <w:rsid w:val="68EE5A62"/>
    <w:rsid w:val="68F01772"/>
    <w:rsid w:val="68F7C1AE"/>
    <w:rsid w:val="68FC1FA3"/>
    <w:rsid w:val="68FDC015"/>
    <w:rsid w:val="690410C6"/>
    <w:rsid w:val="69047707"/>
    <w:rsid w:val="6908B31B"/>
    <w:rsid w:val="6912B154"/>
    <w:rsid w:val="6912C6D2"/>
    <w:rsid w:val="69132224"/>
    <w:rsid w:val="691EAA74"/>
    <w:rsid w:val="691F18FA"/>
    <w:rsid w:val="691FAAD8"/>
    <w:rsid w:val="692027A8"/>
    <w:rsid w:val="69275B72"/>
    <w:rsid w:val="6927B6E4"/>
    <w:rsid w:val="692C1B6D"/>
    <w:rsid w:val="692DD348"/>
    <w:rsid w:val="693BDD27"/>
    <w:rsid w:val="694983EB"/>
    <w:rsid w:val="69499429"/>
    <w:rsid w:val="694B6858"/>
    <w:rsid w:val="695146CE"/>
    <w:rsid w:val="6956681F"/>
    <w:rsid w:val="6957596C"/>
    <w:rsid w:val="6957872F"/>
    <w:rsid w:val="695FA478"/>
    <w:rsid w:val="696B3BD6"/>
    <w:rsid w:val="6974E4D3"/>
    <w:rsid w:val="697BA966"/>
    <w:rsid w:val="697FE223"/>
    <w:rsid w:val="69896729"/>
    <w:rsid w:val="698FA957"/>
    <w:rsid w:val="69986063"/>
    <w:rsid w:val="699CC728"/>
    <w:rsid w:val="699D95A3"/>
    <w:rsid w:val="69A2AF1C"/>
    <w:rsid w:val="69A3C6E0"/>
    <w:rsid w:val="69AA304B"/>
    <w:rsid w:val="69AA9545"/>
    <w:rsid w:val="69AD4CE6"/>
    <w:rsid w:val="69B28048"/>
    <w:rsid w:val="69B32CAC"/>
    <w:rsid w:val="69BB8290"/>
    <w:rsid w:val="69C4C293"/>
    <w:rsid w:val="69C7FC85"/>
    <w:rsid w:val="69C85F3F"/>
    <w:rsid w:val="69CA408D"/>
    <w:rsid w:val="69CD73D7"/>
    <w:rsid w:val="69D437E5"/>
    <w:rsid w:val="69D54329"/>
    <w:rsid w:val="69D5FA50"/>
    <w:rsid w:val="69D64322"/>
    <w:rsid w:val="69D76F5B"/>
    <w:rsid w:val="69DB8986"/>
    <w:rsid w:val="69DFB955"/>
    <w:rsid w:val="69E070BD"/>
    <w:rsid w:val="69E130D2"/>
    <w:rsid w:val="69E16A4B"/>
    <w:rsid w:val="69E2FBE0"/>
    <w:rsid w:val="69E3C478"/>
    <w:rsid w:val="69E9FF35"/>
    <w:rsid w:val="69F955A0"/>
    <w:rsid w:val="69FBFD28"/>
    <w:rsid w:val="6A0324F0"/>
    <w:rsid w:val="6A0E4F2F"/>
    <w:rsid w:val="6A131DF1"/>
    <w:rsid w:val="6A19153A"/>
    <w:rsid w:val="6A1B980B"/>
    <w:rsid w:val="6A1BB21B"/>
    <w:rsid w:val="6A1D0D46"/>
    <w:rsid w:val="6A1FE61F"/>
    <w:rsid w:val="6A2073D4"/>
    <w:rsid w:val="6A20A555"/>
    <w:rsid w:val="6A232620"/>
    <w:rsid w:val="6A23A33F"/>
    <w:rsid w:val="6A26876B"/>
    <w:rsid w:val="6A29E755"/>
    <w:rsid w:val="6A2C8649"/>
    <w:rsid w:val="6A30A57E"/>
    <w:rsid w:val="6A312C6D"/>
    <w:rsid w:val="6A33EBE0"/>
    <w:rsid w:val="6A38C106"/>
    <w:rsid w:val="6A39731A"/>
    <w:rsid w:val="6A3B4D2C"/>
    <w:rsid w:val="6A3BCF14"/>
    <w:rsid w:val="6A3BDCF1"/>
    <w:rsid w:val="6A3D4B52"/>
    <w:rsid w:val="6A4069C7"/>
    <w:rsid w:val="6A449AC1"/>
    <w:rsid w:val="6A457EEA"/>
    <w:rsid w:val="6A459A36"/>
    <w:rsid w:val="6A46BDED"/>
    <w:rsid w:val="6A5221B2"/>
    <w:rsid w:val="6A5226F8"/>
    <w:rsid w:val="6A546EBD"/>
    <w:rsid w:val="6A55AA5C"/>
    <w:rsid w:val="6A5A9C87"/>
    <w:rsid w:val="6A5CAAB6"/>
    <w:rsid w:val="6A5D11BE"/>
    <w:rsid w:val="6A616C1C"/>
    <w:rsid w:val="6A625B05"/>
    <w:rsid w:val="6A64C623"/>
    <w:rsid w:val="6A65018E"/>
    <w:rsid w:val="6A735185"/>
    <w:rsid w:val="6A756698"/>
    <w:rsid w:val="6A7EB9E9"/>
    <w:rsid w:val="6A80B778"/>
    <w:rsid w:val="6A82205F"/>
    <w:rsid w:val="6A87F3C4"/>
    <w:rsid w:val="6A892BE2"/>
    <w:rsid w:val="6A8B0B09"/>
    <w:rsid w:val="6A8CF178"/>
    <w:rsid w:val="6A9181EE"/>
    <w:rsid w:val="6A9EF06C"/>
    <w:rsid w:val="6AA0ABCE"/>
    <w:rsid w:val="6AA1BC31"/>
    <w:rsid w:val="6AA478CA"/>
    <w:rsid w:val="6AA4D902"/>
    <w:rsid w:val="6AAACF21"/>
    <w:rsid w:val="6AAC1FBD"/>
    <w:rsid w:val="6AB02837"/>
    <w:rsid w:val="6AB93543"/>
    <w:rsid w:val="6ABBA42A"/>
    <w:rsid w:val="6ABC7E32"/>
    <w:rsid w:val="6ABF5628"/>
    <w:rsid w:val="6AC2AC03"/>
    <w:rsid w:val="6AC52CCF"/>
    <w:rsid w:val="6ACB29F1"/>
    <w:rsid w:val="6AD0A5CA"/>
    <w:rsid w:val="6AD213BF"/>
    <w:rsid w:val="6AD3C4E4"/>
    <w:rsid w:val="6AD57EAD"/>
    <w:rsid w:val="6AD74B3D"/>
    <w:rsid w:val="6AD8251B"/>
    <w:rsid w:val="6ADA62FE"/>
    <w:rsid w:val="6ADF81A2"/>
    <w:rsid w:val="6AE2B976"/>
    <w:rsid w:val="6AE6E7B0"/>
    <w:rsid w:val="6AEF5F5D"/>
    <w:rsid w:val="6AF2B78E"/>
    <w:rsid w:val="6AF4B890"/>
    <w:rsid w:val="6AF50217"/>
    <w:rsid w:val="6AF84EFC"/>
    <w:rsid w:val="6AF9704C"/>
    <w:rsid w:val="6AFA3A70"/>
    <w:rsid w:val="6AFCFC6D"/>
    <w:rsid w:val="6B088B6D"/>
    <w:rsid w:val="6B0B0EDE"/>
    <w:rsid w:val="6B12D4AF"/>
    <w:rsid w:val="6B1A106B"/>
    <w:rsid w:val="6B1A4987"/>
    <w:rsid w:val="6B1C9AB9"/>
    <w:rsid w:val="6B1E1F46"/>
    <w:rsid w:val="6B1FE4D3"/>
    <w:rsid w:val="6B24A48F"/>
    <w:rsid w:val="6B2544DE"/>
    <w:rsid w:val="6B317695"/>
    <w:rsid w:val="6B37B66B"/>
    <w:rsid w:val="6B387644"/>
    <w:rsid w:val="6B4391B3"/>
    <w:rsid w:val="6B4A53CC"/>
    <w:rsid w:val="6B4B0076"/>
    <w:rsid w:val="6B4BDCCB"/>
    <w:rsid w:val="6B4D3C33"/>
    <w:rsid w:val="6B4D5DA7"/>
    <w:rsid w:val="6B51D577"/>
    <w:rsid w:val="6B537075"/>
    <w:rsid w:val="6B573042"/>
    <w:rsid w:val="6B5CB6D5"/>
    <w:rsid w:val="6B5F4FAE"/>
    <w:rsid w:val="6B61DEFB"/>
    <w:rsid w:val="6B66BA6D"/>
    <w:rsid w:val="6B68A5CC"/>
    <w:rsid w:val="6B7FF5A9"/>
    <w:rsid w:val="6B822FDC"/>
    <w:rsid w:val="6B82B165"/>
    <w:rsid w:val="6B836108"/>
    <w:rsid w:val="6B8DD983"/>
    <w:rsid w:val="6B935E30"/>
    <w:rsid w:val="6B943C2A"/>
    <w:rsid w:val="6B94FCE5"/>
    <w:rsid w:val="6B986AC8"/>
    <w:rsid w:val="6B9D8F95"/>
    <w:rsid w:val="6BA1751C"/>
    <w:rsid w:val="6BA248E4"/>
    <w:rsid w:val="6BA35294"/>
    <w:rsid w:val="6BA693BF"/>
    <w:rsid w:val="6BA7DEE2"/>
    <w:rsid w:val="6BB404ED"/>
    <w:rsid w:val="6BB665A5"/>
    <w:rsid w:val="6BB8D187"/>
    <w:rsid w:val="6BBAF8C4"/>
    <w:rsid w:val="6BC91D37"/>
    <w:rsid w:val="6BD02C13"/>
    <w:rsid w:val="6BD14A91"/>
    <w:rsid w:val="6BD22522"/>
    <w:rsid w:val="6BD48699"/>
    <w:rsid w:val="6BE06BC0"/>
    <w:rsid w:val="6BE1CBAB"/>
    <w:rsid w:val="6BE317F6"/>
    <w:rsid w:val="6BE3EC61"/>
    <w:rsid w:val="6BE6437F"/>
    <w:rsid w:val="6BEA26D2"/>
    <w:rsid w:val="6BEA3B61"/>
    <w:rsid w:val="6BEEA201"/>
    <w:rsid w:val="6BF099E2"/>
    <w:rsid w:val="6BF0DAE2"/>
    <w:rsid w:val="6BF67161"/>
    <w:rsid w:val="6BF74EB5"/>
    <w:rsid w:val="6BF99C4F"/>
    <w:rsid w:val="6C043FAA"/>
    <w:rsid w:val="6C07144B"/>
    <w:rsid w:val="6C0B7AE3"/>
    <w:rsid w:val="6C14ECCA"/>
    <w:rsid w:val="6C155BCB"/>
    <w:rsid w:val="6C1BC9E4"/>
    <w:rsid w:val="6C215E09"/>
    <w:rsid w:val="6C222D36"/>
    <w:rsid w:val="6C224061"/>
    <w:rsid w:val="6C23555A"/>
    <w:rsid w:val="6C2B4373"/>
    <w:rsid w:val="6C2C92FB"/>
    <w:rsid w:val="6C37123E"/>
    <w:rsid w:val="6C48588B"/>
    <w:rsid w:val="6C4A956F"/>
    <w:rsid w:val="6C4DBDB1"/>
    <w:rsid w:val="6C4EAD33"/>
    <w:rsid w:val="6C5390B9"/>
    <w:rsid w:val="6C5ED81B"/>
    <w:rsid w:val="6C623ECC"/>
    <w:rsid w:val="6C63B872"/>
    <w:rsid w:val="6C6C92D1"/>
    <w:rsid w:val="6C6E467B"/>
    <w:rsid w:val="6C7D36A9"/>
    <w:rsid w:val="6C7E5AB6"/>
    <w:rsid w:val="6C88B3CA"/>
    <w:rsid w:val="6C896A42"/>
    <w:rsid w:val="6C90640D"/>
    <w:rsid w:val="6C939F95"/>
    <w:rsid w:val="6C965C18"/>
    <w:rsid w:val="6CA209C6"/>
    <w:rsid w:val="6CA4AE8B"/>
    <w:rsid w:val="6CAE62ED"/>
    <w:rsid w:val="6CAF3E9B"/>
    <w:rsid w:val="6CB0DD08"/>
    <w:rsid w:val="6CB10E4B"/>
    <w:rsid w:val="6CB66BBA"/>
    <w:rsid w:val="6CBD7171"/>
    <w:rsid w:val="6CC0F678"/>
    <w:rsid w:val="6CC5AC47"/>
    <w:rsid w:val="6CC5F224"/>
    <w:rsid w:val="6CCDB872"/>
    <w:rsid w:val="6CD43AEB"/>
    <w:rsid w:val="6CD94DE8"/>
    <w:rsid w:val="6CDA50E1"/>
    <w:rsid w:val="6CDEC47F"/>
    <w:rsid w:val="6CDF30F2"/>
    <w:rsid w:val="6CE8626A"/>
    <w:rsid w:val="6CE9A704"/>
    <w:rsid w:val="6CF38045"/>
    <w:rsid w:val="6CF3CB2D"/>
    <w:rsid w:val="6CF4B2BF"/>
    <w:rsid w:val="6CF4E657"/>
    <w:rsid w:val="6CF57581"/>
    <w:rsid w:val="6CF822B7"/>
    <w:rsid w:val="6D029931"/>
    <w:rsid w:val="6D0D28FF"/>
    <w:rsid w:val="6D11A1AB"/>
    <w:rsid w:val="6D15D4E1"/>
    <w:rsid w:val="6D1D7DF6"/>
    <w:rsid w:val="6D27E443"/>
    <w:rsid w:val="6D292A83"/>
    <w:rsid w:val="6D297D8E"/>
    <w:rsid w:val="6D2C6033"/>
    <w:rsid w:val="6D36A7EA"/>
    <w:rsid w:val="6D385E2B"/>
    <w:rsid w:val="6D39906E"/>
    <w:rsid w:val="6D4014FD"/>
    <w:rsid w:val="6D407795"/>
    <w:rsid w:val="6D427E9B"/>
    <w:rsid w:val="6D44C79D"/>
    <w:rsid w:val="6D46F9DA"/>
    <w:rsid w:val="6D4EE377"/>
    <w:rsid w:val="6D5010CD"/>
    <w:rsid w:val="6D592D3B"/>
    <w:rsid w:val="6D59E0A6"/>
    <w:rsid w:val="6D5EBCB2"/>
    <w:rsid w:val="6D5FEA7D"/>
    <w:rsid w:val="6D6AA0DD"/>
    <w:rsid w:val="6D6BE79E"/>
    <w:rsid w:val="6D7AFBBD"/>
    <w:rsid w:val="6D847B56"/>
    <w:rsid w:val="6D889234"/>
    <w:rsid w:val="6D898D4E"/>
    <w:rsid w:val="6D8A395F"/>
    <w:rsid w:val="6D8EBFBF"/>
    <w:rsid w:val="6D9852D0"/>
    <w:rsid w:val="6D9C3657"/>
    <w:rsid w:val="6DA56FF7"/>
    <w:rsid w:val="6DA88068"/>
    <w:rsid w:val="6DA92978"/>
    <w:rsid w:val="6DB42600"/>
    <w:rsid w:val="6DBF7AB9"/>
    <w:rsid w:val="6DC04D49"/>
    <w:rsid w:val="6DC0A6AF"/>
    <w:rsid w:val="6DC178A3"/>
    <w:rsid w:val="6DC1DDB6"/>
    <w:rsid w:val="6DC321B5"/>
    <w:rsid w:val="6DC39D08"/>
    <w:rsid w:val="6DCA031C"/>
    <w:rsid w:val="6DD0B0A6"/>
    <w:rsid w:val="6DD1CAD4"/>
    <w:rsid w:val="6DD8667C"/>
    <w:rsid w:val="6DDD7EAE"/>
    <w:rsid w:val="6DE37652"/>
    <w:rsid w:val="6DE3D104"/>
    <w:rsid w:val="6DE6B0AB"/>
    <w:rsid w:val="6DEDA533"/>
    <w:rsid w:val="6DEE723D"/>
    <w:rsid w:val="6DF03765"/>
    <w:rsid w:val="6DF28944"/>
    <w:rsid w:val="6DF49AB3"/>
    <w:rsid w:val="6DF49B1B"/>
    <w:rsid w:val="6DF4A6C9"/>
    <w:rsid w:val="6DF4F16A"/>
    <w:rsid w:val="6DF53971"/>
    <w:rsid w:val="6DF6B555"/>
    <w:rsid w:val="6DFC2B47"/>
    <w:rsid w:val="6DFC2E32"/>
    <w:rsid w:val="6DFEC744"/>
    <w:rsid w:val="6E0291AD"/>
    <w:rsid w:val="6E0AE92D"/>
    <w:rsid w:val="6E0CCAA9"/>
    <w:rsid w:val="6E10AA99"/>
    <w:rsid w:val="6E12A73E"/>
    <w:rsid w:val="6E14B491"/>
    <w:rsid w:val="6E18B3D4"/>
    <w:rsid w:val="6E256EDB"/>
    <w:rsid w:val="6E26F026"/>
    <w:rsid w:val="6E291FE5"/>
    <w:rsid w:val="6E302859"/>
    <w:rsid w:val="6E3317DA"/>
    <w:rsid w:val="6E334F67"/>
    <w:rsid w:val="6E3D5623"/>
    <w:rsid w:val="6E42833D"/>
    <w:rsid w:val="6E4517FA"/>
    <w:rsid w:val="6E49E00F"/>
    <w:rsid w:val="6E4E2C7B"/>
    <w:rsid w:val="6E50ABC7"/>
    <w:rsid w:val="6E50BD36"/>
    <w:rsid w:val="6E53950C"/>
    <w:rsid w:val="6E571157"/>
    <w:rsid w:val="6E584748"/>
    <w:rsid w:val="6E65587F"/>
    <w:rsid w:val="6E65D482"/>
    <w:rsid w:val="6E6A06E6"/>
    <w:rsid w:val="6E6CB830"/>
    <w:rsid w:val="6E712D17"/>
    <w:rsid w:val="6E74E139"/>
    <w:rsid w:val="6E77DED2"/>
    <w:rsid w:val="6E7D951C"/>
    <w:rsid w:val="6E80321C"/>
    <w:rsid w:val="6E80D9EC"/>
    <w:rsid w:val="6E82548E"/>
    <w:rsid w:val="6E87023E"/>
    <w:rsid w:val="6E88DA1A"/>
    <w:rsid w:val="6E8B99A5"/>
    <w:rsid w:val="6E904897"/>
    <w:rsid w:val="6E93AD5F"/>
    <w:rsid w:val="6E94252B"/>
    <w:rsid w:val="6E9EE49C"/>
    <w:rsid w:val="6EA5DFA6"/>
    <w:rsid w:val="6EA63EE7"/>
    <w:rsid w:val="6EA75198"/>
    <w:rsid w:val="6EAD2942"/>
    <w:rsid w:val="6EAF7EF6"/>
    <w:rsid w:val="6EB9EB52"/>
    <w:rsid w:val="6EBF2CEB"/>
    <w:rsid w:val="6EC132D8"/>
    <w:rsid w:val="6ECAC343"/>
    <w:rsid w:val="6ED17F13"/>
    <w:rsid w:val="6ED231F9"/>
    <w:rsid w:val="6ED81B22"/>
    <w:rsid w:val="6ED87A3F"/>
    <w:rsid w:val="6EDA35DB"/>
    <w:rsid w:val="6EE246ED"/>
    <w:rsid w:val="6EE57D5F"/>
    <w:rsid w:val="6EEB4560"/>
    <w:rsid w:val="6EF28CE9"/>
    <w:rsid w:val="6EFB5B73"/>
    <w:rsid w:val="6F041535"/>
    <w:rsid w:val="6F0B8296"/>
    <w:rsid w:val="6F12E5E4"/>
    <w:rsid w:val="6F15BAE9"/>
    <w:rsid w:val="6F17E025"/>
    <w:rsid w:val="6F1CB1EA"/>
    <w:rsid w:val="6F1F653C"/>
    <w:rsid w:val="6F2903B7"/>
    <w:rsid w:val="6F3428B7"/>
    <w:rsid w:val="6F36A9FE"/>
    <w:rsid w:val="6F3ACAE4"/>
    <w:rsid w:val="6F45BE62"/>
    <w:rsid w:val="6F4660A6"/>
    <w:rsid w:val="6F475E08"/>
    <w:rsid w:val="6F49504B"/>
    <w:rsid w:val="6F4BDBF8"/>
    <w:rsid w:val="6F53379E"/>
    <w:rsid w:val="6F5595A7"/>
    <w:rsid w:val="6F56DA8A"/>
    <w:rsid w:val="6F6020C1"/>
    <w:rsid w:val="6F6231E6"/>
    <w:rsid w:val="6F67DA0E"/>
    <w:rsid w:val="6F6FCCE1"/>
    <w:rsid w:val="6F7113E6"/>
    <w:rsid w:val="6F71EFBB"/>
    <w:rsid w:val="6F71F835"/>
    <w:rsid w:val="6F722392"/>
    <w:rsid w:val="6F72F65E"/>
    <w:rsid w:val="6F7346E5"/>
    <w:rsid w:val="6F7847D1"/>
    <w:rsid w:val="6F78B554"/>
    <w:rsid w:val="6F7BC732"/>
    <w:rsid w:val="6F7C627B"/>
    <w:rsid w:val="6F801027"/>
    <w:rsid w:val="6F813D2E"/>
    <w:rsid w:val="6F83E72F"/>
    <w:rsid w:val="6F887AA9"/>
    <w:rsid w:val="6F8B5833"/>
    <w:rsid w:val="6F9311FE"/>
    <w:rsid w:val="6F952EC3"/>
    <w:rsid w:val="6F95BFC9"/>
    <w:rsid w:val="6F99C185"/>
    <w:rsid w:val="6F9AAD43"/>
    <w:rsid w:val="6F9FC8C3"/>
    <w:rsid w:val="6FA03DF5"/>
    <w:rsid w:val="6FA49903"/>
    <w:rsid w:val="6FAF9683"/>
    <w:rsid w:val="6FB03F05"/>
    <w:rsid w:val="6FB23C42"/>
    <w:rsid w:val="6FB516A5"/>
    <w:rsid w:val="6FB5E1CA"/>
    <w:rsid w:val="6FB6FC8D"/>
    <w:rsid w:val="6FB83185"/>
    <w:rsid w:val="6FBCAE70"/>
    <w:rsid w:val="6FBCDF27"/>
    <w:rsid w:val="6FBF0560"/>
    <w:rsid w:val="6FC94C22"/>
    <w:rsid w:val="6FCE84FE"/>
    <w:rsid w:val="6FD816A0"/>
    <w:rsid w:val="6FDBFA37"/>
    <w:rsid w:val="6FDC70F2"/>
    <w:rsid w:val="6FDCDCE9"/>
    <w:rsid w:val="6FDCF12D"/>
    <w:rsid w:val="6FE11229"/>
    <w:rsid w:val="6FE4CE20"/>
    <w:rsid w:val="6FE8E354"/>
    <w:rsid w:val="6FEBD4BC"/>
    <w:rsid w:val="6FF50833"/>
    <w:rsid w:val="6FF55D71"/>
    <w:rsid w:val="6FFCAD63"/>
    <w:rsid w:val="6FFFF87E"/>
    <w:rsid w:val="70019848"/>
    <w:rsid w:val="7003C210"/>
    <w:rsid w:val="700AA42E"/>
    <w:rsid w:val="700C7D61"/>
    <w:rsid w:val="701405A9"/>
    <w:rsid w:val="7015519F"/>
    <w:rsid w:val="7015642A"/>
    <w:rsid w:val="701EF2DE"/>
    <w:rsid w:val="701FDFE0"/>
    <w:rsid w:val="70256897"/>
    <w:rsid w:val="70272AFF"/>
    <w:rsid w:val="7027377B"/>
    <w:rsid w:val="70285A8B"/>
    <w:rsid w:val="7029A078"/>
    <w:rsid w:val="702B1F1E"/>
    <w:rsid w:val="702BB661"/>
    <w:rsid w:val="7031177C"/>
    <w:rsid w:val="70329E00"/>
    <w:rsid w:val="703E7B9E"/>
    <w:rsid w:val="703EEBFE"/>
    <w:rsid w:val="7049E31B"/>
    <w:rsid w:val="7051306B"/>
    <w:rsid w:val="7053126C"/>
    <w:rsid w:val="705725C3"/>
    <w:rsid w:val="70573176"/>
    <w:rsid w:val="7058AFCB"/>
    <w:rsid w:val="7068F643"/>
    <w:rsid w:val="706D2E23"/>
    <w:rsid w:val="706E577B"/>
    <w:rsid w:val="70779624"/>
    <w:rsid w:val="70784CDD"/>
    <w:rsid w:val="707D6AC9"/>
    <w:rsid w:val="707E7099"/>
    <w:rsid w:val="70803769"/>
    <w:rsid w:val="70831DBC"/>
    <w:rsid w:val="70864F57"/>
    <w:rsid w:val="7089AE6A"/>
    <w:rsid w:val="708C6FF4"/>
    <w:rsid w:val="709046EB"/>
    <w:rsid w:val="709113EB"/>
    <w:rsid w:val="70977589"/>
    <w:rsid w:val="70998334"/>
    <w:rsid w:val="709A63E5"/>
    <w:rsid w:val="709AFE14"/>
    <w:rsid w:val="70A2A7F4"/>
    <w:rsid w:val="70A2C762"/>
    <w:rsid w:val="70A35418"/>
    <w:rsid w:val="70A8CCCB"/>
    <w:rsid w:val="70A9B60E"/>
    <w:rsid w:val="70B342F9"/>
    <w:rsid w:val="70B3E40C"/>
    <w:rsid w:val="70B42648"/>
    <w:rsid w:val="70B5CE09"/>
    <w:rsid w:val="70B6F651"/>
    <w:rsid w:val="70B9EAF4"/>
    <w:rsid w:val="70BC9F02"/>
    <w:rsid w:val="70BDCC2B"/>
    <w:rsid w:val="70BF3938"/>
    <w:rsid w:val="70C176D4"/>
    <w:rsid w:val="70C5D009"/>
    <w:rsid w:val="70DD4768"/>
    <w:rsid w:val="70E1EFF2"/>
    <w:rsid w:val="70E6EB68"/>
    <w:rsid w:val="70EA699E"/>
    <w:rsid w:val="70F23EF4"/>
    <w:rsid w:val="70F251F9"/>
    <w:rsid w:val="70F2F614"/>
    <w:rsid w:val="70F806B9"/>
    <w:rsid w:val="70FAE3FF"/>
    <w:rsid w:val="7100BAA9"/>
    <w:rsid w:val="7101943D"/>
    <w:rsid w:val="710362B3"/>
    <w:rsid w:val="710830B5"/>
    <w:rsid w:val="711489C6"/>
    <w:rsid w:val="71181D0D"/>
    <w:rsid w:val="712934AB"/>
    <w:rsid w:val="713D96EB"/>
    <w:rsid w:val="71410CC3"/>
    <w:rsid w:val="71423412"/>
    <w:rsid w:val="71473DF9"/>
    <w:rsid w:val="714FB518"/>
    <w:rsid w:val="714FD047"/>
    <w:rsid w:val="71509F2C"/>
    <w:rsid w:val="71548534"/>
    <w:rsid w:val="71560C65"/>
    <w:rsid w:val="715AD9B4"/>
    <w:rsid w:val="7160F43A"/>
    <w:rsid w:val="7162BE9E"/>
    <w:rsid w:val="71663071"/>
    <w:rsid w:val="71671DC6"/>
    <w:rsid w:val="7167FB80"/>
    <w:rsid w:val="716EE7BF"/>
    <w:rsid w:val="716F4CCD"/>
    <w:rsid w:val="71717ED3"/>
    <w:rsid w:val="7172004A"/>
    <w:rsid w:val="7176CA2B"/>
    <w:rsid w:val="717AC729"/>
    <w:rsid w:val="7181662D"/>
    <w:rsid w:val="7183EB78"/>
    <w:rsid w:val="71906C22"/>
    <w:rsid w:val="71950781"/>
    <w:rsid w:val="719F8A16"/>
    <w:rsid w:val="71AEC6AD"/>
    <w:rsid w:val="71B33808"/>
    <w:rsid w:val="71B3F768"/>
    <w:rsid w:val="71B3F98B"/>
    <w:rsid w:val="71B4A398"/>
    <w:rsid w:val="71BFEADE"/>
    <w:rsid w:val="71C056F0"/>
    <w:rsid w:val="71C39FAC"/>
    <w:rsid w:val="71C65E02"/>
    <w:rsid w:val="71CC1C7E"/>
    <w:rsid w:val="71CE6D42"/>
    <w:rsid w:val="71D1788E"/>
    <w:rsid w:val="71D74D9C"/>
    <w:rsid w:val="71E356C9"/>
    <w:rsid w:val="71E6EBB7"/>
    <w:rsid w:val="71E7248C"/>
    <w:rsid w:val="71EA0D64"/>
    <w:rsid w:val="71EFFD5D"/>
    <w:rsid w:val="71F1EE64"/>
    <w:rsid w:val="71F84CE2"/>
    <w:rsid w:val="71FD36EB"/>
    <w:rsid w:val="71FE59E9"/>
    <w:rsid w:val="71FF4431"/>
    <w:rsid w:val="72002725"/>
    <w:rsid w:val="7201106E"/>
    <w:rsid w:val="720CAC1C"/>
    <w:rsid w:val="720CD609"/>
    <w:rsid w:val="720E2C41"/>
    <w:rsid w:val="7221FE8A"/>
    <w:rsid w:val="7225FE11"/>
    <w:rsid w:val="722A1B78"/>
    <w:rsid w:val="723EF1A3"/>
    <w:rsid w:val="7244933E"/>
    <w:rsid w:val="724EC7B1"/>
    <w:rsid w:val="725352AD"/>
    <w:rsid w:val="725B1B20"/>
    <w:rsid w:val="72627E23"/>
    <w:rsid w:val="72660EDE"/>
    <w:rsid w:val="7268A4FA"/>
    <w:rsid w:val="726A0BE7"/>
    <w:rsid w:val="726D69F4"/>
    <w:rsid w:val="72726958"/>
    <w:rsid w:val="7273EDEE"/>
    <w:rsid w:val="727E1647"/>
    <w:rsid w:val="7283789E"/>
    <w:rsid w:val="72863D9F"/>
    <w:rsid w:val="7289B811"/>
    <w:rsid w:val="728B5351"/>
    <w:rsid w:val="728D06D2"/>
    <w:rsid w:val="7293003B"/>
    <w:rsid w:val="7293427E"/>
    <w:rsid w:val="7296370E"/>
    <w:rsid w:val="729CC9EA"/>
    <w:rsid w:val="729F4A22"/>
    <w:rsid w:val="729FA815"/>
    <w:rsid w:val="72A32C0E"/>
    <w:rsid w:val="72A97A8A"/>
    <w:rsid w:val="72B607DE"/>
    <w:rsid w:val="72B8246C"/>
    <w:rsid w:val="72B86566"/>
    <w:rsid w:val="72B89140"/>
    <w:rsid w:val="72B9011C"/>
    <w:rsid w:val="72BE2A63"/>
    <w:rsid w:val="72C71B0D"/>
    <w:rsid w:val="72CC0B31"/>
    <w:rsid w:val="72CDBB94"/>
    <w:rsid w:val="72D465E1"/>
    <w:rsid w:val="72DC19B6"/>
    <w:rsid w:val="72DCDCCC"/>
    <w:rsid w:val="72E1E1FC"/>
    <w:rsid w:val="72E966A5"/>
    <w:rsid w:val="72F37618"/>
    <w:rsid w:val="72F7E8F7"/>
    <w:rsid w:val="72F973E9"/>
    <w:rsid w:val="72FC62A2"/>
    <w:rsid w:val="72FD0948"/>
    <w:rsid w:val="73081329"/>
    <w:rsid w:val="7311D043"/>
    <w:rsid w:val="73122209"/>
    <w:rsid w:val="73155DFE"/>
    <w:rsid w:val="7315A28B"/>
    <w:rsid w:val="7317E322"/>
    <w:rsid w:val="731AC751"/>
    <w:rsid w:val="731BABA1"/>
    <w:rsid w:val="731BFB1C"/>
    <w:rsid w:val="731EFF2D"/>
    <w:rsid w:val="7320E811"/>
    <w:rsid w:val="73215498"/>
    <w:rsid w:val="73243811"/>
    <w:rsid w:val="7325573F"/>
    <w:rsid w:val="73270F6C"/>
    <w:rsid w:val="73275094"/>
    <w:rsid w:val="732866E3"/>
    <w:rsid w:val="732D1177"/>
    <w:rsid w:val="732D3351"/>
    <w:rsid w:val="732D864E"/>
    <w:rsid w:val="732E634B"/>
    <w:rsid w:val="732EAFFF"/>
    <w:rsid w:val="7336C142"/>
    <w:rsid w:val="7338C233"/>
    <w:rsid w:val="7339478A"/>
    <w:rsid w:val="733C896A"/>
    <w:rsid w:val="73402E56"/>
    <w:rsid w:val="734031CE"/>
    <w:rsid w:val="73469A81"/>
    <w:rsid w:val="734DEBD1"/>
    <w:rsid w:val="73529909"/>
    <w:rsid w:val="73564300"/>
    <w:rsid w:val="735C9230"/>
    <w:rsid w:val="73612C77"/>
    <w:rsid w:val="7364A6DA"/>
    <w:rsid w:val="7368170E"/>
    <w:rsid w:val="7368B698"/>
    <w:rsid w:val="736E5592"/>
    <w:rsid w:val="736F75DB"/>
    <w:rsid w:val="73783D6F"/>
    <w:rsid w:val="7379FDDE"/>
    <w:rsid w:val="737D4D98"/>
    <w:rsid w:val="7380FADF"/>
    <w:rsid w:val="738377C5"/>
    <w:rsid w:val="73840EC4"/>
    <w:rsid w:val="7386DE18"/>
    <w:rsid w:val="73880D12"/>
    <w:rsid w:val="7393681C"/>
    <w:rsid w:val="73988A8F"/>
    <w:rsid w:val="73A17722"/>
    <w:rsid w:val="73A41DF4"/>
    <w:rsid w:val="73A8C581"/>
    <w:rsid w:val="73AA45A7"/>
    <w:rsid w:val="73ABF6B6"/>
    <w:rsid w:val="73AE3CD6"/>
    <w:rsid w:val="73AF0534"/>
    <w:rsid w:val="73B03506"/>
    <w:rsid w:val="73B0F6E7"/>
    <w:rsid w:val="73B6FB2F"/>
    <w:rsid w:val="73BC4EE8"/>
    <w:rsid w:val="73C413AA"/>
    <w:rsid w:val="73C55725"/>
    <w:rsid w:val="73C7FA6B"/>
    <w:rsid w:val="73C87F75"/>
    <w:rsid w:val="73D11855"/>
    <w:rsid w:val="73D13309"/>
    <w:rsid w:val="73D76265"/>
    <w:rsid w:val="73D8F241"/>
    <w:rsid w:val="73DBDBDA"/>
    <w:rsid w:val="73E1296D"/>
    <w:rsid w:val="73EC0C9C"/>
    <w:rsid w:val="73ED9EEA"/>
    <w:rsid w:val="73EF8A15"/>
    <w:rsid w:val="73F11501"/>
    <w:rsid w:val="73F248C7"/>
    <w:rsid w:val="73F3EE51"/>
    <w:rsid w:val="73F529AB"/>
    <w:rsid w:val="73F5504A"/>
    <w:rsid w:val="73F8CDB5"/>
    <w:rsid w:val="73FE0B30"/>
    <w:rsid w:val="73FEEDD7"/>
    <w:rsid w:val="74019B41"/>
    <w:rsid w:val="74090AFA"/>
    <w:rsid w:val="74111DD8"/>
    <w:rsid w:val="74127ECA"/>
    <w:rsid w:val="7417A2F3"/>
    <w:rsid w:val="741BEBB5"/>
    <w:rsid w:val="741D954B"/>
    <w:rsid w:val="741DEC55"/>
    <w:rsid w:val="741FE7CF"/>
    <w:rsid w:val="742177F6"/>
    <w:rsid w:val="742D4233"/>
    <w:rsid w:val="74302BE2"/>
    <w:rsid w:val="7431FA4E"/>
    <w:rsid w:val="7434C276"/>
    <w:rsid w:val="743709EE"/>
    <w:rsid w:val="7440BD73"/>
    <w:rsid w:val="744600FC"/>
    <w:rsid w:val="74479FC1"/>
    <w:rsid w:val="744BF9A9"/>
    <w:rsid w:val="745794C1"/>
    <w:rsid w:val="745F4738"/>
    <w:rsid w:val="7465745A"/>
    <w:rsid w:val="74717487"/>
    <w:rsid w:val="74724DFD"/>
    <w:rsid w:val="74728CDA"/>
    <w:rsid w:val="74739B8A"/>
    <w:rsid w:val="7473AFC1"/>
    <w:rsid w:val="7474825B"/>
    <w:rsid w:val="7478ED33"/>
    <w:rsid w:val="7481780E"/>
    <w:rsid w:val="748A317A"/>
    <w:rsid w:val="748B01EF"/>
    <w:rsid w:val="74901115"/>
    <w:rsid w:val="74915086"/>
    <w:rsid w:val="7495061A"/>
    <w:rsid w:val="749AD48F"/>
    <w:rsid w:val="749AEE3C"/>
    <w:rsid w:val="749DA33F"/>
    <w:rsid w:val="74A3873F"/>
    <w:rsid w:val="74A69739"/>
    <w:rsid w:val="74A74D27"/>
    <w:rsid w:val="74AD6F38"/>
    <w:rsid w:val="74B0F1BD"/>
    <w:rsid w:val="74B123B7"/>
    <w:rsid w:val="74B2C77E"/>
    <w:rsid w:val="74B3C9A9"/>
    <w:rsid w:val="74B49811"/>
    <w:rsid w:val="74B4BFE6"/>
    <w:rsid w:val="74B6AE0D"/>
    <w:rsid w:val="74B6BC04"/>
    <w:rsid w:val="74B99B62"/>
    <w:rsid w:val="74BDDC03"/>
    <w:rsid w:val="74C288BD"/>
    <w:rsid w:val="74C4D556"/>
    <w:rsid w:val="74C4D9C7"/>
    <w:rsid w:val="74C71510"/>
    <w:rsid w:val="74C795D9"/>
    <w:rsid w:val="74C9F2B5"/>
    <w:rsid w:val="74CAB0B5"/>
    <w:rsid w:val="74D1D296"/>
    <w:rsid w:val="74D41996"/>
    <w:rsid w:val="74D58F4A"/>
    <w:rsid w:val="74D6BDAE"/>
    <w:rsid w:val="74DC18AC"/>
    <w:rsid w:val="74DFC23F"/>
    <w:rsid w:val="74E46FC7"/>
    <w:rsid w:val="74E5E96F"/>
    <w:rsid w:val="74E78B59"/>
    <w:rsid w:val="74E79BCA"/>
    <w:rsid w:val="74E83A6A"/>
    <w:rsid w:val="74EA1F3B"/>
    <w:rsid w:val="74EC3EBC"/>
    <w:rsid w:val="74F1E24B"/>
    <w:rsid w:val="74FD0533"/>
    <w:rsid w:val="750D8C5A"/>
    <w:rsid w:val="751232FA"/>
    <w:rsid w:val="7514096A"/>
    <w:rsid w:val="7515FFDD"/>
    <w:rsid w:val="75179B44"/>
    <w:rsid w:val="751F0DE5"/>
    <w:rsid w:val="751F7987"/>
    <w:rsid w:val="75221C79"/>
    <w:rsid w:val="752A27FD"/>
    <w:rsid w:val="75329350"/>
    <w:rsid w:val="753338E2"/>
    <w:rsid w:val="75403F13"/>
    <w:rsid w:val="754C2A04"/>
    <w:rsid w:val="75531701"/>
    <w:rsid w:val="7556F469"/>
    <w:rsid w:val="755770B4"/>
    <w:rsid w:val="7557C083"/>
    <w:rsid w:val="756270D8"/>
    <w:rsid w:val="7563A0E3"/>
    <w:rsid w:val="75662831"/>
    <w:rsid w:val="756F6BF3"/>
    <w:rsid w:val="757B0915"/>
    <w:rsid w:val="757CB964"/>
    <w:rsid w:val="758D7E2B"/>
    <w:rsid w:val="7591004D"/>
    <w:rsid w:val="75956B71"/>
    <w:rsid w:val="7598FC91"/>
    <w:rsid w:val="759DB0AF"/>
    <w:rsid w:val="759F8E76"/>
    <w:rsid w:val="75A11C17"/>
    <w:rsid w:val="75A19940"/>
    <w:rsid w:val="75A7BE6C"/>
    <w:rsid w:val="75AA1EC2"/>
    <w:rsid w:val="75AD2F1A"/>
    <w:rsid w:val="75B3CFCF"/>
    <w:rsid w:val="75B5128A"/>
    <w:rsid w:val="75BBD71C"/>
    <w:rsid w:val="75CB3025"/>
    <w:rsid w:val="75CC18F4"/>
    <w:rsid w:val="75D0A7CB"/>
    <w:rsid w:val="75D1469A"/>
    <w:rsid w:val="75D15ED6"/>
    <w:rsid w:val="75D4B7FD"/>
    <w:rsid w:val="75DD0CC1"/>
    <w:rsid w:val="75DD1CF6"/>
    <w:rsid w:val="75E512AC"/>
    <w:rsid w:val="75E9B906"/>
    <w:rsid w:val="75EA3BF5"/>
    <w:rsid w:val="75EC7825"/>
    <w:rsid w:val="75EF626E"/>
    <w:rsid w:val="75EFAB50"/>
    <w:rsid w:val="75F1B968"/>
    <w:rsid w:val="75F542EA"/>
    <w:rsid w:val="75F8A132"/>
    <w:rsid w:val="75FC10D7"/>
    <w:rsid w:val="75FF0554"/>
    <w:rsid w:val="76008339"/>
    <w:rsid w:val="76033F62"/>
    <w:rsid w:val="7606003A"/>
    <w:rsid w:val="760987C5"/>
    <w:rsid w:val="7609A8A1"/>
    <w:rsid w:val="760FB34C"/>
    <w:rsid w:val="76112CF8"/>
    <w:rsid w:val="7611B2F2"/>
    <w:rsid w:val="761659DE"/>
    <w:rsid w:val="7618E210"/>
    <w:rsid w:val="761A6D40"/>
    <w:rsid w:val="761AB5B6"/>
    <w:rsid w:val="761F308F"/>
    <w:rsid w:val="7628618B"/>
    <w:rsid w:val="762A4C19"/>
    <w:rsid w:val="762C55E3"/>
    <w:rsid w:val="7633ED1F"/>
    <w:rsid w:val="76341302"/>
    <w:rsid w:val="763EF517"/>
    <w:rsid w:val="7640C9BF"/>
    <w:rsid w:val="76438FA9"/>
    <w:rsid w:val="7648D18F"/>
    <w:rsid w:val="7651365A"/>
    <w:rsid w:val="765514CF"/>
    <w:rsid w:val="76558055"/>
    <w:rsid w:val="76585571"/>
    <w:rsid w:val="7659E083"/>
    <w:rsid w:val="765AC91B"/>
    <w:rsid w:val="765E3E3F"/>
    <w:rsid w:val="765F4976"/>
    <w:rsid w:val="76648AAD"/>
    <w:rsid w:val="766D5E57"/>
    <w:rsid w:val="766F5221"/>
    <w:rsid w:val="76788A60"/>
    <w:rsid w:val="767C8F40"/>
    <w:rsid w:val="76801997"/>
    <w:rsid w:val="768925BF"/>
    <w:rsid w:val="768FC79B"/>
    <w:rsid w:val="76941245"/>
    <w:rsid w:val="7694FCAD"/>
    <w:rsid w:val="76985509"/>
    <w:rsid w:val="7699CFBF"/>
    <w:rsid w:val="769C0D12"/>
    <w:rsid w:val="76A4F67A"/>
    <w:rsid w:val="76A61C36"/>
    <w:rsid w:val="76A9609E"/>
    <w:rsid w:val="76AC577E"/>
    <w:rsid w:val="76AEA662"/>
    <w:rsid w:val="76B312C4"/>
    <w:rsid w:val="76BD01CD"/>
    <w:rsid w:val="76C01DD8"/>
    <w:rsid w:val="76C0E72C"/>
    <w:rsid w:val="76CDDF88"/>
    <w:rsid w:val="76D263D5"/>
    <w:rsid w:val="76D31F6D"/>
    <w:rsid w:val="76D451BC"/>
    <w:rsid w:val="76D53E53"/>
    <w:rsid w:val="76D6941F"/>
    <w:rsid w:val="76DAD056"/>
    <w:rsid w:val="76DD6F0B"/>
    <w:rsid w:val="76DEF69C"/>
    <w:rsid w:val="76F23DBA"/>
    <w:rsid w:val="76F37A32"/>
    <w:rsid w:val="76F6C25C"/>
    <w:rsid w:val="76F7F985"/>
    <w:rsid w:val="76FCDB10"/>
    <w:rsid w:val="7702011F"/>
    <w:rsid w:val="770B8ED3"/>
    <w:rsid w:val="77109D52"/>
    <w:rsid w:val="77119511"/>
    <w:rsid w:val="7711A446"/>
    <w:rsid w:val="77138127"/>
    <w:rsid w:val="7713C2F6"/>
    <w:rsid w:val="77142FD4"/>
    <w:rsid w:val="7715E23F"/>
    <w:rsid w:val="771BC7DF"/>
    <w:rsid w:val="771DFAE1"/>
    <w:rsid w:val="771EBC65"/>
    <w:rsid w:val="771F038E"/>
    <w:rsid w:val="7723A202"/>
    <w:rsid w:val="7724C6E5"/>
    <w:rsid w:val="77326F2E"/>
    <w:rsid w:val="7732B768"/>
    <w:rsid w:val="77357F3C"/>
    <w:rsid w:val="77419EE9"/>
    <w:rsid w:val="77451C41"/>
    <w:rsid w:val="774876FD"/>
    <w:rsid w:val="7748A707"/>
    <w:rsid w:val="77493C27"/>
    <w:rsid w:val="774EE94D"/>
    <w:rsid w:val="7750D42D"/>
    <w:rsid w:val="77515E11"/>
    <w:rsid w:val="7753490A"/>
    <w:rsid w:val="775813B0"/>
    <w:rsid w:val="775E994B"/>
    <w:rsid w:val="7764284A"/>
    <w:rsid w:val="776691F8"/>
    <w:rsid w:val="776693E1"/>
    <w:rsid w:val="77683B34"/>
    <w:rsid w:val="776AD027"/>
    <w:rsid w:val="776D1949"/>
    <w:rsid w:val="776EB6F0"/>
    <w:rsid w:val="777EC361"/>
    <w:rsid w:val="777F4FE8"/>
    <w:rsid w:val="7780FE3E"/>
    <w:rsid w:val="778D143C"/>
    <w:rsid w:val="7790EEBD"/>
    <w:rsid w:val="77933AC3"/>
    <w:rsid w:val="7794D1CF"/>
    <w:rsid w:val="779800A4"/>
    <w:rsid w:val="779892ED"/>
    <w:rsid w:val="779AAA7E"/>
    <w:rsid w:val="77A83733"/>
    <w:rsid w:val="77A9D519"/>
    <w:rsid w:val="77AECB7E"/>
    <w:rsid w:val="77B35D23"/>
    <w:rsid w:val="77B37602"/>
    <w:rsid w:val="77C0BE36"/>
    <w:rsid w:val="77C76982"/>
    <w:rsid w:val="77C88B34"/>
    <w:rsid w:val="77CD7DD3"/>
    <w:rsid w:val="77D555B9"/>
    <w:rsid w:val="77D5E819"/>
    <w:rsid w:val="77F07D17"/>
    <w:rsid w:val="78018964"/>
    <w:rsid w:val="78056F43"/>
    <w:rsid w:val="7806B265"/>
    <w:rsid w:val="7807B235"/>
    <w:rsid w:val="7812B60E"/>
    <w:rsid w:val="781B46BD"/>
    <w:rsid w:val="781BE71A"/>
    <w:rsid w:val="78220D58"/>
    <w:rsid w:val="782D2C31"/>
    <w:rsid w:val="783308A4"/>
    <w:rsid w:val="78388C23"/>
    <w:rsid w:val="783B65D6"/>
    <w:rsid w:val="78411EB3"/>
    <w:rsid w:val="78423BD2"/>
    <w:rsid w:val="7842CF44"/>
    <w:rsid w:val="784EB6B7"/>
    <w:rsid w:val="7850CBE4"/>
    <w:rsid w:val="785EA254"/>
    <w:rsid w:val="78623FBA"/>
    <w:rsid w:val="786A1D69"/>
    <w:rsid w:val="786C195C"/>
    <w:rsid w:val="7877E2D6"/>
    <w:rsid w:val="787DCACA"/>
    <w:rsid w:val="78818949"/>
    <w:rsid w:val="788477E1"/>
    <w:rsid w:val="788793D9"/>
    <w:rsid w:val="788D34B0"/>
    <w:rsid w:val="788D6810"/>
    <w:rsid w:val="788F3C10"/>
    <w:rsid w:val="789406F6"/>
    <w:rsid w:val="78A311DF"/>
    <w:rsid w:val="78A311FA"/>
    <w:rsid w:val="78AA7448"/>
    <w:rsid w:val="78AC2499"/>
    <w:rsid w:val="78AF3EA7"/>
    <w:rsid w:val="78AFD68A"/>
    <w:rsid w:val="78B441FA"/>
    <w:rsid w:val="78B9758F"/>
    <w:rsid w:val="78BD8008"/>
    <w:rsid w:val="78BF796E"/>
    <w:rsid w:val="78C0C3F4"/>
    <w:rsid w:val="78C402DC"/>
    <w:rsid w:val="78C4162C"/>
    <w:rsid w:val="78C4A0FE"/>
    <w:rsid w:val="78C4ED57"/>
    <w:rsid w:val="78D07F0A"/>
    <w:rsid w:val="78D410C1"/>
    <w:rsid w:val="78D5D636"/>
    <w:rsid w:val="78DAAC46"/>
    <w:rsid w:val="78DC3204"/>
    <w:rsid w:val="78E60F64"/>
    <w:rsid w:val="78F32A2C"/>
    <w:rsid w:val="78F32B4C"/>
    <w:rsid w:val="78F4491F"/>
    <w:rsid w:val="78F8BA71"/>
    <w:rsid w:val="78FB9E71"/>
    <w:rsid w:val="78FDB963"/>
    <w:rsid w:val="7903DECD"/>
    <w:rsid w:val="7908080A"/>
    <w:rsid w:val="7908F162"/>
    <w:rsid w:val="790C43A4"/>
    <w:rsid w:val="790EA16C"/>
    <w:rsid w:val="790FF4F2"/>
    <w:rsid w:val="7913B045"/>
    <w:rsid w:val="7914915D"/>
    <w:rsid w:val="79184698"/>
    <w:rsid w:val="791B34CA"/>
    <w:rsid w:val="79241414"/>
    <w:rsid w:val="79288DF4"/>
    <w:rsid w:val="7930DE1B"/>
    <w:rsid w:val="7933DBD8"/>
    <w:rsid w:val="793402B9"/>
    <w:rsid w:val="793FBBD3"/>
    <w:rsid w:val="7942B008"/>
    <w:rsid w:val="79456FBC"/>
    <w:rsid w:val="7946D921"/>
    <w:rsid w:val="794D94DA"/>
    <w:rsid w:val="794DB9A0"/>
    <w:rsid w:val="794FDCBC"/>
    <w:rsid w:val="795D5554"/>
    <w:rsid w:val="795D8A0E"/>
    <w:rsid w:val="795DD055"/>
    <w:rsid w:val="796B6790"/>
    <w:rsid w:val="7971AFDD"/>
    <w:rsid w:val="797AAB6E"/>
    <w:rsid w:val="797DDCDE"/>
    <w:rsid w:val="798329D3"/>
    <w:rsid w:val="7985551D"/>
    <w:rsid w:val="7987C858"/>
    <w:rsid w:val="7989AF15"/>
    <w:rsid w:val="7991D319"/>
    <w:rsid w:val="7996F76E"/>
    <w:rsid w:val="79977E84"/>
    <w:rsid w:val="799A255D"/>
    <w:rsid w:val="799F16A1"/>
    <w:rsid w:val="799FBCDC"/>
    <w:rsid w:val="79B5EDE1"/>
    <w:rsid w:val="79CB9495"/>
    <w:rsid w:val="79D4C68F"/>
    <w:rsid w:val="79DA884B"/>
    <w:rsid w:val="79DB3923"/>
    <w:rsid w:val="79DC3977"/>
    <w:rsid w:val="79DCC854"/>
    <w:rsid w:val="79DEA4F4"/>
    <w:rsid w:val="79E1516E"/>
    <w:rsid w:val="79E15B26"/>
    <w:rsid w:val="79E310B5"/>
    <w:rsid w:val="79E640E6"/>
    <w:rsid w:val="79E6726D"/>
    <w:rsid w:val="79E9BA49"/>
    <w:rsid w:val="79EBF326"/>
    <w:rsid w:val="79ED07E1"/>
    <w:rsid w:val="79EDC110"/>
    <w:rsid w:val="79F0CEB2"/>
    <w:rsid w:val="79F1ECD3"/>
    <w:rsid w:val="79F2FEF7"/>
    <w:rsid w:val="79F9D3D3"/>
    <w:rsid w:val="79FFF14A"/>
    <w:rsid w:val="7A00C6B9"/>
    <w:rsid w:val="7A061DD4"/>
    <w:rsid w:val="7A074E71"/>
    <w:rsid w:val="7A07EE0D"/>
    <w:rsid w:val="7A0A24B0"/>
    <w:rsid w:val="7A0C1F21"/>
    <w:rsid w:val="7A0C8272"/>
    <w:rsid w:val="7A17FD72"/>
    <w:rsid w:val="7A1F03E0"/>
    <w:rsid w:val="7A2318F0"/>
    <w:rsid w:val="7A25566F"/>
    <w:rsid w:val="7A25BF43"/>
    <w:rsid w:val="7A294A98"/>
    <w:rsid w:val="7A2C4257"/>
    <w:rsid w:val="7A2D1973"/>
    <w:rsid w:val="7A2FEE92"/>
    <w:rsid w:val="7A3107C1"/>
    <w:rsid w:val="7A326DBF"/>
    <w:rsid w:val="7A337137"/>
    <w:rsid w:val="7A342000"/>
    <w:rsid w:val="7A351BA0"/>
    <w:rsid w:val="7A39090D"/>
    <w:rsid w:val="7A404ED6"/>
    <w:rsid w:val="7A429384"/>
    <w:rsid w:val="7A4332E9"/>
    <w:rsid w:val="7A486EDD"/>
    <w:rsid w:val="7A492F0A"/>
    <w:rsid w:val="7A4FA224"/>
    <w:rsid w:val="7A526D9E"/>
    <w:rsid w:val="7A52DFC8"/>
    <w:rsid w:val="7A53B1B0"/>
    <w:rsid w:val="7A5D693D"/>
    <w:rsid w:val="7A5DF88D"/>
    <w:rsid w:val="7A6530B4"/>
    <w:rsid w:val="7A679D4E"/>
    <w:rsid w:val="7A67B14B"/>
    <w:rsid w:val="7A686C32"/>
    <w:rsid w:val="7A68F2CF"/>
    <w:rsid w:val="7A6B4EBC"/>
    <w:rsid w:val="7A6BF73A"/>
    <w:rsid w:val="7A6CE977"/>
    <w:rsid w:val="7A6F8A45"/>
    <w:rsid w:val="7A70C8D8"/>
    <w:rsid w:val="7A76C277"/>
    <w:rsid w:val="7A796CA8"/>
    <w:rsid w:val="7A7B303A"/>
    <w:rsid w:val="7A7F3D50"/>
    <w:rsid w:val="7A809649"/>
    <w:rsid w:val="7A8136A4"/>
    <w:rsid w:val="7A88CEB4"/>
    <w:rsid w:val="7A8A3329"/>
    <w:rsid w:val="7A8A4C87"/>
    <w:rsid w:val="7A8D1423"/>
    <w:rsid w:val="7A8D5357"/>
    <w:rsid w:val="7A913C26"/>
    <w:rsid w:val="7A96EA2A"/>
    <w:rsid w:val="7A973BF4"/>
    <w:rsid w:val="7A9A9AAE"/>
    <w:rsid w:val="7A9B14BF"/>
    <w:rsid w:val="7A9DC9CC"/>
    <w:rsid w:val="7A9E7301"/>
    <w:rsid w:val="7AA09F43"/>
    <w:rsid w:val="7AA0CFAD"/>
    <w:rsid w:val="7AA1C06C"/>
    <w:rsid w:val="7AA2B182"/>
    <w:rsid w:val="7AAC9813"/>
    <w:rsid w:val="7AB5D12F"/>
    <w:rsid w:val="7AB65D57"/>
    <w:rsid w:val="7ABA2D47"/>
    <w:rsid w:val="7ABA373D"/>
    <w:rsid w:val="7ABA388F"/>
    <w:rsid w:val="7ABD621A"/>
    <w:rsid w:val="7ABF7C2B"/>
    <w:rsid w:val="7AC27388"/>
    <w:rsid w:val="7AC51201"/>
    <w:rsid w:val="7AC99C75"/>
    <w:rsid w:val="7AC99E91"/>
    <w:rsid w:val="7AD14AE8"/>
    <w:rsid w:val="7AD35CB7"/>
    <w:rsid w:val="7AD7A1F6"/>
    <w:rsid w:val="7AD7A7D6"/>
    <w:rsid w:val="7AD9A6A5"/>
    <w:rsid w:val="7AE32952"/>
    <w:rsid w:val="7AE864B2"/>
    <w:rsid w:val="7AEB37EF"/>
    <w:rsid w:val="7AEBFA58"/>
    <w:rsid w:val="7AED3642"/>
    <w:rsid w:val="7AF3C91D"/>
    <w:rsid w:val="7AF7513F"/>
    <w:rsid w:val="7AF8A956"/>
    <w:rsid w:val="7AFA2CE3"/>
    <w:rsid w:val="7AFB0088"/>
    <w:rsid w:val="7AFEA9E2"/>
    <w:rsid w:val="7B049FEC"/>
    <w:rsid w:val="7B087B62"/>
    <w:rsid w:val="7B089D24"/>
    <w:rsid w:val="7B0D6B67"/>
    <w:rsid w:val="7B10373D"/>
    <w:rsid w:val="7B16889B"/>
    <w:rsid w:val="7B1710E4"/>
    <w:rsid w:val="7B173C84"/>
    <w:rsid w:val="7B225C65"/>
    <w:rsid w:val="7B254183"/>
    <w:rsid w:val="7B254EA0"/>
    <w:rsid w:val="7B2744D3"/>
    <w:rsid w:val="7B29AEA7"/>
    <w:rsid w:val="7B2D3325"/>
    <w:rsid w:val="7B2DE400"/>
    <w:rsid w:val="7B321CDE"/>
    <w:rsid w:val="7B32A565"/>
    <w:rsid w:val="7B341C39"/>
    <w:rsid w:val="7B3690E0"/>
    <w:rsid w:val="7B3D854C"/>
    <w:rsid w:val="7B42A8AE"/>
    <w:rsid w:val="7B4D301A"/>
    <w:rsid w:val="7B53E28E"/>
    <w:rsid w:val="7B59359A"/>
    <w:rsid w:val="7B684333"/>
    <w:rsid w:val="7B6A1495"/>
    <w:rsid w:val="7B705CE8"/>
    <w:rsid w:val="7B762EF9"/>
    <w:rsid w:val="7B77A0C4"/>
    <w:rsid w:val="7B7A7B1C"/>
    <w:rsid w:val="7B82F1E7"/>
    <w:rsid w:val="7B8F690B"/>
    <w:rsid w:val="7B905790"/>
    <w:rsid w:val="7BA02E57"/>
    <w:rsid w:val="7BA34162"/>
    <w:rsid w:val="7BA5B991"/>
    <w:rsid w:val="7BA7370B"/>
    <w:rsid w:val="7BAA6B56"/>
    <w:rsid w:val="7BB49C37"/>
    <w:rsid w:val="7BB7CCF3"/>
    <w:rsid w:val="7BBC3C07"/>
    <w:rsid w:val="7BC5F9D7"/>
    <w:rsid w:val="7BD70015"/>
    <w:rsid w:val="7BE3CB03"/>
    <w:rsid w:val="7BEF5BCB"/>
    <w:rsid w:val="7BFBE0EA"/>
    <w:rsid w:val="7BFCCF5C"/>
    <w:rsid w:val="7BFEACB4"/>
    <w:rsid w:val="7C055C4E"/>
    <w:rsid w:val="7C06E1ED"/>
    <w:rsid w:val="7C070247"/>
    <w:rsid w:val="7C078235"/>
    <w:rsid w:val="7C07BC9A"/>
    <w:rsid w:val="7C07C0B8"/>
    <w:rsid w:val="7C0FD937"/>
    <w:rsid w:val="7C11A9B4"/>
    <w:rsid w:val="7C13AAD0"/>
    <w:rsid w:val="7C15912B"/>
    <w:rsid w:val="7C1A0D92"/>
    <w:rsid w:val="7C1E67B1"/>
    <w:rsid w:val="7C2173E6"/>
    <w:rsid w:val="7C252919"/>
    <w:rsid w:val="7C2E31F9"/>
    <w:rsid w:val="7C2EC167"/>
    <w:rsid w:val="7C33AAE7"/>
    <w:rsid w:val="7C377D50"/>
    <w:rsid w:val="7C39B3BC"/>
    <w:rsid w:val="7C3D078D"/>
    <w:rsid w:val="7C439DB5"/>
    <w:rsid w:val="7C46547D"/>
    <w:rsid w:val="7C471EDA"/>
    <w:rsid w:val="7C475C03"/>
    <w:rsid w:val="7C50D79D"/>
    <w:rsid w:val="7C53198C"/>
    <w:rsid w:val="7C57082C"/>
    <w:rsid w:val="7C5F83C8"/>
    <w:rsid w:val="7C605D5C"/>
    <w:rsid w:val="7C60F9E3"/>
    <w:rsid w:val="7C659A85"/>
    <w:rsid w:val="7C65A198"/>
    <w:rsid w:val="7C677B33"/>
    <w:rsid w:val="7C6A397D"/>
    <w:rsid w:val="7C6C2222"/>
    <w:rsid w:val="7C70084D"/>
    <w:rsid w:val="7C72FC5B"/>
    <w:rsid w:val="7C73F9C5"/>
    <w:rsid w:val="7C742C2E"/>
    <w:rsid w:val="7C78330C"/>
    <w:rsid w:val="7C7920A4"/>
    <w:rsid w:val="7C799EFF"/>
    <w:rsid w:val="7C817A45"/>
    <w:rsid w:val="7C84787D"/>
    <w:rsid w:val="7C87DFBE"/>
    <w:rsid w:val="7C978174"/>
    <w:rsid w:val="7CA2C4C9"/>
    <w:rsid w:val="7CA4980D"/>
    <w:rsid w:val="7CAA8351"/>
    <w:rsid w:val="7CB4AE68"/>
    <w:rsid w:val="7CB63802"/>
    <w:rsid w:val="7CB65CA7"/>
    <w:rsid w:val="7CBCEEBF"/>
    <w:rsid w:val="7CD4C8DF"/>
    <w:rsid w:val="7CDE0311"/>
    <w:rsid w:val="7CE6A1D8"/>
    <w:rsid w:val="7CF2D2A4"/>
    <w:rsid w:val="7CF91C7E"/>
    <w:rsid w:val="7D00E54F"/>
    <w:rsid w:val="7D049DEA"/>
    <w:rsid w:val="7D05180D"/>
    <w:rsid w:val="7D053889"/>
    <w:rsid w:val="7D0B520F"/>
    <w:rsid w:val="7D0DADD1"/>
    <w:rsid w:val="7D144A04"/>
    <w:rsid w:val="7D14F815"/>
    <w:rsid w:val="7D16AD20"/>
    <w:rsid w:val="7D172D4D"/>
    <w:rsid w:val="7D1A6177"/>
    <w:rsid w:val="7D21B07D"/>
    <w:rsid w:val="7D338194"/>
    <w:rsid w:val="7D338461"/>
    <w:rsid w:val="7D338FBF"/>
    <w:rsid w:val="7D3A2276"/>
    <w:rsid w:val="7D49F8D0"/>
    <w:rsid w:val="7D4AACEB"/>
    <w:rsid w:val="7D5BFDBF"/>
    <w:rsid w:val="7D5DA294"/>
    <w:rsid w:val="7D64F04D"/>
    <w:rsid w:val="7D69E037"/>
    <w:rsid w:val="7D701665"/>
    <w:rsid w:val="7D772033"/>
    <w:rsid w:val="7D7A6540"/>
    <w:rsid w:val="7D7B2A66"/>
    <w:rsid w:val="7D808627"/>
    <w:rsid w:val="7D8086EC"/>
    <w:rsid w:val="7D83C9CA"/>
    <w:rsid w:val="7D843B76"/>
    <w:rsid w:val="7D893485"/>
    <w:rsid w:val="7D96F2D5"/>
    <w:rsid w:val="7D976566"/>
    <w:rsid w:val="7D9857AE"/>
    <w:rsid w:val="7D986AA7"/>
    <w:rsid w:val="7D99E374"/>
    <w:rsid w:val="7DA40382"/>
    <w:rsid w:val="7DA47C2A"/>
    <w:rsid w:val="7DA7B0A4"/>
    <w:rsid w:val="7DAAD932"/>
    <w:rsid w:val="7DAAF7D6"/>
    <w:rsid w:val="7DAB5B76"/>
    <w:rsid w:val="7DAF4644"/>
    <w:rsid w:val="7DAF99E2"/>
    <w:rsid w:val="7DAFB181"/>
    <w:rsid w:val="7DB24575"/>
    <w:rsid w:val="7DCA2B92"/>
    <w:rsid w:val="7DCB7840"/>
    <w:rsid w:val="7DCC78A1"/>
    <w:rsid w:val="7DCDD5C4"/>
    <w:rsid w:val="7DCF7C99"/>
    <w:rsid w:val="7DD39ABD"/>
    <w:rsid w:val="7DD5791D"/>
    <w:rsid w:val="7DD5CB9E"/>
    <w:rsid w:val="7DDA30A7"/>
    <w:rsid w:val="7DDE1A4B"/>
    <w:rsid w:val="7DDF5C97"/>
    <w:rsid w:val="7DE8D10B"/>
    <w:rsid w:val="7DEEF763"/>
    <w:rsid w:val="7DF9C955"/>
    <w:rsid w:val="7DFAB1F7"/>
    <w:rsid w:val="7DFF358C"/>
    <w:rsid w:val="7E03EEA3"/>
    <w:rsid w:val="7E0EBD21"/>
    <w:rsid w:val="7E153E4D"/>
    <w:rsid w:val="7E181494"/>
    <w:rsid w:val="7E20726C"/>
    <w:rsid w:val="7E209789"/>
    <w:rsid w:val="7E215CB0"/>
    <w:rsid w:val="7E247E35"/>
    <w:rsid w:val="7E24D5C7"/>
    <w:rsid w:val="7E24EE95"/>
    <w:rsid w:val="7E293241"/>
    <w:rsid w:val="7E2C963E"/>
    <w:rsid w:val="7E2EF893"/>
    <w:rsid w:val="7E33DDD3"/>
    <w:rsid w:val="7E342959"/>
    <w:rsid w:val="7E45641F"/>
    <w:rsid w:val="7E4B2C78"/>
    <w:rsid w:val="7E4BC4A6"/>
    <w:rsid w:val="7E4E0A91"/>
    <w:rsid w:val="7E533FB5"/>
    <w:rsid w:val="7E58432B"/>
    <w:rsid w:val="7E5C0481"/>
    <w:rsid w:val="7E5EDDF8"/>
    <w:rsid w:val="7E609934"/>
    <w:rsid w:val="7E6573E4"/>
    <w:rsid w:val="7E681BB9"/>
    <w:rsid w:val="7E69885E"/>
    <w:rsid w:val="7E6A5F04"/>
    <w:rsid w:val="7E71F070"/>
    <w:rsid w:val="7E798FAA"/>
    <w:rsid w:val="7E7B93EA"/>
    <w:rsid w:val="7E866E08"/>
    <w:rsid w:val="7E8F71B2"/>
    <w:rsid w:val="7E912DAE"/>
    <w:rsid w:val="7E96CD3D"/>
    <w:rsid w:val="7E97CB98"/>
    <w:rsid w:val="7EA0D6E9"/>
    <w:rsid w:val="7EA549C3"/>
    <w:rsid w:val="7EAA2089"/>
    <w:rsid w:val="7EAB12DD"/>
    <w:rsid w:val="7EAB45B8"/>
    <w:rsid w:val="7EADFE08"/>
    <w:rsid w:val="7EB09226"/>
    <w:rsid w:val="7EB359AD"/>
    <w:rsid w:val="7EB3D8C4"/>
    <w:rsid w:val="7EB69FA3"/>
    <w:rsid w:val="7EBB20E6"/>
    <w:rsid w:val="7EBF8132"/>
    <w:rsid w:val="7EC0C462"/>
    <w:rsid w:val="7EC21777"/>
    <w:rsid w:val="7EC26674"/>
    <w:rsid w:val="7EC63C7B"/>
    <w:rsid w:val="7ED474AD"/>
    <w:rsid w:val="7ED8B540"/>
    <w:rsid w:val="7EDDE540"/>
    <w:rsid w:val="7EE86659"/>
    <w:rsid w:val="7EECB542"/>
    <w:rsid w:val="7EECBAC6"/>
    <w:rsid w:val="7EF25E62"/>
    <w:rsid w:val="7EF2655E"/>
    <w:rsid w:val="7EF2CA16"/>
    <w:rsid w:val="7EF310BC"/>
    <w:rsid w:val="7EF7146A"/>
    <w:rsid w:val="7EFA2204"/>
    <w:rsid w:val="7EFE1726"/>
    <w:rsid w:val="7F0091F0"/>
    <w:rsid w:val="7F00D657"/>
    <w:rsid w:val="7F0363EA"/>
    <w:rsid w:val="7F05D5B8"/>
    <w:rsid w:val="7F06E7D3"/>
    <w:rsid w:val="7F0DCDF6"/>
    <w:rsid w:val="7F0DE9F0"/>
    <w:rsid w:val="7F0FF02A"/>
    <w:rsid w:val="7F16A04E"/>
    <w:rsid w:val="7F186740"/>
    <w:rsid w:val="7F29199F"/>
    <w:rsid w:val="7F2B1459"/>
    <w:rsid w:val="7F30FA19"/>
    <w:rsid w:val="7F381F47"/>
    <w:rsid w:val="7F39F0D7"/>
    <w:rsid w:val="7F3AE84C"/>
    <w:rsid w:val="7F3E4E2D"/>
    <w:rsid w:val="7F4387C5"/>
    <w:rsid w:val="7F46D607"/>
    <w:rsid w:val="7F488D82"/>
    <w:rsid w:val="7F4C91FB"/>
    <w:rsid w:val="7F4D66D9"/>
    <w:rsid w:val="7F52689C"/>
    <w:rsid w:val="7F586535"/>
    <w:rsid w:val="7F59E077"/>
    <w:rsid w:val="7F6C02F0"/>
    <w:rsid w:val="7F6C7CCE"/>
    <w:rsid w:val="7F72D29B"/>
    <w:rsid w:val="7F7722ED"/>
    <w:rsid w:val="7F795D06"/>
    <w:rsid w:val="7F808B50"/>
    <w:rsid w:val="7F84D9C5"/>
    <w:rsid w:val="7F89542D"/>
    <w:rsid w:val="7F90DA87"/>
    <w:rsid w:val="7F927A7A"/>
    <w:rsid w:val="7F967BEB"/>
    <w:rsid w:val="7F9A0745"/>
    <w:rsid w:val="7F9A5A3F"/>
    <w:rsid w:val="7F9B4DDC"/>
    <w:rsid w:val="7FA288FE"/>
    <w:rsid w:val="7FA30C50"/>
    <w:rsid w:val="7FA82012"/>
    <w:rsid w:val="7FADAB93"/>
    <w:rsid w:val="7FAF4BE5"/>
    <w:rsid w:val="7FB0ACD7"/>
    <w:rsid w:val="7FB49DCC"/>
    <w:rsid w:val="7FB9040E"/>
    <w:rsid w:val="7FB91C25"/>
    <w:rsid w:val="7FB9EAE4"/>
    <w:rsid w:val="7FBA0C49"/>
    <w:rsid w:val="7FC172CC"/>
    <w:rsid w:val="7FC35160"/>
    <w:rsid w:val="7FC5E96E"/>
    <w:rsid w:val="7FC9AD73"/>
    <w:rsid w:val="7FC9D152"/>
    <w:rsid w:val="7FCE992B"/>
    <w:rsid w:val="7FCFE40E"/>
    <w:rsid w:val="7FD32BF8"/>
    <w:rsid w:val="7FD61081"/>
    <w:rsid w:val="7FD76CAF"/>
    <w:rsid w:val="7FE01963"/>
    <w:rsid w:val="7FE439EA"/>
    <w:rsid w:val="7FEFBB71"/>
    <w:rsid w:val="7FF0BBD2"/>
    <w:rsid w:val="7FF1E233"/>
    <w:rsid w:val="7FF58206"/>
    <w:rsid w:val="7FFA268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4F636953-3F3F-4C66-A637-4231E1B22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A18"/>
    <w:pPr>
      <w:spacing w:after="240" w:line="240" w:lineRule="auto"/>
      <w:jc w:val="both"/>
    </w:pPr>
    <w:rPr>
      <w:rFonts w:ascii="Times New Roman" w:hAnsi="Times New Roman" w:cs="Times New Roman"/>
      <w:sz w:val="24"/>
      <w:szCs w:val="24"/>
    </w:rPr>
  </w:style>
  <w:style w:type="paragraph" w:styleId="Heading1">
    <w:name w:val="heading 1"/>
    <w:aliases w:val="Title 1,EC Heading 1,Heading_1_INNOVA-EU,Headline 1,h1,H1,Titre1,Hoofdstuk,H11,h11,H12,h12,H13,h13,H14,h14,H15,h15,H16,h16,H111,h111,H121,h121,H131,h131,H141,h141,H151,h151,H17,h17,H112,h112,H122,h122,H132,h132,H142,h142,H152,h152,H18,h18,H113"/>
    <w:basedOn w:val="Normal"/>
    <w:next w:val="Text1"/>
    <w:link w:val="Heading1Char"/>
    <w:qFormat/>
    <w:rsid w:val="006B087E"/>
    <w:pPr>
      <w:keepNext/>
      <w:numPr>
        <w:numId w:val="53"/>
      </w:numPr>
      <w:spacing w:before="240"/>
      <w:outlineLvl w:val="0"/>
    </w:pPr>
    <w:rPr>
      <w:rFonts w:eastAsia="Times New Roman"/>
      <w:b/>
      <w:smallCaps/>
      <w:szCs w:val="20"/>
      <w:lang w:val="en-IE"/>
    </w:rPr>
  </w:style>
  <w:style w:type="paragraph" w:styleId="Heading2">
    <w:name w:val="heading 2"/>
    <w:aliases w:val="Title 2,EC Second Level,NEA2,A Head,Main header,Paragraaf,ALK_K2,Annex2,H2,Oscar Faber 2,ADVICE 2,-E Überschrift 2,(SubSection),Heading_2_INNOVA-EU,Headline 2,h2,2,headi,heading2,h21,h22,21,l2,kopregel 2,Chapter Number/Appendix Letter,chn,Para"/>
    <w:basedOn w:val="Normal"/>
    <w:next w:val="Text2"/>
    <w:link w:val="Heading2Char"/>
    <w:uiPriority w:val="9"/>
    <w:qFormat/>
    <w:rsid w:val="006B087E"/>
    <w:pPr>
      <w:keepNext/>
      <w:numPr>
        <w:ilvl w:val="1"/>
        <w:numId w:val="53"/>
      </w:numPr>
      <w:outlineLvl w:val="1"/>
    </w:pPr>
    <w:rPr>
      <w:rFonts w:eastAsia="Times New Roman"/>
      <w:b/>
      <w:szCs w:val="20"/>
    </w:rPr>
  </w:style>
  <w:style w:type="paragraph" w:styleId="Heading3">
    <w:name w:val="heading 3"/>
    <w:aliases w:val="Title 3,EC Third Level,NEA3,Subparagraaf,ALK_K3,ADVICE 3,-E Überschrift 3,Heading_3_INNOVA-EU,Headline 3,h3,h31,h32,H3,H31,summit,3m,head 3,header3,head 31,header31,head 32,header32,h33,head 33,header33,h311,head 311,header311,h321,head 321,3"/>
    <w:basedOn w:val="Normal"/>
    <w:next w:val="Normal"/>
    <w:link w:val="Heading3Char"/>
    <w:uiPriority w:val="9"/>
    <w:qFormat/>
    <w:rsid w:val="00D36F29"/>
    <w:pPr>
      <w:keepNext/>
      <w:numPr>
        <w:ilvl w:val="2"/>
        <w:numId w:val="53"/>
      </w:numPr>
      <w:outlineLvl w:val="2"/>
    </w:pPr>
    <w:rPr>
      <w:rFonts w:eastAsia="Times New Roman"/>
      <w:i/>
      <w:szCs w:val="20"/>
    </w:rPr>
  </w:style>
  <w:style w:type="paragraph" w:styleId="Heading4">
    <w:name w:val="heading 4"/>
    <w:aliases w:val="Title 4,level 3 subhead,PA Micro Section,(Alt+4),H41,(Alt+4)1,H42,(Alt+4)2,H43,(Alt+4)3,H44,(Alt+4)4,H45,(Alt+4)5,H411,(Alt+4)11,H421,(Alt+4)21,H431,(Alt+4)31,H46,(Alt+4)6,H412,(Alt+4)12,H422,(Alt+4)22,H432,(Alt+4)32,H47,(Alt+4)7,H48,(Alt+4)8"/>
    <w:basedOn w:val="Normal"/>
    <w:next w:val="Normal"/>
    <w:link w:val="Heading4Char"/>
    <w:uiPriority w:val="9"/>
    <w:qFormat/>
    <w:rsid w:val="006B087E"/>
    <w:pPr>
      <w:keepNext/>
      <w:numPr>
        <w:ilvl w:val="3"/>
        <w:numId w:val="53"/>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numPr>
        <w:ilvl w:val="4"/>
        <w:numId w:val="5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9246C0"/>
    <w:pPr>
      <w:keepNext/>
      <w:keepLines/>
      <w:numPr>
        <w:ilvl w:val="5"/>
        <w:numId w:val="5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B60572"/>
    <w:pPr>
      <w:keepNext/>
      <w:keepLines/>
      <w:numPr>
        <w:ilvl w:val="6"/>
        <w:numId w:val="5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B60572"/>
    <w:pPr>
      <w:keepNext/>
      <w:keepLines/>
      <w:numPr>
        <w:ilvl w:val="7"/>
        <w:numId w:val="5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60572"/>
    <w:pPr>
      <w:keepNext/>
      <w:keepLines/>
      <w:numPr>
        <w:ilvl w:val="8"/>
        <w:numId w:val="5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6B087E"/>
    <w:pPr>
      <w:ind w:left="482"/>
    </w:pPr>
    <w:rPr>
      <w:rFonts w:eastAsia="Times New Roman"/>
      <w:szCs w:val="20"/>
    </w:rPr>
  </w:style>
  <w:style w:type="character" w:customStyle="1" w:styleId="Heading1Char">
    <w:name w:val="Heading 1 Char"/>
    <w:aliases w:val="Title 1 Char,EC Heading 1 Char,Heading_1_INNOVA-EU Char,Headline 1 Char,h1 Char,H1 Char,Titre1 Char,Hoofdstuk Char,H11 Char,h11 Char,H12 Char,h12 Char,H13 Char,h13 Char,H14 Char,h14 Char,H15 Char,h15 Char,H16 Char,h16 Char,H111 Char"/>
    <w:basedOn w:val="DefaultParagraphFont"/>
    <w:link w:val="Heading1"/>
    <w:rsid w:val="006B087E"/>
    <w:rPr>
      <w:rFonts w:ascii="Times New Roman" w:eastAsia="Times New Roman" w:hAnsi="Times New Roman" w:cs="Times New Roman"/>
      <w:b/>
      <w:smallCaps/>
      <w:sz w:val="24"/>
      <w:szCs w:val="20"/>
      <w:lang w:val="en-IE"/>
    </w:rPr>
  </w:style>
  <w:style w:type="paragraph" w:customStyle="1" w:styleId="Text2">
    <w:name w:val="Text 2"/>
    <w:basedOn w:val="Normal"/>
    <w:rsid w:val="006B087E"/>
    <w:pPr>
      <w:tabs>
        <w:tab w:val="left" w:pos="2302"/>
      </w:tabs>
      <w:ind w:left="1202"/>
    </w:pPr>
    <w:rPr>
      <w:rFonts w:eastAsia="Times New Roman"/>
      <w:szCs w:val="20"/>
    </w:rPr>
  </w:style>
  <w:style w:type="character" w:customStyle="1" w:styleId="Heading2Char">
    <w:name w:val="Heading 2 Char"/>
    <w:aliases w:val="Title 2 Char,EC Second Level Char,NEA2 Char,A Head Char,Main header Char,Paragraaf Char,ALK_K2 Char,Annex2 Char,H2 Char,Oscar Faber 2 Char,ADVICE 2 Char,-E Überschrift 2 Char,(SubSection) Char,Heading_2_INNOVA-EU Char,Headline 2 Char"/>
    <w:basedOn w:val="DefaultParagraphFont"/>
    <w:link w:val="Heading2"/>
    <w:uiPriority w:val="9"/>
    <w:rsid w:val="006B087E"/>
    <w:rPr>
      <w:rFonts w:ascii="Times New Roman" w:eastAsia="Times New Roman" w:hAnsi="Times New Roman" w:cs="Times New Roman"/>
      <w:b/>
      <w:sz w:val="24"/>
      <w:szCs w:val="20"/>
    </w:rPr>
  </w:style>
  <w:style w:type="character" w:customStyle="1" w:styleId="Heading3Char">
    <w:name w:val="Heading 3 Char"/>
    <w:aliases w:val="Title 3 Char,EC Third Level Char,NEA3 Char,Subparagraaf Char,ALK_K3 Char,ADVICE 3 Char,-E Überschrift 3 Char,Heading_3_INNOVA-EU Char,Headline 3 Char,h3 Char,h31 Char,h32 Char,H3 Char,H31 Char,summit Char,3m Char,head 3 Char,header3 Char"/>
    <w:basedOn w:val="DefaultParagraphFont"/>
    <w:link w:val="Heading3"/>
    <w:uiPriority w:val="9"/>
    <w:rsid w:val="00D36F29"/>
    <w:rPr>
      <w:rFonts w:ascii="Times New Roman" w:eastAsia="Times New Roman" w:hAnsi="Times New Roman" w:cs="Times New Roman"/>
      <w:i/>
      <w:sz w:val="24"/>
      <w:szCs w:val="20"/>
    </w:rPr>
  </w:style>
  <w:style w:type="character" w:customStyle="1" w:styleId="Heading4Char">
    <w:name w:val="Heading 4 Char"/>
    <w:aliases w:val="Title 4 Char,level 3 subhead Char,PA Micro Section Char,(Alt+4) Char,H41 Char,(Alt+4)1 Char,H42 Char,(Alt+4)2 Char,H43 Char,(Alt+4)3 Char,H44 Char,(Alt+4)4 Char,H45 Char,(Alt+4)5 Char,H411 Char,(Alt+4)11 Char,H421 Char,(Alt+4)21 Char"/>
    <w:basedOn w:val="DefaultParagraphFont"/>
    <w:link w:val="Heading4"/>
    <w:uiPriority w:val="9"/>
    <w:rsid w:val="006B087E"/>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rsid w:val="009246C0"/>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styleId="ListBullet">
    <w:name w:val="List Bullet"/>
    <w:basedOn w:val="Normal"/>
    <w:rsid w:val="006B087E"/>
    <w:pPr>
      <w:numPr>
        <w:numId w:val="6"/>
      </w:numPr>
    </w:pPr>
    <w:rPr>
      <w:rFonts w:eastAsia="Times New Roman"/>
      <w:szCs w:val="20"/>
      <w:lang w:val="en-IE"/>
    </w:rPr>
  </w:style>
  <w:style w:type="paragraph" w:customStyle="1" w:styleId="ListDash1">
    <w:name w:val="List Dash 1"/>
    <w:basedOn w:val="Text1"/>
    <w:rsid w:val="006B087E"/>
    <w:pPr>
      <w:numPr>
        <w:numId w:val="7"/>
      </w:numPr>
    </w:pPr>
    <w:rPr>
      <w:lang w:val="en-IE"/>
    </w:rPr>
  </w:style>
  <w:style w:type="table" w:styleId="TableGrid">
    <w:name w:val="Table Grid"/>
    <w:aliases w:val="Document Table,CV1,Table_1,Deloitte,Table Format 1,HTG,TabelEcorys,Tabela Renova,Table Grid IDEA,Standard table format,TabelrasterTNO,Simple table,CV table,simple table,NEAbijlage Char,NEA4 Char,12u Char2,ADVICE 4 Char2,Kop 4 Char Char"/>
    <w:basedOn w:val="TableNormal"/>
    <w:uiPriority w:val="39"/>
    <w:rsid w:val="006B087E"/>
    <w:pPr>
      <w:spacing w:after="0" w:line="240" w:lineRule="auto"/>
    </w:pPr>
    <w:rPr>
      <w:rFonts w:ascii="Times New Roman" w:eastAsia="Times New Roman" w:hAnsi="Times New Roman" w:cs="Times New Roman"/>
      <w:sz w:val="20"/>
      <w:szCs w:val="20"/>
      <w:lang w:eastAsia="en-GB"/>
    </w:rPr>
    <w:tblPr/>
  </w:style>
  <w:style w:type="paragraph" w:customStyle="1" w:styleId="AnnexTitle">
    <w:name w:val="Annex Title"/>
    <w:basedOn w:val="Heading1"/>
    <w:next w:val="Normal"/>
    <w:link w:val="AnnexTitleChar"/>
    <w:autoRedefine/>
    <w:qFormat/>
    <w:rsid w:val="00F56CA6"/>
    <w:pPr>
      <w:spacing w:after="480"/>
      <w:ind w:left="72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lang w:val="en-IE"/>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T,f"/>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fr,o"/>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N,Bullet "/>
    <w:basedOn w:val="Normal"/>
    <w:link w:val="ListParagraphChar"/>
    <w:uiPriority w:val="34"/>
    <w:qFormat/>
    <w:rsid w:val="00281573"/>
    <w:pPr>
      <w:ind w:left="720"/>
      <w:contextualSpacing/>
    </w:p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N Char"/>
    <w:basedOn w:val="DefaultParagraphFont"/>
    <w:link w:val="ListParagraph"/>
    <w:uiPriority w:val="34"/>
    <w:qFormat/>
    <w:locked/>
    <w:rsid w:val="00995F32"/>
    <w:rPr>
      <w:rFonts w:ascii="Times New Roman" w:hAnsi="Times New Roman" w:cs="Times New Roman"/>
      <w:sz w:val="24"/>
      <w:szCs w:val="24"/>
    </w:rPr>
  </w:style>
  <w:style w:type="character" w:styleId="CommentReference">
    <w:name w:val="annotation reference"/>
    <w:basedOn w:val="DefaultParagraphFont"/>
    <w:uiPriority w:val="99"/>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table" w:styleId="TableGridLight">
    <w:name w:val="Grid Table Light"/>
    <w:basedOn w:val="TableNormal"/>
    <w:uiPriority w:val="40"/>
    <w:rsid w:val="001A529D"/>
    <w:pPr>
      <w:spacing w:after="0" w:line="240" w:lineRule="auto"/>
    </w:pPr>
    <w:tblPr/>
  </w:style>
  <w:style w:type="character" w:customStyle="1" w:styleId="Mention">
    <w:name w:val="Mention"/>
    <w:basedOn w:val="DefaultParagraphFont"/>
    <w:uiPriority w:val="99"/>
    <w:unhideWhenUsed/>
    <w:rsid w:val="00090520"/>
    <w:rPr>
      <w:color w:val="2B579A"/>
      <w:shd w:val="clear" w:color="auto" w:fill="E1DFDD"/>
    </w:rPr>
  </w:style>
  <w:style w:type="paragraph" w:customStyle="1" w:styleId="paragraph">
    <w:name w:val="paragraph"/>
    <w:basedOn w:val="Normal"/>
    <w:rsid w:val="00E2232B"/>
    <w:pPr>
      <w:spacing w:before="100" w:beforeAutospacing="1" w:after="100" w:afterAutospacing="1"/>
      <w:jc w:val="left"/>
    </w:pPr>
    <w:rPr>
      <w:rFonts w:eastAsia="Times New Roman"/>
      <w:lang w:val="en-IE" w:eastAsia="en-IE"/>
    </w:rPr>
  </w:style>
  <w:style w:type="character" w:customStyle="1" w:styleId="eop">
    <w:name w:val="eop"/>
    <w:basedOn w:val="DefaultParagraphFont"/>
    <w:rsid w:val="00E2232B"/>
  </w:style>
  <w:style w:type="character" w:customStyle="1" w:styleId="normaltextrun">
    <w:name w:val="normaltextrun"/>
    <w:basedOn w:val="DefaultParagraphFont"/>
    <w:rsid w:val="00E2232B"/>
  </w:style>
  <w:style w:type="character" w:customStyle="1" w:styleId="superscript">
    <w:name w:val="superscript"/>
    <w:basedOn w:val="DefaultParagraphFont"/>
    <w:uiPriority w:val="1"/>
    <w:rsid w:val="00A91210"/>
    <w:rPr>
      <w:rFonts w:asciiTheme="minorHAnsi" w:eastAsiaTheme="minorEastAsia" w:hAnsiTheme="minorHAnsi" w:cstheme="minorBidi"/>
      <w:sz w:val="22"/>
      <w:szCs w:val="22"/>
    </w:rPr>
  </w:style>
  <w:style w:type="paragraph" w:customStyle="1" w:styleId="EYBodytextwithparaspace">
    <w:name w:val="EY Body text (with para space)"/>
    <w:basedOn w:val="Normal"/>
    <w:link w:val="EYBodytextwithparaspaceChar"/>
    <w:qFormat/>
    <w:rsid w:val="00A91210"/>
    <w:pPr>
      <w:tabs>
        <w:tab w:val="num" w:pos="0"/>
      </w:tabs>
      <w:spacing w:before="120" w:after="120"/>
    </w:pPr>
    <w:rPr>
      <w:rFonts w:asciiTheme="minorHAnsi" w:eastAsia="Times New Roman" w:hAnsiTheme="minorHAnsi"/>
    </w:rPr>
  </w:style>
  <w:style w:type="character" w:customStyle="1" w:styleId="EYBodytextwithparaspaceChar">
    <w:name w:val="EY Body text (with para space) Char"/>
    <w:basedOn w:val="DefaultParagraphFont"/>
    <w:link w:val="EYBodytextwithparaspace"/>
    <w:rsid w:val="00A91210"/>
    <w:rPr>
      <w:rFonts w:eastAsia="Times New Roman" w:cs="Times New Roman"/>
      <w:sz w:val="24"/>
      <w:szCs w:val="24"/>
    </w:rPr>
  </w:style>
  <w:style w:type="paragraph" w:customStyle="1" w:styleId="EYBulletedList1">
    <w:name w:val="EY Bulleted List 1"/>
    <w:basedOn w:val="Normal"/>
    <w:uiPriority w:val="1"/>
    <w:qFormat/>
    <w:rsid w:val="00A91210"/>
    <w:pPr>
      <w:tabs>
        <w:tab w:val="num" w:pos="480"/>
      </w:tabs>
      <w:ind w:left="288" w:hanging="288"/>
    </w:pPr>
    <w:rPr>
      <w:rFonts w:asciiTheme="minorHAnsi" w:eastAsia="Times New Roman" w:hAnsiTheme="minorHAnsi"/>
    </w:rPr>
  </w:style>
  <w:style w:type="paragraph" w:customStyle="1" w:styleId="FootnoteTextEP-LC1">
    <w:name w:val="Footnote Text_EP-LC1"/>
    <w:basedOn w:val="Normal"/>
    <w:next w:val="FootnoteText"/>
    <w:uiPriority w:val="99"/>
    <w:unhideWhenUsed/>
    <w:qFormat/>
    <w:rsid w:val="00BC1195"/>
    <w:pPr>
      <w:spacing w:after="0"/>
    </w:pPr>
    <w:rPr>
      <w:rFonts w:eastAsia="MS Mincho"/>
      <w:sz w:val="20"/>
      <w:szCs w:val="20"/>
      <w:lang w:val="en-IE"/>
    </w:rPr>
  </w:style>
  <w:style w:type="character" w:customStyle="1" w:styleId="CommentTextChar1">
    <w:name w:val="Comment Text Char1"/>
    <w:basedOn w:val="DefaultParagraphFont"/>
    <w:uiPriority w:val="99"/>
    <w:rsid w:val="00BC1195"/>
    <w:rPr>
      <w:kern w:val="0"/>
      <w:sz w:val="20"/>
      <w:szCs w:val="20"/>
      <w:lang w:val="en-IE"/>
    </w:rPr>
  </w:style>
  <w:style w:type="paragraph" w:customStyle="1" w:styleId="SUPERSTegn">
    <w:name w:val="SUPERS Tegn"/>
    <w:aliases w:val="Footnote Reference Number Tegn,SUPERS Char Char Tegn,Footnote number Char Char Tegn,Footnote Char Char Tegn,Footnote symbol Char Char Tegn,Ref Char Char Tegn,de nota al pie Char Char Tegn"/>
    <w:basedOn w:val="Normal"/>
    <w:qFormat/>
    <w:rsid w:val="00CD39E4"/>
    <w:pPr>
      <w:spacing w:after="160" w:line="240" w:lineRule="exact"/>
      <w:jc w:val="left"/>
    </w:pPr>
    <w:rPr>
      <w:rFonts w:ascii="EYInterstate Light" w:eastAsia="Times New Roman" w:hAnsi="EYInterstate Light"/>
      <w:position w:val="6"/>
      <w:szCs w:val="20"/>
      <w:vertAlign w:val="superscript"/>
      <w:lang w:val="en-US"/>
    </w:rPr>
  </w:style>
  <w:style w:type="paragraph" w:styleId="NormalWeb">
    <w:name w:val="Normal (Web)"/>
    <w:basedOn w:val="Normal"/>
    <w:uiPriority w:val="99"/>
    <w:unhideWhenUsed/>
    <w:rsid w:val="00682299"/>
    <w:pPr>
      <w:spacing w:before="100" w:beforeAutospacing="1" w:after="100" w:afterAutospacing="1"/>
      <w:jc w:val="left"/>
    </w:pPr>
    <w:rPr>
      <w:rFonts w:eastAsia="Times New Roman"/>
      <w:lang w:val="en-IE" w:eastAsia="en-IE"/>
    </w:rPr>
  </w:style>
  <w:style w:type="paragraph" w:styleId="Caption">
    <w:name w:val="caption"/>
    <w:aliases w:val="Figures and Table caption,Caption (ALL),Caption - Centre Graphic,Caption (all),Inscription,Beschriftung Char Char Char,Beschriftung Char,Caption2,figura,figura1,figura2,ITT d,cp + Justified,Left:  2,5 cm,First ...,cp,ref,Fig &amp; Table Title,Ca,TF"/>
    <w:basedOn w:val="Normal"/>
    <w:next w:val="Normal"/>
    <w:link w:val="CaptionChar"/>
    <w:unhideWhenUsed/>
    <w:qFormat/>
    <w:rsid w:val="009D73CE"/>
    <w:pPr>
      <w:spacing w:after="200"/>
    </w:pPr>
    <w:rPr>
      <w:i/>
      <w:iCs/>
      <w:color w:val="1F497D" w:themeColor="text2"/>
      <w:sz w:val="18"/>
      <w:szCs w:val="18"/>
    </w:rPr>
  </w:style>
  <w:style w:type="character" w:customStyle="1" w:styleId="CaptionChar">
    <w:name w:val="Caption Char"/>
    <w:aliases w:val="Figures and Table caption Char,Caption (ALL) Char,Caption - Centre Graphic Char,Caption (all) Char,Inscription Char,Beschriftung Char Char Char Char,Beschriftung Char Char,Caption2 Char,figura Char,figura1 Char,figura2 Char,ITT d Char"/>
    <w:basedOn w:val="DefaultParagraphFont"/>
    <w:link w:val="Caption"/>
    <w:qFormat/>
    <w:rsid w:val="009D73CE"/>
    <w:rPr>
      <w:rFonts w:ascii="Times New Roman" w:hAnsi="Times New Roman" w:cs="Times New Roman"/>
      <w:i/>
      <w:iCs/>
      <w:color w:val="1F497D" w:themeColor="text2"/>
      <w:sz w:val="18"/>
      <w:szCs w:val="18"/>
    </w:rPr>
  </w:style>
  <w:style w:type="character" w:styleId="EndnoteReference">
    <w:name w:val="endnote reference"/>
    <w:basedOn w:val="DefaultParagraphFont"/>
    <w:uiPriority w:val="99"/>
    <w:semiHidden/>
    <w:unhideWhenUsed/>
    <w:rsid w:val="00B813D7"/>
    <w:rPr>
      <w:vertAlign w:val="superscript"/>
    </w:rPr>
  </w:style>
  <w:style w:type="paragraph" w:styleId="EndnoteText">
    <w:name w:val="endnote text"/>
    <w:basedOn w:val="Normal"/>
    <w:link w:val="EndnoteTextChar"/>
    <w:uiPriority w:val="99"/>
    <w:semiHidden/>
    <w:unhideWhenUsed/>
    <w:rsid w:val="00B813D7"/>
    <w:pPr>
      <w:spacing w:after="0"/>
      <w:ind w:left="284"/>
      <w:jc w:val="left"/>
    </w:pPr>
    <w:rPr>
      <w:rFonts w:asciiTheme="minorHAnsi" w:hAnsiTheme="minorHAnsi" w:cstheme="minorBidi"/>
      <w:kern w:val="2"/>
      <w:sz w:val="20"/>
      <w:szCs w:val="20"/>
      <w:lang w:val="en-IE"/>
    </w:rPr>
  </w:style>
  <w:style w:type="character" w:customStyle="1" w:styleId="EndnoteTextChar">
    <w:name w:val="Endnote Text Char"/>
    <w:basedOn w:val="DefaultParagraphFont"/>
    <w:link w:val="EndnoteText"/>
    <w:uiPriority w:val="99"/>
    <w:semiHidden/>
    <w:rsid w:val="00B813D7"/>
    <w:rPr>
      <w:kern w:val="2"/>
      <w:sz w:val="20"/>
      <w:szCs w:val="20"/>
      <w:lang w:val="en-IE"/>
    </w:rPr>
  </w:style>
  <w:style w:type="character" w:customStyle="1" w:styleId="BoldItalic">
    <w:name w:val="BoldItalic"/>
    <w:uiPriority w:val="1"/>
    <w:qFormat/>
    <w:rsid w:val="009C21E2"/>
    <w:rPr>
      <w:rFonts w:ascii="Times New Roman" w:hAnsi="Times New Roman"/>
      <w:b/>
      <w:i/>
    </w:rPr>
  </w:style>
  <w:style w:type="paragraph" w:customStyle="1" w:styleId="FootnoteReferenceNumber">
    <w:name w:val="Footnote Reference Number"/>
    <w:aliases w:val="SUPERS Char Char,Footnote number Char Char,Footnote Char Char,Footnote symbol Char Char,Ref Char Char,de nota al pie Char Char,de nota al pi... Char Char Char Char Char Char Char Char,Voetnootverwijzing Char Char"/>
    <w:basedOn w:val="Normal"/>
    <w:autoRedefine/>
    <w:rsid w:val="00220E5C"/>
    <w:pPr>
      <w:spacing w:after="160" w:line="240" w:lineRule="exact"/>
      <w:ind w:left="284"/>
      <w:jc w:val="left"/>
    </w:pPr>
    <w:rPr>
      <w:rFonts w:asciiTheme="minorHAnsi" w:hAnsiTheme="minorHAnsi" w:cstheme="minorBidi"/>
      <w:kern w:val="2"/>
      <w:sz w:val="22"/>
      <w:szCs w:val="22"/>
      <w:vertAlign w:val="superscript"/>
    </w:rPr>
  </w:style>
  <w:style w:type="character" w:styleId="Strong">
    <w:name w:val="Strong"/>
    <w:basedOn w:val="DefaultParagraphFont"/>
    <w:uiPriority w:val="22"/>
    <w:qFormat/>
    <w:rsid w:val="00082677"/>
    <w:rPr>
      <w:b/>
      <w:bCs/>
    </w:rPr>
  </w:style>
  <w:style w:type="paragraph" w:customStyle="1" w:styleId="EYBulletedList2">
    <w:name w:val="EY Bulleted List 2"/>
    <w:qFormat/>
    <w:rsid w:val="004C0DAA"/>
    <w:pPr>
      <w:spacing w:after="0" w:line="240" w:lineRule="auto"/>
      <w:ind w:left="648" w:hanging="360"/>
      <w:jc w:val="both"/>
    </w:pPr>
    <w:rPr>
      <w:rFonts w:eastAsia="Times New Roman" w:cs="Times New Roman"/>
      <w:kern w:val="12"/>
      <w:sz w:val="20"/>
      <w:szCs w:val="24"/>
      <w:lang w:val="en-US"/>
    </w:rPr>
  </w:style>
  <w:style w:type="paragraph" w:customStyle="1" w:styleId="EYBulletedList3">
    <w:name w:val="EY Bulleted List 3"/>
    <w:qFormat/>
    <w:rsid w:val="004C0DAA"/>
    <w:pPr>
      <w:spacing w:after="0" w:line="240" w:lineRule="auto"/>
      <w:ind w:left="936" w:hanging="360"/>
    </w:pPr>
    <w:rPr>
      <w:rFonts w:eastAsia="Times New Roman" w:cs="Times New Roman"/>
      <w:kern w:val="12"/>
      <w:sz w:val="20"/>
      <w:szCs w:val="24"/>
      <w:lang w:val="en-US"/>
    </w:rPr>
  </w:style>
  <w:style w:type="table" w:customStyle="1" w:styleId="Table-standardEY">
    <w:name w:val="Table - standard EY"/>
    <w:basedOn w:val="TableNormal"/>
    <w:rsid w:val="00DD204D"/>
    <w:pPr>
      <w:spacing w:before="60" w:after="60" w:line="240" w:lineRule="auto"/>
    </w:pPr>
    <w:rPr>
      <w:rFonts w:ascii="EYInterstate Light" w:eastAsia="Times New Roman" w:hAnsi="EYInterstate Light" w:cs="Times New Roman"/>
      <w:sz w:val="18"/>
      <w:szCs w:val="20"/>
      <w:lang w:val="fr-FR" w:eastAsia="fr-FR"/>
    </w:rPr>
    <w:tblPr/>
    <w:tblStylePr w:type="firstRow">
      <w:rPr>
        <w:rFonts w:ascii="Aptos Narrow" w:hAnsi="Aptos Narrow"/>
        <w:sz w:val="18"/>
      </w:rPr>
    </w:tblStylePr>
    <w:tblStylePr w:type="lastRow">
      <w:rPr>
        <w:rFonts w:ascii="Aptos Narrow" w:hAnsi="Aptos Narrow"/>
      </w:rPr>
    </w:tblStylePr>
  </w:style>
  <w:style w:type="paragraph" w:styleId="BodyText">
    <w:name w:val="Body Text"/>
    <w:basedOn w:val="Normal"/>
    <w:link w:val="BodyTextChar"/>
    <w:uiPriority w:val="99"/>
    <w:semiHidden/>
    <w:unhideWhenUsed/>
    <w:rsid w:val="00BE5D0F"/>
    <w:pPr>
      <w:spacing w:after="120"/>
    </w:pPr>
  </w:style>
  <w:style w:type="character" w:customStyle="1" w:styleId="BodyTextChar">
    <w:name w:val="Body Text Char"/>
    <w:basedOn w:val="DefaultParagraphFont"/>
    <w:link w:val="BodyText"/>
    <w:uiPriority w:val="99"/>
    <w:semiHidden/>
    <w:rsid w:val="00BE5D0F"/>
    <w:rPr>
      <w:rFonts w:ascii="Times New Roman" w:hAnsi="Times New Roman" w:cs="Times New Roman"/>
      <w:sz w:val="24"/>
      <w:szCs w:val="24"/>
    </w:rPr>
  </w:style>
  <w:style w:type="table" w:customStyle="1" w:styleId="Table-standard">
    <w:name w:val="Table - standard"/>
    <w:basedOn w:val="TableNormal"/>
    <w:rsid w:val="00EC25D5"/>
    <w:pPr>
      <w:spacing w:before="60" w:after="60" w:line="240" w:lineRule="auto"/>
    </w:pPr>
    <w:rPr>
      <w:rFonts w:ascii="EYInterstate Light" w:eastAsia="Times New Roman" w:hAnsi="EYInterstate Light" w:cs="Times New Roman"/>
      <w:sz w:val="18"/>
      <w:szCs w:val="20"/>
      <w:lang w:val="fr-FR" w:eastAsia="fr-FR"/>
    </w:rPr>
    <w:tblPr/>
    <w:tblStylePr w:type="firstRow">
      <w:rPr>
        <w:rFonts w:ascii="Aptos Narrow" w:hAnsi="Aptos Narrow"/>
        <w:sz w:val="18"/>
      </w:rPr>
    </w:tblStylePr>
    <w:tblStylePr w:type="lastRow">
      <w:rPr>
        <w:rFonts w:ascii="Aptos Narrow" w:hAnsi="Aptos Narrow"/>
      </w:rPr>
    </w:tblStylePr>
  </w:style>
  <w:style w:type="paragraph" w:styleId="TOC5">
    <w:name w:val="toc 5"/>
    <w:basedOn w:val="Normal"/>
    <w:next w:val="Normal"/>
    <w:autoRedefine/>
    <w:uiPriority w:val="39"/>
    <w:unhideWhenUsed/>
    <w:rsid w:val="00D03E5C"/>
    <w:pPr>
      <w:spacing w:after="100"/>
      <w:ind w:left="960"/>
    </w:pPr>
  </w:style>
  <w:style w:type="paragraph" w:customStyle="1" w:styleId="Abbberschrift">
    <w:name w:val="Abb_Überschrift"/>
    <w:basedOn w:val="Normal"/>
    <w:next w:val="Normal"/>
    <w:link w:val="AbbberschriftChar"/>
    <w:rsid w:val="00D03E5C"/>
    <w:pPr>
      <w:keepNext/>
      <w:spacing w:before="120" w:after="120" w:line="312" w:lineRule="atLeast"/>
      <w:ind w:left="1418" w:hanging="1418"/>
      <w:jc w:val="left"/>
    </w:pPr>
    <w:rPr>
      <w:rFonts w:ascii="Arial" w:eastAsia="Times New Roman" w:hAnsi="Arial"/>
      <w:sz w:val="22"/>
      <w:szCs w:val="20"/>
      <w:lang w:eastAsia="de-DE"/>
    </w:rPr>
  </w:style>
  <w:style w:type="character" w:customStyle="1" w:styleId="AbbberschriftChar">
    <w:name w:val="Abb_Überschrift Char"/>
    <w:basedOn w:val="DefaultParagraphFont"/>
    <w:link w:val="Abbberschrift"/>
    <w:rsid w:val="00D03E5C"/>
    <w:rPr>
      <w:rFonts w:ascii="Arial" w:eastAsia="Times New Roman" w:hAnsi="Arial" w:cs="Times New Roman"/>
      <w:szCs w:val="20"/>
      <w:lang w:eastAsia="de-DE"/>
    </w:rPr>
  </w:style>
  <w:style w:type="paragraph" w:customStyle="1" w:styleId="Quelle">
    <w:name w:val="Quelle"/>
    <w:basedOn w:val="Normal"/>
    <w:link w:val="QuelleChar"/>
    <w:qFormat/>
    <w:rsid w:val="00D03E5C"/>
    <w:pPr>
      <w:spacing w:before="120" w:after="360"/>
      <w:ind w:left="709" w:hanging="709"/>
    </w:pPr>
    <w:rPr>
      <w:rFonts w:ascii="Arial" w:eastAsia="Times New Roman" w:hAnsi="Arial"/>
      <w:sz w:val="18"/>
      <w:szCs w:val="20"/>
      <w:lang w:eastAsia="de-DE"/>
    </w:rPr>
  </w:style>
  <w:style w:type="character" w:customStyle="1" w:styleId="QuelleChar">
    <w:name w:val="Quelle Char"/>
    <w:link w:val="Quelle"/>
    <w:rsid w:val="00D03E5C"/>
    <w:rPr>
      <w:rFonts w:ascii="Arial" w:eastAsia="Times New Roman" w:hAnsi="Arial" w:cs="Times New Roman"/>
      <w:sz w:val="18"/>
      <w:szCs w:val="20"/>
      <w:lang w:eastAsia="de-DE"/>
    </w:rPr>
  </w:style>
  <w:style w:type="paragraph" w:customStyle="1" w:styleId="Tabberschrift">
    <w:name w:val="Tab_Überschrift"/>
    <w:basedOn w:val="Normal"/>
    <w:next w:val="Normal"/>
    <w:rsid w:val="00D03E5C"/>
    <w:pPr>
      <w:keepNext/>
      <w:spacing w:before="120" w:after="120"/>
      <w:ind w:left="1418" w:hanging="1418"/>
      <w:jc w:val="left"/>
    </w:pPr>
    <w:rPr>
      <w:rFonts w:ascii="Arial" w:eastAsia="Times New Roman" w:hAnsi="Arial"/>
      <w:sz w:val="22"/>
      <w:szCs w:val="20"/>
      <w:lang w:eastAsia="de-DE"/>
    </w:rPr>
  </w:style>
  <w:style w:type="paragraph" w:customStyle="1" w:styleId="bullettext">
    <w:name w:val="bullet text"/>
    <w:basedOn w:val="Normal"/>
    <w:link w:val="bullettextChar"/>
    <w:qFormat/>
    <w:rsid w:val="008010BB"/>
    <w:pPr>
      <w:numPr>
        <w:numId w:val="23"/>
      </w:numPr>
      <w:spacing w:before="120" w:after="120"/>
    </w:pPr>
    <w:rPr>
      <w:rFonts w:ascii="Arial" w:eastAsia="Times New Roman" w:hAnsi="Arial"/>
      <w:noProof/>
      <w:sz w:val="22"/>
    </w:rPr>
  </w:style>
  <w:style w:type="character" w:customStyle="1" w:styleId="bullettextChar">
    <w:name w:val="bullet text Char"/>
    <w:basedOn w:val="DefaultParagraphFont"/>
    <w:link w:val="bullettext"/>
    <w:rsid w:val="00D03E5C"/>
    <w:rPr>
      <w:rFonts w:ascii="Arial" w:eastAsia="Times New Roman" w:hAnsi="Arial" w:cs="Times New Roman"/>
      <w:noProof/>
      <w:szCs w:val="24"/>
    </w:rPr>
  </w:style>
  <w:style w:type="table" w:customStyle="1" w:styleId="6615newlarge">
    <w:name w:val="6615_new_large"/>
    <w:basedOn w:val="TableNormal"/>
    <w:uiPriority w:val="99"/>
    <w:rsid w:val="00D03E5C"/>
    <w:pPr>
      <w:spacing w:after="0" w:line="200" w:lineRule="atLeast"/>
    </w:pPr>
    <w:rPr>
      <w:rFonts w:ascii="Arial" w:hAnsi="Arial"/>
      <w:sz w:val="18"/>
      <w:lang w:val="de-DE"/>
    </w:rPr>
    <w:tblPr>
      <w:tblStyleRowBandSize w:val="1"/>
    </w:tblPr>
    <w:tcPr>
      <w:tcBorders>
        <w:bottom w:val="single" w:sz="18" w:space="0" w:color="FFFFFF" w:themeColor="background1"/>
      </w:tcBorders>
      <w:shd w:val="clear" w:color="auto" w:fill="E0E9F4"/>
      <w:noWrap/>
      <w:vAlign w:val="center"/>
    </w:tcPr>
    <w:tblStylePr w:type="firstRow">
      <w:pPr>
        <w:keepNext/>
        <w:widowControl/>
        <w:wordWrap/>
        <w:spacing w:beforeLines="0" w:before="0" w:beforeAutospacing="0" w:afterLines="0" w:after="0" w:afterAutospacing="0" w:line="240" w:lineRule="atLeast"/>
        <w:contextualSpacing w:val="0"/>
      </w:pPr>
      <w:rPr>
        <w:b/>
        <w:color w:val="FFFFFF" w:themeColor="background1"/>
      </w:rPr>
    </w:tblStylePr>
    <w:tblStylePr w:type="firstCol">
      <w:rPr>
        <w:b/>
        <w:color w:val="FFFFFF" w:themeColor="background1"/>
      </w:rPr>
    </w:tblStylePr>
    <w:tblStylePr w:type="band1Horz">
      <w:pPr>
        <w:keepNext/>
        <w:wordWrap/>
        <w:spacing w:beforeLines="0" w:before="0" w:beforeAutospacing="0" w:afterLines="0" w:after="0" w:afterAutospacing="0" w:line="240" w:lineRule="atLeast"/>
        <w:contextualSpacing w:val="0"/>
      </w:pPr>
    </w:tblStylePr>
    <w:tblStylePr w:type="band2Horz">
      <w:pPr>
        <w:keepNext/>
        <w:wordWrap/>
        <w:spacing w:beforeLines="0" w:before="0" w:beforeAutospacing="0" w:afterLines="0" w:after="0" w:afterAutospacing="0" w:line="240" w:lineRule="atLeast"/>
        <w:contextualSpacing w:val="0"/>
      </w:pPr>
    </w:tblStylePr>
  </w:style>
  <w:style w:type="paragraph" w:customStyle="1" w:styleId="Tabletext">
    <w:name w:val="Table text"/>
    <w:basedOn w:val="Normal"/>
    <w:uiPriority w:val="9"/>
    <w:qFormat/>
    <w:rsid w:val="00D03E5C"/>
    <w:pPr>
      <w:widowControl w:val="0"/>
      <w:spacing w:after="120"/>
      <w:jc w:val="left"/>
    </w:pPr>
    <w:rPr>
      <w:rFonts w:ascii="Arial" w:eastAsia="Times New Roman" w:hAnsi="Arial"/>
      <w:sz w:val="20"/>
      <w:szCs w:val="20"/>
      <w:lang w:eastAsia="de-DE"/>
    </w:rPr>
  </w:style>
  <w:style w:type="character" w:customStyle="1" w:styleId="CharChar1">
    <w:name w:val="Char Char1"/>
    <w:aliases w:val="Fußnote Char1,Carattere Char1,fn Char2,Footnotes Char2,Footnote ak Char1,Footnote Text Char Char Char1,fn Char Char Char1,footnote text Char Char Char1,Footnotes Char Char Char1,Footnote ak Char Char Char1,fn Char1 Char"/>
    <w:basedOn w:val="DefaultParagraphFont"/>
    <w:uiPriority w:val="99"/>
    <w:rsid w:val="00B01C66"/>
    <w:rPr>
      <w:sz w:val="20"/>
      <w:szCs w:val="20"/>
    </w:rPr>
  </w:style>
  <w:style w:type="table" w:customStyle="1" w:styleId="Table-standard2">
    <w:name w:val="Table - standard2"/>
    <w:basedOn w:val="TableNormal"/>
    <w:rsid w:val="00E12A5D"/>
    <w:pPr>
      <w:spacing w:before="60" w:after="60" w:line="240" w:lineRule="auto"/>
    </w:pPr>
    <w:rPr>
      <w:rFonts w:ascii="EYInterstate Light" w:eastAsia="Times New Roman" w:hAnsi="EYInterstate Light" w:cs="Times New Roman"/>
      <w:sz w:val="18"/>
      <w:szCs w:val="20"/>
      <w:lang w:val="fr-FR" w:eastAsia="fr-FR"/>
    </w:rPr>
    <w:tblPr/>
    <w:tblStylePr w:type="firstRow">
      <w:rPr>
        <w:rFonts w:ascii="Aptos Narrow" w:hAnsi="Aptos Narrow"/>
        <w:sz w:val="18"/>
      </w:rPr>
    </w:tblStylePr>
    <w:tblStylePr w:type="lastRow">
      <w:rPr>
        <w:rFonts w:ascii="Aptos Narrow" w:hAnsi="Aptos Narrow"/>
      </w:rPr>
    </w:tblStylePr>
  </w:style>
  <w:style w:type="table" w:customStyle="1" w:styleId="Table-standard3">
    <w:name w:val="Table - standard3"/>
    <w:basedOn w:val="TableNormal"/>
    <w:rsid w:val="00C908A6"/>
    <w:pPr>
      <w:spacing w:before="60" w:after="60" w:line="240" w:lineRule="auto"/>
    </w:pPr>
    <w:rPr>
      <w:rFonts w:ascii="EYInterstate Light" w:eastAsia="Times New Roman" w:hAnsi="EYInterstate Light" w:cs="Times New Roman"/>
      <w:sz w:val="18"/>
      <w:szCs w:val="20"/>
      <w:lang w:val="fr-FR" w:eastAsia="fr-FR"/>
    </w:rPr>
    <w:tblPr/>
    <w:tblStylePr w:type="firstRow">
      <w:rPr>
        <w:rFonts w:ascii="Aptos Narrow" w:hAnsi="Aptos Narrow"/>
        <w:sz w:val="18"/>
      </w:rPr>
    </w:tblStylePr>
    <w:tblStylePr w:type="lastRow">
      <w:rPr>
        <w:rFonts w:ascii="Aptos Narrow" w:hAnsi="Aptos Narrow"/>
      </w:rPr>
    </w:tblStylePr>
  </w:style>
  <w:style w:type="table" w:customStyle="1" w:styleId="Table-standard1">
    <w:name w:val="Table - standard1"/>
    <w:basedOn w:val="TableNormal"/>
    <w:rsid w:val="0062650C"/>
    <w:pPr>
      <w:spacing w:before="60" w:after="60" w:line="240" w:lineRule="auto"/>
    </w:pPr>
    <w:rPr>
      <w:rFonts w:ascii="EYInterstate Light" w:eastAsia="Times New Roman" w:hAnsi="EYInterstate Light" w:cs="Times New Roman"/>
      <w:sz w:val="18"/>
      <w:szCs w:val="20"/>
      <w:lang w:val="fr-FR" w:eastAsia="fr-FR"/>
    </w:rPr>
    <w:tblPr/>
    <w:tblStylePr w:type="firstRow">
      <w:rPr>
        <w:rFonts w:ascii="Aptos Narrow" w:hAnsi="Aptos Narrow"/>
        <w:sz w:val="18"/>
      </w:rPr>
    </w:tblStylePr>
    <w:tblStylePr w:type="lastRow">
      <w:rPr>
        <w:rFonts w:ascii="Aptos Narrow" w:hAnsi="Aptos Narrow"/>
      </w:rPr>
    </w:tblStylePr>
  </w:style>
  <w:style w:type="paragraph" w:styleId="TOC3">
    <w:name w:val="toc 3"/>
    <w:basedOn w:val="Normal"/>
    <w:next w:val="Normal"/>
    <w:autoRedefine/>
    <w:uiPriority w:val="39"/>
    <w:unhideWhenUsed/>
    <w:rsid w:val="00F57DAF"/>
    <w:pPr>
      <w:tabs>
        <w:tab w:val="left" w:pos="1200"/>
        <w:tab w:val="right" w:leader="dot" w:pos="8641"/>
        <w:tab w:val="right" w:leader="dot" w:pos="9602"/>
      </w:tabs>
      <w:spacing w:after="100" w:line="259" w:lineRule="auto"/>
      <w:ind w:left="440"/>
      <w:jc w:val="left"/>
    </w:pPr>
    <w:rPr>
      <w:rFonts w:eastAsia="Aptos"/>
      <w:noProof/>
      <w:sz w:val="22"/>
      <w:szCs w:val="22"/>
      <w:lang w:val="en-US"/>
    </w:rPr>
  </w:style>
  <w:style w:type="character" w:customStyle="1" w:styleId="ListParagraphChar6">
    <w:name w:val="List Paragraph Char6"/>
    <w:aliases w:val="Fiche List Paragraph Char6,Dot pt Char6,F5 List Paragraph Char6,List Paragraph1 Char6,No Spacing1 Char6,List Paragraph Char Char Char Char6,Indicator Text Char6,Numbered Para 1 Char6,Bullet Points Char6,MAIN CONTENT Char6,N Char5"/>
    <w:uiPriority w:val="34"/>
    <w:qFormat/>
    <w:locked/>
    <w:rsid w:val="00087BDC"/>
    <w:rPr>
      <w:rFonts w:ascii="Arial" w:hAnsi="Arial"/>
      <w:sz w:val="22"/>
    </w:rPr>
  </w:style>
  <w:style w:type="paragraph" w:customStyle="1" w:styleId="LegalNumPar">
    <w:name w:val="LegalNumPar"/>
    <w:basedOn w:val="Normal"/>
    <w:rsid w:val="00854278"/>
    <w:pPr>
      <w:numPr>
        <w:numId w:val="39"/>
      </w:numPr>
      <w:spacing w:line="360" w:lineRule="auto"/>
    </w:pPr>
  </w:style>
  <w:style w:type="paragraph" w:customStyle="1" w:styleId="LegalNumPar2">
    <w:name w:val="LegalNumPar2"/>
    <w:basedOn w:val="Normal"/>
    <w:rsid w:val="004416A9"/>
    <w:pPr>
      <w:numPr>
        <w:ilvl w:val="1"/>
        <w:numId w:val="39"/>
      </w:numPr>
      <w:spacing w:line="360" w:lineRule="auto"/>
    </w:pPr>
  </w:style>
  <w:style w:type="paragraph" w:customStyle="1" w:styleId="LegalNumPar3">
    <w:name w:val="LegalNumPar3"/>
    <w:basedOn w:val="Normal"/>
    <w:rsid w:val="004416A9"/>
    <w:pPr>
      <w:numPr>
        <w:ilvl w:val="2"/>
        <w:numId w:val="39"/>
      </w:numPr>
      <w:spacing w:line="360" w:lineRule="auto"/>
    </w:pPr>
  </w:style>
  <w:style w:type="paragraph" w:customStyle="1" w:styleId="Foonotetext">
    <w:name w:val="Foonote text"/>
    <w:basedOn w:val="Normal"/>
    <w:rsid w:val="00DE0879"/>
    <w:rPr>
      <w:sz w:val="20"/>
      <w:szCs w:val="20"/>
    </w:rPr>
  </w:style>
  <w:style w:type="paragraph" w:customStyle="1" w:styleId="StandardAbbildung">
    <w:name w:val="Standard Abbildung"/>
    <w:basedOn w:val="Normal"/>
    <w:next w:val="Quelle"/>
    <w:qFormat/>
    <w:rsid w:val="000634FD"/>
    <w:pPr>
      <w:keepNext/>
      <w:pBdr>
        <w:top w:val="single" w:sz="4" w:space="6" w:color="auto"/>
        <w:bottom w:val="single" w:sz="4" w:space="6" w:color="auto"/>
      </w:pBdr>
      <w:spacing w:after="0"/>
      <w:jc w:val="center"/>
    </w:pPr>
    <w:rPr>
      <w:rFonts w:ascii="Arial" w:eastAsia="Times New Roman" w:hAnsi="Arial"/>
      <w:sz w:val="22"/>
      <w:szCs w:val="20"/>
      <w:lang w:val="de-DE" w:eastAsia="de-DE"/>
    </w:rPr>
  </w:style>
  <w:style w:type="character" w:customStyle="1" w:styleId="ListParagraphChar9">
    <w:name w:val="List Paragraph Char9"/>
    <w:aliases w:val="Fiche List Paragraph Char9,Dot pt Char9,F5 List Paragraph Char9,List Paragraph1 Char9,No Spacing1 Char9,List Paragraph Char Char Char Char9,Indicator Text Char9,Numbered Para 1 Char9,Bullet Points Char9,MAIN CONTENT Char9,N Char8"/>
    <w:uiPriority w:val="34"/>
    <w:qFormat/>
    <w:locked/>
    <w:rsid w:val="00997718"/>
    <w:rPr>
      <w:rFonts w:ascii="Arial" w:hAnsi="Arial"/>
      <w:sz w:val="22"/>
    </w:rPr>
  </w:style>
  <w:style w:type="table" w:customStyle="1" w:styleId="TabelleWIKmitKopfzeileundSpalte">
    <w:name w:val="Tabelle WIK mit Kopfzeile und Spalte"/>
    <w:basedOn w:val="TableNormal"/>
    <w:uiPriority w:val="99"/>
    <w:rsid w:val="0067425E"/>
    <w:pPr>
      <w:spacing w:after="0" w:line="240" w:lineRule="auto"/>
    </w:pPr>
    <w:rPr>
      <w:rFonts w:ascii="Arial" w:hAnsi="Arial"/>
      <w:sz w:val="20"/>
      <w:lang w:val="de-DE"/>
    </w:rPr>
    <w:tblPr/>
    <w:tblStylePr w:type="firstRow">
      <w:rPr>
        <w:b w:val="0"/>
        <w:color w:val="FFFFFF" w:themeColor="background1"/>
      </w:rPr>
    </w:tblStylePr>
    <w:tblStylePr w:type="firstCol">
      <w:rPr>
        <w:b w:val="0"/>
        <w:color w:val="FFFFFF" w:themeColor="background1"/>
      </w:rPr>
    </w:tblStylePr>
  </w:style>
  <w:style w:type="table" w:customStyle="1" w:styleId="TabelleWIKmitKopfzeile">
    <w:name w:val="Tabelle WIK mit Kopfzeile"/>
    <w:basedOn w:val="TableNormal"/>
    <w:uiPriority w:val="99"/>
    <w:rsid w:val="00991449"/>
    <w:pPr>
      <w:spacing w:after="0" w:line="240" w:lineRule="auto"/>
    </w:pPr>
    <w:rPr>
      <w:rFonts w:ascii="Arial" w:hAnsi="Arial"/>
      <w:sz w:val="20"/>
      <w:lang w:val="de-DE"/>
    </w:rPr>
    <w:tblPr/>
    <w:tblStylePr w:type="firstRow">
      <w:rPr>
        <w:b w:val="0"/>
        <w:color w:val="FFFFFF" w:themeColor="background1"/>
      </w:rPr>
    </w:tblStylePr>
  </w:style>
  <w:style w:type="table" w:customStyle="1" w:styleId="TabelleWIKmitKopfzeile1">
    <w:name w:val="Tabelle WIK mit Kopfzeile1"/>
    <w:basedOn w:val="TableNormal"/>
    <w:uiPriority w:val="99"/>
    <w:rsid w:val="00991449"/>
    <w:pPr>
      <w:spacing w:after="0" w:line="240" w:lineRule="auto"/>
    </w:pPr>
    <w:rPr>
      <w:rFonts w:ascii="Arial" w:eastAsia="Calibri" w:hAnsi="Arial" w:cs="Times New Roman"/>
      <w:sz w:val="20"/>
      <w:lang w:val="de-DE"/>
      <w14:ligatures w14:val="standardContextual"/>
    </w:rPr>
    <w:tblPr/>
    <w:tblStylePr w:type="firstRow">
      <w:rPr>
        <w:b/>
        <w:color w:val="FFFFFF"/>
      </w:rPr>
    </w:tblStylePr>
  </w:style>
  <w:style w:type="table" w:customStyle="1" w:styleId="Tabellenraster3">
    <w:name w:val="Tabellenraster3"/>
    <w:basedOn w:val="TableNormal"/>
    <w:next w:val="TableGrid"/>
    <w:uiPriority w:val="39"/>
    <w:rsid w:val="00C04CF7"/>
    <w:pPr>
      <w:spacing w:after="0" w:line="240" w:lineRule="auto"/>
    </w:pPr>
    <w:rPr>
      <w:rFonts w:ascii="Aptos" w:eastAsia="Aptos" w:hAnsi="Aptos" w:cs="Times New Roman"/>
      <w:kern w:val="2"/>
      <w:sz w:val="24"/>
      <w:szCs w:val="24"/>
      <w:lang w:val="de-DE"/>
      <w14:ligatures w14:val="standardContextual"/>
    </w:rPr>
    <w:tblPr/>
  </w:style>
  <w:style w:type="paragraph" w:customStyle="1" w:styleId="Languesfaisantfoi">
    <w:name w:val="Langues faisant foi"/>
    <w:basedOn w:val="Normal"/>
    <w:next w:val="Normal"/>
    <w:rsid w:val="00A457F4"/>
    <w:pPr>
      <w:spacing w:before="360"/>
      <w:jc w:val="center"/>
    </w:pPr>
    <w:rPr>
      <w:szCs w:val="22"/>
    </w:rPr>
  </w:style>
  <w:style w:type="paragraph" w:customStyle="1" w:styleId="LanguesfaisantfoiPagedecouverture">
    <w:name w:val="Langues faisant foi (Page de couverture)"/>
    <w:basedOn w:val="Normal"/>
    <w:next w:val="Normal"/>
    <w:rsid w:val="00A457F4"/>
    <w:pPr>
      <w:spacing w:before="360"/>
      <w:jc w:val="center"/>
    </w:pPr>
    <w:rPr>
      <w:szCs w:val="22"/>
    </w:rPr>
  </w:style>
  <w:style w:type="paragraph" w:customStyle="1" w:styleId="IntrtEEE">
    <w:name w:val="Intérêt EEE"/>
    <w:basedOn w:val="Languesfaisantfoi"/>
    <w:next w:val="Normal"/>
    <w:rsid w:val="00A457F4"/>
    <w:pPr>
      <w:spacing w:after="0"/>
    </w:pPr>
  </w:style>
  <w:style w:type="paragraph" w:customStyle="1" w:styleId="IntrtEEEPagedecouverture">
    <w:name w:val="Intérêt EEE (Page de couverture)"/>
    <w:basedOn w:val="IntrtEEE"/>
    <w:next w:val="Normal"/>
    <w:rsid w:val="00A457F4"/>
  </w:style>
  <w:style w:type="numbering" w:customStyle="1" w:styleId="Heading1Capitalnumber">
    <w:name w:val="Heading 1 Capital number"/>
    <w:uiPriority w:val="99"/>
    <w:locked/>
    <w:rsid w:val="00764D31"/>
    <w:pPr>
      <w:numPr>
        <w:numId w:val="50"/>
      </w:numPr>
    </w:pPr>
  </w:style>
  <w:style w:type="character" w:customStyle="1" w:styleId="BalloonTextChar4">
    <w:name w:val="Balloon Text Char4"/>
    <w:basedOn w:val="DefaultParagraphFont"/>
    <w:uiPriority w:val="99"/>
    <w:semiHidden/>
    <w:rsid w:val="00A14CF8"/>
    <w:rPr>
      <w:rFonts w:ascii="Tahoma" w:hAnsi="Tahoma" w:cs="Tahoma"/>
      <w:sz w:val="16"/>
      <w:szCs w:val="16"/>
      <w:lang w:val="en-GB"/>
    </w:rPr>
  </w:style>
  <w:style w:type="character" w:customStyle="1" w:styleId="cf01">
    <w:name w:val="cf01"/>
    <w:basedOn w:val="DefaultParagraphFont"/>
    <w:rsid w:val="001B3F92"/>
    <w:rPr>
      <w:rFonts w:ascii="Segoe UI" w:hAnsi="Segoe UI" w:cs="Segoe UI" w:hint="default"/>
      <w:sz w:val="18"/>
      <w:szCs w:val="18"/>
    </w:rPr>
  </w:style>
  <w:style w:type="paragraph" w:customStyle="1" w:styleId="Randziffern">
    <w:name w:val="Randziffern"/>
    <w:basedOn w:val="Normal"/>
    <w:next w:val="Normal"/>
    <w:qFormat/>
    <w:rsid w:val="001B3F92"/>
    <w:pPr>
      <w:framePr w:h="737" w:hSpace="284" w:wrap="around" w:vAnchor="text" w:hAnchor="page" w:xAlign="outside" w:y="1"/>
      <w:numPr>
        <w:numId w:val="52"/>
      </w:numPr>
      <w:spacing w:after="160" w:line="259" w:lineRule="auto"/>
      <w:ind w:left="720" w:hanging="360"/>
      <w:jc w:val="center"/>
    </w:pPr>
    <w:rPr>
      <w:rFonts w:asciiTheme="minorHAnsi" w:hAnsiTheme="minorHAnsi" w:cstheme="minorBidi"/>
      <w:b/>
      <w:kern w:val="2"/>
      <w:sz w:val="18"/>
      <w:szCs w:val="22"/>
      <w14:ligatures w14:val="standardContextual"/>
    </w:rPr>
  </w:style>
  <w:style w:type="character" w:customStyle="1" w:styleId="Heading7Char">
    <w:name w:val="Heading 7 Char"/>
    <w:basedOn w:val="DefaultParagraphFont"/>
    <w:link w:val="Heading7"/>
    <w:uiPriority w:val="9"/>
    <w:rsid w:val="00233654"/>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rsid w:val="0023365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233654"/>
    <w:rPr>
      <w:rFonts w:asciiTheme="majorHAnsi" w:eastAsiaTheme="majorEastAsia" w:hAnsiTheme="majorHAnsi" w:cstheme="majorBidi"/>
      <w:i/>
      <w:iCs/>
      <w:color w:val="272727" w:themeColor="text1" w:themeTint="D8"/>
      <w:sz w:val="21"/>
      <w:szCs w:val="21"/>
    </w:rPr>
  </w:style>
  <w:style w:type="table" w:customStyle="1" w:styleId="TabelleWIKmitKopfzeile2">
    <w:name w:val="Tabelle WIK mit Kopfzeile2"/>
    <w:basedOn w:val="TableNormal"/>
    <w:uiPriority w:val="99"/>
    <w:rsid w:val="004169E9"/>
    <w:pPr>
      <w:spacing w:after="0" w:line="240" w:lineRule="auto"/>
    </w:pPr>
    <w:rPr>
      <w:rFonts w:ascii="Arial" w:eastAsia="Calibri" w:hAnsi="Arial" w:cs="Times New Roman"/>
      <w:sz w:val="20"/>
      <w:lang w:val="de-DE"/>
    </w:rPr>
    <w:tblPr>
      <w:tblStyleRowBandSize w:val="1"/>
    </w:tblPr>
    <w:tcPr>
      <w:shd w:val="clear" w:color="auto" w:fill="CDD4DF"/>
      <w:vAlign w:val="center"/>
    </w:tcPr>
    <w:tblStylePr w:type="firstRow">
      <w:rPr>
        <w:b w:val="0"/>
        <w:color w:val="FFFFFF"/>
      </w:rPr>
      <w:tblPr/>
      <w:tcPr>
        <w:shd w:val="clear" w:color="auto" w:fill="1E4E79"/>
      </w:tcPr>
    </w:tblStylePr>
    <w:tblStylePr w:type="band2Horz">
      <w:tblPr/>
      <w:tcPr>
        <w:tcBorders>
          <w:insideH w:val="single" w:sz="8" w:space="0" w:color="FFFFFF"/>
          <w:insideV w:val="single" w:sz="8" w:space="0" w:color="FFFFFF"/>
        </w:tcBorders>
        <w:shd w:val="clear" w:color="auto" w:fill="EEF0F4"/>
      </w:tcPr>
    </w:tblStylePr>
  </w:style>
  <w:style w:type="table" w:styleId="PlainTable2">
    <w:name w:val="Plain Table 2"/>
    <w:basedOn w:val="TableNormal"/>
    <w:uiPriority w:val="42"/>
    <w:rsid w:val="001F1B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1">
    <w:name w:val="Grid Table 1 Light Accent 1"/>
    <w:basedOn w:val="TableNormal"/>
    <w:uiPriority w:val="46"/>
    <w:rsid w:val="001F1B40"/>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D912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D912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275491"/>
    <w:pPr>
      <w:spacing w:after="0" w:line="240" w:lineRule="auto"/>
    </w:pPr>
    <w:rPr>
      <w:rFonts w:ascii="Calibri" w:eastAsia="Calibri" w:hAnsi="Calibri" w:cs="Arial"/>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WIKmitKopfzeileundSpalte1">
    <w:name w:val="Tabelle WIK mit Kopfzeile und Spalte1"/>
    <w:basedOn w:val="TableNormal"/>
    <w:uiPriority w:val="99"/>
    <w:rsid w:val="00275491"/>
    <w:pPr>
      <w:spacing w:after="0" w:line="240" w:lineRule="auto"/>
    </w:pPr>
    <w:rPr>
      <w:rFonts w:ascii="Arial" w:hAnsi="Arial"/>
      <w:sz w:val="20"/>
      <w:lang w:val="de-DE"/>
    </w:rPr>
    <w:tblPr>
      <w:tblStyleRowBandSize w:val="1"/>
    </w:tblPr>
    <w:tcPr>
      <w:shd w:val="clear" w:color="auto" w:fill="CDD4DF"/>
      <w:vAlign w:val="center"/>
    </w:tcPr>
    <w:tblStylePr w:type="firstRow">
      <w:rPr>
        <w:b/>
        <w:color w:val="FFFFFF"/>
      </w:rPr>
      <w:tblPr/>
      <w:tcPr>
        <w:shd w:val="clear" w:color="auto" w:fill="1E4E79"/>
      </w:tcPr>
    </w:tblStylePr>
    <w:tblStylePr w:type="firstCol">
      <w:rPr>
        <w:color w:val="FFFFFF"/>
      </w:rPr>
      <w:tblPr/>
      <w:tcPr>
        <w:shd w:val="clear" w:color="auto" w:fill="1E4E79"/>
      </w:tcPr>
    </w:tblStylePr>
  </w:style>
  <w:style w:type="paragraph" w:customStyle="1" w:styleId="Spiegelstrichnotbarrier-free">
    <w:name w:val="Spiegelstrich (not barrier-free)"/>
    <w:basedOn w:val="Normal"/>
    <w:qFormat/>
    <w:rsid w:val="003F5807"/>
    <w:pPr>
      <w:numPr>
        <w:numId w:val="64"/>
      </w:numPr>
      <w:tabs>
        <w:tab w:val="left" w:pos="357"/>
      </w:tabs>
      <w:spacing w:after="160" w:line="259" w:lineRule="auto"/>
      <w:jc w:val="left"/>
    </w:pPr>
    <w:rPr>
      <w:rFonts w:asciiTheme="minorHAnsi" w:hAnsiTheme="minorHAnsi" w:cstheme="minorBidi"/>
      <w:kern w:val="2"/>
      <w:sz w:val="22"/>
      <w:szCs w:val="22"/>
      <w14:ligatures w14:val="standardContextual"/>
    </w:rPr>
  </w:style>
  <w:style w:type="character" w:customStyle="1" w:styleId="ListParagraphChar11">
    <w:name w:val="List Paragraph Char11"/>
    <w:aliases w:val="Fiche List Paragraph Char11,Dot pt Char11,F5 List Paragraph Char11,List Paragraph1 Char11,No Spacing1 Char11,List Paragraph Char Char Char Char11,Indicator Text Char11,Numbered Para 1 Char11,Bullet Points Char11,MAIN CONTENT Char11"/>
    <w:uiPriority w:val="34"/>
    <w:qFormat/>
    <w:locked/>
    <w:rsid w:val="00AE60FE"/>
    <w:rPr>
      <w:rFonts w:ascii="Arial" w:hAnsi="Arial"/>
      <w:sz w:val="22"/>
    </w:rPr>
  </w:style>
  <w:style w:type="paragraph" w:customStyle="1" w:styleId="ungerKopfzeile">
    <w:name w:val="unger. Kopfzeile"/>
    <w:basedOn w:val="Normal"/>
    <w:rsid w:val="003D3B1B"/>
    <w:pPr>
      <w:tabs>
        <w:tab w:val="center" w:pos="4253"/>
        <w:tab w:val="right" w:pos="8505"/>
      </w:tabs>
      <w:spacing w:after="480" w:line="259" w:lineRule="auto"/>
      <w:jc w:val="left"/>
    </w:pPr>
    <w:rPr>
      <w:rFonts w:asciiTheme="minorHAnsi" w:hAnsiTheme="minorHAnsi" w:cstheme="minorBidi"/>
      <w:kern w:val="2"/>
      <w:sz w:val="22"/>
      <w:szCs w:val="22"/>
      <w14:ligatures w14:val="standardContextual"/>
    </w:rPr>
  </w:style>
  <w:style w:type="paragraph" w:customStyle="1" w:styleId="ListeSpiegelstrich">
    <w:name w:val="Liste Spiegelstrich"/>
    <w:basedOn w:val="ListParagraph"/>
    <w:qFormat/>
    <w:rsid w:val="003F5807"/>
    <w:pPr>
      <w:numPr>
        <w:numId w:val="66"/>
      </w:numPr>
      <w:spacing w:after="160" w:line="259" w:lineRule="auto"/>
      <w:ind w:left="1440"/>
      <w:contextualSpacing w:val="0"/>
      <w:jc w:val="left"/>
    </w:pPr>
    <w:rPr>
      <w:rFonts w:asciiTheme="minorHAnsi" w:hAnsiTheme="minorHAnsi" w:cstheme="minorBidi"/>
      <w:kern w:val="2"/>
      <w:sz w:val="22"/>
      <w:szCs w:val="22"/>
      <w14:ligatures w14:val="standardContextual"/>
    </w:rPr>
  </w:style>
  <w:style w:type="table" w:styleId="GridTable1Light">
    <w:name w:val="Grid Table 1 Light"/>
    <w:basedOn w:val="TableNormal"/>
    <w:uiPriority w:val="46"/>
    <w:rsid w:val="00BA75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TableNormal"/>
    <w:next w:val="GridTable1Light"/>
    <w:uiPriority w:val="46"/>
    <w:rsid w:val="008237C2"/>
    <w:pPr>
      <w:spacing w:after="0" w:line="240" w:lineRule="auto"/>
    </w:pPr>
    <w:rPr>
      <w:kern w:val="2"/>
      <w:sz w:val="24"/>
      <w:szCs w:val="24"/>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11">
    <w:name w:val="Table_11"/>
    <w:next w:val="TableGrid"/>
    <w:uiPriority w:val="39"/>
    <w:rsid w:val="00EC23D1"/>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12">
    <w:name w:val="Table_12"/>
    <w:next w:val="TableGrid"/>
    <w:uiPriority w:val="39"/>
    <w:rsid w:val="001F78E4"/>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4B6FC1"/>
    <w:pPr>
      <w:spacing w:after="100" w:line="278" w:lineRule="auto"/>
      <w:ind w:left="720"/>
      <w:jc w:val="left"/>
    </w:pPr>
    <w:rPr>
      <w:rFonts w:asciiTheme="minorHAnsi" w:eastAsiaTheme="minorEastAsia" w:hAnsiTheme="minorHAnsi" w:cstheme="minorBidi"/>
      <w:kern w:val="2"/>
      <w:lang w:val="en-IE" w:eastAsia="en-IE"/>
      <w14:ligatures w14:val="standardContextual"/>
    </w:rPr>
  </w:style>
  <w:style w:type="paragraph" w:styleId="TOC6">
    <w:name w:val="toc 6"/>
    <w:basedOn w:val="Normal"/>
    <w:next w:val="Normal"/>
    <w:autoRedefine/>
    <w:uiPriority w:val="39"/>
    <w:unhideWhenUsed/>
    <w:rsid w:val="004B6FC1"/>
    <w:pPr>
      <w:spacing w:after="100" w:line="278" w:lineRule="auto"/>
      <w:ind w:left="1200"/>
      <w:jc w:val="left"/>
    </w:pPr>
    <w:rPr>
      <w:rFonts w:asciiTheme="minorHAnsi" w:eastAsiaTheme="minorEastAsia" w:hAnsiTheme="minorHAnsi" w:cstheme="minorBidi"/>
      <w:kern w:val="2"/>
      <w:lang w:val="en-IE" w:eastAsia="en-IE"/>
      <w14:ligatures w14:val="standardContextual"/>
    </w:rPr>
  </w:style>
  <w:style w:type="paragraph" w:styleId="TOC7">
    <w:name w:val="toc 7"/>
    <w:basedOn w:val="Normal"/>
    <w:next w:val="Normal"/>
    <w:autoRedefine/>
    <w:uiPriority w:val="39"/>
    <w:unhideWhenUsed/>
    <w:rsid w:val="004B6FC1"/>
    <w:pPr>
      <w:spacing w:after="100" w:line="278" w:lineRule="auto"/>
      <w:ind w:left="1440"/>
      <w:jc w:val="left"/>
    </w:pPr>
    <w:rPr>
      <w:rFonts w:asciiTheme="minorHAnsi" w:eastAsiaTheme="minorEastAsia" w:hAnsiTheme="minorHAnsi" w:cstheme="minorBidi"/>
      <w:kern w:val="2"/>
      <w:lang w:val="en-IE" w:eastAsia="en-IE"/>
      <w14:ligatures w14:val="standardContextual"/>
    </w:rPr>
  </w:style>
  <w:style w:type="paragraph" w:styleId="TOC8">
    <w:name w:val="toc 8"/>
    <w:basedOn w:val="Normal"/>
    <w:next w:val="Normal"/>
    <w:autoRedefine/>
    <w:uiPriority w:val="39"/>
    <w:unhideWhenUsed/>
    <w:rsid w:val="004B6FC1"/>
    <w:pPr>
      <w:spacing w:after="100" w:line="278" w:lineRule="auto"/>
      <w:ind w:left="1680"/>
      <w:jc w:val="left"/>
    </w:pPr>
    <w:rPr>
      <w:rFonts w:asciiTheme="minorHAnsi" w:eastAsiaTheme="minorEastAsia" w:hAnsiTheme="minorHAnsi" w:cstheme="minorBidi"/>
      <w:kern w:val="2"/>
      <w:lang w:val="en-IE" w:eastAsia="en-IE"/>
      <w14:ligatures w14:val="standardContextual"/>
    </w:rPr>
  </w:style>
  <w:style w:type="paragraph" w:styleId="TOC9">
    <w:name w:val="toc 9"/>
    <w:basedOn w:val="Normal"/>
    <w:next w:val="Normal"/>
    <w:autoRedefine/>
    <w:uiPriority w:val="39"/>
    <w:unhideWhenUsed/>
    <w:rsid w:val="004B6FC1"/>
    <w:pPr>
      <w:spacing w:after="100" w:line="278" w:lineRule="auto"/>
      <w:ind w:left="1920"/>
      <w:jc w:val="left"/>
    </w:pPr>
    <w:rPr>
      <w:rFonts w:asciiTheme="minorHAnsi" w:eastAsiaTheme="minorEastAsia" w:hAnsiTheme="minorHAnsi" w:cstheme="minorBidi"/>
      <w:kern w:val="2"/>
      <w:lang w:val="en-IE" w:eastAsia="en-IE"/>
      <w14:ligatures w14:val="standardContextual"/>
    </w:rPr>
  </w:style>
  <w:style w:type="paragraph" w:customStyle="1" w:styleId="footnote">
    <w:name w:val="footnote"/>
    <w:basedOn w:val="FootnoteText"/>
    <w:link w:val="footnoteChar"/>
    <w:qFormat/>
    <w:rsid w:val="002C733F"/>
    <w:pPr>
      <w:ind w:left="426"/>
    </w:pPr>
  </w:style>
  <w:style w:type="character" w:customStyle="1" w:styleId="footnoteChar">
    <w:name w:val="footnote Char"/>
    <w:basedOn w:val="FootnoteTextChar"/>
    <w:link w:val="footnote"/>
    <w:rsid w:val="002C733F"/>
    <w:rPr>
      <w:rFonts w:ascii="Times New Roman" w:eastAsiaTheme="minorEastAsia" w:hAnsi="Times New Roman" w:cs="Times New Roman"/>
      <w:sz w:val="20"/>
      <w:szCs w:val="20"/>
    </w:rPr>
  </w:style>
  <w:style w:type="paragraph" w:customStyle="1" w:styleId="p1">
    <w:name w:val="p1"/>
    <w:basedOn w:val="Normal"/>
    <w:rsid w:val="00BA610A"/>
    <w:pPr>
      <w:spacing w:before="100" w:beforeAutospacing="1" w:after="100" w:afterAutospacing="1"/>
      <w:jc w:val="left"/>
    </w:pPr>
    <w:rPr>
      <w:rFonts w:ascii="Aptos" w:hAnsi="Aptos" w:cs="Aptos"/>
      <w:lang w:val="en-IE" w:eastAsia="en-IE"/>
    </w:rPr>
  </w:style>
  <w:style w:type="character" w:customStyle="1" w:styleId="s1">
    <w:name w:val="s1"/>
    <w:basedOn w:val="DefaultParagraphFont"/>
    <w:rsid w:val="00BA610A"/>
  </w:style>
  <w:style w:type="numbering" w:styleId="111111">
    <w:name w:val="Outline List 2"/>
    <w:basedOn w:val="NoList"/>
    <w:uiPriority w:val="99"/>
    <w:semiHidden/>
    <w:unhideWhenUsed/>
    <w:rsid w:val="00776046"/>
    <w:pPr>
      <w:numPr>
        <w:numId w:val="102"/>
      </w:numPr>
    </w:pPr>
  </w:style>
  <w:style w:type="table" w:customStyle="1" w:styleId="template1">
    <w:name w:val="template1"/>
    <w:basedOn w:val="TableNormal"/>
    <w:next w:val="TableGrid"/>
    <w:uiPriority w:val="39"/>
    <w:qFormat/>
    <w:rsid w:val="00BE226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87">
      <w:bodyDiv w:val="1"/>
      <w:marLeft w:val="0"/>
      <w:marRight w:val="0"/>
      <w:marTop w:val="0"/>
      <w:marBottom w:val="0"/>
      <w:divBdr>
        <w:top w:val="none" w:sz="0" w:space="0" w:color="auto"/>
        <w:left w:val="none" w:sz="0" w:space="0" w:color="auto"/>
        <w:bottom w:val="none" w:sz="0" w:space="0" w:color="auto"/>
        <w:right w:val="none" w:sz="0" w:space="0" w:color="auto"/>
      </w:divBdr>
    </w:div>
    <w:div w:id="13768577">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5645443">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34275499">
      <w:bodyDiv w:val="1"/>
      <w:marLeft w:val="0"/>
      <w:marRight w:val="0"/>
      <w:marTop w:val="0"/>
      <w:marBottom w:val="0"/>
      <w:divBdr>
        <w:top w:val="none" w:sz="0" w:space="0" w:color="auto"/>
        <w:left w:val="none" w:sz="0" w:space="0" w:color="auto"/>
        <w:bottom w:val="none" w:sz="0" w:space="0" w:color="auto"/>
        <w:right w:val="none" w:sz="0" w:space="0" w:color="auto"/>
      </w:divBdr>
      <w:divsChild>
        <w:div w:id="50689387">
          <w:marLeft w:val="0"/>
          <w:marRight w:val="0"/>
          <w:marTop w:val="0"/>
          <w:marBottom w:val="0"/>
          <w:divBdr>
            <w:top w:val="none" w:sz="0" w:space="0" w:color="auto"/>
            <w:left w:val="none" w:sz="0" w:space="0" w:color="auto"/>
            <w:bottom w:val="none" w:sz="0" w:space="0" w:color="auto"/>
            <w:right w:val="none" w:sz="0" w:space="0" w:color="auto"/>
          </w:divBdr>
          <w:divsChild>
            <w:div w:id="1950894939">
              <w:marLeft w:val="0"/>
              <w:marRight w:val="0"/>
              <w:marTop w:val="0"/>
              <w:marBottom w:val="0"/>
              <w:divBdr>
                <w:top w:val="none" w:sz="0" w:space="0" w:color="auto"/>
                <w:left w:val="none" w:sz="0" w:space="0" w:color="auto"/>
                <w:bottom w:val="none" w:sz="0" w:space="0" w:color="auto"/>
                <w:right w:val="none" w:sz="0" w:space="0" w:color="auto"/>
              </w:divBdr>
            </w:div>
          </w:divsChild>
        </w:div>
        <w:div w:id="243421165">
          <w:marLeft w:val="0"/>
          <w:marRight w:val="0"/>
          <w:marTop w:val="0"/>
          <w:marBottom w:val="0"/>
          <w:divBdr>
            <w:top w:val="none" w:sz="0" w:space="0" w:color="auto"/>
            <w:left w:val="none" w:sz="0" w:space="0" w:color="auto"/>
            <w:bottom w:val="none" w:sz="0" w:space="0" w:color="auto"/>
            <w:right w:val="none" w:sz="0" w:space="0" w:color="auto"/>
          </w:divBdr>
          <w:divsChild>
            <w:div w:id="362288597">
              <w:marLeft w:val="0"/>
              <w:marRight w:val="0"/>
              <w:marTop w:val="0"/>
              <w:marBottom w:val="0"/>
              <w:divBdr>
                <w:top w:val="none" w:sz="0" w:space="0" w:color="auto"/>
                <w:left w:val="none" w:sz="0" w:space="0" w:color="auto"/>
                <w:bottom w:val="none" w:sz="0" w:space="0" w:color="auto"/>
                <w:right w:val="none" w:sz="0" w:space="0" w:color="auto"/>
              </w:divBdr>
            </w:div>
          </w:divsChild>
        </w:div>
        <w:div w:id="245504077">
          <w:marLeft w:val="0"/>
          <w:marRight w:val="0"/>
          <w:marTop w:val="0"/>
          <w:marBottom w:val="0"/>
          <w:divBdr>
            <w:top w:val="none" w:sz="0" w:space="0" w:color="auto"/>
            <w:left w:val="none" w:sz="0" w:space="0" w:color="auto"/>
            <w:bottom w:val="none" w:sz="0" w:space="0" w:color="auto"/>
            <w:right w:val="none" w:sz="0" w:space="0" w:color="auto"/>
          </w:divBdr>
          <w:divsChild>
            <w:div w:id="296960272">
              <w:marLeft w:val="0"/>
              <w:marRight w:val="0"/>
              <w:marTop w:val="0"/>
              <w:marBottom w:val="0"/>
              <w:divBdr>
                <w:top w:val="none" w:sz="0" w:space="0" w:color="auto"/>
                <w:left w:val="none" w:sz="0" w:space="0" w:color="auto"/>
                <w:bottom w:val="none" w:sz="0" w:space="0" w:color="auto"/>
                <w:right w:val="none" w:sz="0" w:space="0" w:color="auto"/>
              </w:divBdr>
            </w:div>
          </w:divsChild>
        </w:div>
        <w:div w:id="944459887">
          <w:marLeft w:val="0"/>
          <w:marRight w:val="0"/>
          <w:marTop w:val="0"/>
          <w:marBottom w:val="0"/>
          <w:divBdr>
            <w:top w:val="none" w:sz="0" w:space="0" w:color="auto"/>
            <w:left w:val="none" w:sz="0" w:space="0" w:color="auto"/>
            <w:bottom w:val="none" w:sz="0" w:space="0" w:color="auto"/>
            <w:right w:val="none" w:sz="0" w:space="0" w:color="auto"/>
          </w:divBdr>
          <w:divsChild>
            <w:div w:id="674115779">
              <w:marLeft w:val="0"/>
              <w:marRight w:val="0"/>
              <w:marTop w:val="0"/>
              <w:marBottom w:val="0"/>
              <w:divBdr>
                <w:top w:val="none" w:sz="0" w:space="0" w:color="auto"/>
                <w:left w:val="none" w:sz="0" w:space="0" w:color="auto"/>
                <w:bottom w:val="none" w:sz="0" w:space="0" w:color="auto"/>
                <w:right w:val="none" w:sz="0" w:space="0" w:color="auto"/>
              </w:divBdr>
            </w:div>
          </w:divsChild>
        </w:div>
        <w:div w:id="1132479132">
          <w:marLeft w:val="0"/>
          <w:marRight w:val="0"/>
          <w:marTop w:val="0"/>
          <w:marBottom w:val="0"/>
          <w:divBdr>
            <w:top w:val="none" w:sz="0" w:space="0" w:color="auto"/>
            <w:left w:val="none" w:sz="0" w:space="0" w:color="auto"/>
            <w:bottom w:val="none" w:sz="0" w:space="0" w:color="auto"/>
            <w:right w:val="none" w:sz="0" w:space="0" w:color="auto"/>
          </w:divBdr>
          <w:divsChild>
            <w:div w:id="455951213">
              <w:marLeft w:val="0"/>
              <w:marRight w:val="0"/>
              <w:marTop w:val="0"/>
              <w:marBottom w:val="0"/>
              <w:divBdr>
                <w:top w:val="none" w:sz="0" w:space="0" w:color="auto"/>
                <w:left w:val="none" w:sz="0" w:space="0" w:color="auto"/>
                <w:bottom w:val="none" w:sz="0" w:space="0" w:color="auto"/>
                <w:right w:val="none" w:sz="0" w:space="0" w:color="auto"/>
              </w:divBdr>
            </w:div>
          </w:divsChild>
        </w:div>
        <w:div w:id="1204052583">
          <w:marLeft w:val="0"/>
          <w:marRight w:val="0"/>
          <w:marTop w:val="0"/>
          <w:marBottom w:val="0"/>
          <w:divBdr>
            <w:top w:val="none" w:sz="0" w:space="0" w:color="auto"/>
            <w:left w:val="none" w:sz="0" w:space="0" w:color="auto"/>
            <w:bottom w:val="none" w:sz="0" w:space="0" w:color="auto"/>
            <w:right w:val="none" w:sz="0" w:space="0" w:color="auto"/>
          </w:divBdr>
          <w:divsChild>
            <w:div w:id="794566970">
              <w:marLeft w:val="0"/>
              <w:marRight w:val="0"/>
              <w:marTop w:val="0"/>
              <w:marBottom w:val="0"/>
              <w:divBdr>
                <w:top w:val="none" w:sz="0" w:space="0" w:color="auto"/>
                <w:left w:val="none" w:sz="0" w:space="0" w:color="auto"/>
                <w:bottom w:val="none" w:sz="0" w:space="0" w:color="auto"/>
                <w:right w:val="none" w:sz="0" w:space="0" w:color="auto"/>
              </w:divBdr>
            </w:div>
          </w:divsChild>
        </w:div>
        <w:div w:id="1360085574">
          <w:marLeft w:val="0"/>
          <w:marRight w:val="0"/>
          <w:marTop w:val="0"/>
          <w:marBottom w:val="0"/>
          <w:divBdr>
            <w:top w:val="none" w:sz="0" w:space="0" w:color="auto"/>
            <w:left w:val="none" w:sz="0" w:space="0" w:color="auto"/>
            <w:bottom w:val="none" w:sz="0" w:space="0" w:color="auto"/>
            <w:right w:val="none" w:sz="0" w:space="0" w:color="auto"/>
          </w:divBdr>
          <w:divsChild>
            <w:div w:id="1448425258">
              <w:marLeft w:val="0"/>
              <w:marRight w:val="0"/>
              <w:marTop w:val="0"/>
              <w:marBottom w:val="0"/>
              <w:divBdr>
                <w:top w:val="none" w:sz="0" w:space="0" w:color="auto"/>
                <w:left w:val="none" w:sz="0" w:space="0" w:color="auto"/>
                <w:bottom w:val="none" w:sz="0" w:space="0" w:color="auto"/>
                <w:right w:val="none" w:sz="0" w:space="0" w:color="auto"/>
              </w:divBdr>
            </w:div>
          </w:divsChild>
        </w:div>
        <w:div w:id="1812283494">
          <w:marLeft w:val="0"/>
          <w:marRight w:val="0"/>
          <w:marTop w:val="0"/>
          <w:marBottom w:val="0"/>
          <w:divBdr>
            <w:top w:val="none" w:sz="0" w:space="0" w:color="auto"/>
            <w:left w:val="none" w:sz="0" w:space="0" w:color="auto"/>
            <w:bottom w:val="none" w:sz="0" w:space="0" w:color="auto"/>
            <w:right w:val="none" w:sz="0" w:space="0" w:color="auto"/>
          </w:divBdr>
          <w:divsChild>
            <w:div w:id="13122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8390">
      <w:bodyDiv w:val="1"/>
      <w:marLeft w:val="0"/>
      <w:marRight w:val="0"/>
      <w:marTop w:val="0"/>
      <w:marBottom w:val="0"/>
      <w:divBdr>
        <w:top w:val="none" w:sz="0" w:space="0" w:color="auto"/>
        <w:left w:val="none" w:sz="0" w:space="0" w:color="auto"/>
        <w:bottom w:val="none" w:sz="0" w:space="0" w:color="auto"/>
        <w:right w:val="none" w:sz="0" w:space="0" w:color="auto"/>
      </w:divBdr>
    </w:div>
    <w:div w:id="85422899">
      <w:bodyDiv w:val="1"/>
      <w:marLeft w:val="0"/>
      <w:marRight w:val="0"/>
      <w:marTop w:val="0"/>
      <w:marBottom w:val="0"/>
      <w:divBdr>
        <w:top w:val="none" w:sz="0" w:space="0" w:color="auto"/>
        <w:left w:val="none" w:sz="0" w:space="0" w:color="auto"/>
        <w:bottom w:val="none" w:sz="0" w:space="0" w:color="auto"/>
        <w:right w:val="none" w:sz="0" w:space="0" w:color="auto"/>
      </w:divBdr>
    </w:div>
    <w:div w:id="88814416">
      <w:bodyDiv w:val="1"/>
      <w:marLeft w:val="0"/>
      <w:marRight w:val="0"/>
      <w:marTop w:val="0"/>
      <w:marBottom w:val="0"/>
      <w:divBdr>
        <w:top w:val="none" w:sz="0" w:space="0" w:color="auto"/>
        <w:left w:val="none" w:sz="0" w:space="0" w:color="auto"/>
        <w:bottom w:val="none" w:sz="0" w:space="0" w:color="auto"/>
        <w:right w:val="none" w:sz="0" w:space="0" w:color="auto"/>
      </w:divBdr>
    </w:div>
    <w:div w:id="89010379">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6990807">
      <w:bodyDiv w:val="1"/>
      <w:marLeft w:val="0"/>
      <w:marRight w:val="0"/>
      <w:marTop w:val="0"/>
      <w:marBottom w:val="0"/>
      <w:divBdr>
        <w:top w:val="none" w:sz="0" w:space="0" w:color="auto"/>
        <w:left w:val="none" w:sz="0" w:space="0" w:color="auto"/>
        <w:bottom w:val="none" w:sz="0" w:space="0" w:color="auto"/>
        <w:right w:val="none" w:sz="0" w:space="0" w:color="auto"/>
      </w:divBdr>
    </w:div>
    <w:div w:id="186022227">
      <w:bodyDiv w:val="1"/>
      <w:marLeft w:val="0"/>
      <w:marRight w:val="0"/>
      <w:marTop w:val="0"/>
      <w:marBottom w:val="0"/>
      <w:divBdr>
        <w:top w:val="none" w:sz="0" w:space="0" w:color="auto"/>
        <w:left w:val="none" w:sz="0" w:space="0" w:color="auto"/>
        <w:bottom w:val="none" w:sz="0" w:space="0" w:color="auto"/>
        <w:right w:val="none" w:sz="0" w:space="0" w:color="auto"/>
      </w:divBdr>
    </w:div>
    <w:div w:id="213079610">
      <w:bodyDiv w:val="1"/>
      <w:marLeft w:val="0"/>
      <w:marRight w:val="0"/>
      <w:marTop w:val="0"/>
      <w:marBottom w:val="0"/>
      <w:divBdr>
        <w:top w:val="none" w:sz="0" w:space="0" w:color="auto"/>
        <w:left w:val="none" w:sz="0" w:space="0" w:color="auto"/>
        <w:bottom w:val="none" w:sz="0" w:space="0" w:color="auto"/>
        <w:right w:val="none" w:sz="0" w:space="0" w:color="auto"/>
      </w:divBdr>
    </w:div>
    <w:div w:id="217205725">
      <w:bodyDiv w:val="1"/>
      <w:marLeft w:val="0"/>
      <w:marRight w:val="0"/>
      <w:marTop w:val="0"/>
      <w:marBottom w:val="0"/>
      <w:divBdr>
        <w:top w:val="none" w:sz="0" w:space="0" w:color="auto"/>
        <w:left w:val="none" w:sz="0" w:space="0" w:color="auto"/>
        <w:bottom w:val="none" w:sz="0" w:space="0" w:color="auto"/>
        <w:right w:val="none" w:sz="0" w:space="0" w:color="auto"/>
      </w:divBdr>
    </w:div>
    <w:div w:id="253823095">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6370861">
      <w:bodyDiv w:val="1"/>
      <w:marLeft w:val="0"/>
      <w:marRight w:val="0"/>
      <w:marTop w:val="0"/>
      <w:marBottom w:val="0"/>
      <w:divBdr>
        <w:top w:val="none" w:sz="0" w:space="0" w:color="auto"/>
        <w:left w:val="none" w:sz="0" w:space="0" w:color="auto"/>
        <w:bottom w:val="none" w:sz="0" w:space="0" w:color="auto"/>
        <w:right w:val="none" w:sz="0" w:space="0" w:color="auto"/>
      </w:divBdr>
    </w:div>
    <w:div w:id="301812955">
      <w:bodyDiv w:val="1"/>
      <w:marLeft w:val="0"/>
      <w:marRight w:val="0"/>
      <w:marTop w:val="0"/>
      <w:marBottom w:val="0"/>
      <w:divBdr>
        <w:top w:val="none" w:sz="0" w:space="0" w:color="auto"/>
        <w:left w:val="none" w:sz="0" w:space="0" w:color="auto"/>
        <w:bottom w:val="none" w:sz="0" w:space="0" w:color="auto"/>
        <w:right w:val="none" w:sz="0" w:space="0" w:color="auto"/>
      </w:divBdr>
      <w:divsChild>
        <w:div w:id="1550264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873004">
      <w:bodyDiv w:val="1"/>
      <w:marLeft w:val="0"/>
      <w:marRight w:val="0"/>
      <w:marTop w:val="0"/>
      <w:marBottom w:val="0"/>
      <w:divBdr>
        <w:top w:val="none" w:sz="0" w:space="0" w:color="auto"/>
        <w:left w:val="none" w:sz="0" w:space="0" w:color="auto"/>
        <w:bottom w:val="none" w:sz="0" w:space="0" w:color="auto"/>
        <w:right w:val="none" w:sz="0" w:space="0" w:color="auto"/>
      </w:divBdr>
    </w:div>
    <w:div w:id="320698034">
      <w:bodyDiv w:val="1"/>
      <w:marLeft w:val="0"/>
      <w:marRight w:val="0"/>
      <w:marTop w:val="0"/>
      <w:marBottom w:val="0"/>
      <w:divBdr>
        <w:top w:val="none" w:sz="0" w:space="0" w:color="auto"/>
        <w:left w:val="none" w:sz="0" w:space="0" w:color="auto"/>
        <w:bottom w:val="none" w:sz="0" w:space="0" w:color="auto"/>
        <w:right w:val="none" w:sz="0" w:space="0" w:color="auto"/>
      </w:divBdr>
    </w:div>
    <w:div w:id="330137101">
      <w:bodyDiv w:val="1"/>
      <w:marLeft w:val="0"/>
      <w:marRight w:val="0"/>
      <w:marTop w:val="0"/>
      <w:marBottom w:val="0"/>
      <w:divBdr>
        <w:top w:val="none" w:sz="0" w:space="0" w:color="auto"/>
        <w:left w:val="none" w:sz="0" w:space="0" w:color="auto"/>
        <w:bottom w:val="none" w:sz="0" w:space="0" w:color="auto"/>
        <w:right w:val="none" w:sz="0" w:space="0" w:color="auto"/>
      </w:divBdr>
    </w:div>
    <w:div w:id="331952266">
      <w:bodyDiv w:val="1"/>
      <w:marLeft w:val="0"/>
      <w:marRight w:val="0"/>
      <w:marTop w:val="0"/>
      <w:marBottom w:val="0"/>
      <w:divBdr>
        <w:top w:val="none" w:sz="0" w:space="0" w:color="auto"/>
        <w:left w:val="none" w:sz="0" w:space="0" w:color="auto"/>
        <w:bottom w:val="none" w:sz="0" w:space="0" w:color="auto"/>
        <w:right w:val="none" w:sz="0" w:space="0" w:color="auto"/>
      </w:divBdr>
    </w:div>
    <w:div w:id="359278274">
      <w:bodyDiv w:val="1"/>
      <w:marLeft w:val="0"/>
      <w:marRight w:val="0"/>
      <w:marTop w:val="0"/>
      <w:marBottom w:val="0"/>
      <w:divBdr>
        <w:top w:val="none" w:sz="0" w:space="0" w:color="auto"/>
        <w:left w:val="none" w:sz="0" w:space="0" w:color="auto"/>
        <w:bottom w:val="none" w:sz="0" w:space="0" w:color="auto"/>
        <w:right w:val="none" w:sz="0" w:space="0" w:color="auto"/>
      </w:divBdr>
    </w:div>
    <w:div w:id="363292234">
      <w:bodyDiv w:val="1"/>
      <w:marLeft w:val="0"/>
      <w:marRight w:val="0"/>
      <w:marTop w:val="0"/>
      <w:marBottom w:val="0"/>
      <w:divBdr>
        <w:top w:val="none" w:sz="0" w:space="0" w:color="auto"/>
        <w:left w:val="none" w:sz="0" w:space="0" w:color="auto"/>
        <w:bottom w:val="none" w:sz="0" w:space="0" w:color="auto"/>
        <w:right w:val="none" w:sz="0" w:space="0" w:color="auto"/>
      </w:divBdr>
    </w:div>
    <w:div w:id="366032400">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693320">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7892455">
      <w:bodyDiv w:val="1"/>
      <w:marLeft w:val="0"/>
      <w:marRight w:val="0"/>
      <w:marTop w:val="0"/>
      <w:marBottom w:val="0"/>
      <w:divBdr>
        <w:top w:val="none" w:sz="0" w:space="0" w:color="auto"/>
        <w:left w:val="none" w:sz="0" w:space="0" w:color="auto"/>
        <w:bottom w:val="none" w:sz="0" w:space="0" w:color="auto"/>
        <w:right w:val="none" w:sz="0" w:space="0" w:color="auto"/>
      </w:divBdr>
    </w:div>
    <w:div w:id="430515490">
      <w:bodyDiv w:val="1"/>
      <w:marLeft w:val="0"/>
      <w:marRight w:val="0"/>
      <w:marTop w:val="0"/>
      <w:marBottom w:val="0"/>
      <w:divBdr>
        <w:top w:val="none" w:sz="0" w:space="0" w:color="auto"/>
        <w:left w:val="none" w:sz="0" w:space="0" w:color="auto"/>
        <w:bottom w:val="none" w:sz="0" w:space="0" w:color="auto"/>
        <w:right w:val="none" w:sz="0" w:space="0" w:color="auto"/>
      </w:divBdr>
      <w:divsChild>
        <w:div w:id="92014029">
          <w:marLeft w:val="0"/>
          <w:marRight w:val="0"/>
          <w:marTop w:val="0"/>
          <w:marBottom w:val="0"/>
          <w:divBdr>
            <w:top w:val="none" w:sz="0" w:space="0" w:color="auto"/>
            <w:left w:val="none" w:sz="0" w:space="0" w:color="auto"/>
            <w:bottom w:val="none" w:sz="0" w:space="0" w:color="auto"/>
            <w:right w:val="none" w:sz="0" w:space="0" w:color="auto"/>
          </w:divBdr>
        </w:div>
        <w:div w:id="193036073">
          <w:marLeft w:val="0"/>
          <w:marRight w:val="0"/>
          <w:marTop w:val="0"/>
          <w:marBottom w:val="0"/>
          <w:divBdr>
            <w:top w:val="none" w:sz="0" w:space="0" w:color="auto"/>
            <w:left w:val="none" w:sz="0" w:space="0" w:color="auto"/>
            <w:bottom w:val="none" w:sz="0" w:space="0" w:color="auto"/>
            <w:right w:val="none" w:sz="0" w:space="0" w:color="auto"/>
          </w:divBdr>
        </w:div>
        <w:div w:id="498547022">
          <w:marLeft w:val="0"/>
          <w:marRight w:val="0"/>
          <w:marTop w:val="0"/>
          <w:marBottom w:val="0"/>
          <w:divBdr>
            <w:top w:val="none" w:sz="0" w:space="0" w:color="auto"/>
            <w:left w:val="none" w:sz="0" w:space="0" w:color="auto"/>
            <w:bottom w:val="none" w:sz="0" w:space="0" w:color="auto"/>
            <w:right w:val="none" w:sz="0" w:space="0" w:color="auto"/>
          </w:divBdr>
        </w:div>
        <w:div w:id="541016536">
          <w:marLeft w:val="0"/>
          <w:marRight w:val="0"/>
          <w:marTop w:val="0"/>
          <w:marBottom w:val="0"/>
          <w:divBdr>
            <w:top w:val="none" w:sz="0" w:space="0" w:color="auto"/>
            <w:left w:val="none" w:sz="0" w:space="0" w:color="auto"/>
            <w:bottom w:val="none" w:sz="0" w:space="0" w:color="auto"/>
            <w:right w:val="none" w:sz="0" w:space="0" w:color="auto"/>
          </w:divBdr>
        </w:div>
        <w:div w:id="1065564852">
          <w:marLeft w:val="0"/>
          <w:marRight w:val="0"/>
          <w:marTop w:val="0"/>
          <w:marBottom w:val="0"/>
          <w:divBdr>
            <w:top w:val="none" w:sz="0" w:space="0" w:color="auto"/>
            <w:left w:val="none" w:sz="0" w:space="0" w:color="auto"/>
            <w:bottom w:val="none" w:sz="0" w:space="0" w:color="auto"/>
            <w:right w:val="none" w:sz="0" w:space="0" w:color="auto"/>
          </w:divBdr>
        </w:div>
        <w:div w:id="1218857387">
          <w:marLeft w:val="0"/>
          <w:marRight w:val="0"/>
          <w:marTop w:val="0"/>
          <w:marBottom w:val="0"/>
          <w:divBdr>
            <w:top w:val="none" w:sz="0" w:space="0" w:color="auto"/>
            <w:left w:val="none" w:sz="0" w:space="0" w:color="auto"/>
            <w:bottom w:val="none" w:sz="0" w:space="0" w:color="auto"/>
            <w:right w:val="none" w:sz="0" w:space="0" w:color="auto"/>
          </w:divBdr>
        </w:div>
        <w:div w:id="2029521782">
          <w:marLeft w:val="0"/>
          <w:marRight w:val="0"/>
          <w:marTop w:val="0"/>
          <w:marBottom w:val="0"/>
          <w:divBdr>
            <w:top w:val="none" w:sz="0" w:space="0" w:color="auto"/>
            <w:left w:val="none" w:sz="0" w:space="0" w:color="auto"/>
            <w:bottom w:val="none" w:sz="0" w:space="0" w:color="auto"/>
            <w:right w:val="none" w:sz="0" w:space="0" w:color="auto"/>
          </w:divBdr>
        </w:div>
      </w:divsChild>
    </w:div>
    <w:div w:id="433211755">
      <w:bodyDiv w:val="1"/>
      <w:marLeft w:val="0"/>
      <w:marRight w:val="0"/>
      <w:marTop w:val="0"/>
      <w:marBottom w:val="0"/>
      <w:divBdr>
        <w:top w:val="none" w:sz="0" w:space="0" w:color="auto"/>
        <w:left w:val="none" w:sz="0" w:space="0" w:color="auto"/>
        <w:bottom w:val="none" w:sz="0" w:space="0" w:color="auto"/>
        <w:right w:val="none" w:sz="0" w:space="0" w:color="auto"/>
      </w:divBdr>
    </w:div>
    <w:div w:id="447160752">
      <w:bodyDiv w:val="1"/>
      <w:marLeft w:val="0"/>
      <w:marRight w:val="0"/>
      <w:marTop w:val="0"/>
      <w:marBottom w:val="0"/>
      <w:divBdr>
        <w:top w:val="none" w:sz="0" w:space="0" w:color="auto"/>
        <w:left w:val="none" w:sz="0" w:space="0" w:color="auto"/>
        <w:bottom w:val="none" w:sz="0" w:space="0" w:color="auto"/>
        <w:right w:val="none" w:sz="0" w:space="0" w:color="auto"/>
      </w:divBdr>
    </w:div>
    <w:div w:id="454956552">
      <w:bodyDiv w:val="1"/>
      <w:marLeft w:val="0"/>
      <w:marRight w:val="0"/>
      <w:marTop w:val="0"/>
      <w:marBottom w:val="0"/>
      <w:divBdr>
        <w:top w:val="none" w:sz="0" w:space="0" w:color="auto"/>
        <w:left w:val="none" w:sz="0" w:space="0" w:color="auto"/>
        <w:bottom w:val="none" w:sz="0" w:space="0" w:color="auto"/>
        <w:right w:val="none" w:sz="0" w:space="0" w:color="auto"/>
      </w:divBdr>
    </w:div>
    <w:div w:id="457525692">
      <w:bodyDiv w:val="1"/>
      <w:marLeft w:val="0"/>
      <w:marRight w:val="0"/>
      <w:marTop w:val="0"/>
      <w:marBottom w:val="0"/>
      <w:divBdr>
        <w:top w:val="none" w:sz="0" w:space="0" w:color="auto"/>
        <w:left w:val="none" w:sz="0" w:space="0" w:color="auto"/>
        <w:bottom w:val="none" w:sz="0" w:space="0" w:color="auto"/>
        <w:right w:val="none" w:sz="0" w:space="0" w:color="auto"/>
      </w:divBdr>
    </w:div>
    <w:div w:id="476150371">
      <w:bodyDiv w:val="1"/>
      <w:marLeft w:val="0"/>
      <w:marRight w:val="0"/>
      <w:marTop w:val="0"/>
      <w:marBottom w:val="0"/>
      <w:divBdr>
        <w:top w:val="none" w:sz="0" w:space="0" w:color="auto"/>
        <w:left w:val="none" w:sz="0" w:space="0" w:color="auto"/>
        <w:bottom w:val="none" w:sz="0" w:space="0" w:color="auto"/>
        <w:right w:val="none" w:sz="0" w:space="0" w:color="auto"/>
      </w:divBdr>
      <w:divsChild>
        <w:div w:id="649989822">
          <w:marLeft w:val="0"/>
          <w:marRight w:val="0"/>
          <w:marTop w:val="0"/>
          <w:marBottom w:val="0"/>
          <w:divBdr>
            <w:top w:val="none" w:sz="0" w:space="0" w:color="auto"/>
            <w:left w:val="none" w:sz="0" w:space="0" w:color="auto"/>
            <w:bottom w:val="none" w:sz="0" w:space="0" w:color="auto"/>
            <w:right w:val="none" w:sz="0" w:space="0" w:color="auto"/>
          </w:divBdr>
        </w:div>
        <w:div w:id="1835220063">
          <w:marLeft w:val="0"/>
          <w:marRight w:val="0"/>
          <w:marTop w:val="0"/>
          <w:marBottom w:val="0"/>
          <w:divBdr>
            <w:top w:val="none" w:sz="0" w:space="0" w:color="auto"/>
            <w:left w:val="none" w:sz="0" w:space="0" w:color="auto"/>
            <w:bottom w:val="none" w:sz="0" w:space="0" w:color="auto"/>
            <w:right w:val="none" w:sz="0" w:space="0" w:color="auto"/>
          </w:divBdr>
        </w:div>
      </w:divsChild>
    </w:div>
    <w:div w:id="480463842">
      <w:bodyDiv w:val="1"/>
      <w:marLeft w:val="0"/>
      <w:marRight w:val="0"/>
      <w:marTop w:val="0"/>
      <w:marBottom w:val="0"/>
      <w:divBdr>
        <w:top w:val="none" w:sz="0" w:space="0" w:color="auto"/>
        <w:left w:val="none" w:sz="0" w:space="0" w:color="auto"/>
        <w:bottom w:val="none" w:sz="0" w:space="0" w:color="auto"/>
        <w:right w:val="none" w:sz="0" w:space="0" w:color="auto"/>
      </w:divBdr>
    </w:div>
    <w:div w:id="482162563">
      <w:bodyDiv w:val="1"/>
      <w:marLeft w:val="0"/>
      <w:marRight w:val="0"/>
      <w:marTop w:val="0"/>
      <w:marBottom w:val="0"/>
      <w:divBdr>
        <w:top w:val="none" w:sz="0" w:space="0" w:color="auto"/>
        <w:left w:val="none" w:sz="0" w:space="0" w:color="auto"/>
        <w:bottom w:val="none" w:sz="0" w:space="0" w:color="auto"/>
        <w:right w:val="none" w:sz="0" w:space="0" w:color="auto"/>
      </w:divBdr>
    </w:div>
    <w:div w:id="498621256">
      <w:bodyDiv w:val="1"/>
      <w:marLeft w:val="0"/>
      <w:marRight w:val="0"/>
      <w:marTop w:val="0"/>
      <w:marBottom w:val="0"/>
      <w:divBdr>
        <w:top w:val="none" w:sz="0" w:space="0" w:color="auto"/>
        <w:left w:val="none" w:sz="0" w:space="0" w:color="auto"/>
        <w:bottom w:val="none" w:sz="0" w:space="0" w:color="auto"/>
        <w:right w:val="none" w:sz="0" w:space="0" w:color="auto"/>
      </w:divBdr>
    </w:div>
    <w:div w:id="508525779">
      <w:bodyDiv w:val="1"/>
      <w:marLeft w:val="0"/>
      <w:marRight w:val="0"/>
      <w:marTop w:val="0"/>
      <w:marBottom w:val="0"/>
      <w:divBdr>
        <w:top w:val="none" w:sz="0" w:space="0" w:color="auto"/>
        <w:left w:val="none" w:sz="0" w:space="0" w:color="auto"/>
        <w:bottom w:val="none" w:sz="0" w:space="0" w:color="auto"/>
        <w:right w:val="none" w:sz="0" w:space="0" w:color="auto"/>
      </w:divBdr>
    </w:div>
    <w:div w:id="510611836">
      <w:bodyDiv w:val="1"/>
      <w:marLeft w:val="0"/>
      <w:marRight w:val="0"/>
      <w:marTop w:val="0"/>
      <w:marBottom w:val="0"/>
      <w:divBdr>
        <w:top w:val="none" w:sz="0" w:space="0" w:color="auto"/>
        <w:left w:val="none" w:sz="0" w:space="0" w:color="auto"/>
        <w:bottom w:val="none" w:sz="0" w:space="0" w:color="auto"/>
        <w:right w:val="none" w:sz="0" w:space="0" w:color="auto"/>
      </w:divBdr>
    </w:div>
    <w:div w:id="512768472">
      <w:bodyDiv w:val="1"/>
      <w:marLeft w:val="0"/>
      <w:marRight w:val="0"/>
      <w:marTop w:val="0"/>
      <w:marBottom w:val="0"/>
      <w:divBdr>
        <w:top w:val="none" w:sz="0" w:space="0" w:color="auto"/>
        <w:left w:val="none" w:sz="0" w:space="0" w:color="auto"/>
        <w:bottom w:val="none" w:sz="0" w:space="0" w:color="auto"/>
        <w:right w:val="none" w:sz="0" w:space="0" w:color="auto"/>
      </w:divBdr>
    </w:div>
    <w:div w:id="520901422">
      <w:bodyDiv w:val="1"/>
      <w:marLeft w:val="0"/>
      <w:marRight w:val="0"/>
      <w:marTop w:val="0"/>
      <w:marBottom w:val="0"/>
      <w:divBdr>
        <w:top w:val="none" w:sz="0" w:space="0" w:color="auto"/>
        <w:left w:val="none" w:sz="0" w:space="0" w:color="auto"/>
        <w:bottom w:val="none" w:sz="0" w:space="0" w:color="auto"/>
        <w:right w:val="none" w:sz="0" w:space="0" w:color="auto"/>
      </w:divBdr>
    </w:div>
    <w:div w:id="534200423">
      <w:bodyDiv w:val="1"/>
      <w:marLeft w:val="0"/>
      <w:marRight w:val="0"/>
      <w:marTop w:val="0"/>
      <w:marBottom w:val="0"/>
      <w:divBdr>
        <w:top w:val="none" w:sz="0" w:space="0" w:color="auto"/>
        <w:left w:val="none" w:sz="0" w:space="0" w:color="auto"/>
        <w:bottom w:val="none" w:sz="0" w:space="0" w:color="auto"/>
        <w:right w:val="none" w:sz="0" w:space="0" w:color="auto"/>
      </w:divBdr>
    </w:div>
    <w:div w:id="538051200">
      <w:bodyDiv w:val="1"/>
      <w:marLeft w:val="0"/>
      <w:marRight w:val="0"/>
      <w:marTop w:val="0"/>
      <w:marBottom w:val="0"/>
      <w:divBdr>
        <w:top w:val="none" w:sz="0" w:space="0" w:color="auto"/>
        <w:left w:val="none" w:sz="0" w:space="0" w:color="auto"/>
        <w:bottom w:val="none" w:sz="0" w:space="0" w:color="auto"/>
        <w:right w:val="none" w:sz="0" w:space="0" w:color="auto"/>
      </w:divBdr>
    </w:div>
    <w:div w:id="544873669">
      <w:bodyDiv w:val="1"/>
      <w:marLeft w:val="0"/>
      <w:marRight w:val="0"/>
      <w:marTop w:val="0"/>
      <w:marBottom w:val="0"/>
      <w:divBdr>
        <w:top w:val="none" w:sz="0" w:space="0" w:color="auto"/>
        <w:left w:val="none" w:sz="0" w:space="0" w:color="auto"/>
        <w:bottom w:val="none" w:sz="0" w:space="0" w:color="auto"/>
        <w:right w:val="none" w:sz="0" w:space="0" w:color="auto"/>
      </w:divBdr>
    </w:div>
    <w:div w:id="568229104">
      <w:bodyDiv w:val="1"/>
      <w:marLeft w:val="0"/>
      <w:marRight w:val="0"/>
      <w:marTop w:val="0"/>
      <w:marBottom w:val="0"/>
      <w:divBdr>
        <w:top w:val="none" w:sz="0" w:space="0" w:color="auto"/>
        <w:left w:val="none" w:sz="0" w:space="0" w:color="auto"/>
        <w:bottom w:val="none" w:sz="0" w:space="0" w:color="auto"/>
        <w:right w:val="none" w:sz="0" w:space="0" w:color="auto"/>
      </w:divBdr>
    </w:div>
    <w:div w:id="576749095">
      <w:bodyDiv w:val="1"/>
      <w:marLeft w:val="0"/>
      <w:marRight w:val="0"/>
      <w:marTop w:val="0"/>
      <w:marBottom w:val="0"/>
      <w:divBdr>
        <w:top w:val="none" w:sz="0" w:space="0" w:color="auto"/>
        <w:left w:val="none" w:sz="0" w:space="0" w:color="auto"/>
        <w:bottom w:val="none" w:sz="0" w:space="0" w:color="auto"/>
        <w:right w:val="none" w:sz="0" w:space="0" w:color="auto"/>
      </w:divBdr>
    </w:div>
    <w:div w:id="578444614">
      <w:bodyDiv w:val="1"/>
      <w:marLeft w:val="0"/>
      <w:marRight w:val="0"/>
      <w:marTop w:val="0"/>
      <w:marBottom w:val="0"/>
      <w:divBdr>
        <w:top w:val="none" w:sz="0" w:space="0" w:color="auto"/>
        <w:left w:val="none" w:sz="0" w:space="0" w:color="auto"/>
        <w:bottom w:val="none" w:sz="0" w:space="0" w:color="auto"/>
        <w:right w:val="none" w:sz="0" w:space="0" w:color="auto"/>
      </w:divBdr>
    </w:div>
    <w:div w:id="581523652">
      <w:bodyDiv w:val="1"/>
      <w:marLeft w:val="0"/>
      <w:marRight w:val="0"/>
      <w:marTop w:val="0"/>
      <w:marBottom w:val="0"/>
      <w:divBdr>
        <w:top w:val="none" w:sz="0" w:space="0" w:color="auto"/>
        <w:left w:val="none" w:sz="0" w:space="0" w:color="auto"/>
        <w:bottom w:val="none" w:sz="0" w:space="0" w:color="auto"/>
        <w:right w:val="none" w:sz="0" w:space="0" w:color="auto"/>
      </w:divBdr>
    </w:div>
    <w:div w:id="600643409">
      <w:bodyDiv w:val="1"/>
      <w:marLeft w:val="0"/>
      <w:marRight w:val="0"/>
      <w:marTop w:val="0"/>
      <w:marBottom w:val="0"/>
      <w:divBdr>
        <w:top w:val="none" w:sz="0" w:space="0" w:color="auto"/>
        <w:left w:val="none" w:sz="0" w:space="0" w:color="auto"/>
        <w:bottom w:val="none" w:sz="0" w:space="0" w:color="auto"/>
        <w:right w:val="none" w:sz="0" w:space="0" w:color="auto"/>
      </w:divBdr>
      <w:divsChild>
        <w:div w:id="14965165">
          <w:marLeft w:val="0"/>
          <w:marRight w:val="0"/>
          <w:marTop w:val="0"/>
          <w:marBottom w:val="0"/>
          <w:divBdr>
            <w:top w:val="none" w:sz="0" w:space="0" w:color="auto"/>
            <w:left w:val="none" w:sz="0" w:space="0" w:color="auto"/>
            <w:bottom w:val="none" w:sz="0" w:space="0" w:color="auto"/>
            <w:right w:val="none" w:sz="0" w:space="0" w:color="auto"/>
          </w:divBdr>
        </w:div>
        <w:div w:id="771706132">
          <w:marLeft w:val="0"/>
          <w:marRight w:val="0"/>
          <w:marTop w:val="0"/>
          <w:marBottom w:val="0"/>
          <w:divBdr>
            <w:top w:val="none" w:sz="0" w:space="0" w:color="auto"/>
            <w:left w:val="none" w:sz="0" w:space="0" w:color="auto"/>
            <w:bottom w:val="none" w:sz="0" w:space="0" w:color="auto"/>
            <w:right w:val="none" w:sz="0" w:space="0" w:color="auto"/>
          </w:divBdr>
        </w:div>
        <w:div w:id="1075316541">
          <w:marLeft w:val="0"/>
          <w:marRight w:val="0"/>
          <w:marTop w:val="0"/>
          <w:marBottom w:val="0"/>
          <w:divBdr>
            <w:top w:val="none" w:sz="0" w:space="0" w:color="auto"/>
            <w:left w:val="none" w:sz="0" w:space="0" w:color="auto"/>
            <w:bottom w:val="none" w:sz="0" w:space="0" w:color="auto"/>
            <w:right w:val="none" w:sz="0" w:space="0" w:color="auto"/>
          </w:divBdr>
        </w:div>
        <w:div w:id="1471558905">
          <w:marLeft w:val="0"/>
          <w:marRight w:val="0"/>
          <w:marTop w:val="0"/>
          <w:marBottom w:val="0"/>
          <w:divBdr>
            <w:top w:val="none" w:sz="0" w:space="0" w:color="auto"/>
            <w:left w:val="none" w:sz="0" w:space="0" w:color="auto"/>
            <w:bottom w:val="none" w:sz="0" w:space="0" w:color="auto"/>
            <w:right w:val="none" w:sz="0" w:space="0" w:color="auto"/>
          </w:divBdr>
        </w:div>
        <w:div w:id="1546791193">
          <w:marLeft w:val="0"/>
          <w:marRight w:val="0"/>
          <w:marTop w:val="0"/>
          <w:marBottom w:val="0"/>
          <w:divBdr>
            <w:top w:val="none" w:sz="0" w:space="0" w:color="auto"/>
            <w:left w:val="none" w:sz="0" w:space="0" w:color="auto"/>
            <w:bottom w:val="none" w:sz="0" w:space="0" w:color="auto"/>
            <w:right w:val="none" w:sz="0" w:space="0" w:color="auto"/>
          </w:divBdr>
        </w:div>
      </w:divsChild>
    </w:div>
    <w:div w:id="612517809">
      <w:bodyDiv w:val="1"/>
      <w:marLeft w:val="0"/>
      <w:marRight w:val="0"/>
      <w:marTop w:val="0"/>
      <w:marBottom w:val="0"/>
      <w:divBdr>
        <w:top w:val="none" w:sz="0" w:space="0" w:color="auto"/>
        <w:left w:val="none" w:sz="0" w:space="0" w:color="auto"/>
        <w:bottom w:val="none" w:sz="0" w:space="0" w:color="auto"/>
        <w:right w:val="none" w:sz="0" w:space="0" w:color="auto"/>
      </w:divBdr>
      <w:divsChild>
        <w:div w:id="216861732">
          <w:marLeft w:val="0"/>
          <w:marRight w:val="0"/>
          <w:marTop w:val="0"/>
          <w:marBottom w:val="0"/>
          <w:divBdr>
            <w:top w:val="none" w:sz="0" w:space="0" w:color="auto"/>
            <w:left w:val="none" w:sz="0" w:space="0" w:color="auto"/>
            <w:bottom w:val="none" w:sz="0" w:space="0" w:color="auto"/>
            <w:right w:val="none" w:sz="0" w:space="0" w:color="auto"/>
          </w:divBdr>
          <w:divsChild>
            <w:div w:id="82646226">
              <w:marLeft w:val="0"/>
              <w:marRight w:val="0"/>
              <w:marTop w:val="0"/>
              <w:marBottom w:val="0"/>
              <w:divBdr>
                <w:top w:val="none" w:sz="0" w:space="0" w:color="auto"/>
                <w:left w:val="none" w:sz="0" w:space="0" w:color="auto"/>
                <w:bottom w:val="none" w:sz="0" w:space="0" w:color="auto"/>
                <w:right w:val="none" w:sz="0" w:space="0" w:color="auto"/>
              </w:divBdr>
            </w:div>
            <w:div w:id="212893670">
              <w:marLeft w:val="0"/>
              <w:marRight w:val="0"/>
              <w:marTop w:val="0"/>
              <w:marBottom w:val="0"/>
              <w:divBdr>
                <w:top w:val="none" w:sz="0" w:space="0" w:color="auto"/>
                <w:left w:val="none" w:sz="0" w:space="0" w:color="auto"/>
                <w:bottom w:val="none" w:sz="0" w:space="0" w:color="auto"/>
                <w:right w:val="none" w:sz="0" w:space="0" w:color="auto"/>
              </w:divBdr>
            </w:div>
            <w:div w:id="975797055">
              <w:marLeft w:val="0"/>
              <w:marRight w:val="0"/>
              <w:marTop w:val="0"/>
              <w:marBottom w:val="0"/>
              <w:divBdr>
                <w:top w:val="none" w:sz="0" w:space="0" w:color="auto"/>
                <w:left w:val="none" w:sz="0" w:space="0" w:color="auto"/>
                <w:bottom w:val="none" w:sz="0" w:space="0" w:color="auto"/>
                <w:right w:val="none" w:sz="0" w:space="0" w:color="auto"/>
              </w:divBdr>
            </w:div>
            <w:div w:id="986470907">
              <w:marLeft w:val="0"/>
              <w:marRight w:val="0"/>
              <w:marTop w:val="0"/>
              <w:marBottom w:val="0"/>
              <w:divBdr>
                <w:top w:val="none" w:sz="0" w:space="0" w:color="auto"/>
                <w:left w:val="none" w:sz="0" w:space="0" w:color="auto"/>
                <w:bottom w:val="none" w:sz="0" w:space="0" w:color="auto"/>
                <w:right w:val="none" w:sz="0" w:space="0" w:color="auto"/>
              </w:divBdr>
            </w:div>
            <w:div w:id="1437167502">
              <w:marLeft w:val="0"/>
              <w:marRight w:val="0"/>
              <w:marTop w:val="0"/>
              <w:marBottom w:val="0"/>
              <w:divBdr>
                <w:top w:val="none" w:sz="0" w:space="0" w:color="auto"/>
                <w:left w:val="none" w:sz="0" w:space="0" w:color="auto"/>
                <w:bottom w:val="none" w:sz="0" w:space="0" w:color="auto"/>
                <w:right w:val="none" w:sz="0" w:space="0" w:color="auto"/>
              </w:divBdr>
            </w:div>
          </w:divsChild>
        </w:div>
        <w:div w:id="2020496394">
          <w:marLeft w:val="0"/>
          <w:marRight w:val="0"/>
          <w:marTop w:val="0"/>
          <w:marBottom w:val="0"/>
          <w:divBdr>
            <w:top w:val="none" w:sz="0" w:space="0" w:color="auto"/>
            <w:left w:val="none" w:sz="0" w:space="0" w:color="auto"/>
            <w:bottom w:val="none" w:sz="0" w:space="0" w:color="auto"/>
            <w:right w:val="none" w:sz="0" w:space="0" w:color="auto"/>
          </w:divBdr>
          <w:divsChild>
            <w:div w:id="1346443919">
              <w:marLeft w:val="0"/>
              <w:marRight w:val="0"/>
              <w:marTop w:val="30"/>
              <w:marBottom w:val="30"/>
              <w:divBdr>
                <w:top w:val="none" w:sz="0" w:space="0" w:color="auto"/>
                <w:left w:val="none" w:sz="0" w:space="0" w:color="auto"/>
                <w:bottom w:val="none" w:sz="0" w:space="0" w:color="auto"/>
                <w:right w:val="none" w:sz="0" w:space="0" w:color="auto"/>
              </w:divBdr>
              <w:divsChild>
                <w:div w:id="448015002">
                  <w:marLeft w:val="0"/>
                  <w:marRight w:val="0"/>
                  <w:marTop w:val="0"/>
                  <w:marBottom w:val="0"/>
                  <w:divBdr>
                    <w:top w:val="none" w:sz="0" w:space="0" w:color="auto"/>
                    <w:left w:val="none" w:sz="0" w:space="0" w:color="auto"/>
                    <w:bottom w:val="none" w:sz="0" w:space="0" w:color="auto"/>
                    <w:right w:val="none" w:sz="0" w:space="0" w:color="auto"/>
                  </w:divBdr>
                  <w:divsChild>
                    <w:div w:id="1021055662">
                      <w:marLeft w:val="0"/>
                      <w:marRight w:val="0"/>
                      <w:marTop w:val="0"/>
                      <w:marBottom w:val="0"/>
                      <w:divBdr>
                        <w:top w:val="none" w:sz="0" w:space="0" w:color="auto"/>
                        <w:left w:val="none" w:sz="0" w:space="0" w:color="auto"/>
                        <w:bottom w:val="none" w:sz="0" w:space="0" w:color="auto"/>
                        <w:right w:val="none" w:sz="0" w:space="0" w:color="auto"/>
                      </w:divBdr>
                    </w:div>
                  </w:divsChild>
                </w:div>
                <w:div w:id="541751151">
                  <w:marLeft w:val="0"/>
                  <w:marRight w:val="0"/>
                  <w:marTop w:val="0"/>
                  <w:marBottom w:val="0"/>
                  <w:divBdr>
                    <w:top w:val="none" w:sz="0" w:space="0" w:color="auto"/>
                    <w:left w:val="none" w:sz="0" w:space="0" w:color="auto"/>
                    <w:bottom w:val="none" w:sz="0" w:space="0" w:color="auto"/>
                    <w:right w:val="none" w:sz="0" w:space="0" w:color="auto"/>
                  </w:divBdr>
                  <w:divsChild>
                    <w:div w:id="1966738550">
                      <w:marLeft w:val="0"/>
                      <w:marRight w:val="0"/>
                      <w:marTop w:val="0"/>
                      <w:marBottom w:val="0"/>
                      <w:divBdr>
                        <w:top w:val="none" w:sz="0" w:space="0" w:color="auto"/>
                        <w:left w:val="none" w:sz="0" w:space="0" w:color="auto"/>
                        <w:bottom w:val="none" w:sz="0" w:space="0" w:color="auto"/>
                        <w:right w:val="none" w:sz="0" w:space="0" w:color="auto"/>
                      </w:divBdr>
                    </w:div>
                  </w:divsChild>
                </w:div>
                <w:div w:id="557791124">
                  <w:marLeft w:val="0"/>
                  <w:marRight w:val="0"/>
                  <w:marTop w:val="0"/>
                  <w:marBottom w:val="0"/>
                  <w:divBdr>
                    <w:top w:val="none" w:sz="0" w:space="0" w:color="auto"/>
                    <w:left w:val="none" w:sz="0" w:space="0" w:color="auto"/>
                    <w:bottom w:val="none" w:sz="0" w:space="0" w:color="auto"/>
                    <w:right w:val="none" w:sz="0" w:space="0" w:color="auto"/>
                  </w:divBdr>
                  <w:divsChild>
                    <w:div w:id="1831408906">
                      <w:marLeft w:val="0"/>
                      <w:marRight w:val="0"/>
                      <w:marTop w:val="0"/>
                      <w:marBottom w:val="0"/>
                      <w:divBdr>
                        <w:top w:val="none" w:sz="0" w:space="0" w:color="auto"/>
                        <w:left w:val="none" w:sz="0" w:space="0" w:color="auto"/>
                        <w:bottom w:val="none" w:sz="0" w:space="0" w:color="auto"/>
                        <w:right w:val="none" w:sz="0" w:space="0" w:color="auto"/>
                      </w:divBdr>
                    </w:div>
                  </w:divsChild>
                </w:div>
                <w:div w:id="744571061">
                  <w:marLeft w:val="0"/>
                  <w:marRight w:val="0"/>
                  <w:marTop w:val="0"/>
                  <w:marBottom w:val="0"/>
                  <w:divBdr>
                    <w:top w:val="none" w:sz="0" w:space="0" w:color="auto"/>
                    <w:left w:val="none" w:sz="0" w:space="0" w:color="auto"/>
                    <w:bottom w:val="none" w:sz="0" w:space="0" w:color="auto"/>
                    <w:right w:val="none" w:sz="0" w:space="0" w:color="auto"/>
                  </w:divBdr>
                  <w:divsChild>
                    <w:div w:id="2074158457">
                      <w:marLeft w:val="0"/>
                      <w:marRight w:val="0"/>
                      <w:marTop w:val="0"/>
                      <w:marBottom w:val="0"/>
                      <w:divBdr>
                        <w:top w:val="none" w:sz="0" w:space="0" w:color="auto"/>
                        <w:left w:val="none" w:sz="0" w:space="0" w:color="auto"/>
                        <w:bottom w:val="none" w:sz="0" w:space="0" w:color="auto"/>
                        <w:right w:val="none" w:sz="0" w:space="0" w:color="auto"/>
                      </w:divBdr>
                    </w:div>
                  </w:divsChild>
                </w:div>
                <w:div w:id="826826928">
                  <w:marLeft w:val="0"/>
                  <w:marRight w:val="0"/>
                  <w:marTop w:val="0"/>
                  <w:marBottom w:val="0"/>
                  <w:divBdr>
                    <w:top w:val="none" w:sz="0" w:space="0" w:color="auto"/>
                    <w:left w:val="none" w:sz="0" w:space="0" w:color="auto"/>
                    <w:bottom w:val="none" w:sz="0" w:space="0" w:color="auto"/>
                    <w:right w:val="none" w:sz="0" w:space="0" w:color="auto"/>
                  </w:divBdr>
                  <w:divsChild>
                    <w:div w:id="2064716826">
                      <w:marLeft w:val="0"/>
                      <w:marRight w:val="0"/>
                      <w:marTop w:val="0"/>
                      <w:marBottom w:val="0"/>
                      <w:divBdr>
                        <w:top w:val="none" w:sz="0" w:space="0" w:color="auto"/>
                        <w:left w:val="none" w:sz="0" w:space="0" w:color="auto"/>
                        <w:bottom w:val="none" w:sz="0" w:space="0" w:color="auto"/>
                        <w:right w:val="none" w:sz="0" w:space="0" w:color="auto"/>
                      </w:divBdr>
                    </w:div>
                  </w:divsChild>
                </w:div>
                <w:div w:id="842011411">
                  <w:marLeft w:val="0"/>
                  <w:marRight w:val="0"/>
                  <w:marTop w:val="0"/>
                  <w:marBottom w:val="0"/>
                  <w:divBdr>
                    <w:top w:val="none" w:sz="0" w:space="0" w:color="auto"/>
                    <w:left w:val="none" w:sz="0" w:space="0" w:color="auto"/>
                    <w:bottom w:val="none" w:sz="0" w:space="0" w:color="auto"/>
                    <w:right w:val="none" w:sz="0" w:space="0" w:color="auto"/>
                  </w:divBdr>
                  <w:divsChild>
                    <w:div w:id="1170408009">
                      <w:marLeft w:val="0"/>
                      <w:marRight w:val="0"/>
                      <w:marTop w:val="0"/>
                      <w:marBottom w:val="0"/>
                      <w:divBdr>
                        <w:top w:val="none" w:sz="0" w:space="0" w:color="auto"/>
                        <w:left w:val="none" w:sz="0" w:space="0" w:color="auto"/>
                        <w:bottom w:val="none" w:sz="0" w:space="0" w:color="auto"/>
                        <w:right w:val="none" w:sz="0" w:space="0" w:color="auto"/>
                      </w:divBdr>
                    </w:div>
                  </w:divsChild>
                </w:div>
                <w:div w:id="876310108">
                  <w:marLeft w:val="0"/>
                  <w:marRight w:val="0"/>
                  <w:marTop w:val="0"/>
                  <w:marBottom w:val="0"/>
                  <w:divBdr>
                    <w:top w:val="none" w:sz="0" w:space="0" w:color="auto"/>
                    <w:left w:val="none" w:sz="0" w:space="0" w:color="auto"/>
                    <w:bottom w:val="none" w:sz="0" w:space="0" w:color="auto"/>
                    <w:right w:val="none" w:sz="0" w:space="0" w:color="auto"/>
                  </w:divBdr>
                  <w:divsChild>
                    <w:div w:id="1112553050">
                      <w:marLeft w:val="0"/>
                      <w:marRight w:val="0"/>
                      <w:marTop w:val="0"/>
                      <w:marBottom w:val="0"/>
                      <w:divBdr>
                        <w:top w:val="none" w:sz="0" w:space="0" w:color="auto"/>
                        <w:left w:val="none" w:sz="0" w:space="0" w:color="auto"/>
                        <w:bottom w:val="none" w:sz="0" w:space="0" w:color="auto"/>
                        <w:right w:val="none" w:sz="0" w:space="0" w:color="auto"/>
                      </w:divBdr>
                    </w:div>
                  </w:divsChild>
                </w:div>
                <w:div w:id="2018074180">
                  <w:marLeft w:val="0"/>
                  <w:marRight w:val="0"/>
                  <w:marTop w:val="0"/>
                  <w:marBottom w:val="0"/>
                  <w:divBdr>
                    <w:top w:val="none" w:sz="0" w:space="0" w:color="auto"/>
                    <w:left w:val="none" w:sz="0" w:space="0" w:color="auto"/>
                    <w:bottom w:val="none" w:sz="0" w:space="0" w:color="auto"/>
                    <w:right w:val="none" w:sz="0" w:space="0" w:color="auto"/>
                  </w:divBdr>
                  <w:divsChild>
                    <w:div w:id="197220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694558">
      <w:bodyDiv w:val="1"/>
      <w:marLeft w:val="0"/>
      <w:marRight w:val="0"/>
      <w:marTop w:val="0"/>
      <w:marBottom w:val="0"/>
      <w:divBdr>
        <w:top w:val="none" w:sz="0" w:space="0" w:color="auto"/>
        <w:left w:val="none" w:sz="0" w:space="0" w:color="auto"/>
        <w:bottom w:val="none" w:sz="0" w:space="0" w:color="auto"/>
        <w:right w:val="none" w:sz="0" w:space="0" w:color="auto"/>
      </w:divBdr>
    </w:div>
    <w:div w:id="657924604">
      <w:bodyDiv w:val="1"/>
      <w:marLeft w:val="0"/>
      <w:marRight w:val="0"/>
      <w:marTop w:val="0"/>
      <w:marBottom w:val="0"/>
      <w:divBdr>
        <w:top w:val="none" w:sz="0" w:space="0" w:color="auto"/>
        <w:left w:val="none" w:sz="0" w:space="0" w:color="auto"/>
        <w:bottom w:val="none" w:sz="0" w:space="0" w:color="auto"/>
        <w:right w:val="none" w:sz="0" w:space="0" w:color="auto"/>
      </w:divBdr>
    </w:div>
    <w:div w:id="659506457">
      <w:bodyDiv w:val="1"/>
      <w:marLeft w:val="0"/>
      <w:marRight w:val="0"/>
      <w:marTop w:val="0"/>
      <w:marBottom w:val="0"/>
      <w:divBdr>
        <w:top w:val="none" w:sz="0" w:space="0" w:color="auto"/>
        <w:left w:val="none" w:sz="0" w:space="0" w:color="auto"/>
        <w:bottom w:val="none" w:sz="0" w:space="0" w:color="auto"/>
        <w:right w:val="none" w:sz="0" w:space="0" w:color="auto"/>
      </w:divBdr>
    </w:div>
    <w:div w:id="672024635">
      <w:bodyDiv w:val="1"/>
      <w:marLeft w:val="0"/>
      <w:marRight w:val="0"/>
      <w:marTop w:val="0"/>
      <w:marBottom w:val="0"/>
      <w:divBdr>
        <w:top w:val="none" w:sz="0" w:space="0" w:color="auto"/>
        <w:left w:val="none" w:sz="0" w:space="0" w:color="auto"/>
        <w:bottom w:val="none" w:sz="0" w:space="0" w:color="auto"/>
        <w:right w:val="none" w:sz="0" w:space="0" w:color="auto"/>
      </w:divBdr>
    </w:div>
    <w:div w:id="697704845">
      <w:bodyDiv w:val="1"/>
      <w:marLeft w:val="0"/>
      <w:marRight w:val="0"/>
      <w:marTop w:val="0"/>
      <w:marBottom w:val="0"/>
      <w:divBdr>
        <w:top w:val="none" w:sz="0" w:space="0" w:color="auto"/>
        <w:left w:val="none" w:sz="0" w:space="0" w:color="auto"/>
        <w:bottom w:val="none" w:sz="0" w:space="0" w:color="auto"/>
        <w:right w:val="none" w:sz="0" w:space="0" w:color="auto"/>
      </w:divBdr>
    </w:div>
    <w:div w:id="711077282">
      <w:bodyDiv w:val="1"/>
      <w:marLeft w:val="0"/>
      <w:marRight w:val="0"/>
      <w:marTop w:val="0"/>
      <w:marBottom w:val="0"/>
      <w:divBdr>
        <w:top w:val="none" w:sz="0" w:space="0" w:color="auto"/>
        <w:left w:val="none" w:sz="0" w:space="0" w:color="auto"/>
        <w:bottom w:val="none" w:sz="0" w:space="0" w:color="auto"/>
        <w:right w:val="none" w:sz="0" w:space="0" w:color="auto"/>
      </w:divBdr>
    </w:div>
    <w:div w:id="715859024">
      <w:bodyDiv w:val="1"/>
      <w:marLeft w:val="0"/>
      <w:marRight w:val="0"/>
      <w:marTop w:val="0"/>
      <w:marBottom w:val="0"/>
      <w:divBdr>
        <w:top w:val="none" w:sz="0" w:space="0" w:color="auto"/>
        <w:left w:val="none" w:sz="0" w:space="0" w:color="auto"/>
        <w:bottom w:val="none" w:sz="0" w:space="0" w:color="auto"/>
        <w:right w:val="none" w:sz="0" w:space="0" w:color="auto"/>
      </w:divBdr>
    </w:div>
    <w:div w:id="726994561">
      <w:bodyDiv w:val="1"/>
      <w:marLeft w:val="0"/>
      <w:marRight w:val="0"/>
      <w:marTop w:val="0"/>
      <w:marBottom w:val="0"/>
      <w:divBdr>
        <w:top w:val="none" w:sz="0" w:space="0" w:color="auto"/>
        <w:left w:val="none" w:sz="0" w:space="0" w:color="auto"/>
        <w:bottom w:val="none" w:sz="0" w:space="0" w:color="auto"/>
        <w:right w:val="none" w:sz="0" w:space="0" w:color="auto"/>
      </w:divBdr>
    </w:div>
    <w:div w:id="751898176">
      <w:bodyDiv w:val="1"/>
      <w:marLeft w:val="0"/>
      <w:marRight w:val="0"/>
      <w:marTop w:val="0"/>
      <w:marBottom w:val="0"/>
      <w:divBdr>
        <w:top w:val="none" w:sz="0" w:space="0" w:color="auto"/>
        <w:left w:val="none" w:sz="0" w:space="0" w:color="auto"/>
        <w:bottom w:val="none" w:sz="0" w:space="0" w:color="auto"/>
        <w:right w:val="none" w:sz="0" w:space="0" w:color="auto"/>
      </w:divBdr>
    </w:div>
    <w:div w:id="760488902">
      <w:bodyDiv w:val="1"/>
      <w:marLeft w:val="0"/>
      <w:marRight w:val="0"/>
      <w:marTop w:val="0"/>
      <w:marBottom w:val="0"/>
      <w:divBdr>
        <w:top w:val="none" w:sz="0" w:space="0" w:color="auto"/>
        <w:left w:val="none" w:sz="0" w:space="0" w:color="auto"/>
        <w:bottom w:val="none" w:sz="0" w:space="0" w:color="auto"/>
        <w:right w:val="none" w:sz="0" w:space="0" w:color="auto"/>
      </w:divBdr>
    </w:div>
    <w:div w:id="771166686">
      <w:bodyDiv w:val="1"/>
      <w:marLeft w:val="0"/>
      <w:marRight w:val="0"/>
      <w:marTop w:val="0"/>
      <w:marBottom w:val="0"/>
      <w:divBdr>
        <w:top w:val="none" w:sz="0" w:space="0" w:color="auto"/>
        <w:left w:val="none" w:sz="0" w:space="0" w:color="auto"/>
        <w:bottom w:val="none" w:sz="0" w:space="0" w:color="auto"/>
        <w:right w:val="none" w:sz="0" w:space="0" w:color="auto"/>
      </w:divBdr>
    </w:div>
    <w:div w:id="816343905">
      <w:bodyDiv w:val="1"/>
      <w:marLeft w:val="0"/>
      <w:marRight w:val="0"/>
      <w:marTop w:val="0"/>
      <w:marBottom w:val="0"/>
      <w:divBdr>
        <w:top w:val="none" w:sz="0" w:space="0" w:color="auto"/>
        <w:left w:val="none" w:sz="0" w:space="0" w:color="auto"/>
        <w:bottom w:val="none" w:sz="0" w:space="0" w:color="auto"/>
        <w:right w:val="none" w:sz="0" w:space="0" w:color="auto"/>
      </w:divBdr>
    </w:div>
    <w:div w:id="816728074">
      <w:bodyDiv w:val="1"/>
      <w:marLeft w:val="0"/>
      <w:marRight w:val="0"/>
      <w:marTop w:val="0"/>
      <w:marBottom w:val="0"/>
      <w:divBdr>
        <w:top w:val="none" w:sz="0" w:space="0" w:color="auto"/>
        <w:left w:val="none" w:sz="0" w:space="0" w:color="auto"/>
        <w:bottom w:val="none" w:sz="0" w:space="0" w:color="auto"/>
        <w:right w:val="none" w:sz="0" w:space="0" w:color="auto"/>
      </w:divBdr>
    </w:div>
    <w:div w:id="821315776">
      <w:bodyDiv w:val="1"/>
      <w:marLeft w:val="0"/>
      <w:marRight w:val="0"/>
      <w:marTop w:val="0"/>
      <w:marBottom w:val="0"/>
      <w:divBdr>
        <w:top w:val="none" w:sz="0" w:space="0" w:color="auto"/>
        <w:left w:val="none" w:sz="0" w:space="0" w:color="auto"/>
        <w:bottom w:val="none" w:sz="0" w:space="0" w:color="auto"/>
        <w:right w:val="none" w:sz="0" w:space="0" w:color="auto"/>
      </w:divBdr>
    </w:div>
    <w:div w:id="842748069">
      <w:bodyDiv w:val="1"/>
      <w:marLeft w:val="0"/>
      <w:marRight w:val="0"/>
      <w:marTop w:val="0"/>
      <w:marBottom w:val="0"/>
      <w:divBdr>
        <w:top w:val="none" w:sz="0" w:space="0" w:color="auto"/>
        <w:left w:val="none" w:sz="0" w:space="0" w:color="auto"/>
        <w:bottom w:val="none" w:sz="0" w:space="0" w:color="auto"/>
        <w:right w:val="none" w:sz="0" w:space="0" w:color="auto"/>
      </w:divBdr>
    </w:div>
    <w:div w:id="853614526">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4048766">
      <w:bodyDiv w:val="1"/>
      <w:marLeft w:val="0"/>
      <w:marRight w:val="0"/>
      <w:marTop w:val="0"/>
      <w:marBottom w:val="0"/>
      <w:divBdr>
        <w:top w:val="none" w:sz="0" w:space="0" w:color="auto"/>
        <w:left w:val="none" w:sz="0" w:space="0" w:color="auto"/>
        <w:bottom w:val="none" w:sz="0" w:space="0" w:color="auto"/>
        <w:right w:val="none" w:sz="0" w:space="0" w:color="auto"/>
      </w:divBdr>
      <w:divsChild>
        <w:div w:id="754666314">
          <w:marLeft w:val="0"/>
          <w:marRight w:val="0"/>
          <w:marTop w:val="0"/>
          <w:marBottom w:val="0"/>
          <w:divBdr>
            <w:top w:val="none" w:sz="0" w:space="0" w:color="auto"/>
            <w:left w:val="none" w:sz="0" w:space="0" w:color="auto"/>
            <w:bottom w:val="none" w:sz="0" w:space="0" w:color="auto"/>
            <w:right w:val="none" w:sz="0" w:space="0" w:color="auto"/>
          </w:divBdr>
        </w:div>
        <w:div w:id="1116412447">
          <w:marLeft w:val="0"/>
          <w:marRight w:val="0"/>
          <w:marTop w:val="0"/>
          <w:marBottom w:val="0"/>
          <w:divBdr>
            <w:top w:val="none" w:sz="0" w:space="0" w:color="auto"/>
            <w:left w:val="none" w:sz="0" w:space="0" w:color="auto"/>
            <w:bottom w:val="none" w:sz="0" w:space="0" w:color="auto"/>
            <w:right w:val="none" w:sz="0" w:space="0" w:color="auto"/>
          </w:divBdr>
        </w:div>
        <w:div w:id="1691450808">
          <w:marLeft w:val="0"/>
          <w:marRight w:val="0"/>
          <w:marTop w:val="0"/>
          <w:marBottom w:val="0"/>
          <w:divBdr>
            <w:top w:val="none" w:sz="0" w:space="0" w:color="auto"/>
            <w:left w:val="none" w:sz="0" w:space="0" w:color="auto"/>
            <w:bottom w:val="none" w:sz="0" w:space="0" w:color="auto"/>
            <w:right w:val="none" w:sz="0" w:space="0" w:color="auto"/>
          </w:divBdr>
        </w:div>
        <w:div w:id="1749840919">
          <w:marLeft w:val="0"/>
          <w:marRight w:val="0"/>
          <w:marTop w:val="0"/>
          <w:marBottom w:val="0"/>
          <w:divBdr>
            <w:top w:val="none" w:sz="0" w:space="0" w:color="auto"/>
            <w:left w:val="none" w:sz="0" w:space="0" w:color="auto"/>
            <w:bottom w:val="none" w:sz="0" w:space="0" w:color="auto"/>
            <w:right w:val="none" w:sz="0" w:space="0" w:color="auto"/>
          </w:divBdr>
        </w:div>
      </w:divsChild>
    </w:div>
    <w:div w:id="896431821">
      <w:bodyDiv w:val="1"/>
      <w:marLeft w:val="0"/>
      <w:marRight w:val="0"/>
      <w:marTop w:val="0"/>
      <w:marBottom w:val="0"/>
      <w:divBdr>
        <w:top w:val="none" w:sz="0" w:space="0" w:color="auto"/>
        <w:left w:val="none" w:sz="0" w:space="0" w:color="auto"/>
        <w:bottom w:val="none" w:sz="0" w:space="0" w:color="auto"/>
        <w:right w:val="none" w:sz="0" w:space="0" w:color="auto"/>
      </w:divBdr>
    </w:div>
    <w:div w:id="907573869">
      <w:bodyDiv w:val="1"/>
      <w:marLeft w:val="0"/>
      <w:marRight w:val="0"/>
      <w:marTop w:val="0"/>
      <w:marBottom w:val="0"/>
      <w:divBdr>
        <w:top w:val="none" w:sz="0" w:space="0" w:color="auto"/>
        <w:left w:val="none" w:sz="0" w:space="0" w:color="auto"/>
        <w:bottom w:val="none" w:sz="0" w:space="0" w:color="auto"/>
        <w:right w:val="none" w:sz="0" w:space="0" w:color="auto"/>
      </w:divBdr>
    </w:div>
    <w:div w:id="914046181">
      <w:bodyDiv w:val="1"/>
      <w:marLeft w:val="0"/>
      <w:marRight w:val="0"/>
      <w:marTop w:val="0"/>
      <w:marBottom w:val="0"/>
      <w:divBdr>
        <w:top w:val="none" w:sz="0" w:space="0" w:color="auto"/>
        <w:left w:val="none" w:sz="0" w:space="0" w:color="auto"/>
        <w:bottom w:val="none" w:sz="0" w:space="0" w:color="auto"/>
        <w:right w:val="none" w:sz="0" w:space="0" w:color="auto"/>
      </w:divBdr>
      <w:divsChild>
        <w:div w:id="357125227">
          <w:marLeft w:val="0"/>
          <w:marRight w:val="0"/>
          <w:marTop w:val="0"/>
          <w:marBottom w:val="0"/>
          <w:divBdr>
            <w:top w:val="none" w:sz="0" w:space="0" w:color="auto"/>
            <w:left w:val="none" w:sz="0" w:space="0" w:color="auto"/>
            <w:bottom w:val="none" w:sz="0" w:space="0" w:color="auto"/>
            <w:right w:val="none" w:sz="0" w:space="0" w:color="auto"/>
          </w:divBdr>
        </w:div>
        <w:div w:id="1392458727">
          <w:marLeft w:val="0"/>
          <w:marRight w:val="0"/>
          <w:marTop w:val="0"/>
          <w:marBottom w:val="0"/>
          <w:divBdr>
            <w:top w:val="none" w:sz="0" w:space="0" w:color="auto"/>
            <w:left w:val="none" w:sz="0" w:space="0" w:color="auto"/>
            <w:bottom w:val="none" w:sz="0" w:space="0" w:color="auto"/>
            <w:right w:val="none" w:sz="0" w:space="0" w:color="auto"/>
          </w:divBdr>
        </w:div>
      </w:divsChild>
    </w:div>
    <w:div w:id="939410453">
      <w:bodyDiv w:val="1"/>
      <w:marLeft w:val="0"/>
      <w:marRight w:val="0"/>
      <w:marTop w:val="0"/>
      <w:marBottom w:val="0"/>
      <w:divBdr>
        <w:top w:val="none" w:sz="0" w:space="0" w:color="auto"/>
        <w:left w:val="none" w:sz="0" w:space="0" w:color="auto"/>
        <w:bottom w:val="none" w:sz="0" w:space="0" w:color="auto"/>
        <w:right w:val="none" w:sz="0" w:space="0" w:color="auto"/>
      </w:divBdr>
    </w:div>
    <w:div w:id="973027376">
      <w:bodyDiv w:val="1"/>
      <w:marLeft w:val="0"/>
      <w:marRight w:val="0"/>
      <w:marTop w:val="0"/>
      <w:marBottom w:val="0"/>
      <w:divBdr>
        <w:top w:val="none" w:sz="0" w:space="0" w:color="auto"/>
        <w:left w:val="none" w:sz="0" w:space="0" w:color="auto"/>
        <w:bottom w:val="none" w:sz="0" w:space="0" w:color="auto"/>
        <w:right w:val="none" w:sz="0" w:space="0" w:color="auto"/>
      </w:divBdr>
    </w:div>
    <w:div w:id="993140464">
      <w:bodyDiv w:val="1"/>
      <w:marLeft w:val="0"/>
      <w:marRight w:val="0"/>
      <w:marTop w:val="0"/>
      <w:marBottom w:val="0"/>
      <w:divBdr>
        <w:top w:val="none" w:sz="0" w:space="0" w:color="auto"/>
        <w:left w:val="none" w:sz="0" w:space="0" w:color="auto"/>
        <w:bottom w:val="none" w:sz="0" w:space="0" w:color="auto"/>
        <w:right w:val="none" w:sz="0" w:space="0" w:color="auto"/>
      </w:divBdr>
    </w:div>
    <w:div w:id="1013190047">
      <w:bodyDiv w:val="1"/>
      <w:marLeft w:val="0"/>
      <w:marRight w:val="0"/>
      <w:marTop w:val="0"/>
      <w:marBottom w:val="0"/>
      <w:divBdr>
        <w:top w:val="none" w:sz="0" w:space="0" w:color="auto"/>
        <w:left w:val="none" w:sz="0" w:space="0" w:color="auto"/>
        <w:bottom w:val="none" w:sz="0" w:space="0" w:color="auto"/>
        <w:right w:val="none" w:sz="0" w:space="0" w:color="auto"/>
      </w:divBdr>
    </w:div>
    <w:div w:id="1018628043">
      <w:bodyDiv w:val="1"/>
      <w:marLeft w:val="0"/>
      <w:marRight w:val="0"/>
      <w:marTop w:val="0"/>
      <w:marBottom w:val="0"/>
      <w:divBdr>
        <w:top w:val="none" w:sz="0" w:space="0" w:color="auto"/>
        <w:left w:val="none" w:sz="0" w:space="0" w:color="auto"/>
        <w:bottom w:val="none" w:sz="0" w:space="0" w:color="auto"/>
        <w:right w:val="none" w:sz="0" w:space="0" w:color="auto"/>
      </w:divBdr>
    </w:div>
    <w:div w:id="1021737267">
      <w:bodyDiv w:val="1"/>
      <w:marLeft w:val="0"/>
      <w:marRight w:val="0"/>
      <w:marTop w:val="0"/>
      <w:marBottom w:val="0"/>
      <w:divBdr>
        <w:top w:val="none" w:sz="0" w:space="0" w:color="auto"/>
        <w:left w:val="none" w:sz="0" w:space="0" w:color="auto"/>
        <w:bottom w:val="none" w:sz="0" w:space="0" w:color="auto"/>
        <w:right w:val="none" w:sz="0" w:space="0" w:color="auto"/>
      </w:divBdr>
    </w:div>
    <w:div w:id="1029069536">
      <w:bodyDiv w:val="1"/>
      <w:marLeft w:val="0"/>
      <w:marRight w:val="0"/>
      <w:marTop w:val="0"/>
      <w:marBottom w:val="0"/>
      <w:divBdr>
        <w:top w:val="none" w:sz="0" w:space="0" w:color="auto"/>
        <w:left w:val="none" w:sz="0" w:space="0" w:color="auto"/>
        <w:bottom w:val="none" w:sz="0" w:space="0" w:color="auto"/>
        <w:right w:val="none" w:sz="0" w:space="0" w:color="auto"/>
      </w:divBdr>
    </w:div>
    <w:div w:id="1044791249">
      <w:bodyDiv w:val="1"/>
      <w:marLeft w:val="0"/>
      <w:marRight w:val="0"/>
      <w:marTop w:val="0"/>
      <w:marBottom w:val="0"/>
      <w:divBdr>
        <w:top w:val="none" w:sz="0" w:space="0" w:color="auto"/>
        <w:left w:val="none" w:sz="0" w:space="0" w:color="auto"/>
        <w:bottom w:val="none" w:sz="0" w:space="0" w:color="auto"/>
        <w:right w:val="none" w:sz="0" w:space="0" w:color="auto"/>
      </w:divBdr>
    </w:div>
    <w:div w:id="1045982664">
      <w:bodyDiv w:val="1"/>
      <w:marLeft w:val="0"/>
      <w:marRight w:val="0"/>
      <w:marTop w:val="0"/>
      <w:marBottom w:val="0"/>
      <w:divBdr>
        <w:top w:val="none" w:sz="0" w:space="0" w:color="auto"/>
        <w:left w:val="none" w:sz="0" w:space="0" w:color="auto"/>
        <w:bottom w:val="none" w:sz="0" w:space="0" w:color="auto"/>
        <w:right w:val="none" w:sz="0" w:space="0" w:color="auto"/>
      </w:divBdr>
    </w:div>
    <w:div w:id="1083453766">
      <w:bodyDiv w:val="1"/>
      <w:marLeft w:val="0"/>
      <w:marRight w:val="0"/>
      <w:marTop w:val="0"/>
      <w:marBottom w:val="0"/>
      <w:divBdr>
        <w:top w:val="none" w:sz="0" w:space="0" w:color="auto"/>
        <w:left w:val="none" w:sz="0" w:space="0" w:color="auto"/>
        <w:bottom w:val="none" w:sz="0" w:space="0" w:color="auto"/>
        <w:right w:val="none" w:sz="0" w:space="0" w:color="auto"/>
      </w:divBdr>
    </w:div>
    <w:div w:id="1088883938">
      <w:bodyDiv w:val="1"/>
      <w:marLeft w:val="0"/>
      <w:marRight w:val="0"/>
      <w:marTop w:val="0"/>
      <w:marBottom w:val="0"/>
      <w:divBdr>
        <w:top w:val="none" w:sz="0" w:space="0" w:color="auto"/>
        <w:left w:val="none" w:sz="0" w:space="0" w:color="auto"/>
        <w:bottom w:val="none" w:sz="0" w:space="0" w:color="auto"/>
        <w:right w:val="none" w:sz="0" w:space="0" w:color="auto"/>
      </w:divBdr>
    </w:div>
    <w:div w:id="1118262607">
      <w:bodyDiv w:val="1"/>
      <w:marLeft w:val="0"/>
      <w:marRight w:val="0"/>
      <w:marTop w:val="0"/>
      <w:marBottom w:val="0"/>
      <w:divBdr>
        <w:top w:val="none" w:sz="0" w:space="0" w:color="auto"/>
        <w:left w:val="none" w:sz="0" w:space="0" w:color="auto"/>
        <w:bottom w:val="none" w:sz="0" w:space="0" w:color="auto"/>
        <w:right w:val="none" w:sz="0" w:space="0" w:color="auto"/>
      </w:divBdr>
    </w:div>
    <w:div w:id="1120342453">
      <w:bodyDiv w:val="1"/>
      <w:marLeft w:val="0"/>
      <w:marRight w:val="0"/>
      <w:marTop w:val="0"/>
      <w:marBottom w:val="0"/>
      <w:divBdr>
        <w:top w:val="none" w:sz="0" w:space="0" w:color="auto"/>
        <w:left w:val="none" w:sz="0" w:space="0" w:color="auto"/>
        <w:bottom w:val="none" w:sz="0" w:space="0" w:color="auto"/>
        <w:right w:val="none" w:sz="0" w:space="0" w:color="auto"/>
      </w:divBdr>
    </w:div>
    <w:div w:id="1166479676">
      <w:bodyDiv w:val="1"/>
      <w:marLeft w:val="0"/>
      <w:marRight w:val="0"/>
      <w:marTop w:val="0"/>
      <w:marBottom w:val="0"/>
      <w:divBdr>
        <w:top w:val="none" w:sz="0" w:space="0" w:color="auto"/>
        <w:left w:val="none" w:sz="0" w:space="0" w:color="auto"/>
        <w:bottom w:val="none" w:sz="0" w:space="0" w:color="auto"/>
        <w:right w:val="none" w:sz="0" w:space="0" w:color="auto"/>
      </w:divBdr>
      <w:divsChild>
        <w:div w:id="1200124010">
          <w:marLeft w:val="0"/>
          <w:marRight w:val="0"/>
          <w:marTop w:val="0"/>
          <w:marBottom w:val="0"/>
          <w:divBdr>
            <w:top w:val="none" w:sz="0" w:space="0" w:color="auto"/>
            <w:left w:val="none" w:sz="0" w:space="0" w:color="auto"/>
            <w:bottom w:val="none" w:sz="0" w:space="0" w:color="auto"/>
            <w:right w:val="none" w:sz="0" w:space="0" w:color="auto"/>
          </w:divBdr>
        </w:div>
        <w:div w:id="1645699644">
          <w:marLeft w:val="0"/>
          <w:marRight w:val="0"/>
          <w:marTop w:val="0"/>
          <w:marBottom w:val="0"/>
          <w:divBdr>
            <w:top w:val="none" w:sz="0" w:space="0" w:color="auto"/>
            <w:left w:val="none" w:sz="0" w:space="0" w:color="auto"/>
            <w:bottom w:val="none" w:sz="0" w:space="0" w:color="auto"/>
            <w:right w:val="none" w:sz="0" w:space="0" w:color="auto"/>
          </w:divBdr>
        </w:div>
        <w:div w:id="1777941284">
          <w:marLeft w:val="0"/>
          <w:marRight w:val="0"/>
          <w:marTop w:val="0"/>
          <w:marBottom w:val="0"/>
          <w:divBdr>
            <w:top w:val="none" w:sz="0" w:space="0" w:color="auto"/>
            <w:left w:val="none" w:sz="0" w:space="0" w:color="auto"/>
            <w:bottom w:val="none" w:sz="0" w:space="0" w:color="auto"/>
            <w:right w:val="none" w:sz="0" w:space="0" w:color="auto"/>
          </w:divBdr>
        </w:div>
        <w:div w:id="2139060541">
          <w:marLeft w:val="0"/>
          <w:marRight w:val="0"/>
          <w:marTop w:val="0"/>
          <w:marBottom w:val="0"/>
          <w:divBdr>
            <w:top w:val="none" w:sz="0" w:space="0" w:color="auto"/>
            <w:left w:val="none" w:sz="0" w:space="0" w:color="auto"/>
            <w:bottom w:val="none" w:sz="0" w:space="0" w:color="auto"/>
            <w:right w:val="none" w:sz="0" w:space="0" w:color="auto"/>
          </w:divBdr>
        </w:div>
      </w:divsChild>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79345844">
      <w:bodyDiv w:val="1"/>
      <w:marLeft w:val="0"/>
      <w:marRight w:val="0"/>
      <w:marTop w:val="0"/>
      <w:marBottom w:val="0"/>
      <w:divBdr>
        <w:top w:val="none" w:sz="0" w:space="0" w:color="auto"/>
        <w:left w:val="none" w:sz="0" w:space="0" w:color="auto"/>
        <w:bottom w:val="none" w:sz="0" w:space="0" w:color="auto"/>
        <w:right w:val="none" w:sz="0" w:space="0" w:color="auto"/>
      </w:divBdr>
    </w:div>
    <w:div w:id="1201742877">
      <w:bodyDiv w:val="1"/>
      <w:marLeft w:val="0"/>
      <w:marRight w:val="0"/>
      <w:marTop w:val="0"/>
      <w:marBottom w:val="0"/>
      <w:divBdr>
        <w:top w:val="none" w:sz="0" w:space="0" w:color="auto"/>
        <w:left w:val="none" w:sz="0" w:space="0" w:color="auto"/>
        <w:bottom w:val="none" w:sz="0" w:space="0" w:color="auto"/>
        <w:right w:val="none" w:sz="0" w:space="0" w:color="auto"/>
      </w:divBdr>
    </w:div>
    <w:div w:id="1202404302">
      <w:bodyDiv w:val="1"/>
      <w:marLeft w:val="0"/>
      <w:marRight w:val="0"/>
      <w:marTop w:val="0"/>
      <w:marBottom w:val="0"/>
      <w:divBdr>
        <w:top w:val="none" w:sz="0" w:space="0" w:color="auto"/>
        <w:left w:val="none" w:sz="0" w:space="0" w:color="auto"/>
        <w:bottom w:val="none" w:sz="0" w:space="0" w:color="auto"/>
        <w:right w:val="none" w:sz="0" w:space="0" w:color="auto"/>
      </w:divBdr>
    </w:div>
    <w:div w:id="1204096834">
      <w:bodyDiv w:val="1"/>
      <w:marLeft w:val="0"/>
      <w:marRight w:val="0"/>
      <w:marTop w:val="0"/>
      <w:marBottom w:val="0"/>
      <w:divBdr>
        <w:top w:val="none" w:sz="0" w:space="0" w:color="auto"/>
        <w:left w:val="none" w:sz="0" w:space="0" w:color="auto"/>
        <w:bottom w:val="none" w:sz="0" w:space="0" w:color="auto"/>
        <w:right w:val="none" w:sz="0" w:space="0" w:color="auto"/>
      </w:divBdr>
    </w:div>
    <w:div w:id="1215774804">
      <w:bodyDiv w:val="1"/>
      <w:marLeft w:val="0"/>
      <w:marRight w:val="0"/>
      <w:marTop w:val="0"/>
      <w:marBottom w:val="0"/>
      <w:divBdr>
        <w:top w:val="none" w:sz="0" w:space="0" w:color="auto"/>
        <w:left w:val="none" w:sz="0" w:space="0" w:color="auto"/>
        <w:bottom w:val="none" w:sz="0" w:space="0" w:color="auto"/>
        <w:right w:val="none" w:sz="0" w:space="0" w:color="auto"/>
      </w:divBdr>
    </w:div>
    <w:div w:id="1222520177">
      <w:bodyDiv w:val="1"/>
      <w:marLeft w:val="0"/>
      <w:marRight w:val="0"/>
      <w:marTop w:val="0"/>
      <w:marBottom w:val="0"/>
      <w:divBdr>
        <w:top w:val="none" w:sz="0" w:space="0" w:color="auto"/>
        <w:left w:val="none" w:sz="0" w:space="0" w:color="auto"/>
        <w:bottom w:val="none" w:sz="0" w:space="0" w:color="auto"/>
        <w:right w:val="none" w:sz="0" w:space="0" w:color="auto"/>
      </w:divBdr>
      <w:divsChild>
        <w:div w:id="1239442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003243">
      <w:bodyDiv w:val="1"/>
      <w:marLeft w:val="0"/>
      <w:marRight w:val="0"/>
      <w:marTop w:val="0"/>
      <w:marBottom w:val="0"/>
      <w:divBdr>
        <w:top w:val="none" w:sz="0" w:space="0" w:color="auto"/>
        <w:left w:val="none" w:sz="0" w:space="0" w:color="auto"/>
        <w:bottom w:val="none" w:sz="0" w:space="0" w:color="auto"/>
        <w:right w:val="none" w:sz="0" w:space="0" w:color="auto"/>
      </w:divBdr>
    </w:div>
    <w:div w:id="1262756859">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537835">
      <w:bodyDiv w:val="1"/>
      <w:marLeft w:val="0"/>
      <w:marRight w:val="0"/>
      <w:marTop w:val="0"/>
      <w:marBottom w:val="0"/>
      <w:divBdr>
        <w:top w:val="none" w:sz="0" w:space="0" w:color="auto"/>
        <w:left w:val="none" w:sz="0" w:space="0" w:color="auto"/>
        <w:bottom w:val="none" w:sz="0" w:space="0" w:color="auto"/>
        <w:right w:val="none" w:sz="0" w:space="0" w:color="auto"/>
      </w:divBdr>
      <w:divsChild>
        <w:div w:id="151682452">
          <w:marLeft w:val="0"/>
          <w:marRight w:val="0"/>
          <w:marTop w:val="0"/>
          <w:marBottom w:val="0"/>
          <w:divBdr>
            <w:top w:val="none" w:sz="0" w:space="0" w:color="auto"/>
            <w:left w:val="none" w:sz="0" w:space="0" w:color="auto"/>
            <w:bottom w:val="none" w:sz="0" w:space="0" w:color="auto"/>
            <w:right w:val="none" w:sz="0" w:space="0" w:color="auto"/>
          </w:divBdr>
        </w:div>
      </w:divsChild>
    </w:div>
    <w:div w:id="1285234389">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728123">
      <w:bodyDiv w:val="1"/>
      <w:marLeft w:val="0"/>
      <w:marRight w:val="0"/>
      <w:marTop w:val="0"/>
      <w:marBottom w:val="0"/>
      <w:divBdr>
        <w:top w:val="none" w:sz="0" w:space="0" w:color="auto"/>
        <w:left w:val="none" w:sz="0" w:space="0" w:color="auto"/>
        <w:bottom w:val="none" w:sz="0" w:space="0" w:color="auto"/>
        <w:right w:val="none" w:sz="0" w:space="0" w:color="auto"/>
      </w:divBdr>
    </w:div>
    <w:div w:id="1317491163">
      <w:bodyDiv w:val="1"/>
      <w:marLeft w:val="0"/>
      <w:marRight w:val="0"/>
      <w:marTop w:val="0"/>
      <w:marBottom w:val="0"/>
      <w:divBdr>
        <w:top w:val="none" w:sz="0" w:space="0" w:color="auto"/>
        <w:left w:val="none" w:sz="0" w:space="0" w:color="auto"/>
        <w:bottom w:val="none" w:sz="0" w:space="0" w:color="auto"/>
        <w:right w:val="none" w:sz="0" w:space="0" w:color="auto"/>
      </w:divBdr>
    </w:div>
    <w:div w:id="1337151134">
      <w:bodyDiv w:val="1"/>
      <w:marLeft w:val="0"/>
      <w:marRight w:val="0"/>
      <w:marTop w:val="0"/>
      <w:marBottom w:val="0"/>
      <w:divBdr>
        <w:top w:val="none" w:sz="0" w:space="0" w:color="auto"/>
        <w:left w:val="none" w:sz="0" w:space="0" w:color="auto"/>
        <w:bottom w:val="none" w:sz="0" w:space="0" w:color="auto"/>
        <w:right w:val="none" w:sz="0" w:space="0" w:color="auto"/>
      </w:divBdr>
    </w:div>
    <w:div w:id="1347367012">
      <w:bodyDiv w:val="1"/>
      <w:marLeft w:val="0"/>
      <w:marRight w:val="0"/>
      <w:marTop w:val="0"/>
      <w:marBottom w:val="0"/>
      <w:divBdr>
        <w:top w:val="none" w:sz="0" w:space="0" w:color="auto"/>
        <w:left w:val="none" w:sz="0" w:space="0" w:color="auto"/>
        <w:bottom w:val="none" w:sz="0" w:space="0" w:color="auto"/>
        <w:right w:val="none" w:sz="0" w:space="0" w:color="auto"/>
      </w:divBdr>
    </w:div>
    <w:div w:id="1367293784">
      <w:bodyDiv w:val="1"/>
      <w:marLeft w:val="0"/>
      <w:marRight w:val="0"/>
      <w:marTop w:val="0"/>
      <w:marBottom w:val="0"/>
      <w:divBdr>
        <w:top w:val="none" w:sz="0" w:space="0" w:color="auto"/>
        <w:left w:val="none" w:sz="0" w:space="0" w:color="auto"/>
        <w:bottom w:val="none" w:sz="0" w:space="0" w:color="auto"/>
        <w:right w:val="none" w:sz="0" w:space="0" w:color="auto"/>
      </w:divBdr>
    </w:div>
    <w:div w:id="1370649049">
      <w:bodyDiv w:val="1"/>
      <w:marLeft w:val="0"/>
      <w:marRight w:val="0"/>
      <w:marTop w:val="0"/>
      <w:marBottom w:val="0"/>
      <w:divBdr>
        <w:top w:val="none" w:sz="0" w:space="0" w:color="auto"/>
        <w:left w:val="none" w:sz="0" w:space="0" w:color="auto"/>
        <w:bottom w:val="none" w:sz="0" w:space="0" w:color="auto"/>
        <w:right w:val="none" w:sz="0" w:space="0" w:color="auto"/>
      </w:divBdr>
    </w:div>
    <w:div w:id="1371955955">
      <w:bodyDiv w:val="1"/>
      <w:marLeft w:val="0"/>
      <w:marRight w:val="0"/>
      <w:marTop w:val="0"/>
      <w:marBottom w:val="0"/>
      <w:divBdr>
        <w:top w:val="none" w:sz="0" w:space="0" w:color="auto"/>
        <w:left w:val="none" w:sz="0" w:space="0" w:color="auto"/>
        <w:bottom w:val="none" w:sz="0" w:space="0" w:color="auto"/>
        <w:right w:val="none" w:sz="0" w:space="0" w:color="auto"/>
      </w:divBdr>
      <w:divsChild>
        <w:div w:id="750465748">
          <w:marLeft w:val="0"/>
          <w:marRight w:val="0"/>
          <w:marTop w:val="0"/>
          <w:marBottom w:val="0"/>
          <w:divBdr>
            <w:top w:val="none" w:sz="0" w:space="0" w:color="auto"/>
            <w:left w:val="none" w:sz="0" w:space="0" w:color="auto"/>
            <w:bottom w:val="none" w:sz="0" w:space="0" w:color="auto"/>
            <w:right w:val="none" w:sz="0" w:space="0" w:color="auto"/>
          </w:divBdr>
        </w:div>
        <w:div w:id="974062754">
          <w:marLeft w:val="0"/>
          <w:marRight w:val="0"/>
          <w:marTop w:val="0"/>
          <w:marBottom w:val="0"/>
          <w:divBdr>
            <w:top w:val="none" w:sz="0" w:space="0" w:color="auto"/>
            <w:left w:val="none" w:sz="0" w:space="0" w:color="auto"/>
            <w:bottom w:val="none" w:sz="0" w:space="0" w:color="auto"/>
            <w:right w:val="none" w:sz="0" w:space="0" w:color="auto"/>
          </w:divBdr>
        </w:div>
        <w:div w:id="2057001201">
          <w:marLeft w:val="0"/>
          <w:marRight w:val="0"/>
          <w:marTop w:val="0"/>
          <w:marBottom w:val="0"/>
          <w:divBdr>
            <w:top w:val="none" w:sz="0" w:space="0" w:color="auto"/>
            <w:left w:val="none" w:sz="0" w:space="0" w:color="auto"/>
            <w:bottom w:val="none" w:sz="0" w:space="0" w:color="auto"/>
            <w:right w:val="none" w:sz="0" w:space="0" w:color="auto"/>
          </w:divBdr>
        </w:div>
      </w:divsChild>
    </w:div>
    <w:div w:id="1381132934">
      <w:bodyDiv w:val="1"/>
      <w:marLeft w:val="0"/>
      <w:marRight w:val="0"/>
      <w:marTop w:val="0"/>
      <w:marBottom w:val="0"/>
      <w:divBdr>
        <w:top w:val="none" w:sz="0" w:space="0" w:color="auto"/>
        <w:left w:val="none" w:sz="0" w:space="0" w:color="auto"/>
        <w:bottom w:val="none" w:sz="0" w:space="0" w:color="auto"/>
        <w:right w:val="none" w:sz="0" w:space="0" w:color="auto"/>
      </w:divBdr>
    </w:div>
    <w:div w:id="1422682326">
      <w:bodyDiv w:val="1"/>
      <w:marLeft w:val="0"/>
      <w:marRight w:val="0"/>
      <w:marTop w:val="0"/>
      <w:marBottom w:val="0"/>
      <w:divBdr>
        <w:top w:val="none" w:sz="0" w:space="0" w:color="auto"/>
        <w:left w:val="none" w:sz="0" w:space="0" w:color="auto"/>
        <w:bottom w:val="none" w:sz="0" w:space="0" w:color="auto"/>
        <w:right w:val="none" w:sz="0" w:space="0" w:color="auto"/>
      </w:divBdr>
    </w:div>
    <w:div w:id="1464225579">
      <w:bodyDiv w:val="1"/>
      <w:marLeft w:val="0"/>
      <w:marRight w:val="0"/>
      <w:marTop w:val="0"/>
      <w:marBottom w:val="0"/>
      <w:divBdr>
        <w:top w:val="none" w:sz="0" w:space="0" w:color="auto"/>
        <w:left w:val="none" w:sz="0" w:space="0" w:color="auto"/>
        <w:bottom w:val="none" w:sz="0" w:space="0" w:color="auto"/>
        <w:right w:val="none" w:sz="0" w:space="0" w:color="auto"/>
      </w:divBdr>
    </w:div>
    <w:div w:id="1469859390">
      <w:bodyDiv w:val="1"/>
      <w:marLeft w:val="0"/>
      <w:marRight w:val="0"/>
      <w:marTop w:val="0"/>
      <w:marBottom w:val="0"/>
      <w:divBdr>
        <w:top w:val="none" w:sz="0" w:space="0" w:color="auto"/>
        <w:left w:val="none" w:sz="0" w:space="0" w:color="auto"/>
        <w:bottom w:val="none" w:sz="0" w:space="0" w:color="auto"/>
        <w:right w:val="none" w:sz="0" w:space="0" w:color="auto"/>
      </w:divBdr>
      <w:divsChild>
        <w:div w:id="29427464">
          <w:marLeft w:val="0"/>
          <w:marRight w:val="0"/>
          <w:marTop w:val="0"/>
          <w:marBottom w:val="0"/>
          <w:divBdr>
            <w:top w:val="none" w:sz="0" w:space="0" w:color="auto"/>
            <w:left w:val="none" w:sz="0" w:space="0" w:color="auto"/>
            <w:bottom w:val="none" w:sz="0" w:space="0" w:color="auto"/>
            <w:right w:val="none" w:sz="0" w:space="0" w:color="auto"/>
          </w:divBdr>
        </w:div>
        <w:div w:id="155152741">
          <w:marLeft w:val="0"/>
          <w:marRight w:val="0"/>
          <w:marTop w:val="0"/>
          <w:marBottom w:val="0"/>
          <w:divBdr>
            <w:top w:val="none" w:sz="0" w:space="0" w:color="auto"/>
            <w:left w:val="none" w:sz="0" w:space="0" w:color="auto"/>
            <w:bottom w:val="none" w:sz="0" w:space="0" w:color="auto"/>
            <w:right w:val="none" w:sz="0" w:space="0" w:color="auto"/>
          </w:divBdr>
        </w:div>
        <w:div w:id="532767246">
          <w:marLeft w:val="0"/>
          <w:marRight w:val="0"/>
          <w:marTop w:val="0"/>
          <w:marBottom w:val="0"/>
          <w:divBdr>
            <w:top w:val="none" w:sz="0" w:space="0" w:color="auto"/>
            <w:left w:val="none" w:sz="0" w:space="0" w:color="auto"/>
            <w:bottom w:val="none" w:sz="0" w:space="0" w:color="auto"/>
            <w:right w:val="none" w:sz="0" w:space="0" w:color="auto"/>
          </w:divBdr>
        </w:div>
        <w:div w:id="1030715711">
          <w:marLeft w:val="0"/>
          <w:marRight w:val="0"/>
          <w:marTop w:val="0"/>
          <w:marBottom w:val="0"/>
          <w:divBdr>
            <w:top w:val="none" w:sz="0" w:space="0" w:color="auto"/>
            <w:left w:val="none" w:sz="0" w:space="0" w:color="auto"/>
            <w:bottom w:val="none" w:sz="0" w:space="0" w:color="auto"/>
            <w:right w:val="none" w:sz="0" w:space="0" w:color="auto"/>
          </w:divBdr>
        </w:div>
        <w:div w:id="1485662045">
          <w:marLeft w:val="0"/>
          <w:marRight w:val="0"/>
          <w:marTop w:val="0"/>
          <w:marBottom w:val="0"/>
          <w:divBdr>
            <w:top w:val="none" w:sz="0" w:space="0" w:color="auto"/>
            <w:left w:val="none" w:sz="0" w:space="0" w:color="auto"/>
            <w:bottom w:val="none" w:sz="0" w:space="0" w:color="auto"/>
            <w:right w:val="none" w:sz="0" w:space="0" w:color="auto"/>
          </w:divBdr>
        </w:div>
        <w:div w:id="1728260086">
          <w:marLeft w:val="0"/>
          <w:marRight w:val="0"/>
          <w:marTop w:val="0"/>
          <w:marBottom w:val="0"/>
          <w:divBdr>
            <w:top w:val="none" w:sz="0" w:space="0" w:color="auto"/>
            <w:left w:val="none" w:sz="0" w:space="0" w:color="auto"/>
            <w:bottom w:val="none" w:sz="0" w:space="0" w:color="auto"/>
            <w:right w:val="none" w:sz="0" w:space="0" w:color="auto"/>
          </w:divBdr>
        </w:div>
        <w:div w:id="1963538505">
          <w:marLeft w:val="0"/>
          <w:marRight w:val="0"/>
          <w:marTop w:val="0"/>
          <w:marBottom w:val="0"/>
          <w:divBdr>
            <w:top w:val="none" w:sz="0" w:space="0" w:color="auto"/>
            <w:left w:val="none" w:sz="0" w:space="0" w:color="auto"/>
            <w:bottom w:val="none" w:sz="0" w:space="0" w:color="auto"/>
            <w:right w:val="none" w:sz="0" w:space="0" w:color="auto"/>
          </w:divBdr>
        </w:div>
        <w:div w:id="2081323790">
          <w:marLeft w:val="0"/>
          <w:marRight w:val="0"/>
          <w:marTop w:val="0"/>
          <w:marBottom w:val="0"/>
          <w:divBdr>
            <w:top w:val="none" w:sz="0" w:space="0" w:color="auto"/>
            <w:left w:val="none" w:sz="0" w:space="0" w:color="auto"/>
            <w:bottom w:val="none" w:sz="0" w:space="0" w:color="auto"/>
            <w:right w:val="none" w:sz="0" w:space="0" w:color="auto"/>
          </w:divBdr>
        </w:div>
        <w:div w:id="2128893154">
          <w:marLeft w:val="0"/>
          <w:marRight w:val="0"/>
          <w:marTop w:val="0"/>
          <w:marBottom w:val="0"/>
          <w:divBdr>
            <w:top w:val="none" w:sz="0" w:space="0" w:color="auto"/>
            <w:left w:val="none" w:sz="0" w:space="0" w:color="auto"/>
            <w:bottom w:val="none" w:sz="0" w:space="0" w:color="auto"/>
            <w:right w:val="none" w:sz="0" w:space="0" w:color="auto"/>
          </w:divBdr>
        </w:div>
      </w:divsChild>
    </w:div>
    <w:div w:id="1496259735">
      <w:bodyDiv w:val="1"/>
      <w:marLeft w:val="0"/>
      <w:marRight w:val="0"/>
      <w:marTop w:val="0"/>
      <w:marBottom w:val="0"/>
      <w:divBdr>
        <w:top w:val="none" w:sz="0" w:space="0" w:color="auto"/>
        <w:left w:val="none" w:sz="0" w:space="0" w:color="auto"/>
        <w:bottom w:val="none" w:sz="0" w:space="0" w:color="auto"/>
        <w:right w:val="none" w:sz="0" w:space="0" w:color="auto"/>
      </w:divBdr>
    </w:div>
    <w:div w:id="1532185105">
      <w:bodyDiv w:val="1"/>
      <w:marLeft w:val="0"/>
      <w:marRight w:val="0"/>
      <w:marTop w:val="0"/>
      <w:marBottom w:val="0"/>
      <w:divBdr>
        <w:top w:val="none" w:sz="0" w:space="0" w:color="auto"/>
        <w:left w:val="none" w:sz="0" w:space="0" w:color="auto"/>
        <w:bottom w:val="none" w:sz="0" w:space="0" w:color="auto"/>
        <w:right w:val="none" w:sz="0" w:space="0" w:color="auto"/>
      </w:divBdr>
      <w:divsChild>
        <w:div w:id="2092193617">
          <w:marLeft w:val="274"/>
          <w:marRight w:val="0"/>
          <w:marTop w:val="0"/>
          <w:marBottom w:val="0"/>
          <w:divBdr>
            <w:top w:val="none" w:sz="0" w:space="0" w:color="auto"/>
            <w:left w:val="none" w:sz="0" w:space="0" w:color="auto"/>
            <w:bottom w:val="none" w:sz="0" w:space="0" w:color="auto"/>
            <w:right w:val="none" w:sz="0" w:space="0" w:color="auto"/>
          </w:divBdr>
        </w:div>
      </w:divsChild>
    </w:div>
    <w:div w:id="1535461494">
      <w:bodyDiv w:val="1"/>
      <w:marLeft w:val="0"/>
      <w:marRight w:val="0"/>
      <w:marTop w:val="0"/>
      <w:marBottom w:val="0"/>
      <w:divBdr>
        <w:top w:val="none" w:sz="0" w:space="0" w:color="auto"/>
        <w:left w:val="none" w:sz="0" w:space="0" w:color="auto"/>
        <w:bottom w:val="none" w:sz="0" w:space="0" w:color="auto"/>
        <w:right w:val="none" w:sz="0" w:space="0" w:color="auto"/>
      </w:divBdr>
    </w:div>
    <w:div w:id="1553421526">
      <w:bodyDiv w:val="1"/>
      <w:marLeft w:val="0"/>
      <w:marRight w:val="0"/>
      <w:marTop w:val="0"/>
      <w:marBottom w:val="0"/>
      <w:divBdr>
        <w:top w:val="none" w:sz="0" w:space="0" w:color="auto"/>
        <w:left w:val="none" w:sz="0" w:space="0" w:color="auto"/>
        <w:bottom w:val="none" w:sz="0" w:space="0" w:color="auto"/>
        <w:right w:val="none" w:sz="0" w:space="0" w:color="auto"/>
      </w:divBdr>
    </w:div>
    <w:div w:id="1558202282">
      <w:bodyDiv w:val="1"/>
      <w:marLeft w:val="0"/>
      <w:marRight w:val="0"/>
      <w:marTop w:val="0"/>
      <w:marBottom w:val="0"/>
      <w:divBdr>
        <w:top w:val="none" w:sz="0" w:space="0" w:color="auto"/>
        <w:left w:val="none" w:sz="0" w:space="0" w:color="auto"/>
        <w:bottom w:val="none" w:sz="0" w:space="0" w:color="auto"/>
        <w:right w:val="none" w:sz="0" w:space="0" w:color="auto"/>
      </w:divBdr>
    </w:div>
    <w:div w:id="1586067922">
      <w:bodyDiv w:val="1"/>
      <w:marLeft w:val="0"/>
      <w:marRight w:val="0"/>
      <w:marTop w:val="0"/>
      <w:marBottom w:val="0"/>
      <w:divBdr>
        <w:top w:val="none" w:sz="0" w:space="0" w:color="auto"/>
        <w:left w:val="none" w:sz="0" w:space="0" w:color="auto"/>
        <w:bottom w:val="none" w:sz="0" w:space="0" w:color="auto"/>
        <w:right w:val="none" w:sz="0" w:space="0" w:color="auto"/>
      </w:divBdr>
    </w:div>
    <w:div w:id="1599292283">
      <w:bodyDiv w:val="1"/>
      <w:marLeft w:val="0"/>
      <w:marRight w:val="0"/>
      <w:marTop w:val="0"/>
      <w:marBottom w:val="0"/>
      <w:divBdr>
        <w:top w:val="none" w:sz="0" w:space="0" w:color="auto"/>
        <w:left w:val="none" w:sz="0" w:space="0" w:color="auto"/>
        <w:bottom w:val="none" w:sz="0" w:space="0" w:color="auto"/>
        <w:right w:val="none" w:sz="0" w:space="0" w:color="auto"/>
      </w:divBdr>
    </w:div>
    <w:div w:id="1604918998">
      <w:bodyDiv w:val="1"/>
      <w:marLeft w:val="0"/>
      <w:marRight w:val="0"/>
      <w:marTop w:val="0"/>
      <w:marBottom w:val="0"/>
      <w:divBdr>
        <w:top w:val="none" w:sz="0" w:space="0" w:color="auto"/>
        <w:left w:val="none" w:sz="0" w:space="0" w:color="auto"/>
        <w:bottom w:val="none" w:sz="0" w:space="0" w:color="auto"/>
        <w:right w:val="none" w:sz="0" w:space="0" w:color="auto"/>
      </w:divBdr>
    </w:div>
    <w:div w:id="1627656441">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467146">
      <w:bodyDiv w:val="1"/>
      <w:marLeft w:val="0"/>
      <w:marRight w:val="0"/>
      <w:marTop w:val="0"/>
      <w:marBottom w:val="0"/>
      <w:divBdr>
        <w:top w:val="none" w:sz="0" w:space="0" w:color="auto"/>
        <w:left w:val="none" w:sz="0" w:space="0" w:color="auto"/>
        <w:bottom w:val="none" w:sz="0" w:space="0" w:color="auto"/>
        <w:right w:val="none" w:sz="0" w:space="0" w:color="auto"/>
      </w:divBdr>
    </w:div>
    <w:div w:id="1647974170">
      <w:bodyDiv w:val="1"/>
      <w:marLeft w:val="0"/>
      <w:marRight w:val="0"/>
      <w:marTop w:val="0"/>
      <w:marBottom w:val="0"/>
      <w:divBdr>
        <w:top w:val="none" w:sz="0" w:space="0" w:color="auto"/>
        <w:left w:val="none" w:sz="0" w:space="0" w:color="auto"/>
        <w:bottom w:val="none" w:sz="0" w:space="0" w:color="auto"/>
        <w:right w:val="none" w:sz="0" w:space="0" w:color="auto"/>
      </w:divBdr>
    </w:div>
    <w:div w:id="1653947312">
      <w:bodyDiv w:val="1"/>
      <w:marLeft w:val="0"/>
      <w:marRight w:val="0"/>
      <w:marTop w:val="0"/>
      <w:marBottom w:val="0"/>
      <w:divBdr>
        <w:top w:val="none" w:sz="0" w:space="0" w:color="auto"/>
        <w:left w:val="none" w:sz="0" w:space="0" w:color="auto"/>
        <w:bottom w:val="none" w:sz="0" w:space="0" w:color="auto"/>
        <w:right w:val="none" w:sz="0" w:space="0" w:color="auto"/>
      </w:divBdr>
    </w:div>
    <w:div w:id="1711295266">
      <w:bodyDiv w:val="1"/>
      <w:marLeft w:val="0"/>
      <w:marRight w:val="0"/>
      <w:marTop w:val="0"/>
      <w:marBottom w:val="0"/>
      <w:divBdr>
        <w:top w:val="none" w:sz="0" w:space="0" w:color="auto"/>
        <w:left w:val="none" w:sz="0" w:space="0" w:color="auto"/>
        <w:bottom w:val="none" w:sz="0" w:space="0" w:color="auto"/>
        <w:right w:val="none" w:sz="0" w:space="0" w:color="auto"/>
      </w:divBdr>
    </w:div>
    <w:div w:id="1737631042">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9959513">
      <w:bodyDiv w:val="1"/>
      <w:marLeft w:val="0"/>
      <w:marRight w:val="0"/>
      <w:marTop w:val="0"/>
      <w:marBottom w:val="0"/>
      <w:divBdr>
        <w:top w:val="none" w:sz="0" w:space="0" w:color="auto"/>
        <w:left w:val="none" w:sz="0" w:space="0" w:color="auto"/>
        <w:bottom w:val="none" w:sz="0" w:space="0" w:color="auto"/>
        <w:right w:val="none" w:sz="0" w:space="0" w:color="auto"/>
      </w:divBdr>
    </w:div>
    <w:div w:id="1750881957">
      <w:bodyDiv w:val="1"/>
      <w:marLeft w:val="0"/>
      <w:marRight w:val="0"/>
      <w:marTop w:val="0"/>
      <w:marBottom w:val="0"/>
      <w:divBdr>
        <w:top w:val="none" w:sz="0" w:space="0" w:color="auto"/>
        <w:left w:val="none" w:sz="0" w:space="0" w:color="auto"/>
        <w:bottom w:val="none" w:sz="0" w:space="0" w:color="auto"/>
        <w:right w:val="none" w:sz="0" w:space="0" w:color="auto"/>
      </w:divBdr>
      <w:divsChild>
        <w:div w:id="1669751601">
          <w:marLeft w:val="0"/>
          <w:marRight w:val="0"/>
          <w:marTop w:val="0"/>
          <w:marBottom w:val="0"/>
          <w:divBdr>
            <w:top w:val="none" w:sz="0" w:space="0" w:color="auto"/>
            <w:left w:val="none" w:sz="0" w:space="0" w:color="auto"/>
            <w:bottom w:val="none" w:sz="0" w:space="0" w:color="auto"/>
            <w:right w:val="none" w:sz="0" w:space="0" w:color="auto"/>
          </w:divBdr>
        </w:div>
      </w:divsChild>
    </w:div>
    <w:div w:id="1757479766">
      <w:bodyDiv w:val="1"/>
      <w:marLeft w:val="0"/>
      <w:marRight w:val="0"/>
      <w:marTop w:val="0"/>
      <w:marBottom w:val="0"/>
      <w:divBdr>
        <w:top w:val="none" w:sz="0" w:space="0" w:color="auto"/>
        <w:left w:val="none" w:sz="0" w:space="0" w:color="auto"/>
        <w:bottom w:val="none" w:sz="0" w:space="0" w:color="auto"/>
        <w:right w:val="none" w:sz="0" w:space="0" w:color="auto"/>
      </w:divBdr>
    </w:div>
    <w:div w:id="1766685997">
      <w:bodyDiv w:val="1"/>
      <w:marLeft w:val="0"/>
      <w:marRight w:val="0"/>
      <w:marTop w:val="0"/>
      <w:marBottom w:val="0"/>
      <w:divBdr>
        <w:top w:val="none" w:sz="0" w:space="0" w:color="auto"/>
        <w:left w:val="none" w:sz="0" w:space="0" w:color="auto"/>
        <w:bottom w:val="none" w:sz="0" w:space="0" w:color="auto"/>
        <w:right w:val="none" w:sz="0" w:space="0" w:color="auto"/>
      </w:divBdr>
    </w:div>
    <w:div w:id="1793328605">
      <w:bodyDiv w:val="1"/>
      <w:marLeft w:val="0"/>
      <w:marRight w:val="0"/>
      <w:marTop w:val="0"/>
      <w:marBottom w:val="0"/>
      <w:divBdr>
        <w:top w:val="none" w:sz="0" w:space="0" w:color="auto"/>
        <w:left w:val="none" w:sz="0" w:space="0" w:color="auto"/>
        <w:bottom w:val="none" w:sz="0" w:space="0" w:color="auto"/>
        <w:right w:val="none" w:sz="0" w:space="0" w:color="auto"/>
      </w:divBdr>
    </w:div>
    <w:div w:id="1825657494">
      <w:bodyDiv w:val="1"/>
      <w:marLeft w:val="0"/>
      <w:marRight w:val="0"/>
      <w:marTop w:val="0"/>
      <w:marBottom w:val="0"/>
      <w:divBdr>
        <w:top w:val="none" w:sz="0" w:space="0" w:color="auto"/>
        <w:left w:val="none" w:sz="0" w:space="0" w:color="auto"/>
        <w:bottom w:val="none" w:sz="0" w:space="0" w:color="auto"/>
        <w:right w:val="none" w:sz="0" w:space="0" w:color="auto"/>
      </w:divBdr>
    </w:div>
    <w:div w:id="1841659585">
      <w:bodyDiv w:val="1"/>
      <w:marLeft w:val="0"/>
      <w:marRight w:val="0"/>
      <w:marTop w:val="0"/>
      <w:marBottom w:val="0"/>
      <w:divBdr>
        <w:top w:val="none" w:sz="0" w:space="0" w:color="auto"/>
        <w:left w:val="none" w:sz="0" w:space="0" w:color="auto"/>
        <w:bottom w:val="none" w:sz="0" w:space="0" w:color="auto"/>
        <w:right w:val="none" w:sz="0" w:space="0" w:color="auto"/>
      </w:divBdr>
    </w:div>
    <w:div w:id="1869562290">
      <w:bodyDiv w:val="1"/>
      <w:marLeft w:val="0"/>
      <w:marRight w:val="0"/>
      <w:marTop w:val="0"/>
      <w:marBottom w:val="0"/>
      <w:divBdr>
        <w:top w:val="none" w:sz="0" w:space="0" w:color="auto"/>
        <w:left w:val="none" w:sz="0" w:space="0" w:color="auto"/>
        <w:bottom w:val="none" w:sz="0" w:space="0" w:color="auto"/>
        <w:right w:val="none" w:sz="0" w:space="0" w:color="auto"/>
      </w:divBdr>
    </w:div>
    <w:div w:id="1883636269">
      <w:bodyDiv w:val="1"/>
      <w:marLeft w:val="0"/>
      <w:marRight w:val="0"/>
      <w:marTop w:val="0"/>
      <w:marBottom w:val="0"/>
      <w:divBdr>
        <w:top w:val="none" w:sz="0" w:space="0" w:color="auto"/>
        <w:left w:val="none" w:sz="0" w:space="0" w:color="auto"/>
        <w:bottom w:val="none" w:sz="0" w:space="0" w:color="auto"/>
        <w:right w:val="none" w:sz="0" w:space="0" w:color="auto"/>
      </w:divBdr>
      <w:divsChild>
        <w:div w:id="2021348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4632356">
      <w:bodyDiv w:val="1"/>
      <w:marLeft w:val="0"/>
      <w:marRight w:val="0"/>
      <w:marTop w:val="0"/>
      <w:marBottom w:val="0"/>
      <w:divBdr>
        <w:top w:val="none" w:sz="0" w:space="0" w:color="auto"/>
        <w:left w:val="none" w:sz="0" w:space="0" w:color="auto"/>
        <w:bottom w:val="none" w:sz="0" w:space="0" w:color="auto"/>
        <w:right w:val="none" w:sz="0" w:space="0" w:color="auto"/>
      </w:divBdr>
    </w:div>
    <w:div w:id="1989356988">
      <w:bodyDiv w:val="1"/>
      <w:marLeft w:val="0"/>
      <w:marRight w:val="0"/>
      <w:marTop w:val="0"/>
      <w:marBottom w:val="0"/>
      <w:divBdr>
        <w:top w:val="none" w:sz="0" w:space="0" w:color="auto"/>
        <w:left w:val="none" w:sz="0" w:space="0" w:color="auto"/>
        <w:bottom w:val="none" w:sz="0" w:space="0" w:color="auto"/>
        <w:right w:val="none" w:sz="0" w:space="0" w:color="auto"/>
      </w:divBdr>
    </w:div>
    <w:div w:id="2004045172">
      <w:bodyDiv w:val="1"/>
      <w:marLeft w:val="0"/>
      <w:marRight w:val="0"/>
      <w:marTop w:val="0"/>
      <w:marBottom w:val="0"/>
      <w:divBdr>
        <w:top w:val="none" w:sz="0" w:space="0" w:color="auto"/>
        <w:left w:val="none" w:sz="0" w:space="0" w:color="auto"/>
        <w:bottom w:val="none" w:sz="0" w:space="0" w:color="auto"/>
        <w:right w:val="none" w:sz="0" w:space="0" w:color="auto"/>
      </w:divBdr>
    </w:div>
    <w:div w:id="2037463917">
      <w:bodyDiv w:val="1"/>
      <w:marLeft w:val="0"/>
      <w:marRight w:val="0"/>
      <w:marTop w:val="0"/>
      <w:marBottom w:val="0"/>
      <w:divBdr>
        <w:top w:val="none" w:sz="0" w:space="0" w:color="auto"/>
        <w:left w:val="none" w:sz="0" w:space="0" w:color="auto"/>
        <w:bottom w:val="none" w:sz="0" w:space="0" w:color="auto"/>
        <w:right w:val="none" w:sz="0" w:space="0" w:color="auto"/>
      </w:divBdr>
      <w:divsChild>
        <w:div w:id="417099835">
          <w:marLeft w:val="0"/>
          <w:marRight w:val="0"/>
          <w:marTop w:val="0"/>
          <w:marBottom w:val="0"/>
          <w:divBdr>
            <w:top w:val="none" w:sz="0" w:space="0" w:color="auto"/>
            <w:left w:val="none" w:sz="0" w:space="0" w:color="auto"/>
            <w:bottom w:val="none" w:sz="0" w:space="0" w:color="auto"/>
            <w:right w:val="none" w:sz="0" w:space="0" w:color="auto"/>
          </w:divBdr>
        </w:div>
        <w:div w:id="605308783">
          <w:marLeft w:val="0"/>
          <w:marRight w:val="0"/>
          <w:marTop w:val="0"/>
          <w:marBottom w:val="0"/>
          <w:divBdr>
            <w:top w:val="none" w:sz="0" w:space="0" w:color="auto"/>
            <w:left w:val="none" w:sz="0" w:space="0" w:color="auto"/>
            <w:bottom w:val="none" w:sz="0" w:space="0" w:color="auto"/>
            <w:right w:val="none" w:sz="0" w:space="0" w:color="auto"/>
          </w:divBdr>
        </w:div>
        <w:div w:id="650213074">
          <w:marLeft w:val="0"/>
          <w:marRight w:val="0"/>
          <w:marTop w:val="0"/>
          <w:marBottom w:val="0"/>
          <w:divBdr>
            <w:top w:val="none" w:sz="0" w:space="0" w:color="auto"/>
            <w:left w:val="none" w:sz="0" w:space="0" w:color="auto"/>
            <w:bottom w:val="none" w:sz="0" w:space="0" w:color="auto"/>
            <w:right w:val="none" w:sz="0" w:space="0" w:color="auto"/>
          </w:divBdr>
        </w:div>
        <w:div w:id="723875123">
          <w:marLeft w:val="0"/>
          <w:marRight w:val="0"/>
          <w:marTop w:val="0"/>
          <w:marBottom w:val="0"/>
          <w:divBdr>
            <w:top w:val="none" w:sz="0" w:space="0" w:color="auto"/>
            <w:left w:val="none" w:sz="0" w:space="0" w:color="auto"/>
            <w:bottom w:val="none" w:sz="0" w:space="0" w:color="auto"/>
            <w:right w:val="none" w:sz="0" w:space="0" w:color="auto"/>
          </w:divBdr>
        </w:div>
        <w:div w:id="1222137756">
          <w:marLeft w:val="0"/>
          <w:marRight w:val="0"/>
          <w:marTop w:val="0"/>
          <w:marBottom w:val="0"/>
          <w:divBdr>
            <w:top w:val="none" w:sz="0" w:space="0" w:color="auto"/>
            <w:left w:val="none" w:sz="0" w:space="0" w:color="auto"/>
            <w:bottom w:val="none" w:sz="0" w:space="0" w:color="auto"/>
            <w:right w:val="none" w:sz="0" w:space="0" w:color="auto"/>
          </w:divBdr>
        </w:div>
      </w:divsChild>
    </w:div>
    <w:div w:id="2047682914">
      <w:bodyDiv w:val="1"/>
      <w:marLeft w:val="0"/>
      <w:marRight w:val="0"/>
      <w:marTop w:val="0"/>
      <w:marBottom w:val="0"/>
      <w:divBdr>
        <w:top w:val="none" w:sz="0" w:space="0" w:color="auto"/>
        <w:left w:val="none" w:sz="0" w:space="0" w:color="auto"/>
        <w:bottom w:val="none" w:sz="0" w:space="0" w:color="auto"/>
        <w:right w:val="none" w:sz="0" w:space="0" w:color="auto"/>
      </w:divBdr>
    </w:div>
    <w:div w:id="2048989389">
      <w:bodyDiv w:val="1"/>
      <w:marLeft w:val="0"/>
      <w:marRight w:val="0"/>
      <w:marTop w:val="0"/>
      <w:marBottom w:val="0"/>
      <w:divBdr>
        <w:top w:val="none" w:sz="0" w:space="0" w:color="auto"/>
        <w:left w:val="none" w:sz="0" w:space="0" w:color="auto"/>
        <w:bottom w:val="none" w:sz="0" w:space="0" w:color="auto"/>
        <w:right w:val="none" w:sz="0" w:space="0" w:color="auto"/>
      </w:divBdr>
    </w:div>
    <w:div w:id="2052340271">
      <w:bodyDiv w:val="1"/>
      <w:marLeft w:val="0"/>
      <w:marRight w:val="0"/>
      <w:marTop w:val="0"/>
      <w:marBottom w:val="0"/>
      <w:divBdr>
        <w:top w:val="none" w:sz="0" w:space="0" w:color="auto"/>
        <w:left w:val="none" w:sz="0" w:space="0" w:color="auto"/>
        <w:bottom w:val="none" w:sz="0" w:space="0" w:color="auto"/>
        <w:right w:val="none" w:sz="0" w:space="0" w:color="auto"/>
      </w:divBdr>
    </w:div>
    <w:div w:id="2053725071">
      <w:bodyDiv w:val="1"/>
      <w:marLeft w:val="0"/>
      <w:marRight w:val="0"/>
      <w:marTop w:val="0"/>
      <w:marBottom w:val="0"/>
      <w:divBdr>
        <w:top w:val="none" w:sz="0" w:space="0" w:color="auto"/>
        <w:left w:val="none" w:sz="0" w:space="0" w:color="auto"/>
        <w:bottom w:val="none" w:sz="0" w:space="0" w:color="auto"/>
        <w:right w:val="none" w:sz="0" w:space="0" w:color="auto"/>
      </w:divBdr>
    </w:div>
    <w:div w:id="2063556000">
      <w:bodyDiv w:val="1"/>
      <w:marLeft w:val="0"/>
      <w:marRight w:val="0"/>
      <w:marTop w:val="0"/>
      <w:marBottom w:val="0"/>
      <w:divBdr>
        <w:top w:val="none" w:sz="0" w:space="0" w:color="auto"/>
        <w:left w:val="none" w:sz="0" w:space="0" w:color="auto"/>
        <w:bottom w:val="none" w:sz="0" w:space="0" w:color="auto"/>
        <w:right w:val="none" w:sz="0" w:space="0" w:color="auto"/>
      </w:divBdr>
    </w:div>
    <w:div w:id="2126121261">
      <w:bodyDiv w:val="1"/>
      <w:marLeft w:val="0"/>
      <w:marRight w:val="0"/>
      <w:marTop w:val="0"/>
      <w:marBottom w:val="0"/>
      <w:divBdr>
        <w:top w:val="none" w:sz="0" w:space="0" w:color="auto"/>
        <w:left w:val="none" w:sz="0" w:space="0" w:color="auto"/>
        <w:bottom w:val="none" w:sz="0" w:space="0" w:color="auto"/>
        <w:right w:val="none" w:sz="0" w:space="0" w:color="auto"/>
      </w:divBdr>
    </w:div>
    <w:div w:id="2132162754">
      <w:bodyDiv w:val="1"/>
      <w:marLeft w:val="0"/>
      <w:marRight w:val="0"/>
      <w:marTop w:val="0"/>
      <w:marBottom w:val="0"/>
      <w:divBdr>
        <w:top w:val="none" w:sz="0" w:space="0" w:color="auto"/>
        <w:left w:val="none" w:sz="0" w:space="0" w:color="auto"/>
        <w:bottom w:val="none" w:sz="0" w:space="0" w:color="auto"/>
        <w:right w:val="none" w:sz="0" w:space="0" w:color="auto"/>
      </w:divBdr>
    </w:div>
    <w:div w:id="2134059146">
      <w:bodyDiv w:val="1"/>
      <w:marLeft w:val="0"/>
      <w:marRight w:val="0"/>
      <w:marTop w:val="0"/>
      <w:marBottom w:val="0"/>
      <w:divBdr>
        <w:top w:val="none" w:sz="0" w:space="0" w:color="auto"/>
        <w:left w:val="none" w:sz="0" w:space="0" w:color="auto"/>
        <w:bottom w:val="none" w:sz="0" w:space="0" w:color="auto"/>
        <w:right w:val="none" w:sz="0" w:space="0" w:color="auto"/>
      </w:divBdr>
    </w:div>
    <w:div w:id="2145271916">
      <w:bodyDiv w:val="1"/>
      <w:marLeft w:val="0"/>
      <w:marRight w:val="0"/>
      <w:marTop w:val="0"/>
      <w:marBottom w:val="0"/>
      <w:divBdr>
        <w:top w:val="none" w:sz="0" w:space="0" w:color="auto"/>
        <w:left w:val="none" w:sz="0" w:space="0" w:color="auto"/>
        <w:bottom w:val="none" w:sz="0" w:space="0" w:color="auto"/>
        <w:right w:val="none" w:sz="0" w:space="0" w:color="auto"/>
      </w:divBdr>
    </w:div>
    <w:div w:id="2145997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117" Type="http://schemas.openxmlformats.org/officeDocument/2006/relationships/header" Target="header19.xml"/><Relationship Id="rId21" Type="http://schemas.openxmlformats.org/officeDocument/2006/relationships/image" Target="media/image3.emf"/><Relationship Id="rId42" Type="http://schemas.openxmlformats.org/officeDocument/2006/relationships/footer" Target="footer5.xml"/><Relationship Id="rId47" Type="http://schemas.openxmlformats.org/officeDocument/2006/relationships/image" Target="media/image20.png"/><Relationship Id="rId63" Type="http://schemas.openxmlformats.org/officeDocument/2006/relationships/footer" Target="footer7.xml"/><Relationship Id="rId68" Type="http://schemas.openxmlformats.org/officeDocument/2006/relationships/image" Target="media/image35.emf"/><Relationship Id="rId84" Type="http://schemas.openxmlformats.org/officeDocument/2006/relationships/image" Target="media/image42.png"/><Relationship Id="rId89" Type="http://schemas.openxmlformats.org/officeDocument/2006/relationships/image" Target="media/image46.png"/><Relationship Id="rId112" Type="http://schemas.openxmlformats.org/officeDocument/2006/relationships/image" Target="media/image58.png"/><Relationship Id="rId133" Type="http://schemas.openxmlformats.org/officeDocument/2006/relationships/header" Target="header21.xml"/><Relationship Id="rId138" Type="http://schemas.openxmlformats.org/officeDocument/2006/relationships/footer" Target="footer20.xml"/><Relationship Id="rId154" Type="http://schemas.openxmlformats.org/officeDocument/2006/relationships/image" Target="media/image80.png"/><Relationship Id="rId159" Type="http://schemas.openxmlformats.org/officeDocument/2006/relationships/image" Target="media/image83.png"/><Relationship Id="rId175" Type="http://schemas.openxmlformats.org/officeDocument/2006/relationships/footer" Target="footer23.xml"/><Relationship Id="rId170" Type="http://schemas.openxmlformats.org/officeDocument/2006/relationships/image" Target="media/image89.png"/><Relationship Id="rId16" Type="http://schemas.openxmlformats.org/officeDocument/2006/relationships/footer" Target="footer2.xml"/><Relationship Id="rId107" Type="http://schemas.openxmlformats.org/officeDocument/2006/relationships/image" Target="media/image54.png"/><Relationship Id="rId11" Type="http://schemas.openxmlformats.org/officeDocument/2006/relationships/endnotes" Target="endnotes.xml"/><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image" Target="media/image26.png"/><Relationship Id="rId58" Type="http://schemas.openxmlformats.org/officeDocument/2006/relationships/image" Target="media/image31.png"/><Relationship Id="rId74" Type="http://schemas.openxmlformats.org/officeDocument/2006/relationships/footer" Target="footer12.xml"/><Relationship Id="rId79" Type="http://schemas.openxmlformats.org/officeDocument/2006/relationships/image" Target="media/image39.png"/><Relationship Id="rId102" Type="http://schemas.openxmlformats.org/officeDocument/2006/relationships/header" Target="header17.xml"/><Relationship Id="rId123" Type="http://schemas.openxmlformats.org/officeDocument/2006/relationships/image" Target="media/image63.png"/><Relationship Id="rId128" Type="http://schemas.openxmlformats.org/officeDocument/2006/relationships/image" Target="media/image68.png"/><Relationship Id="rId144" Type="http://schemas.openxmlformats.org/officeDocument/2006/relationships/image" Target="media/image72.png"/><Relationship Id="rId149" Type="http://schemas.openxmlformats.org/officeDocument/2006/relationships/image" Target="media/image75.png"/><Relationship Id="rId5" Type="http://schemas.openxmlformats.org/officeDocument/2006/relationships/customXml" Target="../customXml/item5.xml"/><Relationship Id="rId90" Type="http://schemas.openxmlformats.org/officeDocument/2006/relationships/image" Target="media/image48.svg"/><Relationship Id="rId95" Type="http://schemas.openxmlformats.org/officeDocument/2006/relationships/image" Target="media/image49.png"/><Relationship Id="rId160" Type="http://schemas.openxmlformats.org/officeDocument/2006/relationships/hyperlink" Target="https://digital-strategy.ec.europa.eu/en/library/mobile-and-fixed-broadband-price-europe-2023-insights-european-broadband-market" TargetMode="External"/><Relationship Id="rId165" Type="http://schemas.openxmlformats.org/officeDocument/2006/relationships/hyperlink" Target="https://docs.fcc.gov/public/attachments/DOC-401129A1.pdf?ref=broadbandbreakfast.com;%20" TargetMode="External"/><Relationship Id="rId22" Type="http://schemas.openxmlformats.org/officeDocument/2006/relationships/image" Target="media/image4.png"/><Relationship Id="rId27" Type="http://schemas.openxmlformats.org/officeDocument/2006/relationships/image" Target="media/image8.png"/><Relationship Id="rId43" Type="http://schemas.openxmlformats.org/officeDocument/2006/relationships/header" Target="header6.xml"/><Relationship Id="rId48" Type="http://schemas.openxmlformats.org/officeDocument/2006/relationships/image" Target="media/image21.png"/><Relationship Id="rId64" Type="http://schemas.openxmlformats.org/officeDocument/2006/relationships/header" Target="header9.xml"/><Relationship Id="rId69" Type="http://schemas.openxmlformats.org/officeDocument/2006/relationships/header" Target="header11.xml"/><Relationship Id="rId113" Type="http://schemas.openxmlformats.org/officeDocument/2006/relationships/image" Target="media/image64.svg"/><Relationship Id="rId118" Type="http://schemas.openxmlformats.org/officeDocument/2006/relationships/footer" Target="footer16.xml"/><Relationship Id="rId134" Type="http://schemas.openxmlformats.org/officeDocument/2006/relationships/header" Target="header22.xml"/><Relationship Id="rId139" Type="http://schemas.openxmlformats.org/officeDocument/2006/relationships/header" Target="header24.xml"/><Relationship Id="rId80" Type="http://schemas.openxmlformats.org/officeDocument/2006/relationships/image" Target="media/image40.svg"/><Relationship Id="rId85" Type="http://schemas.openxmlformats.org/officeDocument/2006/relationships/image" Target="media/image43.png"/><Relationship Id="rId150" Type="http://schemas.openxmlformats.org/officeDocument/2006/relationships/image" Target="media/image76.emf"/><Relationship Id="rId155" Type="http://schemas.openxmlformats.org/officeDocument/2006/relationships/hyperlink" Target="https://www.rtr.at/TKP/aktuelles/veranstaltungen/veranstaltungen/veranstaltungen_2024/%2011122024/oekologische-effekte-des-glasfaserausbaus.de.html" TargetMode="External"/><Relationship Id="rId171" Type="http://schemas.openxmlformats.org/officeDocument/2006/relationships/image" Target="media/image90.png"/><Relationship Id="rId176" Type="http://schemas.openxmlformats.org/officeDocument/2006/relationships/header" Target="header27.xml"/><Relationship Id="rId12" Type="http://schemas.openxmlformats.org/officeDocument/2006/relationships/image" Target="media/image1.emf"/><Relationship Id="rId17" Type="http://schemas.openxmlformats.org/officeDocument/2006/relationships/header" Target="header3.xml"/><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2.png"/><Relationship Id="rId103" Type="http://schemas.openxmlformats.org/officeDocument/2006/relationships/footer" Target="footer15.xml"/><Relationship Id="rId108" Type="http://schemas.openxmlformats.org/officeDocument/2006/relationships/image" Target="media/image55.png"/><Relationship Id="rId124" Type="http://schemas.openxmlformats.org/officeDocument/2006/relationships/image" Target="media/image64.png"/><Relationship Id="rId129" Type="http://schemas.openxmlformats.org/officeDocument/2006/relationships/hyperlink" Target="https://op.europa.eu/en/publication-detail/-/publication/5c28e25b-41b3-11f0-b9f2-01aa75ed71a1/language-en" TargetMode="External"/><Relationship Id="rId54" Type="http://schemas.openxmlformats.org/officeDocument/2006/relationships/image" Target="media/image27.png"/><Relationship Id="rId70" Type="http://schemas.openxmlformats.org/officeDocument/2006/relationships/footer" Target="footer10.xml"/><Relationship Id="rId75" Type="http://schemas.openxmlformats.org/officeDocument/2006/relationships/image" Target="media/image36.png"/><Relationship Id="rId91" Type="http://schemas.openxmlformats.org/officeDocument/2006/relationships/image" Target="media/image47.png"/><Relationship Id="rId96" Type="http://schemas.openxmlformats.org/officeDocument/2006/relationships/image" Target="media/image53.svg"/><Relationship Id="rId140" Type="http://schemas.openxmlformats.org/officeDocument/2006/relationships/footer" Target="footer21.xml"/><Relationship Id="rId145" Type="http://schemas.openxmlformats.org/officeDocument/2006/relationships/hyperlink" Target="https://www.gsma.com/spectrum/wp-content/uploads/2025/05/GSMA_Global_Spectrum-Pricing_2025.05.15.pdf" TargetMode="External"/><Relationship Id="rId161" Type="http://schemas.openxmlformats.org/officeDocument/2006/relationships/image" Target="media/image84.png"/><Relationship Id="rId166" Type="http://schemas.openxmlformats.org/officeDocument/2006/relationships/hyperlink" Target="https://docs.fcc.gov/public/attachments/DOC-411718A1.pdf"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5.png"/><Relationship Id="rId28" Type="http://schemas.openxmlformats.org/officeDocument/2006/relationships/image" Target="media/image9.png"/><Relationship Id="rId49" Type="http://schemas.openxmlformats.org/officeDocument/2006/relationships/image" Target="media/image22.png"/><Relationship Id="rId114" Type="http://schemas.openxmlformats.org/officeDocument/2006/relationships/image" Target="media/image59.png"/><Relationship Id="rId119" Type="http://schemas.openxmlformats.org/officeDocument/2006/relationships/header" Target="header20.xml"/><Relationship Id="rId10" Type="http://schemas.openxmlformats.org/officeDocument/2006/relationships/footnotes" Target="footnotes.xml"/><Relationship Id="rId31" Type="http://schemas.openxmlformats.org/officeDocument/2006/relationships/hyperlink" Target="https://www.opensignal.com/2023/10/12/european-markets-show-significant-disparity-in-broadband-user-experience" TargetMode="External"/><Relationship Id="rId44" Type="http://schemas.openxmlformats.org/officeDocument/2006/relationships/footer" Target="footer6.xml"/><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footer" Target="footer8.xml"/><Relationship Id="rId73" Type="http://schemas.openxmlformats.org/officeDocument/2006/relationships/header" Target="header13.xml"/><Relationship Id="rId78" Type="http://schemas.openxmlformats.org/officeDocument/2006/relationships/image" Target="media/image38.png"/><Relationship Id="rId81" Type="http://schemas.openxmlformats.org/officeDocument/2006/relationships/image" Target="media/image40.png"/><Relationship Id="rId86" Type="http://schemas.openxmlformats.org/officeDocument/2006/relationships/hyperlink" Target="https://www.speedtest.net/global-index" TargetMode="External"/><Relationship Id="rId94" Type="http://schemas.openxmlformats.org/officeDocument/2006/relationships/image" Target="media/image51.svg"/><Relationship Id="rId99" Type="http://schemas.openxmlformats.org/officeDocument/2006/relationships/footer" Target="footer13.xml"/><Relationship Id="rId101" Type="http://schemas.openxmlformats.org/officeDocument/2006/relationships/footer" Target="footer14.xml"/><Relationship Id="rId122" Type="http://schemas.openxmlformats.org/officeDocument/2006/relationships/image" Target="media/image62.png"/><Relationship Id="rId130" Type="http://schemas.openxmlformats.org/officeDocument/2006/relationships/hyperlink" Target="https://op.europa.eu/en/publication-detail/-/publication/7997aa72-d865-11e9-9c4e-01aa75ed71a1/language-en" TargetMode="External"/><Relationship Id="rId135" Type="http://schemas.openxmlformats.org/officeDocument/2006/relationships/footer" Target="footer18.xml"/><Relationship Id="rId143" Type="http://schemas.openxmlformats.org/officeDocument/2006/relationships/image" Target="media/image71.png"/><Relationship Id="rId148" Type="http://schemas.openxmlformats.org/officeDocument/2006/relationships/hyperlink" Target="https://www.kratosspace.com/constellations/articles/the-recent-vodafone-three-merger-suggests-that-most-europeans-may-soon-have-three-mnos-per-country" TargetMode="External"/><Relationship Id="rId151" Type="http://schemas.openxmlformats.org/officeDocument/2006/relationships/image" Target="media/image77.emf"/><Relationship Id="rId156" Type="http://schemas.openxmlformats.org/officeDocument/2006/relationships/image" Target="media/image81.png"/><Relationship Id="rId164" Type="http://schemas.openxmlformats.org/officeDocument/2006/relationships/image" Target="media/image86.png"/><Relationship Id="rId169" Type="http://schemas.openxmlformats.org/officeDocument/2006/relationships/image" Target="media/image88.png"/><Relationship Id="rId177" Type="http://schemas.openxmlformats.org/officeDocument/2006/relationships/footer" Target="footer24.xml"/><Relationship Id="rId4" Type="http://schemas.openxmlformats.org/officeDocument/2006/relationships/customXml" Target="../customXml/item4.xml"/><Relationship Id="rId9" Type="http://schemas.openxmlformats.org/officeDocument/2006/relationships/webSettings" Target="webSettings.xml"/><Relationship Id="rId172" Type="http://schemas.openxmlformats.org/officeDocument/2006/relationships/image" Target="media/image91.png"/><Relationship Id="rId180" Type="http://schemas.microsoft.com/office/2019/05/relationships/documenttasks" Target="documenttasks/documenttasks1.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eader" Target="header4.xml"/><Relationship Id="rId109" Type="http://schemas.openxmlformats.org/officeDocument/2006/relationships/image" Target="media/image60.svg"/><Relationship Id="rId34" Type="http://schemas.openxmlformats.org/officeDocument/2006/relationships/image" Target="media/image13.png"/><Relationship Id="rId50" Type="http://schemas.openxmlformats.org/officeDocument/2006/relationships/image" Target="media/image23.emf"/><Relationship Id="rId55" Type="http://schemas.openxmlformats.org/officeDocument/2006/relationships/image" Target="media/image28.png"/><Relationship Id="rId76" Type="http://schemas.openxmlformats.org/officeDocument/2006/relationships/hyperlink" Target="https://www.ericsson.com/49e9b6/assets/local/reports-papers/mobility-report/documents/2025/ericsson-mobility-report-june-2025.pdf" TargetMode="External"/><Relationship Id="rId97" Type="http://schemas.openxmlformats.org/officeDocument/2006/relationships/header" Target="header14.xml"/><Relationship Id="rId104" Type="http://schemas.openxmlformats.org/officeDocument/2006/relationships/image" Target="media/image51.png"/><Relationship Id="rId120" Type="http://schemas.openxmlformats.org/officeDocument/2006/relationships/footer" Target="footer17.xml"/><Relationship Id="rId125" Type="http://schemas.openxmlformats.org/officeDocument/2006/relationships/image" Target="media/image65.png"/><Relationship Id="rId141" Type="http://schemas.openxmlformats.org/officeDocument/2006/relationships/header" Target="header25.xml"/><Relationship Id="rId146" Type="http://schemas.openxmlformats.org/officeDocument/2006/relationships/image" Target="media/image73.png"/><Relationship Id="rId167" Type="http://schemas.openxmlformats.org/officeDocument/2006/relationships/image" Target="media/image87.png"/><Relationship Id="rId7" Type="http://schemas.openxmlformats.org/officeDocument/2006/relationships/styles" Target="styles.xml"/><Relationship Id="rId71" Type="http://schemas.openxmlformats.org/officeDocument/2006/relationships/header" Target="header12.xml"/><Relationship Id="rId92" Type="http://schemas.openxmlformats.org/officeDocument/2006/relationships/hyperlink" Target="https://www.opensignal.com/2020/10/21/5g-users-on-average-consume-up-to-27x-more-mobile-data-compared-to-4g-users" TargetMode="External"/><Relationship Id="rId162" Type="http://schemas.openxmlformats.org/officeDocument/2006/relationships/hyperlink" Target="https://digital-strategy.ec.europa.eu/en/library/mobile-and-fixed-broadband-price-europe-2023-insights-european-broadband-market" TargetMode="External"/><Relationship Id="rId2" Type="http://schemas.openxmlformats.org/officeDocument/2006/relationships/customXml" Target="../customXml/item2.xml"/><Relationship Id="rId29" Type="http://schemas.openxmlformats.org/officeDocument/2006/relationships/chart" Target="charts/chart1.xml"/><Relationship Id="rId24" Type="http://schemas.openxmlformats.org/officeDocument/2006/relationships/image" Target="media/image6.png"/><Relationship Id="rId40" Type="http://schemas.openxmlformats.org/officeDocument/2006/relationships/header" Target="header5.xml"/><Relationship Id="rId45" Type="http://schemas.openxmlformats.org/officeDocument/2006/relationships/image" Target="media/image18.png"/><Relationship Id="rId66" Type="http://schemas.openxmlformats.org/officeDocument/2006/relationships/header" Target="header10.xml"/><Relationship Id="rId87" Type="http://schemas.openxmlformats.org/officeDocument/2006/relationships/image" Target="media/image44.png"/><Relationship Id="rId110" Type="http://schemas.openxmlformats.org/officeDocument/2006/relationships/image" Target="media/image56.png"/><Relationship Id="rId115" Type="http://schemas.openxmlformats.org/officeDocument/2006/relationships/image" Target="media/image60.png"/><Relationship Id="rId131" Type="http://schemas.openxmlformats.org/officeDocument/2006/relationships/image" Target="media/image69.png"/><Relationship Id="rId136" Type="http://schemas.openxmlformats.org/officeDocument/2006/relationships/footer" Target="footer19.xml"/><Relationship Id="rId157" Type="http://schemas.openxmlformats.org/officeDocument/2006/relationships/image" Target="media/image82.png"/><Relationship Id="rId178" Type="http://schemas.openxmlformats.org/officeDocument/2006/relationships/fontTable" Target="fontTable.xml"/><Relationship Id="rId61" Type="http://schemas.openxmlformats.org/officeDocument/2006/relationships/header" Target="header7.xml"/><Relationship Id="rId82" Type="http://schemas.openxmlformats.org/officeDocument/2006/relationships/image" Target="media/image41.png"/><Relationship Id="rId152" Type="http://schemas.openxmlformats.org/officeDocument/2006/relationships/image" Target="media/image78.png"/><Relationship Id="rId173" Type="http://schemas.openxmlformats.org/officeDocument/2006/relationships/image" Target="media/image92.png"/><Relationship Id="rId19" Type="http://schemas.openxmlformats.org/officeDocument/2006/relationships/hyperlink" Target="https://digital-strategy.ec.europa.eu/en/library/results-exploratory-consultation-future-electronic-communications-sector-and-its-infrastructure" TargetMode="External"/><Relationship Id="rId14" Type="http://schemas.openxmlformats.org/officeDocument/2006/relationships/header" Target="header2.xml"/><Relationship Id="rId30" Type="http://schemas.openxmlformats.org/officeDocument/2006/relationships/image" Target="media/image10.png"/><Relationship Id="rId35" Type="http://schemas.openxmlformats.org/officeDocument/2006/relationships/image" Target="media/image14.png"/><Relationship Id="rId56" Type="http://schemas.openxmlformats.org/officeDocument/2006/relationships/image" Target="media/image29.png"/><Relationship Id="rId77" Type="http://schemas.openxmlformats.org/officeDocument/2006/relationships/image" Target="media/image37.png"/><Relationship Id="rId100" Type="http://schemas.openxmlformats.org/officeDocument/2006/relationships/header" Target="header16.xml"/><Relationship Id="rId105" Type="http://schemas.openxmlformats.org/officeDocument/2006/relationships/image" Target="media/image52.png"/><Relationship Id="rId126" Type="http://schemas.openxmlformats.org/officeDocument/2006/relationships/image" Target="media/image66.emf"/><Relationship Id="rId147" Type="http://schemas.openxmlformats.org/officeDocument/2006/relationships/image" Target="media/image74.png"/><Relationship Id="rId168" Type="http://schemas.openxmlformats.org/officeDocument/2006/relationships/hyperlink" Target="https://www.nature.com/articles/s43247-023-01056-1" TargetMode="External"/><Relationship Id="rId8" Type="http://schemas.openxmlformats.org/officeDocument/2006/relationships/settings" Target="settings.xml"/><Relationship Id="rId51" Type="http://schemas.openxmlformats.org/officeDocument/2006/relationships/image" Target="media/image24.png"/><Relationship Id="rId72" Type="http://schemas.openxmlformats.org/officeDocument/2006/relationships/footer" Target="footer11.xml"/><Relationship Id="rId93" Type="http://schemas.openxmlformats.org/officeDocument/2006/relationships/image" Target="media/image48.png"/><Relationship Id="rId98" Type="http://schemas.openxmlformats.org/officeDocument/2006/relationships/header" Target="header15.xml"/><Relationship Id="rId121" Type="http://schemas.openxmlformats.org/officeDocument/2006/relationships/image" Target="media/image61.png"/><Relationship Id="rId142" Type="http://schemas.openxmlformats.org/officeDocument/2006/relationships/footer" Target="footer22.xml"/><Relationship Id="rId163" Type="http://schemas.openxmlformats.org/officeDocument/2006/relationships/image" Target="media/image85.png"/><Relationship Id="rId3" Type="http://schemas.openxmlformats.org/officeDocument/2006/relationships/customXml" Target="../customXml/item3.xml"/><Relationship Id="rId25" Type="http://schemas.openxmlformats.org/officeDocument/2006/relationships/hyperlink" Target="https://digital-decade-desi.digital-strategy.ec.europa.eu/s/dbXJPLz04nqNw/" TargetMode="External"/><Relationship Id="rId46" Type="http://schemas.openxmlformats.org/officeDocument/2006/relationships/image" Target="media/image19.png"/><Relationship Id="rId67" Type="http://schemas.openxmlformats.org/officeDocument/2006/relationships/footer" Target="footer9.xml"/><Relationship Id="rId116" Type="http://schemas.openxmlformats.org/officeDocument/2006/relationships/header" Target="header18.xml"/><Relationship Id="rId137" Type="http://schemas.openxmlformats.org/officeDocument/2006/relationships/header" Target="header23.xml"/><Relationship Id="rId158" Type="http://schemas.openxmlformats.org/officeDocument/2006/relationships/hyperlink" Target="https://digital-strategy.ec.europa.eu/en/library/mobile-and-fixed-broadband-price-europe-2023-insights-european-broadband-market" TargetMode="External"/><Relationship Id="rId20" Type="http://schemas.openxmlformats.org/officeDocument/2006/relationships/image" Target="media/image2.png"/><Relationship Id="rId41" Type="http://schemas.openxmlformats.org/officeDocument/2006/relationships/footer" Target="footer4.xml"/><Relationship Id="rId62" Type="http://schemas.openxmlformats.org/officeDocument/2006/relationships/header" Target="header8.xml"/><Relationship Id="rId83" Type="http://schemas.openxmlformats.org/officeDocument/2006/relationships/chart" Target="charts/chart2.xml"/><Relationship Id="rId88" Type="http://schemas.openxmlformats.org/officeDocument/2006/relationships/image" Target="media/image45.png"/><Relationship Id="rId111" Type="http://schemas.openxmlformats.org/officeDocument/2006/relationships/image" Target="media/image57.png"/><Relationship Id="rId132" Type="http://schemas.openxmlformats.org/officeDocument/2006/relationships/image" Target="media/image70.png"/><Relationship Id="rId153" Type="http://schemas.openxmlformats.org/officeDocument/2006/relationships/image" Target="media/image79.png"/><Relationship Id="rId174" Type="http://schemas.openxmlformats.org/officeDocument/2006/relationships/header" Target="header26.xml"/><Relationship Id="rId179" Type="http://schemas.openxmlformats.org/officeDocument/2006/relationships/theme" Target="theme/theme1.xml"/><Relationship Id="rId15" Type="http://schemas.openxmlformats.org/officeDocument/2006/relationships/footer" Target="footer1.xml"/><Relationship Id="rId36" Type="http://schemas.openxmlformats.org/officeDocument/2006/relationships/image" Target="media/image15.png"/><Relationship Id="rId57" Type="http://schemas.openxmlformats.org/officeDocument/2006/relationships/image" Target="media/image30.png"/><Relationship Id="rId106" Type="http://schemas.openxmlformats.org/officeDocument/2006/relationships/image" Target="media/image53.png"/><Relationship Id="rId127" Type="http://schemas.openxmlformats.org/officeDocument/2006/relationships/image" Target="media/image67.png"/></Relationships>
</file>

<file path=word/_rels/footnotes.xml.rels><?xml version="1.0" encoding="UTF-8" standalone="yes"?>
<Relationships xmlns="http://schemas.openxmlformats.org/package/2006/relationships"><Relationship Id="rId26" Type="http://schemas.openxmlformats.org/officeDocument/2006/relationships/hyperlink" Target="https://www.ofcom.org.uk/__data/assets/pdf_file/0025/113299/economic-broadband-oecd-countries.pdf" TargetMode="External"/><Relationship Id="rId117" Type="http://schemas.openxmlformats.org/officeDocument/2006/relationships/hyperlink" Target="https://op.europa.eu/sl/publication-detail/-/publication/0ccf1b70-dbd6-4530-8f09-f44262856dab/language-en" TargetMode="External"/><Relationship Id="rId21" Type="http://schemas.openxmlformats.org/officeDocument/2006/relationships/hyperlink" Target="https://doi.org/10.1111/jcms.12872" TargetMode="External"/><Relationship Id="rId42" Type="http://schemas.openxmlformats.org/officeDocument/2006/relationships/hyperlink" Target="file:///C:/Users/gr/Downloads/Oeko-Effekte_20241206_Bericht%20(1).pdf" TargetMode="External"/><Relationship Id="rId47" Type="http://schemas.openxmlformats.org/officeDocument/2006/relationships/hyperlink" Target="https://www.eea.europa.eu/en/datahub/datahubitem-view/3b7fe76c-524a-439a-bfd2-a6e4046302a2?activeAccordion=1091606" TargetMode="External"/><Relationship Id="rId63" Type="http://schemas.openxmlformats.org/officeDocument/2006/relationships/hyperlink" Target="https://data.worldbank.org/indicator/SP.URB.TOTL.IN.ZS" TargetMode="External"/><Relationship Id="rId68" Type="http://schemas.openxmlformats.org/officeDocument/2006/relationships/hyperlink" Target="https://www.opensignal.com/market-insights" TargetMode="External"/><Relationship Id="rId84" Type="http://schemas.openxmlformats.org/officeDocument/2006/relationships/hyperlink" Target="https://eneroutlook.enerdata.net/forecast-world-co2-intensity-of-electricity-generation.html" TargetMode="External"/><Relationship Id="rId89" Type="http://schemas.openxmlformats.org/officeDocument/2006/relationships/hyperlink" Target="https://www.ofcom.org.uk/siteassets/resources/documents/consultations/uncategorised/93522-award-of-the-spectrum-bands/responses/qualcomm.pdf%20p8" TargetMode="External"/><Relationship Id="rId112" Type="http://schemas.openxmlformats.org/officeDocument/2006/relationships/hyperlink" Target="https://data.europa.eu/doi/10.2759/974409" TargetMode="External"/><Relationship Id="rId133" Type="http://schemas.openxmlformats.org/officeDocument/2006/relationships/hyperlink" Target="https://www.wik.org/fileadmin/user_upload/Unternehmen/Veroeffentlichungen/Diskus/2024/WIK_Diskussionsbeitrag_Nr_526.pdf" TargetMode="External"/><Relationship Id="rId138" Type="http://schemas.openxmlformats.org/officeDocument/2006/relationships/hyperlink" Target="https://www.gigabitforum.de/SharedDocs/Downloads/DE/Sachgebiete/Telekommunikation/Breitband/Gigabitforum/WIK-Studie_Uebergang_Kupfer_Glasfaser.pdf?__blob=publicationFile&amp;v=1" TargetMode="External"/><Relationship Id="rId154" Type="http://schemas.openxmlformats.org/officeDocument/2006/relationships/hyperlink" Target="https://www.gsma.com/5ghub/smartagri/" TargetMode="External"/><Relationship Id="rId159" Type="http://schemas.openxmlformats.org/officeDocument/2006/relationships/hyperlink" Target="https://www.fcc.gov/space" TargetMode="External"/><Relationship Id="rId16" Type="http://schemas.openxmlformats.org/officeDocument/2006/relationships/hyperlink" Target="https://www.dss.uniroma1.it/RePec/sas/wpaper/20161_CFM.pdf" TargetMode="External"/><Relationship Id="rId107" Type="http://schemas.openxmlformats.org/officeDocument/2006/relationships/hyperlink" Target="https://eur-lex.europa.eu/legal-content/EN/TXT/?uri=CELEX:52025SC0335." TargetMode="External"/><Relationship Id="rId11" Type="http://schemas.openxmlformats.org/officeDocument/2006/relationships/hyperlink" Target="https://openvault.com/wp-content/uploads/2024/02/OVBI_4Q23_Report_v3.pdf" TargetMode="External"/><Relationship Id="rId32" Type="http://schemas.openxmlformats.org/officeDocument/2006/relationships/hyperlink" Target="https://www.econstor.eu/handle/10419/101415" TargetMode="External"/><Relationship Id="rId37" Type="http://schemas.openxmlformats.org/officeDocument/2006/relationships/hyperlink" Target="https://www.wik.org/fileadmin/user_upload/Unternehmen/Veroeffentlichungen/Working_Papers/2024/WIK_Working_Paper_No10.pdf" TargetMode="External"/><Relationship Id="rId53" Type="http://schemas.openxmlformats.org/officeDocument/2006/relationships/hyperlink" Target="https://www.ericsson.com/en/reports-and-papers/mobility-report/dataforecasts/network-coverage" TargetMode="External"/><Relationship Id="rId58" Type="http://schemas.openxmlformats.org/officeDocument/2006/relationships/hyperlink" Target="https://digital-decade-desi.digital-strategy.ec.europa.eu/datasets/desi/charts/desi-indicators?indicator=desi_5gcov_3400_3800&amp;indicatorGroup=desi2023-2&amp;breakdown=hh_deg3&amp;period=desi_2024&amp;unit=pc_hh&amp;country=AT,BE,BG,HR,CY,CZ,DK,EE,EU,FI,FR,DE,EL,HU,IE,IT,LV,LT,LU,MT,NL,PL,PT,RO,SK,SI,ES,SE" TargetMode="External"/><Relationship Id="rId74" Type="http://schemas.openxmlformats.org/officeDocument/2006/relationships/hyperlink" Target="https://www.opensignal.com/2024/05/07/frances-urban-rural-mobile-experience-gap-has-narrowed-with-5g" TargetMode="External"/><Relationship Id="rId79" Type="http://schemas.openxmlformats.org/officeDocument/2006/relationships/hyperlink" Target="https://www.ericsson.com/en/reports-and-papers/mobility-report/key-figures" TargetMode="External"/><Relationship Id="rId102" Type="http://schemas.openxmlformats.org/officeDocument/2006/relationships/hyperlink" Target="https://www.berec.europa.eu/system/files/2025-03/BoR%20%2825%29%2033%20BEREC%20Report%20on%20the%20Evolution%20of%20Private%205G%20Networks%20and%20interrelation%20with%20public%20networks%20in%20Europe_0.pdf" TargetMode="External"/><Relationship Id="rId123" Type="http://schemas.openxmlformats.org/officeDocument/2006/relationships/hyperlink" Target="https://www.berec.europa.eu/system/files/2023-09/BoR%20%2823%29%20114%20BEREC%20input%20to%20the%20European%20Commission%20on%20the%20functioning%20of%20BEREC%20and%20the%20BEREC%20Office.pdf" TargetMode="External"/><Relationship Id="rId128" Type="http://schemas.openxmlformats.org/officeDocument/2006/relationships/hyperlink" Target="https://www.bt.com/bt-plc/assets/documents/about-bt/all-ip/migrating-from-analogue-to-digital-landlines.pdf" TargetMode="External"/><Relationship Id="rId144" Type="http://schemas.openxmlformats.org/officeDocument/2006/relationships/hyperlink" Target="https://op.europa.eu/en/publication-detail/-/publication/ef401042-9a90-11e6-9bca-01aa75ed71a1" TargetMode="External"/><Relationship Id="rId149" Type="http://schemas.openxmlformats.org/officeDocument/2006/relationships/hyperlink" Target="https://www.mckinsey.com/capabilities/mckinsey-digital/our-insights/digital-blog/smarter-factories-how-5g-can-jump-start-industry-40" TargetMode="External"/><Relationship Id="rId5" Type="http://schemas.openxmlformats.org/officeDocument/2006/relationships/hyperlink" Target="https://digital-decade-desi.digital-strategy.ec.europa.eu/datasets/desi/indicators" TargetMode="External"/><Relationship Id="rId90" Type="http://schemas.openxmlformats.org/officeDocument/2006/relationships/hyperlink" Target="https://www.ofcom.org.uk/siteassets/resources/documents/consultations/category-1-10-weeks/129955-award-of-the-700-mhz-and-3.6-3.8-ghz-spectrum/responses/response-to-2020-further-consultation-bt" TargetMode="External"/><Relationship Id="rId95" Type="http://schemas.openxmlformats.org/officeDocument/2006/relationships/hyperlink" Target="https://op.europa.eu/en/publication-detail/-/publication/036d50f1-a1e2-11ed-b508-01aa75ed71a1" TargetMode="External"/><Relationship Id="rId160" Type="http://schemas.openxmlformats.org/officeDocument/2006/relationships/hyperlink" Target="https://docs.fcc.gov/public/attachments/DOC-392418A1.pdf" TargetMode="External"/><Relationship Id="rId22" Type="http://schemas.openxmlformats.org/officeDocument/2006/relationships/hyperlink" Target="https://hdl.handle.net/10419/279416" TargetMode="External"/><Relationship Id="rId27" Type="http://schemas.openxmlformats.org/officeDocument/2006/relationships/hyperlink" Target="https://www.econstor.eu/handle/10419/168484" TargetMode="External"/><Relationship Id="rId43" Type="http://schemas.openxmlformats.org/officeDocument/2006/relationships/hyperlink" Target="https://www.analysysmason.com/contentassets/1d7e13ed1dba4cc6917daa023f27834b/analysys_mason_fibre_in_europe_may2023.pdf" TargetMode="External"/><Relationship Id="rId48" Type="http://schemas.openxmlformats.org/officeDocument/2006/relationships/hyperlink" Target="https://www.bt.com/bt-plc/assets/documents/investors/financial-reporting-and-news/annual-reports/2024/2024-bt-group-plc-annual-report.pdf" TargetMode="External"/><Relationship Id="rId64" Type="http://schemas.openxmlformats.org/officeDocument/2006/relationships/hyperlink" Target="https://digital-decade-desi.digital-strategy.ec.europa.eu/datasets/desi/charts/desi-indicators?indicator=desi_5gcov&amp;indicatorGroup=desi2023-2&amp;breakdown=total_pophh&amp;period=desi_2025&amp;unit=pc_hh&amp;country=AT,BE,BG,HR,CY,CZ,DK,EE,EU,FI,FR,DE,EL,HU,IE,IT,LV,LT,LU,MT,NL,PL,PT,RO,SK,SI,ES,SE" TargetMode="External"/><Relationship Id="rId69" Type="http://schemas.openxmlformats.org/officeDocument/2006/relationships/hyperlink" Target="https://www.opensignal.com/2025/07/02/more-frequencies-higher-impact-how-spectrum-band-usage-for-5g-is-expanding-across-europe/dt" TargetMode="External"/><Relationship Id="rId113" Type="http://schemas.openxmlformats.org/officeDocument/2006/relationships/hyperlink" Target="https://op.europa.eu/sl/publication-detail/-/publication/0ccf1b70-dbd6-4530-8f09-f44262856dab/language-en" TargetMode="External"/><Relationship Id="rId118" Type="http://schemas.openxmlformats.org/officeDocument/2006/relationships/hyperlink" Target="https://www.gsmaintelligence.com/research/research-file-download?id=69042417&amp;file=220322-Satellite-2.0-going-direct-to-device.pdf" TargetMode="External"/><Relationship Id="rId134" Type="http://schemas.openxmlformats.org/officeDocument/2006/relationships/hyperlink" Target="https://www.wik.org/fileadmin/user_upload/Unternehmen/Veroeffentlichungen/Diskus/2022/WIK_Diskussionsbeitrag_Nr_457.pdf" TargetMode="External"/><Relationship Id="rId139" Type="http://schemas.openxmlformats.org/officeDocument/2006/relationships/hyperlink" Target="https://www.kearney.com/service/digital-analytics/article/a-blueprint-for-copper-decommissioning" TargetMode="External"/><Relationship Id="rId80" Type="http://schemas.openxmlformats.org/officeDocument/2006/relationships/hyperlink" Target="https://www.gsma.com/solutions-and-impact/connectivity-for-good/mobile-economy/wp-content/uploads/2023/03/270223-The-Mobile-Economy-2023.pdf" TargetMode="External"/><Relationship Id="rId85" Type="http://schemas.openxmlformats.org/officeDocument/2006/relationships/hyperlink" Target="https://www.berec.europa.eu/en/document-categories/berec/reports/external-sustainability-study-on-environmental-impact-of-electronic-communications" TargetMode="External"/><Relationship Id="rId150" Type="http://schemas.openxmlformats.org/officeDocument/2006/relationships/hyperlink" Target="https://www.pwc.com/gx/en/tmt/5g/global-economic-impact-5g.pdf" TargetMode="External"/><Relationship Id="rId155" Type="http://schemas.openxmlformats.org/officeDocument/2006/relationships/hyperlink" Target="https://rspg-spectrum.eu" TargetMode="External"/><Relationship Id="rId12" Type="http://schemas.openxmlformats.org/officeDocument/2006/relationships/hyperlink" Target="https://www.adlittle.com/en/insights/report/evolution-data-growth-europe" TargetMode="External"/><Relationship Id="rId17" Type="http://schemas.openxmlformats.org/officeDocument/2006/relationships/hyperlink" Target="https://doi.org/10.1093/icc/dtae043" TargetMode="External"/><Relationship Id="rId33" Type="http://schemas.openxmlformats.org/officeDocument/2006/relationships/hyperlink" Target="https://www.gov.uk/government/publications/superfast-broadband-programme-evaluation-benefits-and-impacts/superfast-broadband-programme-evaluation-key-benefits-and-impacts" TargetMode="External"/><Relationship Id="rId38" Type="http://schemas.openxmlformats.org/officeDocument/2006/relationships/hyperlink" Target="https://www.wik.org/fileadmin/user_upload/Unternehmen/Veroeffentlichungen/Working_Papers/2024/WIK_Working_Paper_No10.pdf" TargetMode="External"/><Relationship Id="rId59" Type="http://schemas.openxmlformats.org/officeDocument/2006/relationships/hyperlink" Target="https://www.eea.europa.eu/soer/2015/europe/urban-systems" TargetMode="External"/><Relationship Id="rId103" Type="http://schemas.openxmlformats.org/officeDocument/2006/relationships/hyperlink" Target="https://digital-strategy.ec.europa.eu/en/library/investment-and-funding-needs-digital-decade-connectivity-targets" TargetMode="External"/><Relationship Id="rId108" Type="http://schemas.openxmlformats.org/officeDocument/2006/relationships/hyperlink" Target="https://op.europa.eu/en/publication-detail/-/publication/4c769094-41b5-11f0-b9f2-01aa75ed71a1/language-en" TargetMode="External"/><Relationship Id="rId124" Type="http://schemas.openxmlformats.org/officeDocument/2006/relationships/hyperlink" Target="https://www.ftthcouncil.eu/resources/all-publications-and-assets/2358/european-ftth-b-market-panorama-2025" TargetMode="External"/><Relationship Id="rId129" Type="http://schemas.openxmlformats.org/officeDocument/2006/relationships/hyperlink" Target="https://onlinelibrary.wiley.com/doi/full/10.1111/jeea.12127" TargetMode="External"/><Relationship Id="rId54" Type="http://schemas.openxmlformats.org/officeDocument/2006/relationships/hyperlink" Target="https://www.ericsson.com/en/reports-and-papers/mobility-report/articles/securing-the-right-5g-spectrum" TargetMode="External"/><Relationship Id="rId70" Type="http://schemas.openxmlformats.org/officeDocument/2006/relationships/hyperlink" Target="https://www.opensignal.com/2025/07/02/more-frequencies-higher-impact-how-spectrum-band-usage-for-5g-is-expanding-across-europe/dt" TargetMode="External"/><Relationship Id="rId75" Type="http://schemas.openxmlformats.org/officeDocument/2006/relationships/hyperlink" Target="https://www.opensignal.com/2023/06/29/5g-is-more-consistent-than-4g-across-all-hours-of-the-day-in-the-uk" TargetMode="External"/><Relationship Id="rId91" Type="http://schemas.openxmlformats.org/officeDocument/2006/relationships/hyperlink" Target="https://www.bundesnetzagentur.de/SharedDocs/Downloads/EN/Areas/Telecommunications/Companies/TelecomRegulation/FrequencyManagement/ElectronicCommunicationsServices/FrequencyAward2018/20181214_Decision_III_IV.pdf?__blob=publicationFile&amp;v=1" TargetMode="External"/><Relationship Id="rId96" Type="http://schemas.openxmlformats.org/officeDocument/2006/relationships/hyperlink" Target="https://ec.europa.eu/docsroom/documents/63274" TargetMode="External"/><Relationship Id="rId140" Type="http://schemas.openxmlformats.org/officeDocument/2006/relationships/hyperlink" Target="https://www.ft.com/content/2e1cbcf8-67c3-48b1-94bf-66c344b155b8" TargetMode="External"/><Relationship Id="rId145" Type="http://schemas.openxmlformats.org/officeDocument/2006/relationships/hyperlink" Target="https://bmds.bund.de/fileadmin/BMDS/Dokumente/Studie_Modellanalyse_KGM.pdf" TargetMode="External"/><Relationship Id="rId161" Type="http://schemas.openxmlformats.org/officeDocument/2006/relationships/hyperlink" Target="https://www.ntia.gov/sites/default/files/publications/national-spectrum-strategy-implementation-plan.pdf" TargetMode="External"/><Relationship Id="rId1" Type="http://schemas.openxmlformats.org/officeDocument/2006/relationships/hyperlink" Target="https://ec.europa.eu/info/law/better-regulation/have-your-say/initiatives/14709-Digital-Networks-Act_en" TargetMode="External"/><Relationship Id="rId6" Type="http://schemas.openxmlformats.org/officeDocument/2006/relationships/hyperlink" Target="https://ctu.gov.cz/sites/default/files/obsah/stranky/472017/soubory/zovt_2023.pdf" TargetMode="External"/><Relationship Id="rId15" Type="http://schemas.openxmlformats.org/officeDocument/2006/relationships/hyperlink" Target="https://www.ofcom.org.uk/siteassets/resources/documents/consultations/category-1-10-weeks/consultation-telecoms-access-review-2026-31/main-documents/volume-2-market-definition-and-smp-assessment.pdf?v=392945" TargetMode="External"/><Relationship Id="rId23" Type="http://schemas.openxmlformats.org/officeDocument/2006/relationships/hyperlink" Target="https://www.teleadvs.com/wp-content/uploads/ContributionofFixedBroadbandtoEconomicGrowth_RaulKatz.pdf" TargetMode="External"/><Relationship Id="rId28" Type="http://schemas.openxmlformats.org/officeDocument/2006/relationships/hyperlink" Target="https://www.analysisgroup.com/globalassets/content/insights/publishing/gigabit_broadband_sosa.pdf" TargetMode="External"/><Relationship Id="rId36" Type="http://schemas.openxmlformats.org/officeDocument/2006/relationships/hyperlink" Target="https://ec.europa.eu/eurostat/web/products-eurostat-news/w/ddn-20250313-1" TargetMode="External"/><Relationship Id="rId49" Type="http://schemas.openxmlformats.org/officeDocument/2006/relationships/hyperlink" Target="https://www.ispreview.co.uk/index.php/2024/09/bt-get-105m-for-first-sale-of-old-uk-copper-telecoms-cables.html" TargetMode="External"/><Relationship Id="rId57" Type="http://schemas.openxmlformats.org/officeDocument/2006/relationships/hyperlink" Target="https://www.intereconomics.eu/pdf-download/year/2008/number/3/article/economic-impacts-of-alternative-uses-of-the-digital-dividend.html" TargetMode="External"/><Relationship Id="rId106" Type="http://schemas.openxmlformats.org/officeDocument/2006/relationships/hyperlink" Target="https://op.europa.eu/en/publication-detail/-/publication/5c28e25b-41b3-11f0-b9f2-01aa75ed71a1/language-en" TargetMode="External"/><Relationship Id="rId114" Type="http://schemas.openxmlformats.org/officeDocument/2006/relationships/hyperlink" Target="https://op.europa.eu/en/publication-detail/-/publication/7997aa72-d865-11e9-9c4e-01aa75ed71a1/language-en" TargetMode="External"/><Relationship Id="rId119" Type="http://schemas.openxmlformats.org/officeDocument/2006/relationships/hyperlink" Target="https://www.vodafone.com/news/corporate-and-financial/vodafone-and-ast-space-mobile-sign-agreement-to-create-european-direct-to-device-satellite-service-provider" TargetMode="External"/><Relationship Id="rId127" Type="http://schemas.openxmlformats.org/officeDocument/2006/relationships/hyperlink" Target="https://www.gigabitforum.de/SharedDocs/Downloads/DE/Sachgebiete/Telekommunikation/Breitband/Gigabitforum/WIK-Studie_Uebergang_Kupfer_Glasfaser.pdf?__blob=publicationFile&amp;v=1" TargetMode="External"/><Relationship Id="rId10" Type="http://schemas.openxmlformats.org/officeDocument/2006/relationships/hyperlink" Target="https://www.opensignal.com/2024/05/07/frances-urban-rural-mobile-experience-gap-has-narrowed-with-5g" TargetMode="External"/><Relationship Id="rId31" Type="http://schemas.openxmlformats.org/officeDocument/2006/relationships/hyperlink" Target="https://hdl.handle.net/10419/279416" TargetMode="External"/><Relationship Id="rId44" Type="http://schemas.openxmlformats.org/officeDocument/2006/relationships/hyperlink" Target="https://www.analysysmason.com/contentassets/1d7e13ed1dba4cc6917daa023f27834b/analysys_mason_fibre_in_europe_may2023.pdf" TargetMode="External"/><Relationship Id="rId52" Type="http://schemas.openxmlformats.org/officeDocument/2006/relationships/hyperlink" Target="https://www.ericsson.com/49e9b6/a/ssets/local/reports-papers/mobility-report/documents/2025/ericsson-mobility-report-june-2025.pdf" TargetMode="External"/><Relationship Id="rId60" Type="http://schemas.openxmlformats.org/officeDocument/2006/relationships/hyperlink" Target="https://ec.europa.eu/eurostat/databrowser/view/DEMO_R_D3DENS__custom_10822572/bookmark/table?lang=en&amp;bookmarkId=9daaf3b7-86a3-40fc-9171-fcd05d859892&amp;c=1712824409289" TargetMode="External"/><Relationship Id="rId65" Type="http://schemas.openxmlformats.org/officeDocument/2006/relationships/hyperlink" Target="https://www.opensignal.com/2025/07/02/more-frequencies-higher-impact-how-spectrum-band-usage-for-5g-is-expanding-across-europe/dt" TargetMode="External"/><Relationship Id="rId73" Type="http://schemas.openxmlformats.org/officeDocument/2006/relationships/hyperlink" Target="https://www.statista.com/statistics/689876/average-mobile-speeds-download-and-upload-in-western-europe/" TargetMode="External"/><Relationship Id="rId78" Type="http://schemas.openxmlformats.org/officeDocument/2006/relationships/hyperlink" Target="https://www.ericsson.com/49e9b6/assets/local/reports-papers/mobility-report/documents/2025/ericsson-mobility-report-june-2025.pdf" TargetMode="External"/><Relationship Id="rId81" Type="http://schemas.openxmlformats.org/officeDocument/2006/relationships/hyperlink" Target="https://www.oxfordeconomics.com/wp-content/uploads/2023/03/GlobalEconomicPotential5G_290323.pdf" TargetMode="External"/><Relationship Id="rId86" Type="http://schemas.openxmlformats.org/officeDocument/2006/relationships/hyperlink" Target="https://www.umweltbundesamt.de/daten/umwelt-wirtschaft/gesellschaftliche-kosten-von-umweltbelastungen" TargetMode="External"/><Relationship Id="rId94" Type="http://schemas.openxmlformats.org/officeDocument/2006/relationships/hyperlink" Target="https://rspg-spectrum.eu" TargetMode="External"/><Relationship Id="rId99" Type="http://schemas.openxmlformats.org/officeDocument/2006/relationships/hyperlink" Target="https://www.berec.europa.eu/en/document-categories/berec/reports/study-on-wholesale-mobile-connectivity-trends-and-issues-for-emerging-mobile-technologies-and-deployments" TargetMode="External"/><Relationship Id="rId101" Type="http://schemas.openxmlformats.org/officeDocument/2006/relationships/hyperlink" Target="https://digital-strategy.ec.europa.eu/enc/library/investment-and-funding-needs-digital-decade-connectivity-targets" TargetMode="External"/><Relationship Id="rId122" Type="http://schemas.openxmlformats.org/officeDocument/2006/relationships/hyperlink" Target="https://radio-spectrum-policy-group.ec.europa.eu/system/files/2023-01/RSPG21-022final_RSPG_Opinion_Spectrum_Sharing.pdf" TargetMode="External"/><Relationship Id="rId130" Type="http://schemas.openxmlformats.org/officeDocument/2006/relationships/hyperlink" Target="https://digital-strategy.ec.europa.eu/en/library/recommendation-regulatory-promotion-gigabit-connectivity" TargetMode="External"/><Relationship Id="rId135" Type="http://schemas.openxmlformats.org/officeDocument/2006/relationships/hyperlink" Target="https://www.wik.org/fileadmin/user_upload/Unternehmen/Veroeffentlichungen/Kurzstudien/2024/WIK_Kurzstudie_Kosten-und-Preise-Glasfaserinfrastruktur.pdf" TargetMode="External"/><Relationship Id="rId143" Type="http://schemas.openxmlformats.org/officeDocument/2006/relationships/hyperlink" Target="https://www.wik.org/fileadmin/user_upload/Unternehmen/Veroeffentlichungen/Studien/2024/WIK_evaluation_report_pilot_copper_switch-off_Gigabit_Forum.pdf" TargetMode="External"/><Relationship Id="rId148" Type="http://schemas.openxmlformats.org/officeDocument/2006/relationships/hyperlink" Target="https://doi.org/10.3390/s23010073" TargetMode="External"/><Relationship Id="rId151" Type="http://schemas.openxmlformats.org/officeDocument/2006/relationships/hyperlink" Target="https://www.mckinsey.com/industries/semiconductors/our-insights/the-future-of-automotive-computing-cloud-and-edge" TargetMode="External"/><Relationship Id="rId156" Type="http://schemas.openxmlformats.org/officeDocument/2006/relationships/hyperlink" Target="https://op.europa.eu/en/publication-detail/-/publication/036d50f1-a1e2-11ed-b508-01aa75ed71a1" TargetMode="External"/><Relationship Id="rId4" Type="http://schemas.openxmlformats.org/officeDocument/2006/relationships/hyperlink" Target="https://www.balcanicaucaso.org/eng/Areas/Europe/EU-Internet-connections-are-getting-faster-and-faster-235091" TargetMode="External"/><Relationship Id="rId9" Type="http://schemas.openxmlformats.org/officeDocument/2006/relationships/hyperlink" Target="https://www.speedtest.net/global-index" TargetMode="External"/><Relationship Id="rId13" Type="http://schemas.openxmlformats.org/officeDocument/2006/relationships/hyperlink" Target="https://www.ofcom.org.uk/siteassets/resources/documents/research-and-data/multi-sector/infrastructure-research/connected-nations-2024/connected-nations-uk-report-2024.pdf?v=386497" TargetMode="External"/><Relationship Id="rId18" Type="http://schemas.openxmlformats.org/officeDocument/2006/relationships/hyperlink" Target="https://www.zew.de/team/wbg" TargetMode="External"/><Relationship Id="rId39" Type="http://schemas.openxmlformats.org/officeDocument/2006/relationships/hyperlink" Target="https://www.wik.org/fileadmin/user_upload/Unternehmen/Veroeffentlichungen/Working_Papers/2024/WIK_Working_Paper_No10.pdf" TargetMode="External"/><Relationship Id="rId109" Type="http://schemas.openxmlformats.org/officeDocument/2006/relationships/hyperlink" Target="https://www.aanda.org/component/article?access=doi&amp;doi=10.1051/0004-6361/202346374" TargetMode="External"/><Relationship Id="rId34" Type="http://schemas.openxmlformats.org/officeDocument/2006/relationships/hyperlink" Target="https://ec.europa.eu/eurostat/tistics-explained/index.php?title=Digital_economy_and_society_statistics_-_households_and_individuals" TargetMode="External"/><Relationship Id="rId50" Type="http://schemas.openxmlformats.org/officeDocument/2006/relationships/hyperlink" Target="https://www.datacenterdynamics.com/en/opinions/the-world-is-running-short-of-copper-telecoms-networks-could-be-the-answer/" TargetMode="External"/><Relationship Id="rId55" Type="http://schemas.openxmlformats.org/officeDocument/2006/relationships/hyperlink" Target="https://digital-strategy.ec.europa.eu/en/library/digital-decade-2024-desi-methodological-note" TargetMode="External"/><Relationship Id="rId76" Type="http://schemas.openxmlformats.org/officeDocument/2006/relationships/hyperlink" Target="https://www.ookla.com/articles/europe-5gsa-2025" TargetMode="External"/><Relationship Id="rId97" Type="http://schemas.openxmlformats.org/officeDocument/2006/relationships/hyperlink" Target="https://digital-strategy.ec.europa.eu/en/library/mobile-and-fixed-broadband-prices-europe-2022" TargetMode="External"/><Relationship Id="rId104" Type="http://schemas.openxmlformats.org/officeDocument/2006/relationships/hyperlink" Target="https://publications.jrc.ec.europa.eu/repository/bitstream/JRC141966/JRC141966_01.pdf" TargetMode="External"/><Relationship Id="rId120" Type="http://schemas.openxmlformats.org/officeDocument/2006/relationships/hyperlink" Target="https://spacenews.com/spacex-planning-first-tests-of-new-direct-to-device-spectrum-next-year/" TargetMode="External"/><Relationship Id="rId125" Type="http://schemas.openxmlformats.org/officeDocument/2006/relationships/hyperlink" Target="https://www.speedtest.net/global-index" TargetMode="External"/><Relationship Id="rId141" Type="http://schemas.openxmlformats.org/officeDocument/2006/relationships/hyperlink" Target="https://www.datacenterdynamics.com/en/news/bt-calls-for-uks-critical-national-infrastructure-to-shift-away-from-copper-networks/" TargetMode="External"/><Relationship Id="rId146" Type="http://schemas.openxmlformats.org/officeDocument/2006/relationships/hyperlink" Target="https://doi.org/10.3390/s23052519" TargetMode="External"/><Relationship Id="rId7" Type="http://schemas.openxmlformats.org/officeDocument/2006/relationships/hyperlink" Target="https://www.ookla.com/articles/fixed-wireless-access-us-q3-2023" TargetMode="External"/><Relationship Id="rId71" Type="http://schemas.openxmlformats.org/officeDocument/2006/relationships/hyperlink" Target="https://www.opensignal.com/2025/07/02/more-frequencies-higher-impact-how-spectrum-band-usage-for-5g-is-expanding-across-europe/dt" TargetMode="External"/><Relationship Id="rId92" Type="http://schemas.openxmlformats.org/officeDocument/2006/relationships/hyperlink" Target="https://eceuropaeu.sharepoint.com/teams/GRP-ConnectivitypackageII-DNA/Shared%20Documents/DNA/POST%20ISC%20DOCUMENTS/IMPACT%20ASSESSMENT/IA%20revision/Shared%20with%20ISCG%20members/Available%20online%20at:%20https:/op.europa.eu/publication-detail/-/publication/036d50f1-a1e2-11ed-b508-01aa75ed71a1)." TargetMode="External"/><Relationship Id="rId162" Type="http://schemas.openxmlformats.org/officeDocument/2006/relationships/hyperlink" Target="https://www.ntia.gov/other-publication/2022/memorandum-understanding-between-fcc-and-ntia" TargetMode="External"/><Relationship Id="rId2" Type="http://schemas.openxmlformats.org/officeDocument/2006/relationships/hyperlink" Target="https://www.ftthcouncil.eu/resources/all-publications-and-assets/2362/ftth-market-forecasts-2024-2030" TargetMode="External"/><Relationship Id="rId29" Type="http://schemas.openxmlformats.org/officeDocument/2006/relationships/hyperlink" Target="https://fiberbroadband.org/wp-content/uploads/2025/07/FBA-103_AI_Datacenter_WhitePaper_lv6.pdf" TargetMode="External"/><Relationship Id="rId24" Type="http://schemas.openxmlformats.org/officeDocument/2006/relationships/hyperlink" Target="https://www.teleadvs.com/wp-content/uploads/Assessing-the-Economic-Potential-of-10G-Networks.pdf" TargetMode="External"/><Relationship Id="rId40" Type="http://schemas.openxmlformats.org/officeDocument/2006/relationships/hyperlink" Target="https://www.brekoverband.de/wp-content/uploads/2025/03/gutachten_nachhaltigkeit_2_v09_final_2024-1-22.pdf" TargetMode="External"/><Relationship Id="rId45" Type="http://schemas.openxmlformats.org/officeDocument/2006/relationships/hyperlink" Target="https://www.brekoverband.de/wp-content/uploads/2025/03/gutachten_nachhaltigkeit_2_v09_final_2024-1-22.pdf" TargetMode="External"/><Relationship Id="rId66" Type="http://schemas.openxmlformats.org/officeDocument/2006/relationships/hyperlink" Target="https://www.opensignal.com/2024/02/01/mobile-network-speeds-leaped-ahead-in-2023-but-some-markets-lag-behind" TargetMode="External"/><Relationship Id="rId87" Type="http://schemas.openxmlformats.org/officeDocument/2006/relationships/hyperlink" Target="https://medux.com/blog/europes-5g-progress-meeting-expectations" TargetMode="External"/><Relationship Id="rId110" Type="http://schemas.openxmlformats.org/officeDocument/2006/relationships/hyperlink" Target="https://cps.iau.org/documents/42/Draft_IAU_CPS_position_statement_9Z8xEO1.pdf" TargetMode="External"/><Relationship Id="rId115" Type="http://schemas.openxmlformats.org/officeDocument/2006/relationships/hyperlink" Target="https://op.europa.eu/en/publication-detail/-/publication/5c28e25b-41b3-11f0-b9f2-01aa75ed71a1/language-en" TargetMode="External"/><Relationship Id="rId131" Type="http://schemas.openxmlformats.org/officeDocument/2006/relationships/hyperlink" Target="https://www.wik.org/fileadmin/user_upload/Unternehmen/Veroeffentlichungen/Studien/2024/WIK_evaluation_report_pilot_copper_switch-off_Gigabit_Forum.pdf" TargetMode="External"/><Relationship Id="rId136" Type="http://schemas.openxmlformats.org/officeDocument/2006/relationships/hyperlink" Target="https://www.wik.org/fileadmin/user_upload/Unternehmen/Veroeffentlichungen/Diskus/2023/WIK_Diskussionsbeitrag_Nr_499.pdf" TargetMode="External"/><Relationship Id="rId157" Type="http://schemas.openxmlformats.org/officeDocument/2006/relationships/hyperlink" Target="https://digital-strategy.ec.europa.eu/en/policies/6g" TargetMode="External"/><Relationship Id="rId61" Type="http://schemas.openxmlformats.org/officeDocument/2006/relationships/hyperlink" Target="https://data.worldbank.org/indicator/SP.URB.TOTL.IN.ZS" TargetMode="External"/><Relationship Id="rId82" Type="http://schemas.openxmlformats.org/officeDocument/2006/relationships/hyperlink" Target="https://www.econstor.eu/bitstream/10419/238018/1/Edquist.pdf" TargetMode="External"/><Relationship Id="rId152" Type="http://schemas.openxmlformats.org/officeDocument/2006/relationships/hyperlink" Target="https://www.pwc.com/gx/en/tmt/5g/global-economic-impact-5g.pdf" TargetMode="External"/><Relationship Id="rId19" Type="http://schemas.openxmlformats.org/officeDocument/2006/relationships/hyperlink" Target="https://www.zew.de/team/kpg" TargetMode="External"/><Relationship Id="rId14" Type="http://schemas.openxmlformats.org/officeDocument/2006/relationships/hyperlink" Target="https://www.ofcom.org.uk/siteassets/resources/documents/research-and-data/multi-sector/infrastructure-research/connected-nations-2024/connected-nations-uk-report-2024.pdf?v=386497" TargetMode="External"/><Relationship Id="rId30" Type="http://schemas.openxmlformats.org/officeDocument/2006/relationships/hyperlink" Target="https://fiberbroadband.org/wp-content/uploads/2024/08/GigabitFiber_WhitePaper_FIN-2.pdf" TargetMode="External"/><Relationship Id="rId35" Type="http://schemas.openxmlformats.org/officeDocument/2006/relationships/hyperlink" Target="https://ec.europa.eu/eurostat/de/web/products-eurostat-news/w/edn-20230801-1" TargetMode="External"/><Relationship Id="rId56" Type="http://schemas.openxmlformats.org/officeDocument/2006/relationships/hyperlink" Target="https://www.ericsson.com/en/reports-and-papers/mobility-report/reports/june-2025" TargetMode="External"/><Relationship Id="rId77" Type="http://schemas.openxmlformats.org/officeDocument/2006/relationships/hyperlink" Target="https://www.opensignal.com/2020/10/21/5g-users-on-average-consume-up-to-27x-more-mobile-data-compared-to-4g-users" TargetMode="External"/><Relationship Id="rId100" Type="http://schemas.openxmlformats.org/officeDocument/2006/relationships/hyperlink" Target="https://www.smallcellforum.org/docs/scf-market-forecast-report/" TargetMode="External"/><Relationship Id="rId105" Type="http://schemas.openxmlformats.org/officeDocument/2006/relationships/hyperlink" Target="https://op.europa.eu/en/publication-detail/-/publication/5c28e25b-41b3-11f0-b9f2-01aa75ed71a1/language-en" TargetMode="External"/><Relationship Id="rId126" Type="http://schemas.openxmlformats.org/officeDocument/2006/relationships/hyperlink" Target="https://www.bt.com/bt-plc/assets/documents/about-bt/all-ip/migrating-from-analogue-to-digital-landlines.pdf" TargetMode="External"/><Relationship Id="rId147" Type="http://schemas.openxmlformats.org/officeDocument/2006/relationships/hyperlink" Target="https://www.pwc.com/gx/en/tmt/5g/global-economic-impact-5g.pdf" TargetMode="External"/><Relationship Id="rId8" Type="http://schemas.openxmlformats.org/officeDocument/2006/relationships/hyperlink" Target="https://ctu.gov.cz/sites/default/files/obsah/stranky/472017/soubory/zovt_2023.pdf" TargetMode="External"/><Relationship Id="rId51" Type="http://schemas.openxmlformats.org/officeDocument/2006/relationships/hyperlink" Target="https://ec.europa.eu/newsroom/dae/redirection/document/116970" TargetMode="External"/><Relationship Id="rId72" Type="http://schemas.openxmlformats.org/officeDocument/2006/relationships/hyperlink" Target="https://medux.com/blog/all-5g-networks-are-not-created-equal-unveiling-true-qoe-5g-europe-lll" TargetMode="External"/><Relationship Id="rId93" Type="http://schemas.openxmlformats.org/officeDocument/2006/relationships/hyperlink" Target="https://op.europa.eu/en/publication-detail/-/publication/036d50f1-a1e2-11ed-b508-01aa75ed71a1" TargetMode="External"/><Relationship Id="rId98" Type="http://schemas.openxmlformats.org/officeDocument/2006/relationships/hyperlink" Target="https://www.ookla.com/s/media/2025/02/ookla_omdia-5GSA_0225b.pdf" TargetMode="External"/><Relationship Id="rId121" Type="http://schemas.openxmlformats.org/officeDocument/2006/relationships/hyperlink" Target="https://www.wik.org/en/publications/publication/competition-and-investment-in-the-danish-broadband-market" TargetMode="External"/><Relationship Id="rId142" Type="http://schemas.openxmlformats.org/officeDocument/2006/relationships/hyperlink" Target="https://www.telcotitans.com/telefonicawatch/vivo-targets-700m-bonus-from-fixed-line-shutdown/9244.article%23:~:text=Brazil's%20Telef%C3%B3nica%7CVivo%20hopes%20to,of%20acquisitions%20over%20recent%20years" TargetMode="External"/><Relationship Id="rId163" Type="http://schemas.openxmlformats.org/officeDocument/2006/relationships/hyperlink" Target="https://docs.fcc.gov/public/attachments/FCC-24-136A1.pdf" TargetMode="External"/><Relationship Id="rId3" Type="http://schemas.openxmlformats.org/officeDocument/2006/relationships/hyperlink" Target="https://www.wik.org/fileadmin/Studien/2020/Copper_switch-off_whitepaper.pdf" TargetMode="External"/><Relationship Id="rId25" Type="http://schemas.openxmlformats.org/officeDocument/2006/relationships/hyperlink" Target="https://www.scopus.com/record/display.uri?eid=2-s2.0-85048129273&amp;origin=inward&amp;txGid=d54ecdbd045c2987e0384a0d2fa1e01b" TargetMode="External"/><Relationship Id="rId46" Type="http://schemas.openxmlformats.org/officeDocument/2006/relationships/hyperlink" Target="https://stokab.se/download/18.15d457b6178eff38ee02a4/1619693498369/Neutral%20fibre%20and%20the%20European%20Green%20Deal_2021.pdf" TargetMode="External"/><Relationship Id="rId67" Type="http://schemas.openxmlformats.org/officeDocument/2006/relationships/hyperlink" Target="https://www.opensignal.com/2025/07/02/more-frequencies-higher-impact-how-spectrum-band-usage-for-5g-is-expanding-across-europe/dt" TargetMode="External"/><Relationship Id="rId116" Type="http://schemas.openxmlformats.org/officeDocument/2006/relationships/hyperlink" Target="https://op.europa.eu/en/publication-detail/-/publication/7997aa72-d865-11e9-9c4e-01aa75ed71a1/language-en" TargetMode="External"/><Relationship Id="rId137" Type="http://schemas.openxmlformats.org/officeDocument/2006/relationships/hyperlink" Target="https://www.wik.org/fileadmin/user_upload/Unternehmen/Veroeffentlichungen/Diskus/2024/WIK_Diskussionsbeitrag_Nr_526.pdf" TargetMode="External"/><Relationship Id="rId158" Type="http://schemas.openxmlformats.org/officeDocument/2006/relationships/hyperlink" Target="https://cept.org/ecc" TargetMode="External"/><Relationship Id="rId20" Type="http://schemas.openxmlformats.org/officeDocument/2006/relationships/hyperlink" Target="http://dx.doi.org/10.1111/jcms.12872" TargetMode="External"/><Relationship Id="rId41" Type="http://schemas.openxmlformats.org/officeDocument/2006/relationships/hyperlink" Target="https://www.wik.org/fileadmin/user_upload/Unternehmen/Veroeffentlichungen/Working_Papers/2024/WIK_Working_Paper_No10.pdf" TargetMode="External"/><Relationship Id="rId62" Type="http://schemas.openxmlformats.org/officeDocument/2006/relationships/hyperlink" Target="https://ec.europa.eu/eurostat/databrowser/view/DEMO_R_D3DENS__custom_10822572/bookmark/table?lang=en&amp;bookmarkId=9daaf3b7-86a3-40fc-9171-fcd05d859892&amp;c=1712824409289" TargetMode="External"/><Relationship Id="rId83" Type="http://schemas.openxmlformats.org/officeDocument/2006/relationships/hyperlink" Target="https://www.oxfordeconomics.com/wp-content/uploads/2023/03/GlobalEconomicPotential5G_290323.pdf" TargetMode="External"/><Relationship Id="rId88" Type="http://schemas.openxmlformats.org/officeDocument/2006/relationships/hyperlink" Target="https://digital-strategy.ec.europa.eu/en/library/mobile-and-fixed-broadband-price-europe-2023-insights-european-broadband-market" TargetMode="External"/><Relationship Id="rId111" Type="http://schemas.openxmlformats.org/officeDocument/2006/relationships/hyperlink" Target="https://op.europa.eu/en/publication-detail/-/publication/4c769094-41b5-11f0-b9f2-01aa75ed71a1/language-en" TargetMode="External"/><Relationship Id="rId132" Type="http://schemas.openxmlformats.org/officeDocument/2006/relationships/hyperlink" Target="https://www.gigabitforum.de/SharedDocs/Downloads/DE/Sachgebiete/Telekommunikation/Breitband/Gigabitforum/WIK-Studie_Uebergang_Kupfer_Glasfaser.pdf?__blob=publicationFile&amp;v=1" TargetMode="External"/><Relationship Id="rId153" Type="http://schemas.openxmlformats.org/officeDocument/2006/relationships/hyperlink" Target="https://www.ericsson.com/4ac680/assets/local/reports-papers/industrylab/doc/bringing-5g-to-power---industrylab-report.pdf" TargetMode="External"/></Relationships>
</file>

<file path=word/_rels/header7.xml.rels><?xml version="1.0" encoding="UTF-8" standalone="yes"?>
<Relationships xmlns="http://schemas.openxmlformats.org/package/2006/relationships"><Relationship Id="rId1" Type="http://schemas.openxmlformats.org/officeDocument/2006/relationships/image" Target="media/image34.png"/></Relationships>
</file>

<file path=word/_rels/header14.xml.rels><?xml version="1.0" encoding="UTF-8" standalone="yes"?>
<Relationships xmlns="http://schemas.openxmlformats.org/package/2006/relationships"><Relationship Id="rId1" Type="http://schemas.openxmlformats.org/officeDocument/2006/relationships/image" Target="media/image50.png"/></Relationships>
</file>

<file path=word/_rels/header18.xml.rels><?xml version="1.0" encoding="UTF-8" standalone="yes"?>
<Relationships xmlns="http://schemas.openxmlformats.org/package/2006/relationships"><Relationship Id="rId1" Type="http://schemas.openxmlformats.org/officeDocument/2006/relationships/image" Target="media/image50.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wikconsult.sharepoint.com/sites/CNECTAccessStudy7663_C/Freigegebene%20Dokumente/Impact%20Assessment/data%20and%20Modelling%202025%20based%20on%20GIA/Access_GIA_speed_bandwidth_estimati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Average</a:t>
            </a:r>
            <a:r>
              <a:rPr lang="en-GB" baseline="0"/>
              <a:t> speed by technology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'FTTB vs FTTH'!$B$41</c:f>
              <c:strCache>
                <c:ptCount val="1"/>
                <c:pt idx="0">
                  <c:v>cable coverage &gt;%50 (AT, BE, DE, DK, NL)</c:v>
                </c:pt>
              </c:strCache>
            </c:strRef>
          </c:tx>
          <c:spPr>
            <a:ln w="28575" cap="rnd">
              <a:solidFill>
                <a:schemeClr val="accent1"/>
              </a:solidFill>
              <a:round/>
            </a:ln>
            <a:effectLst/>
          </c:spPr>
          <c:marker>
            <c:symbol val="none"/>
          </c:marker>
          <c:cat>
            <c:numRef>
              <c:f>'FTTB vs FTTH'!$C$40:$H$40</c:f>
              <c:numCache>
                <c:formatCode>General</c:formatCode>
                <c:ptCount val="6"/>
                <c:pt idx="0">
                  <c:v>2019</c:v>
                </c:pt>
                <c:pt idx="1">
                  <c:v>2020</c:v>
                </c:pt>
                <c:pt idx="2">
                  <c:v>2021</c:v>
                </c:pt>
                <c:pt idx="3">
                  <c:v>2022</c:v>
                </c:pt>
                <c:pt idx="4">
                  <c:v>2023</c:v>
                </c:pt>
                <c:pt idx="5">
                  <c:v>2024</c:v>
                </c:pt>
              </c:numCache>
            </c:numRef>
          </c:cat>
          <c:val>
            <c:numRef>
              <c:f>'FTTB vs FTTH'!$C$41:$H$41</c:f>
              <c:numCache>
                <c:formatCode>0.00</c:formatCode>
                <c:ptCount val="6"/>
                <c:pt idx="0">
                  <c:v>75.722000000000008</c:v>
                </c:pt>
                <c:pt idx="1">
                  <c:v>97.426000000000002</c:v>
                </c:pt>
                <c:pt idx="2">
                  <c:v>133.69800000000001</c:v>
                </c:pt>
                <c:pt idx="3">
                  <c:v>132.89600000000002</c:v>
                </c:pt>
                <c:pt idx="4">
                  <c:v>177.97199999999998</c:v>
                </c:pt>
                <c:pt idx="5">
                  <c:v>191.64799999999997</c:v>
                </c:pt>
              </c:numCache>
            </c:numRef>
          </c:val>
          <c:smooth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0-B8F3-4198-B378-39568A05F393}"/>
            </c:ext>
          </c:extLst>
        </c:ser>
        <c:ser>
          <c:idx val="1"/>
          <c:order val="1"/>
          <c:tx>
            <c:strRef>
              <c:f>'FTTB vs FTTH'!$B$42</c:f>
              <c:strCache>
                <c:ptCount val="1"/>
                <c:pt idx="0">
                  <c:v>High fibre coverage (EE, ES, FR, IE, LT, LU, NL, PL, PT, RO, SE)</c:v>
                </c:pt>
              </c:strCache>
            </c:strRef>
          </c:tx>
          <c:spPr>
            <a:ln w="28575" cap="rnd">
              <a:solidFill>
                <a:schemeClr val="accent2"/>
              </a:solidFill>
              <a:round/>
            </a:ln>
            <a:effectLst/>
          </c:spPr>
          <c:marker>
            <c:symbol val="none"/>
          </c:marker>
          <c:cat>
            <c:numRef>
              <c:f>'FTTB vs FTTH'!$C$40:$H$40</c:f>
              <c:numCache>
                <c:formatCode>General</c:formatCode>
                <c:ptCount val="6"/>
                <c:pt idx="0">
                  <c:v>2019</c:v>
                </c:pt>
                <c:pt idx="1">
                  <c:v>2020</c:v>
                </c:pt>
                <c:pt idx="2">
                  <c:v>2021</c:v>
                </c:pt>
                <c:pt idx="3">
                  <c:v>2022</c:v>
                </c:pt>
                <c:pt idx="4">
                  <c:v>2023</c:v>
                </c:pt>
                <c:pt idx="5">
                  <c:v>2024</c:v>
                </c:pt>
              </c:numCache>
            </c:numRef>
          </c:cat>
          <c:val>
            <c:numRef>
              <c:f>'FTTB vs FTTH'!$C$42:$H$42</c:f>
              <c:numCache>
                <c:formatCode>0.00</c:formatCode>
                <c:ptCount val="6"/>
                <c:pt idx="0">
                  <c:v>83.00363636363636</c:v>
                </c:pt>
                <c:pt idx="1">
                  <c:v>106.72000000000001</c:v>
                </c:pt>
                <c:pt idx="2">
                  <c:v>157.40181818181819</c:v>
                </c:pt>
                <c:pt idx="3">
                  <c:v>152.38909090909092</c:v>
                </c:pt>
                <c:pt idx="4">
                  <c:v>204.12545454545455</c:v>
                </c:pt>
                <c:pt idx="5">
                  <c:v>218.87181818181818</c:v>
                </c:pt>
              </c:numCache>
            </c:numRef>
          </c:val>
          <c:smooth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B8F3-4198-B378-39568A05F393}"/>
            </c:ext>
          </c:extLst>
        </c:ser>
        <c:ser>
          <c:idx val="2"/>
          <c:order val="2"/>
          <c:tx>
            <c:strRef>
              <c:f>'FTTB vs FTTH'!$B$43</c:f>
              <c:strCache>
                <c:ptCount val="1"/>
                <c:pt idx="0">
                  <c:v>High share of VDSL (CZ, DE, EL, LT)</c:v>
                </c:pt>
              </c:strCache>
            </c:strRef>
          </c:tx>
          <c:spPr>
            <a:ln w="28575" cap="rnd">
              <a:solidFill>
                <a:srgbClr val="C00000"/>
              </a:solidFill>
              <a:round/>
            </a:ln>
            <a:effectLst/>
          </c:spPr>
          <c:marker>
            <c:symbol val="none"/>
          </c:marker>
          <c:cat>
            <c:numRef>
              <c:f>'FTTB vs FTTH'!$C$40:$H$40</c:f>
              <c:numCache>
                <c:formatCode>General</c:formatCode>
                <c:ptCount val="6"/>
                <c:pt idx="0">
                  <c:v>2019</c:v>
                </c:pt>
                <c:pt idx="1">
                  <c:v>2020</c:v>
                </c:pt>
                <c:pt idx="2">
                  <c:v>2021</c:v>
                </c:pt>
                <c:pt idx="3">
                  <c:v>2022</c:v>
                </c:pt>
                <c:pt idx="4">
                  <c:v>2023</c:v>
                </c:pt>
                <c:pt idx="5">
                  <c:v>2024</c:v>
                </c:pt>
              </c:numCache>
            </c:numRef>
          </c:cat>
          <c:val>
            <c:numRef>
              <c:f>'FTTB vs FTTH'!$C$43:$H$43</c:f>
              <c:numCache>
                <c:formatCode>0.00</c:formatCode>
                <c:ptCount val="6"/>
                <c:pt idx="0">
                  <c:v>58.423333333333339</c:v>
                </c:pt>
                <c:pt idx="1">
                  <c:v>71.418888888888901</c:v>
                </c:pt>
                <c:pt idx="2">
                  <c:v>110.71111111111109</c:v>
                </c:pt>
                <c:pt idx="3">
                  <c:v>108.00222222222222</c:v>
                </c:pt>
                <c:pt idx="4">
                  <c:v>144.1888888888889</c:v>
                </c:pt>
                <c:pt idx="5">
                  <c:v>152.95666666666668</c:v>
                </c:pt>
              </c:numCache>
            </c:numRef>
          </c:val>
          <c:smooth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2-B8F3-4198-B378-39568A05F393}"/>
            </c:ext>
          </c:extLst>
        </c:ser>
        <c:dLbls>
          <c:showLegendKey val="0"/>
          <c:showVal val="0"/>
          <c:showCatName val="0"/>
          <c:showSerName val="0"/>
          <c:showPercent val="0"/>
          <c:showBubbleSize val="0"/>
        </c:dLbls>
        <c:smooth val="0"/>
        <c:axId val="1054994239"/>
        <c:axId val="1555618399"/>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02D57815-91ED-43cb-92C2-25804820EDAC}">
            <c15:filteredLineSeries>
              <c15:ser>
                <c:idx val="3"/>
                <c:order val="3"/>
                <c:tx>
                  <c:strRef>
                    <c:extLst xmlns:mc="http://schemas.openxmlformats.org/markup-compatibility/2006" xmlns:c14="http://schemas.microsoft.com/office/drawing/2007/8/2/chart" xmlns:c16="http://schemas.microsoft.com/office/drawing/2014/chart" xmlns:c16r3="http://schemas.microsoft.com/office/drawing/2017/03/chart">
                      <c:ext uri="{02D57815-91ED-43cb-92C2-25804820EDAC}">
                        <c15:formulaRef>
                          <c15:sqref>'FTTB vs FTTH'!$B$44</c15:sqref>
                        </c15:formulaRef>
                      </c:ext>
                    </c:extLst>
                    <c:strCache>
                      <c:ptCount val="1"/>
                      <c:pt idx="0">
                        <c:v>High share of VDSL (CZ, DE, LT)</c:v>
                      </c:pt>
                    </c:strCache>
                  </c:strRef>
                </c:tx>
                <c:spPr>
                  <a:ln w="28575" cap="rnd">
                    <a:solidFill>
                      <a:schemeClr val="accent4"/>
                    </a:solidFill>
                    <a:round/>
                  </a:ln>
                  <a:effectLst/>
                </c:spPr>
                <c:marker>
                  <c:symbol val="none"/>
                </c:marker>
                <c:cat>
                  <c:numRef>
                    <c:extLst xmlns:mc="http://schemas.openxmlformats.org/markup-compatibility/2006" xmlns:c14="http://schemas.microsoft.com/office/drawing/2007/8/2/chart" xmlns:c16="http://schemas.microsoft.com/office/drawing/2014/chart" xmlns:c16r3="http://schemas.microsoft.com/office/drawing/2017/03/chart">
                      <c:ext uri="{02D57815-91ED-43cb-92C2-25804820EDAC}">
                        <c15:formulaRef>
                          <c15:sqref>'FTTB vs FTTH'!$C$40:$H$40</c15:sqref>
                        </c15:formulaRef>
                      </c:ext>
                    </c:extLst>
                    <c:numCache>
                      <c:formatCode>General</c:formatCode>
                      <c:ptCount val="6"/>
                      <c:pt idx="0">
                        <c:v>2019</c:v>
                      </c:pt>
                      <c:pt idx="1">
                        <c:v>2020</c:v>
                      </c:pt>
                      <c:pt idx="2">
                        <c:v>2021</c:v>
                      </c:pt>
                      <c:pt idx="3">
                        <c:v>2022</c:v>
                      </c:pt>
                      <c:pt idx="4">
                        <c:v>2023</c:v>
                      </c:pt>
                      <c:pt idx="5">
                        <c:v>2024</c:v>
                      </c:pt>
                    </c:numCache>
                  </c:numRef>
                </c:cat>
                <c:val>
                  <c:numRef>
                    <c:extLst xmlns:mc="http://schemas.openxmlformats.org/markup-compatibility/2006" xmlns:c14="http://schemas.microsoft.com/office/drawing/2007/8/2/chart" xmlns:c16="http://schemas.microsoft.com/office/drawing/2014/chart" xmlns:c16r3="http://schemas.microsoft.com/office/drawing/2017/03/chart">
                      <c:ext uri="{02D57815-91ED-43cb-92C2-25804820EDAC}">
                        <c15:formulaRef>
                          <c15:sqref>'FTTB vs FTTH'!$C$44:$H$44</c15:sqref>
                        </c15:formulaRef>
                      </c:ext>
                    </c:extLst>
                    <c:numCache>
                      <c:formatCode>0.00</c:formatCode>
                      <c:ptCount val="6"/>
                      <c:pt idx="0">
                        <c:v>58.663333333333334</c:v>
                      </c:pt>
                      <c:pt idx="1">
                        <c:v>74.183333333333337</c:v>
                      </c:pt>
                      <c:pt idx="2">
                        <c:v>106.5</c:v>
                      </c:pt>
                      <c:pt idx="3">
                        <c:v>108.76333333333334</c:v>
                      </c:pt>
                      <c:pt idx="4">
                        <c:v>142.69000000000003</c:v>
                      </c:pt>
                      <c:pt idx="5">
                        <c:v>152.67333333333332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3-B8F3-4198-B378-39568A05F393}"/>
                  </c:ext>
                </c:extLst>
              </c15:ser>
            </c15:filteredLineSeries>
          </c:ext>
        </c:extLst>
      </c:lineChart>
      <c:catAx>
        <c:axId val="1054994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5618399"/>
        <c:crosses val="autoZero"/>
        <c:auto val="1"/>
        <c:lblAlgn val="ctr"/>
        <c:lblOffset val="100"/>
        <c:noMultiLvlLbl val="0"/>
      </c:catAx>
      <c:valAx>
        <c:axId val="1555618399"/>
        <c:scaling>
          <c:orientation val="minMax"/>
          <c:max val="25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4994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Correlation</a:t>
            </a:r>
            <a:r>
              <a:rPr lang="en-US" baseline="0"/>
              <a:t> between 5G Coverage and Avg. Mobile Download Speeds in the EU</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'5G charts'!$C$82</c:f>
              <c:strCache>
                <c:ptCount val="1"/>
                <c:pt idx="0">
                  <c:v>5G coverage (in %)</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'5G charts'!$B$83:$B$107</c:f>
              <c:numCache>
                <c:formatCode>General</c:formatCode>
                <c:ptCount val="25"/>
                <c:pt idx="0">
                  <c:v>232.79</c:v>
                </c:pt>
                <c:pt idx="1">
                  <c:v>202.67</c:v>
                </c:pt>
                <c:pt idx="2">
                  <c:v>172.28</c:v>
                </c:pt>
                <c:pt idx="3">
                  <c:v>147.46</c:v>
                </c:pt>
                <c:pt idx="4">
                  <c:v>145.97999999999999</c:v>
                </c:pt>
                <c:pt idx="5">
                  <c:v>143.62</c:v>
                </c:pt>
                <c:pt idx="6">
                  <c:v>142.03</c:v>
                </c:pt>
                <c:pt idx="7">
                  <c:v>140.26</c:v>
                </c:pt>
                <c:pt idx="8">
                  <c:v>138.02000000000001</c:v>
                </c:pt>
                <c:pt idx="9">
                  <c:v>137.36000000000001</c:v>
                </c:pt>
                <c:pt idx="10">
                  <c:v>134.85</c:v>
                </c:pt>
                <c:pt idx="11">
                  <c:v>130.29</c:v>
                </c:pt>
                <c:pt idx="12">
                  <c:v>129.88</c:v>
                </c:pt>
                <c:pt idx="13">
                  <c:v>128.49</c:v>
                </c:pt>
                <c:pt idx="14">
                  <c:v>117.99</c:v>
                </c:pt>
                <c:pt idx="15">
                  <c:v>113.58</c:v>
                </c:pt>
                <c:pt idx="16">
                  <c:v>104.57</c:v>
                </c:pt>
                <c:pt idx="17">
                  <c:v>103.53</c:v>
                </c:pt>
                <c:pt idx="18">
                  <c:v>102.3</c:v>
                </c:pt>
                <c:pt idx="19">
                  <c:v>99.73</c:v>
                </c:pt>
                <c:pt idx="20">
                  <c:v>89.51</c:v>
                </c:pt>
                <c:pt idx="21">
                  <c:v>78.05</c:v>
                </c:pt>
                <c:pt idx="22">
                  <c:v>75.67</c:v>
                </c:pt>
                <c:pt idx="23">
                  <c:v>75.14</c:v>
                </c:pt>
                <c:pt idx="24">
                  <c:v>63.05</c:v>
                </c:pt>
              </c:numCache>
            </c:numRef>
          </c:xVal>
          <c:yVal>
            <c:numRef>
              <c:f>'5G charts'!$C$83:$C$107</c:f>
              <c:numCache>
                <c:formatCode>0.00</c:formatCode>
                <c:ptCount val="25"/>
                <c:pt idx="0">
                  <c:v>70.900000000000006</c:v>
                </c:pt>
                <c:pt idx="1">
                  <c:v>100</c:v>
                </c:pt>
                <c:pt idx="2">
                  <c:v>100</c:v>
                </c:pt>
                <c:pt idx="3">
                  <c:v>87.5</c:v>
                </c:pt>
                <c:pt idx="4">
                  <c:v>99.6</c:v>
                </c:pt>
                <c:pt idx="5">
                  <c:v>93.2</c:v>
                </c:pt>
                <c:pt idx="6">
                  <c:v>98.3</c:v>
                </c:pt>
                <c:pt idx="7">
                  <c:v>53.1</c:v>
                </c:pt>
                <c:pt idx="8">
                  <c:v>98.1</c:v>
                </c:pt>
                <c:pt idx="9">
                  <c:v>98.9</c:v>
                </c:pt>
                <c:pt idx="10">
                  <c:v>82.1</c:v>
                </c:pt>
                <c:pt idx="11">
                  <c:v>96</c:v>
                </c:pt>
                <c:pt idx="12">
                  <c:v>90.3</c:v>
                </c:pt>
                <c:pt idx="13">
                  <c:v>83.4</c:v>
                </c:pt>
                <c:pt idx="14">
                  <c:v>98.1</c:v>
                </c:pt>
                <c:pt idx="15">
                  <c:v>100</c:v>
                </c:pt>
                <c:pt idx="16">
                  <c:v>79</c:v>
                </c:pt>
                <c:pt idx="17">
                  <c:v>40.4</c:v>
                </c:pt>
                <c:pt idx="18">
                  <c:v>71.900000000000006</c:v>
                </c:pt>
                <c:pt idx="19">
                  <c:v>94.6</c:v>
                </c:pt>
                <c:pt idx="20">
                  <c:v>99.5</c:v>
                </c:pt>
                <c:pt idx="21">
                  <c:v>32.799999999999997</c:v>
                </c:pt>
                <c:pt idx="22">
                  <c:v>98.1</c:v>
                </c:pt>
                <c:pt idx="23">
                  <c:v>92.3</c:v>
                </c:pt>
                <c:pt idx="24">
                  <c:v>85.3</c:v>
                </c:pt>
              </c:numCache>
            </c:numRef>
          </c:y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6361-4A51-BE5A-D45DB1E28EF7}"/>
            </c:ext>
          </c:extLst>
        </c:ser>
        <c:dLbls>
          <c:showLegendKey val="0"/>
          <c:showVal val="0"/>
          <c:showCatName val="0"/>
          <c:showSerName val="0"/>
          <c:showPercent val="0"/>
          <c:showBubbleSize val="0"/>
        </c:dLbls>
        <c:axId val="383908543"/>
        <c:axId val="383904223"/>
      </c:scatterChart>
      <c:valAx>
        <c:axId val="3839085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Average</a:t>
                </a:r>
                <a:r>
                  <a:rPr lang="de-DE" baseline="0"/>
                  <a:t> Mobile download Speeds (Jun-May 2025)</a:t>
                </a:r>
                <a:endParaRPr lang="de-D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3904223"/>
        <c:crosses val="autoZero"/>
        <c:crossBetween val="midCat"/>
      </c:valAx>
      <c:valAx>
        <c:axId val="3839042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5G</a:t>
                </a:r>
                <a:r>
                  <a:rPr lang="de-DE" baseline="0"/>
                  <a:t> Coverage (June 2024)</a:t>
                </a:r>
                <a:endParaRPr lang="de-D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3908543"/>
        <c:crosses val="autoZero"/>
        <c:crossBetween val="midCat"/>
      </c:valAx>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6243F8B8-4151-45CA-9A86-4C8E0D7DAB75}">
    <t:Anchor>
      <t:Comment id="658707248"/>
    </t:Anchor>
    <t:History>
      <t:Event time="2025-11-19T08:31:14.009Z" id="{4CBC2AC2-02F2-421E-ACF5-D551E35E9FC8}">
        <t:Attribution userId="S::gerasimos.sofianatos@ec.europa.eu::d696e18d-d0cf-4fc6-a70b-585e9221ff52" userName="SOFIANATOS Gerasimos (CNECT)" userProvider="AD"/>
        <t:Anchor>
          <t:Comment id="658707248"/>
        </t:Anchor>
        <t:Create/>
      </t:Event>
      <t:Event time="2025-11-19T08:31:14.009Z" id="{9EE3F690-9B71-4DF3-BE2E-6954591A5DA2}">
        <t:Attribution userId="S::gerasimos.sofianatos@ec.europa.eu::d696e18d-d0cf-4fc6-a70b-585e9221ff52" userName="SOFIANATOS Gerasimos (CNECT)" userProvider="AD"/>
        <t:Anchor>
          <t:Comment id="658707248"/>
        </t:Anchor>
        <t:Assign userId="S::Anamarija.JESENKO@ext.ec.europa.eu::35b83f87-5b1e-4e58-9775-6caf46b448b2" userName="JESENKO Anamarija (CNECT-EXT)" userProvider="AD"/>
      </t:Event>
      <t:Event time="2025-11-19T08:31:14.009Z" id="{54E4C5C8-C878-48D6-AB0E-DA721D85C6AC}">
        <t:Attribution userId="S::gerasimos.sofianatos@ec.europa.eu::d696e18d-d0cf-4fc6-a70b-585e9221ff52" userName="SOFIANATOS Gerasimos (CNECT)" userProvider="AD"/>
        <t:Anchor>
          <t:Comment id="658707248"/>
        </t:Anchor>
        <t:SetTitle title="Do we have peer review in option 3? How comes, since we have EU authorisation... @JESENKO Anamarija (CNECT-EX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WIK_Excel_Farbpalette2022">
    <a:dk1>
      <a:srgbClr val="000000"/>
    </a:dk1>
    <a:lt1>
      <a:srgbClr val="FFFFFF"/>
    </a:lt1>
    <a:dk2>
      <a:srgbClr val="1E4E79"/>
    </a:dk2>
    <a:lt2>
      <a:srgbClr val="F2F2F2"/>
    </a:lt2>
    <a:accent1>
      <a:srgbClr val="1E4E79"/>
    </a:accent1>
    <a:accent2>
      <a:srgbClr val="5296D4"/>
    </a:accent2>
    <a:accent3>
      <a:srgbClr val="7B7B7B"/>
    </a:accent3>
    <a:accent4>
      <a:srgbClr val="ADB9CA"/>
    </a:accent4>
    <a:accent5>
      <a:srgbClr val="900000"/>
    </a:accent5>
    <a:accent6>
      <a:srgbClr val="F2F2F2"/>
    </a:accent6>
    <a:hlink>
      <a:srgbClr val="5296D4"/>
    </a:hlink>
    <a:folHlink>
      <a:srgbClr val="FF4040"/>
    </a:folHlink>
  </a:clrScheme>
  <a:fontScheme name="WIK_2022">
    <a:majorFont>
      <a:latin typeface="Arial"/>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U_CNECT_template_colors">
    <a:dk1>
      <a:sysClr val="windowText" lastClr="000000"/>
    </a:dk1>
    <a:lt1>
      <a:sysClr val="window" lastClr="FFFFFF"/>
    </a:lt1>
    <a:dk2>
      <a:srgbClr val="0C4DA2"/>
    </a:dk2>
    <a:lt2>
      <a:srgbClr val="EEECE1"/>
    </a:lt2>
    <a:accent1>
      <a:srgbClr val="E76C53"/>
    </a:accent1>
    <a:accent2>
      <a:srgbClr val="FFC000"/>
    </a:accent2>
    <a:accent3>
      <a:srgbClr val="ED8D2F"/>
    </a:accent3>
    <a:accent4>
      <a:srgbClr val="1EC08A"/>
    </a:accent4>
    <a:accent5>
      <a:srgbClr val="4BC5DE"/>
    </a:accent5>
    <a:accent6>
      <a:srgbClr val="1E858B"/>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b:Source>
    <b:Tag>And15</b:Tag>
    <b:SourceType>JournalArticle</b:SourceType>
    <b:Guid>{876BB7BF-7466-40B9-BB05-B7816C883311}</b:Guid>
    <b:Author>
      <b:Author>
        <b:NameList>
          <b:Person>
            <b:Last>Andrae</b:Last>
            <b:First>Anders</b:First>
            <b:Middle>S. G.</b:Middle>
          </b:Person>
          <b:Person>
            <b:Last>Edler</b:Last>
            <b:First>Tomas</b:First>
          </b:Person>
        </b:NameList>
      </b:Author>
    </b:Author>
    <b:Title>On Global Electricity Usage of Communication Technology: Trends to 2030</b:Title>
    <b:JournalName>Challenges</b:JournalName>
    <b:Year>2015</b:Year>
    <b:Pages>117-157</b:Pages>
    <b:Volume>6</b:Volume>
    <b:RefOrder>7</b:RefOrder>
  </b:Source>
  <b:Source>
    <b:Tag>Phi19</b:Tag>
    <b:SourceType>Report</b:SourceType>
    <b:Guid>{98D6B7CC-E8AA-47D3-BCE9-A8B6725249F0}</b:Guid>
    <b:Title>Curtailing carbon emissions - can 5G help?</b:Title>
    <b:Year>2019</b:Year>
    <b:Author>
      <b:Author>
        <b:NameList>
          <b:Person>
            <b:Last>Laidler</b:Last>
            <b:First>Philip</b:First>
          </b:Person>
        </b:NameList>
      </b:Author>
    </b:Author>
    <b:Publisher>STL Partners</b:Publisher>
    <b:RefOrder>8</b:RefOrder>
  </b:Source>
  <b:Source>
    <b:Tag>Sla11</b:Tag>
    <b:SourceType>JournalArticle</b:SourceType>
    <b:Guid>{935FFC7B-F8C6-439D-AC83-BFFDD9606EDF}</b:Guid>
    <b:Author>
      <b:Author>
        <b:NameList>
          <b:Person>
            <b:Last>Aleksic</b:Last>
            <b:First>Slavisa</b:First>
          </b:Person>
          <b:Person>
            <b:Last>Lovric</b:Last>
            <b:First>Ana</b:First>
          </b:Person>
        </b:NameList>
      </b:Author>
    </b:Author>
    <b:Title>Energy Consumption and Environmental Implications of Wired Access Networks</b:Title>
    <b:JournalName>American J. of Engineering and Applied Sciences</b:JournalName>
    <b:Year>2011</b:Year>
    <b:Pages>531-539</b:Pages>
    <b:Volume>4</b:Volume>
    <b:Issue>4</b:Issue>
    <b:RefOrder>1</b:RefOrder>
  </b:Source>
  <b:Source>
    <b:Tag>Jay11</b:Tag>
    <b:SourceType>JournalArticle</b:SourceType>
    <b:Guid>{065A1207-6119-4757-9852-EE53AA5274FE}</b:Guid>
    <b:Author>
      <b:Author>
        <b:NameList>
          <b:Person>
            <b:Last>Baliga</b:Last>
            <b:First>Jayant</b:First>
          </b:Person>
          <b:Person>
            <b:Last>Ayre</b:Last>
            <b:First>Robert</b:First>
          </b:Person>
          <b:Person>
            <b:Last>Hinton</b:Last>
            <b:First>Kerry</b:First>
          </b:Person>
          <b:Person>
            <b:Last>Tucker</b:Last>
            <b:First>Rodney</b:First>
            <b:Middle>S.</b:Middle>
          </b:Person>
        </b:NameList>
      </b:Author>
    </b:Author>
    <b:Title>Energy Consumption in Wired and Wireless Access Networks</b:Title>
    <b:JournalName>IEEE Communications Magazine</b:JournalName>
    <b:Year>2011</b:Year>
    <b:Pages>70-77</b:Pages>
    <b:RefOrder>2</b:RefOrder>
  </b:Source>
  <b:Source>
    <b:Tag>Kri20</b:Tag>
    <b:SourceType>Report</b:SourceType>
    <b:Guid>{4FED29B1-994F-4205-AEF0-E37535348725}</b:Guid>
    <b:Title>Nachhaltigkeitsvergleich der Zugangsnetz-Technologien FTTC und FTTH</b:Title>
    <b:Year>2020</b:Year>
    <b:Author>
      <b:Author>
        <b:NameList>
          <b:Person>
            <b:Last>Obermann</b:Last>
            <b:First>Kristof</b:First>
          </b:Person>
        </b:NameList>
      </b:Author>
    </b:Author>
    <b:Publisher>Technische Hochschule Mittelhessen</b:Publisher>
    <b:RefOrder>3</b:RefOrder>
  </b:Source>
  <b:Source>
    <b:Tag>Ste21</b:Tag>
    <b:SourceType>Report</b:SourceType>
    <b:Guid>{D48AB8EC-7374-4BAE-9AE1-55DC6F51B874}</b:Guid>
    <b:Title>Energy consumption of telecommunications access networks</b:Title>
    <b:Year>2021</b:Year>
    <b:Author>
      <b:Author>
        <b:NameList>
          <b:Person>
            <b:Last>Breide</b:Last>
            <b:First>Stephan</b:First>
          </b:Person>
          <b:Person>
            <b:Last>Helleberg</b:Last>
            <b:First>Sebastian</b:First>
          </b:Person>
          <b:Person>
            <b:Last>Schindler</b:Last>
            <b:First>Jan</b:First>
          </b:Person>
          <b:Person>
            <b:Last>Wassmuth</b:Last>
            <b:First>Andreas</b:First>
          </b:Person>
        </b:NameList>
      </b:Author>
    </b:Author>
    <b:Publisher>Prysmian Group</b:Publisher>
    <b:RefOrder>4</b:RefOrder>
  </b:Source>
  <b:Source>
    <b:Tag>Gia10</b:Tag>
    <b:SourceType>JournalArticle</b:SourceType>
    <b:Guid>{17BE8F93-5748-4DD5-8270-1543959C1F81}</b:Guid>
    <b:Title>Carbon Footprint of Next Generation Fixed Networks</b:Title>
    <b:Year>2010</b:Year>
    <b:Author>
      <b:Author>
        <b:NameList>
          <b:Person>
            <b:Last>Griffa</b:Last>
            <b:First>Gianluca</b:First>
          </b:Person>
          <b:Person>
            <b:Last>Radice</b:Last>
            <b:First>Lorenzo</b:First>
          </b:Person>
          <b:Person>
            <b:Last>Bianco</b:Last>
            <b:First>Claudio</b:First>
          </b:Person>
          <b:Person>
            <b:Last>Andrae</b:Last>
            <b:First>Anders</b:First>
          </b:Person>
          <b:Person>
            <b:Last>Bin</b:Last>
            <b:First>Zhu</b:First>
          </b:Person>
          <b:Person>
            <b:Last>Dong</b:Last>
            <b:First>Han</b:First>
          </b:Person>
          <b:Person>
            <b:Last>Gemma</b:Last>
            <b:First>Paolo</b:First>
          </b:Person>
          <b:Person>
            <b:Last>Shudong</b:Last>
            <b:First>Luo</b:First>
          </b:Person>
        </b:NameList>
      </b:Author>
    </b:Author>
    <b:JournalName>Intelec 2010</b:JournalName>
    <b:Pages>1-6</b:Pages>
    <b:RefOrder>5</b:RefOrder>
  </b:Source>
  <b:Source>
    <b:Tag>ECJ20</b:Tag>
    <b:SourceType>Report</b:SourceType>
    <b:Guid>{882DBBAA-C33B-4A17-9F8F-5A789BB54ED6}</b:Guid>
    <b:Author>
      <b:Author>
        <b:Corporate>EC JRC</b:Corporate>
      </b:Author>
    </b:Author>
    <b:Title>Code of Conduct on Energy Consumption of Broadband Equipment</b:Title>
    <b:Year>2020</b:Year>
    <b:Publisher>European Commission</b:Publisher>
    <b:RefOrder>6</b:RefOrder>
  </b:Source>
</b:Sources>
</file>

<file path=customXml/itemProps1.xml><?xml version="1.0" encoding="utf-8"?>
<ds:datastoreItem xmlns:ds="http://schemas.openxmlformats.org/officeDocument/2006/customXml" ds:itemID="{91E335CA-8BF9-401B-A88C-5827D775C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3.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 ds:uri="5e3b0e23-edc7-4d68-902a-f7eeae56b19b"/>
  </ds:schemaRefs>
</ds:datastoreItem>
</file>

<file path=customXml/itemProps4.xml><?xml version="1.0" encoding="utf-8"?>
<ds:datastoreItem xmlns:ds="http://schemas.openxmlformats.org/officeDocument/2006/customXml" ds:itemID="{AB9EE4B4-F85E-4D98-BBF8-7942928D3497}">
  <ds:schemaRefs>
    <ds:schemaRef ds:uri="http://schemas.microsoft.com/sharepoint/v3/contenttype/forms"/>
  </ds:schemaRefs>
</ds:datastoreItem>
</file>

<file path=customXml/itemProps5.xml><?xml version="1.0" encoding="utf-8"?>
<ds:datastoreItem xmlns:ds="http://schemas.openxmlformats.org/officeDocument/2006/customXml" ds:itemID="{A9D1164F-CA50-47DA-BAC8-060B1F68C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15</Pages>
  <Words>98078</Words>
  <Characters>559048</Characters>
  <Application>Microsoft Office Word</Application>
  <DocSecurity>0</DocSecurity>
  <Lines>4658</Lines>
  <Paragraphs>1311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655815</CharactersWithSpaces>
  <SharedDoc>false</SharedDoc>
  <HLinks>
    <vt:vector size="1926" baseType="variant">
      <vt:variant>
        <vt:i4>4063277</vt:i4>
      </vt:variant>
      <vt:variant>
        <vt:i4>1533</vt:i4>
      </vt:variant>
      <vt:variant>
        <vt:i4>0</vt:i4>
      </vt:variant>
      <vt:variant>
        <vt:i4>5</vt:i4>
      </vt:variant>
      <vt:variant>
        <vt:lpwstr>https://www.nature.com/articles/s43247-023-01056-1</vt:lpwstr>
      </vt:variant>
      <vt:variant>
        <vt:lpwstr/>
      </vt:variant>
      <vt:variant>
        <vt:i4>5570560</vt:i4>
      </vt:variant>
      <vt:variant>
        <vt:i4>1530</vt:i4>
      </vt:variant>
      <vt:variant>
        <vt:i4>0</vt:i4>
      </vt:variant>
      <vt:variant>
        <vt:i4>5</vt:i4>
      </vt:variant>
      <vt:variant>
        <vt:lpwstr>https://docs.fcc.gov/public/attachments/DOC-411718A1.pdf</vt:lpwstr>
      </vt:variant>
      <vt:variant>
        <vt:lpwstr/>
      </vt:variant>
      <vt:variant>
        <vt:i4>6619177</vt:i4>
      </vt:variant>
      <vt:variant>
        <vt:i4>1527</vt:i4>
      </vt:variant>
      <vt:variant>
        <vt:i4>0</vt:i4>
      </vt:variant>
      <vt:variant>
        <vt:i4>5</vt:i4>
      </vt:variant>
      <vt:variant>
        <vt:lpwstr>https://docs.fcc.gov/public/attachments/DOC-401129A1.pdf?ref=broadbandbreakfast.com;%20</vt:lpwstr>
      </vt:variant>
      <vt:variant>
        <vt:lpwstr/>
      </vt:variant>
      <vt:variant>
        <vt:i4>6094930</vt:i4>
      </vt:variant>
      <vt:variant>
        <vt:i4>1518</vt:i4>
      </vt:variant>
      <vt:variant>
        <vt:i4>0</vt:i4>
      </vt:variant>
      <vt:variant>
        <vt:i4>5</vt:i4>
      </vt:variant>
      <vt:variant>
        <vt:lpwstr>https://digital-strategy.ec.europa.eu/en/library/mobile-and-fixed-broadband-price-europe-2023-insights-european-broadband-market</vt:lpwstr>
      </vt:variant>
      <vt:variant>
        <vt:lpwstr/>
      </vt:variant>
      <vt:variant>
        <vt:i4>6094930</vt:i4>
      </vt:variant>
      <vt:variant>
        <vt:i4>1515</vt:i4>
      </vt:variant>
      <vt:variant>
        <vt:i4>0</vt:i4>
      </vt:variant>
      <vt:variant>
        <vt:i4>5</vt:i4>
      </vt:variant>
      <vt:variant>
        <vt:lpwstr>https://digital-strategy.ec.europa.eu/en/library/mobile-and-fixed-broadband-price-europe-2023-insights-european-broadband-market</vt:lpwstr>
      </vt:variant>
      <vt:variant>
        <vt:lpwstr/>
      </vt:variant>
      <vt:variant>
        <vt:i4>6094930</vt:i4>
      </vt:variant>
      <vt:variant>
        <vt:i4>1512</vt:i4>
      </vt:variant>
      <vt:variant>
        <vt:i4>0</vt:i4>
      </vt:variant>
      <vt:variant>
        <vt:i4>5</vt:i4>
      </vt:variant>
      <vt:variant>
        <vt:lpwstr>https://digital-strategy.ec.europa.eu/en/library/mobile-and-fixed-broadband-price-europe-2023-insights-european-broadband-market</vt:lpwstr>
      </vt:variant>
      <vt:variant>
        <vt:lpwstr/>
      </vt:variant>
      <vt:variant>
        <vt:i4>6160489</vt:i4>
      </vt:variant>
      <vt:variant>
        <vt:i4>1509</vt:i4>
      </vt:variant>
      <vt:variant>
        <vt:i4>0</vt:i4>
      </vt:variant>
      <vt:variant>
        <vt:i4>5</vt:i4>
      </vt:variant>
      <vt:variant>
        <vt:lpwstr>https://www.rtr.at/TKP/aktuelles/veranstaltungen/veranstaltungen/veranstaltungen_2024/ 11122024/oekologische-effekte-des-glasfaserausbaus.de.html</vt:lpwstr>
      </vt:variant>
      <vt:variant>
        <vt:lpwstr/>
      </vt:variant>
      <vt:variant>
        <vt:i4>3539045</vt:i4>
      </vt:variant>
      <vt:variant>
        <vt:i4>1506</vt:i4>
      </vt:variant>
      <vt:variant>
        <vt:i4>0</vt:i4>
      </vt:variant>
      <vt:variant>
        <vt:i4>5</vt:i4>
      </vt:variant>
      <vt:variant>
        <vt:lpwstr>https://www.kratosspace.com/constellations/articles/the-recent-vodafone-three-merger-suggests-that-most-europeans-may-soon-have-three-mnos-per-country</vt:lpwstr>
      </vt:variant>
      <vt:variant>
        <vt:lpwstr/>
      </vt:variant>
      <vt:variant>
        <vt:i4>262201</vt:i4>
      </vt:variant>
      <vt:variant>
        <vt:i4>1503</vt:i4>
      </vt:variant>
      <vt:variant>
        <vt:i4>0</vt:i4>
      </vt:variant>
      <vt:variant>
        <vt:i4>5</vt:i4>
      </vt:variant>
      <vt:variant>
        <vt:lpwstr>https://www.gsma.com/spectrum/wp-content/uploads/2025/05/GSMA_Global_Spectrum-Pricing_2025.05.15.pdf</vt:lpwstr>
      </vt:variant>
      <vt:variant>
        <vt:lpwstr/>
      </vt:variant>
      <vt:variant>
        <vt:i4>1638466</vt:i4>
      </vt:variant>
      <vt:variant>
        <vt:i4>1500</vt:i4>
      </vt:variant>
      <vt:variant>
        <vt:i4>0</vt:i4>
      </vt:variant>
      <vt:variant>
        <vt:i4>5</vt:i4>
      </vt:variant>
      <vt:variant>
        <vt:lpwstr>https://op.europa.eu/en/publication-detail/-/publication/7997aa72-d865-11e9-9c4e-01aa75ed71a1/language-en</vt:lpwstr>
      </vt:variant>
      <vt:variant>
        <vt:lpwstr/>
      </vt:variant>
      <vt:variant>
        <vt:i4>1507344</vt:i4>
      </vt:variant>
      <vt:variant>
        <vt:i4>1497</vt:i4>
      </vt:variant>
      <vt:variant>
        <vt:i4>0</vt:i4>
      </vt:variant>
      <vt:variant>
        <vt:i4>5</vt:i4>
      </vt:variant>
      <vt:variant>
        <vt:lpwstr>https://op.europa.eu/en/publication-detail/-/publication/5c28e25b-41b3-11f0-b9f2-01aa75ed71a1/language-en</vt:lpwstr>
      </vt:variant>
      <vt:variant>
        <vt:lpwstr/>
      </vt:variant>
      <vt:variant>
        <vt:i4>4325391</vt:i4>
      </vt:variant>
      <vt:variant>
        <vt:i4>1413</vt:i4>
      </vt:variant>
      <vt:variant>
        <vt:i4>0</vt:i4>
      </vt:variant>
      <vt:variant>
        <vt:i4>5</vt:i4>
      </vt:variant>
      <vt:variant>
        <vt:lpwstr>https://www.opensignal.com/2020/10/21/5g-users-on-average-consume-up-to-27x-more-mobile-data-compared-to-4g-users</vt:lpwstr>
      </vt:variant>
      <vt:variant>
        <vt:lpwstr/>
      </vt:variant>
      <vt:variant>
        <vt:i4>4849685</vt:i4>
      </vt:variant>
      <vt:variant>
        <vt:i4>1392</vt:i4>
      </vt:variant>
      <vt:variant>
        <vt:i4>0</vt:i4>
      </vt:variant>
      <vt:variant>
        <vt:i4>5</vt:i4>
      </vt:variant>
      <vt:variant>
        <vt:lpwstr>https://www.speedtest.net/global-index</vt:lpwstr>
      </vt:variant>
      <vt:variant>
        <vt:lpwstr>mobile</vt:lpwstr>
      </vt:variant>
      <vt:variant>
        <vt:i4>4849740</vt:i4>
      </vt:variant>
      <vt:variant>
        <vt:i4>1293</vt:i4>
      </vt:variant>
      <vt:variant>
        <vt:i4>0</vt:i4>
      </vt:variant>
      <vt:variant>
        <vt:i4>5</vt:i4>
      </vt:variant>
      <vt:variant>
        <vt:lpwstr>https://www.ericsson.com/49e9b6/assets/local/reports-papers/mobility-report/documents/2025/ericsson-mobility-report-june-2025.pdf</vt:lpwstr>
      </vt:variant>
      <vt:variant>
        <vt:lpwstr/>
      </vt:variant>
      <vt:variant>
        <vt:i4>2621544</vt:i4>
      </vt:variant>
      <vt:variant>
        <vt:i4>948</vt:i4>
      </vt:variant>
      <vt:variant>
        <vt:i4>0</vt:i4>
      </vt:variant>
      <vt:variant>
        <vt:i4>5</vt:i4>
      </vt:variant>
      <vt:variant>
        <vt:lpwstr>https://www.opensignal.com/2023/10/12/european-markets-show-significant-disparity-in-broadband-user-experience</vt:lpwstr>
      </vt:variant>
      <vt:variant>
        <vt:lpwstr/>
      </vt:variant>
      <vt:variant>
        <vt:i4>7209014</vt:i4>
      </vt:variant>
      <vt:variant>
        <vt:i4>891</vt:i4>
      </vt:variant>
      <vt:variant>
        <vt:i4>0</vt:i4>
      </vt:variant>
      <vt:variant>
        <vt:i4>5</vt:i4>
      </vt:variant>
      <vt:variant>
        <vt:lpwstr>https://digital-decade-desi.digital-strategy.ec.europa.eu/s/dbXJPLz04nqNw/</vt:lpwstr>
      </vt:variant>
      <vt:variant>
        <vt:lpwstr/>
      </vt:variant>
      <vt:variant>
        <vt:i4>262231</vt:i4>
      </vt:variant>
      <vt:variant>
        <vt:i4>849</vt:i4>
      </vt:variant>
      <vt:variant>
        <vt:i4>0</vt:i4>
      </vt:variant>
      <vt:variant>
        <vt:i4>5</vt:i4>
      </vt:variant>
      <vt:variant>
        <vt:lpwstr>https://digital-strategy.ec.europa.eu/en/library/results-exploratory-consultation-future-electronic-communications-sector-and-its-infrastructure</vt:lpwstr>
      </vt:variant>
      <vt:variant>
        <vt:lpwstr/>
      </vt:variant>
      <vt:variant>
        <vt:i4>1179701</vt:i4>
      </vt:variant>
      <vt:variant>
        <vt:i4>842</vt:i4>
      </vt:variant>
      <vt:variant>
        <vt:i4>0</vt:i4>
      </vt:variant>
      <vt:variant>
        <vt:i4>5</vt:i4>
      </vt:variant>
      <vt:variant>
        <vt:lpwstr/>
      </vt:variant>
      <vt:variant>
        <vt:lpwstr>_Toc218864980</vt:lpwstr>
      </vt:variant>
      <vt:variant>
        <vt:i4>1900597</vt:i4>
      </vt:variant>
      <vt:variant>
        <vt:i4>836</vt:i4>
      </vt:variant>
      <vt:variant>
        <vt:i4>0</vt:i4>
      </vt:variant>
      <vt:variant>
        <vt:i4>5</vt:i4>
      </vt:variant>
      <vt:variant>
        <vt:lpwstr/>
      </vt:variant>
      <vt:variant>
        <vt:lpwstr>_Toc218864979</vt:lpwstr>
      </vt:variant>
      <vt:variant>
        <vt:i4>1900597</vt:i4>
      </vt:variant>
      <vt:variant>
        <vt:i4>830</vt:i4>
      </vt:variant>
      <vt:variant>
        <vt:i4>0</vt:i4>
      </vt:variant>
      <vt:variant>
        <vt:i4>5</vt:i4>
      </vt:variant>
      <vt:variant>
        <vt:lpwstr/>
      </vt:variant>
      <vt:variant>
        <vt:lpwstr>_Toc218864978</vt:lpwstr>
      </vt:variant>
      <vt:variant>
        <vt:i4>1900597</vt:i4>
      </vt:variant>
      <vt:variant>
        <vt:i4>824</vt:i4>
      </vt:variant>
      <vt:variant>
        <vt:i4>0</vt:i4>
      </vt:variant>
      <vt:variant>
        <vt:i4>5</vt:i4>
      </vt:variant>
      <vt:variant>
        <vt:lpwstr/>
      </vt:variant>
      <vt:variant>
        <vt:lpwstr>_Toc218864977</vt:lpwstr>
      </vt:variant>
      <vt:variant>
        <vt:i4>1900597</vt:i4>
      </vt:variant>
      <vt:variant>
        <vt:i4>818</vt:i4>
      </vt:variant>
      <vt:variant>
        <vt:i4>0</vt:i4>
      </vt:variant>
      <vt:variant>
        <vt:i4>5</vt:i4>
      </vt:variant>
      <vt:variant>
        <vt:lpwstr/>
      </vt:variant>
      <vt:variant>
        <vt:lpwstr>_Toc218864976</vt:lpwstr>
      </vt:variant>
      <vt:variant>
        <vt:i4>1900597</vt:i4>
      </vt:variant>
      <vt:variant>
        <vt:i4>812</vt:i4>
      </vt:variant>
      <vt:variant>
        <vt:i4>0</vt:i4>
      </vt:variant>
      <vt:variant>
        <vt:i4>5</vt:i4>
      </vt:variant>
      <vt:variant>
        <vt:lpwstr/>
      </vt:variant>
      <vt:variant>
        <vt:lpwstr>_Toc218864975</vt:lpwstr>
      </vt:variant>
      <vt:variant>
        <vt:i4>1900597</vt:i4>
      </vt:variant>
      <vt:variant>
        <vt:i4>806</vt:i4>
      </vt:variant>
      <vt:variant>
        <vt:i4>0</vt:i4>
      </vt:variant>
      <vt:variant>
        <vt:i4>5</vt:i4>
      </vt:variant>
      <vt:variant>
        <vt:lpwstr/>
      </vt:variant>
      <vt:variant>
        <vt:lpwstr>_Toc218864974</vt:lpwstr>
      </vt:variant>
      <vt:variant>
        <vt:i4>1900597</vt:i4>
      </vt:variant>
      <vt:variant>
        <vt:i4>800</vt:i4>
      </vt:variant>
      <vt:variant>
        <vt:i4>0</vt:i4>
      </vt:variant>
      <vt:variant>
        <vt:i4>5</vt:i4>
      </vt:variant>
      <vt:variant>
        <vt:lpwstr/>
      </vt:variant>
      <vt:variant>
        <vt:lpwstr>_Toc218864973</vt:lpwstr>
      </vt:variant>
      <vt:variant>
        <vt:i4>1900597</vt:i4>
      </vt:variant>
      <vt:variant>
        <vt:i4>794</vt:i4>
      </vt:variant>
      <vt:variant>
        <vt:i4>0</vt:i4>
      </vt:variant>
      <vt:variant>
        <vt:i4>5</vt:i4>
      </vt:variant>
      <vt:variant>
        <vt:lpwstr/>
      </vt:variant>
      <vt:variant>
        <vt:lpwstr>_Toc218864972</vt:lpwstr>
      </vt:variant>
      <vt:variant>
        <vt:i4>1900597</vt:i4>
      </vt:variant>
      <vt:variant>
        <vt:i4>788</vt:i4>
      </vt:variant>
      <vt:variant>
        <vt:i4>0</vt:i4>
      </vt:variant>
      <vt:variant>
        <vt:i4>5</vt:i4>
      </vt:variant>
      <vt:variant>
        <vt:lpwstr/>
      </vt:variant>
      <vt:variant>
        <vt:lpwstr>_Toc218864971</vt:lpwstr>
      </vt:variant>
      <vt:variant>
        <vt:i4>1900597</vt:i4>
      </vt:variant>
      <vt:variant>
        <vt:i4>782</vt:i4>
      </vt:variant>
      <vt:variant>
        <vt:i4>0</vt:i4>
      </vt:variant>
      <vt:variant>
        <vt:i4>5</vt:i4>
      </vt:variant>
      <vt:variant>
        <vt:lpwstr/>
      </vt:variant>
      <vt:variant>
        <vt:lpwstr>_Toc218864970</vt:lpwstr>
      </vt:variant>
      <vt:variant>
        <vt:i4>1835061</vt:i4>
      </vt:variant>
      <vt:variant>
        <vt:i4>776</vt:i4>
      </vt:variant>
      <vt:variant>
        <vt:i4>0</vt:i4>
      </vt:variant>
      <vt:variant>
        <vt:i4>5</vt:i4>
      </vt:variant>
      <vt:variant>
        <vt:lpwstr/>
      </vt:variant>
      <vt:variant>
        <vt:lpwstr>_Toc218864969</vt:lpwstr>
      </vt:variant>
      <vt:variant>
        <vt:i4>1835061</vt:i4>
      </vt:variant>
      <vt:variant>
        <vt:i4>770</vt:i4>
      </vt:variant>
      <vt:variant>
        <vt:i4>0</vt:i4>
      </vt:variant>
      <vt:variant>
        <vt:i4>5</vt:i4>
      </vt:variant>
      <vt:variant>
        <vt:lpwstr/>
      </vt:variant>
      <vt:variant>
        <vt:lpwstr>_Toc218864968</vt:lpwstr>
      </vt:variant>
      <vt:variant>
        <vt:i4>1835061</vt:i4>
      </vt:variant>
      <vt:variant>
        <vt:i4>764</vt:i4>
      </vt:variant>
      <vt:variant>
        <vt:i4>0</vt:i4>
      </vt:variant>
      <vt:variant>
        <vt:i4>5</vt:i4>
      </vt:variant>
      <vt:variant>
        <vt:lpwstr/>
      </vt:variant>
      <vt:variant>
        <vt:lpwstr>_Toc218864967</vt:lpwstr>
      </vt:variant>
      <vt:variant>
        <vt:i4>1835061</vt:i4>
      </vt:variant>
      <vt:variant>
        <vt:i4>758</vt:i4>
      </vt:variant>
      <vt:variant>
        <vt:i4>0</vt:i4>
      </vt:variant>
      <vt:variant>
        <vt:i4>5</vt:i4>
      </vt:variant>
      <vt:variant>
        <vt:lpwstr/>
      </vt:variant>
      <vt:variant>
        <vt:lpwstr>_Toc218864966</vt:lpwstr>
      </vt:variant>
      <vt:variant>
        <vt:i4>1835061</vt:i4>
      </vt:variant>
      <vt:variant>
        <vt:i4>752</vt:i4>
      </vt:variant>
      <vt:variant>
        <vt:i4>0</vt:i4>
      </vt:variant>
      <vt:variant>
        <vt:i4>5</vt:i4>
      </vt:variant>
      <vt:variant>
        <vt:lpwstr/>
      </vt:variant>
      <vt:variant>
        <vt:lpwstr>_Toc218864965</vt:lpwstr>
      </vt:variant>
      <vt:variant>
        <vt:i4>1835061</vt:i4>
      </vt:variant>
      <vt:variant>
        <vt:i4>746</vt:i4>
      </vt:variant>
      <vt:variant>
        <vt:i4>0</vt:i4>
      </vt:variant>
      <vt:variant>
        <vt:i4>5</vt:i4>
      </vt:variant>
      <vt:variant>
        <vt:lpwstr/>
      </vt:variant>
      <vt:variant>
        <vt:lpwstr>_Toc218864964</vt:lpwstr>
      </vt:variant>
      <vt:variant>
        <vt:i4>1835061</vt:i4>
      </vt:variant>
      <vt:variant>
        <vt:i4>740</vt:i4>
      </vt:variant>
      <vt:variant>
        <vt:i4>0</vt:i4>
      </vt:variant>
      <vt:variant>
        <vt:i4>5</vt:i4>
      </vt:variant>
      <vt:variant>
        <vt:lpwstr/>
      </vt:variant>
      <vt:variant>
        <vt:lpwstr>_Toc218864963</vt:lpwstr>
      </vt:variant>
      <vt:variant>
        <vt:i4>1835061</vt:i4>
      </vt:variant>
      <vt:variant>
        <vt:i4>734</vt:i4>
      </vt:variant>
      <vt:variant>
        <vt:i4>0</vt:i4>
      </vt:variant>
      <vt:variant>
        <vt:i4>5</vt:i4>
      </vt:variant>
      <vt:variant>
        <vt:lpwstr/>
      </vt:variant>
      <vt:variant>
        <vt:lpwstr>_Toc218864962</vt:lpwstr>
      </vt:variant>
      <vt:variant>
        <vt:i4>1835061</vt:i4>
      </vt:variant>
      <vt:variant>
        <vt:i4>728</vt:i4>
      </vt:variant>
      <vt:variant>
        <vt:i4>0</vt:i4>
      </vt:variant>
      <vt:variant>
        <vt:i4>5</vt:i4>
      </vt:variant>
      <vt:variant>
        <vt:lpwstr/>
      </vt:variant>
      <vt:variant>
        <vt:lpwstr>_Toc218864961</vt:lpwstr>
      </vt:variant>
      <vt:variant>
        <vt:i4>1835061</vt:i4>
      </vt:variant>
      <vt:variant>
        <vt:i4>722</vt:i4>
      </vt:variant>
      <vt:variant>
        <vt:i4>0</vt:i4>
      </vt:variant>
      <vt:variant>
        <vt:i4>5</vt:i4>
      </vt:variant>
      <vt:variant>
        <vt:lpwstr/>
      </vt:variant>
      <vt:variant>
        <vt:lpwstr>_Toc218864960</vt:lpwstr>
      </vt:variant>
      <vt:variant>
        <vt:i4>2031669</vt:i4>
      </vt:variant>
      <vt:variant>
        <vt:i4>716</vt:i4>
      </vt:variant>
      <vt:variant>
        <vt:i4>0</vt:i4>
      </vt:variant>
      <vt:variant>
        <vt:i4>5</vt:i4>
      </vt:variant>
      <vt:variant>
        <vt:lpwstr/>
      </vt:variant>
      <vt:variant>
        <vt:lpwstr>_Toc218864959</vt:lpwstr>
      </vt:variant>
      <vt:variant>
        <vt:i4>2031669</vt:i4>
      </vt:variant>
      <vt:variant>
        <vt:i4>710</vt:i4>
      </vt:variant>
      <vt:variant>
        <vt:i4>0</vt:i4>
      </vt:variant>
      <vt:variant>
        <vt:i4>5</vt:i4>
      </vt:variant>
      <vt:variant>
        <vt:lpwstr/>
      </vt:variant>
      <vt:variant>
        <vt:lpwstr>_Toc218864958</vt:lpwstr>
      </vt:variant>
      <vt:variant>
        <vt:i4>2031669</vt:i4>
      </vt:variant>
      <vt:variant>
        <vt:i4>704</vt:i4>
      </vt:variant>
      <vt:variant>
        <vt:i4>0</vt:i4>
      </vt:variant>
      <vt:variant>
        <vt:i4>5</vt:i4>
      </vt:variant>
      <vt:variant>
        <vt:lpwstr/>
      </vt:variant>
      <vt:variant>
        <vt:lpwstr>_Toc218864957</vt:lpwstr>
      </vt:variant>
      <vt:variant>
        <vt:i4>2031669</vt:i4>
      </vt:variant>
      <vt:variant>
        <vt:i4>698</vt:i4>
      </vt:variant>
      <vt:variant>
        <vt:i4>0</vt:i4>
      </vt:variant>
      <vt:variant>
        <vt:i4>5</vt:i4>
      </vt:variant>
      <vt:variant>
        <vt:lpwstr/>
      </vt:variant>
      <vt:variant>
        <vt:lpwstr>_Toc218864956</vt:lpwstr>
      </vt:variant>
      <vt:variant>
        <vt:i4>2031669</vt:i4>
      </vt:variant>
      <vt:variant>
        <vt:i4>692</vt:i4>
      </vt:variant>
      <vt:variant>
        <vt:i4>0</vt:i4>
      </vt:variant>
      <vt:variant>
        <vt:i4>5</vt:i4>
      </vt:variant>
      <vt:variant>
        <vt:lpwstr/>
      </vt:variant>
      <vt:variant>
        <vt:lpwstr>_Toc218864955</vt:lpwstr>
      </vt:variant>
      <vt:variant>
        <vt:i4>2031669</vt:i4>
      </vt:variant>
      <vt:variant>
        <vt:i4>686</vt:i4>
      </vt:variant>
      <vt:variant>
        <vt:i4>0</vt:i4>
      </vt:variant>
      <vt:variant>
        <vt:i4>5</vt:i4>
      </vt:variant>
      <vt:variant>
        <vt:lpwstr/>
      </vt:variant>
      <vt:variant>
        <vt:lpwstr>_Toc218864954</vt:lpwstr>
      </vt:variant>
      <vt:variant>
        <vt:i4>2031669</vt:i4>
      </vt:variant>
      <vt:variant>
        <vt:i4>680</vt:i4>
      </vt:variant>
      <vt:variant>
        <vt:i4>0</vt:i4>
      </vt:variant>
      <vt:variant>
        <vt:i4>5</vt:i4>
      </vt:variant>
      <vt:variant>
        <vt:lpwstr/>
      </vt:variant>
      <vt:variant>
        <vt:lpwstr>_Toc218864953</vt:lpwstr>
      </vt:variant>
      <vt:variant>
        <vt:i4>2031669</vt:i4>
      </vt:variant>
      <vt:variant>
        <vt:i4>674</vt:i4>
      </vt:variant>
      <vt:variant>
        <vt:i4>0</vt:i4>
      </vt:variant>
      <vt:variant>
        <vt:i4>5</vt:i4>
      </vt:variant>
      <vt:variant>
        <vt:lpwstr/>
      </vt:variant>
      <vt:variant>
        <vt:lpwstr>_Toc218864952</vt:lpwstr>
      </vt:variant>
      <vt:variant>
        <vt:i4>2031669</vt:i4>
      </vt:variant>
      <vt:variant>
        <vt:i4>668</vt:i4>
      </vt:variant>
      <vt:variant>
        <vt:i4>0</vt:i4>
      </vt:variant>
      <vt:variant>
        <vt:i4>5</vt:i4>
      </vt:variant>
      <vt:variant>
        <vt:lpwstr/>
      </vt:variant>
      <vt:variant>
        <vt:lpwstr>_Toc218864951</vt:lpwstr>
      </vt:variant>
      <vt:variant>
        <vt:i4>2031669</vt:i4>
      </vt:variant>
      <vt:variant>
        <vt:i4>662</vt:i4>
      </vt:variant>
      <vt:variant>
        <vt:i4>0</vt:i4>
      </vt:variant>
      <vt:variant>
        <vt:i4>5</vt:i4>
      </vt:variant>
      <vt:variant>
        <vt:lpwstr/>
      </vt:variant>
      <vt:variant>
        <vt:lpwstr>_Toc218864950</vt:lpwstr>
      </vt:variant>
      <vt:variant>
        <vt:i4>1966133</vt:i4>
      </vt:variant>
      <vt:variant>
        <vt:i4>656</vt:i4>
      </vt:variant>
      <vt:variant>
        <vt:i4>0</vt:i4>
      </vt:variant>
      <vt:variant>
        <vt:i4>5</vt:i4>
      </vt:variant>
      <vt:variant>
        <vt:lpwstr/>
      </vt:variant>
      <vt:variant>
        <vt:lpwstr>_Toc218864949</vt:lpwstr>
      </vt:variant>
      <vt:variant>
        <vt:i4>1966133</vt:i4>
      </vt:variant>
      <vt:variant>
        <vt:i4>650</vt:i4>
      </vt:variant>
      <vt:variant>
        <vt:i4>0</vt:i4>
      </vt:variant>
      <vt:variant>
        <vt:i4>5</vt:i4>
      </vt:variant>
      <vt:variant>
        <vt:lpwstr/>
      </vt:variant>
      <vt:variant>
        <vt:lpwstr>_Toc218864948</vt:lpwstr>
      </vt:variant>
      <vt:variant>
        <vt:i4>1966133</vt:i4>
      </vt:variant>
      <vt:variant>
        <vt:i4>644</vt:i4>
      </vt:variant>
      <vt:variant>
        <vt:i4>0</vt:i4>
      </vt:variant>
      <vt:variant>
        <vt:i4>5</vt:i4>
      </vt:variant>
      <vt:variant>
        <vt:lpwstr/>
      </vt:variant>
      <vt:variant>
        <vt:lpwstr>_Toc218864947</vt:lpwstr>
      </vt:variant>
      <vt:variant>
        <vt:i4>1966133</vt:i4>
      </vt:variant>
      <vt:variant>
        <vt:i4>638</vt:i4>
      </vt:variant>
      <vt:variant>
        <vt:i4>0</vt:i4>
      </vt:variant>
      <vt:variant>
        <vt:i4>5</vt:i4>
      </vt:variant>
      <vt:variant>
        <vt:lpwstr/>
      </vt:variant>
      <vt:variant>
        <vt:lpwstr>_Toc218864946</vt:lpwstr>
      </vt:variant>
      <vt:variant>
        <vt:i4>1966133</vt:i4>
      </vt:variant>
      <vt:variant>
        <vt:i4>632</vt:i4>
      </vt:variant>
      <vt:variant>
        <vt:i4>0</vt:i4>
      </vt:variant>
      <vt:variant>
        <vt:i4>5</vt:i4>
      </vt:variant>
      <vt:variant>
        <vt:lpwstr/>
      </vt:variant>
      <vt:variant>
        <vt:lpwstr>_Toc218864945</vt:lpwstr>
      </vt:variant>
      <vt:variant>
        <vt:i4>1966133</vt:i4>
      </vt:variant>
      <vt:variant>
        <vt:i4>626</vt:i4>
      </vt:variant>
      <vt:variant>
        <vt:i4>0</vt:i4>
      </vt:variant>
      <vt:variant>
        <vt:i4>5</vt:i4>
      </vt:variant>
      <vt:variant>
        <vt:lpwstr/>
      </vt:variant>
      <vt:variant>
        <vt:lpwstr>_Toc218864944</vt:lpwstr>
      </vt:variant>
      <vt:variant>
        <vt:i4>1966133</vt:i4>
      </vt:variant>
      <vt:variant>
        <vt:i4>620</vt:i4>
      </vt:variant>
      <vt:variant>
        <vt:i4>0</vt:i4>
      </vt:variant>
      <vt:variant>
        <vt:i4>5</vt:i4>
      </vt:variant>
      <vt:variant>
        <vt:lpwstr/>
      </vt:variant>
      <vt:variant>
        <vt:lpwstr>_Toc218864943</vt:lpwstr>
      </vt:variant>
      <vt:variant>
        <vt:i4>1966133</vt:i4>
      </vt:variant>
      <vt:variant>
        <vt:i4>614</vt:i4>
      </vt:variant>
      <vt:variant>
        <vt:i4>0</vt:i4>
      </vt:variant>
      <vt:variant>
        <vt:i4>5</vt:i4>
      </vt:variant>
      <vt:variant>
        <vt:lpwstr/>
      </vt:variant>
      <vt:variant>
        <vt:lpwstr>_Toc218864942</vt:lpwstr>
      </vt:variant>
      <vt:variant>
        <vt:i4>1966133</vt:i4>
      </vt:variant>
      <vt:variant>
        <vt:i4>608</vt:i4>
      </vt:variant>
      <vt:variant>
        <vt:i4>0</vt:i4>
      </vt:variant>
      <vt:variant>
        <vt:i4>5</vt:i4>
      </vt:variant>
      <vt:variant>
        <vt:lpwstr/>
      </vt:variant>
      <vt:variant>
        <vt:lpwstr>_Toc218864941</vt:lpwstr>
      </vt:variant>
      <vt:variant>
        <vt:i4>1966133</vt:i4>
      </vt:variant>
      <vt:variant>
        <vt:i4>602</vt:i4>
      </vt:variant>
      <vt:variant>
        <vt:i4>0</vt:i4>
      </vt:variant>
      <vt:variant>
        <vt:i4>5</vt:i4>
      </vt:variant>
      <vt:variant>
        <vt:lpwstr/>
      </vt:variant>
      <vt:variant>
        <vt:lpwstr>_Toc218864940</vt:lpwstr>
      </vt:variant>
      <vt:variant>
        <vt:i4>1638453</vt:i4>
      </vt:variant>
      <vt:variant>
        <vt:i4>596</vt:i4>
      </vt:variant>
      <vt:variant>
        <vt:i4>0</vt:i4>
      </vt:variant>
      <vt:variant>
        <vt:i4>5</vt:i4>
      </vt:variant>
      <vt:variant>
        <vt:lpwstr/>
      </vt:variant>
      <vt:variant>
        <vt:lpwstr>_Toc218864939</vt:lpwstr>
      </vt:variant>
      <vt:variant>
        <vt:i4>1638453</vt:i4>
      </vt:variant>
      <vt:variant>
        <vt:i4>590</vt:i4>
      </vt:variant>
      <vt:variant>
        <vt:i4>0</vt:i4>
      </vt:variant>
      <vt:variant>
        <vt:i4>5</vt:i4>
      </vt:variant>
      <vt:variant>
        <vt:lpwstr/>
      </vt:variant>
      <vt:variant>
        <vt:lpwstr>_Toc218864938</vt:lpwstr>
      </vt:variant>
      <vt:variant>
        <vt:i4>1638453</vt:i4>
      </vt:variant>
      <vt:variant>
        <vt:i4>584</vt:i4>
      </vt:variant>
      <vt:variant>
        <vt:i4>0</vt:i4>
      </vt:variant>
      <vt:variant>
        <vt:i4>5</vt:i4>
      </vt:variant>
      <vt:variant>
        <vt:lpwstr/>
      </vt:variant>
      <vt:variant>
        <vt:lpwstr>_Toc218864937</vt:lpwstr>
      </vt:variant>
      <vt:variant>
        <vt:i4>1638453</vt:i4>
      </vt:variant>
      <vt:variant>
        <vt:i4>578</vt:i4>
      </vt:variant>
      <vt:variant>
        <vt:i4>0</vt:i4>
      </vt:variant>
      <vt:variant>
        <vt:i4>5</vt:i4>
      </vt:variant>
      <vt:variant>
        <vt:lpwstr/>
      </vt:variant>
      <vt:variant>
        <vt:lpwstr>_Toc218864936</vt:lpwstr>
      </vt:variant>
      <vt:variant>
        <vt:i4>1638453</vt:i4>
      </vt:variant>
      <vt:variant>
        <vt:i4>572</vt:i4>
      </vt:variant>
      <vt:variant>
        <vt:i4>0</vt:i4>
      </vt:variant>
      <vt:variant>
        <vt:i4>5</vt:i4>
      </vt:variant>
      <vt:variant>
        <vt:lpwstr/>
      </vt:variant>
      <vt:variant>
        <vt:lpwstr>_Toc218864935</vt:lpwstr>
      </vt:variant>
      <vt:variant>
        <vt:i4>1638453</vt:i4>
      </vt:variant>
      <vt:variant>
        <vt:i4>566</vt:i4>
      </vt:variant>
      <vt:variant>
        <vt:i4>0</vt:i4>
      </vt:variant>
      <vt:variant>
        <vt:i4>5</vt:i4>
      </vt:variant>
      <vt:variant>
        <vt:lpwstr/>
      </vt:variant>
      <vt:variant>
        <vt:lpwstr>_Toc218864934</vt:lpwstr>
      </vt:variant>
      <vt:variant>
        <vt:i4>1638453</vt:i4>
      </vt:variant>
      <vt:variant>
        <vt:i4>560</vt:i4>
      </vt:variant>
      <vt:variant>
        <vt:i4>0</vt:i4>
      </vt:variant>
      <vt:variant>
        <vt:i4>5</vt:i4>
      </vt:variant>
      <vt:variant>
        <vt:lpwstr/>
      </vt:variant>
      <vt:variant>
        <vt:lpwstr>_Toc218864933</vt:lpwstr>
      </vt:variant>
      <vt:variant>
        <vt:i4>1638453</vt:i4>
      </vt:variant>
      <vt:variant>
        <vt:i4>554</vt:i4>
      </vt:variant>
      <vt:variant>
        <vt:i4>0</vt:i4>
      </vt:variant>
      <vt:variant>
        <vt:i4>5</vt:i4>
      </vt:variant>
      <vt:variant>
        <vt:lpwstr/>
      </vt:variant>
      <vt:variant>
        <vt:lpwstr>_Toc218864932</vt:lpwstr>
      </vt:variant>
      <vt:variant>
        <vt:i4>1638453</vt:i4>
      </vt:variant>
      <vt:variant>
        <vt:i4>548</vt:i4>
      </vt:variant>
      <vt:variant>
        <vt:i4>0</vt:i4>
      </vt:variant>
      <vt:variant>
        <vt:i4>5</vt:i4>
      </vt:variant>
      <vt:variant>
        <vt:lpwstr/>
      </vt:variant>
      <vt:variant>
        <vt:lpwstr>_Toc218864931</vt:lpwstr>
      </vt:variant>
      <vt:variant>
        <vt:i4>1638453</vt:i4>
      </vt:variant>
      <vt:variant>
        <vt:i4>542</vt:i4>
      </vt:variant>
      <vt:variant>
        <vt:i4>0</vt:i4>
      </vt:variant>
      <vt:variant>
        <vt:i4>5</vt:i4>
      </vt:variant>
      <vt:variant>
        <vt:lpwstr/>
      </vt:variant>
      <vt:variant>
        <vt:lpwstr>_Toc218864930</vt:lpwstr>
      </vt:variant>
      <vt:variant>
        <vt:i4>1572917</vt:i4>
      </vt:variant>
      <vt:variant>
        <vt:i4>536</vt:i4>
      </vt:variant>
      <vt:variant>
        <vt:i4>0</vt:i4>
      </vt:variant>
      <vt:variant>
        <vt:i4>5</vt:i4>
      </vt:variant>
      <vt:variant>
        <vt:lpwstr/>
      </vt:variant>
      <vt:variant>
        <vt:lpwstr>_Toc218864929</vt:lpwstr>
      </vt:variant>
      <vt:variant>
        <vt:i4>1572917</vt:i4>
      </vt:variant>
      <vt:variant>
        <vt:i4>530</vt:i4>
      </vt:variant>
      <vt:variant>
        <vt:i4>0</vt:i4>
      </vt:variant>
      <vt:variant>
        <vt:i4>5</vt:i4>
      </vt:variant>
      <vt:variant>
        <vt:lpwstr/>
      </vt:variant>
      <vt:variant>
        <vt:lpwstr>_Toc218864928</vt:lpwstr>
      </vt:variant>
      <vt:variant>
        <vt:i4>1572917</vt:i4>
      </vt:variant>
      <vt:variant>
        <vt:i4>524</vt:i4>
      </vt:variant>
      <vt:variant>
        <vt:i4>0</vt:i4>
      </vt:variant>
      <vt:variant>
        <vt:i4>5</vt:i4>
      </vt:variant>
      <vt:variant>
        <vt:lpwstr/>
      </vt:variant>
      <vt:variant>
        <vt:lpwstr>_Toc218864927</vt:lpwstr>
      </vt:variant>
      <vt:variant>
        <vt:i4>1572917</vt:i4>
      </vt:variant>
      <vt:variant>
        <vt:i4>518</vt:i4>
      </vt:variant>
      <vt:variant>
        <vt:i4>0</vt:i4>
      </vt:variant>
      <vt:variant>
        <vt:i4>5</vt:i4>
      </vt:variant>
      <vt:variant>
        <vt:lpwstr/>
      </vt:variant>
      <vt:variant>
        <vt:lpwstr>_Toc218864926</vt:lpwstr>
      </vt:variant>
      <vt:variant>
        <vt:i4>1572917</vt:i4>
      </vt:variant>
      <vt:variant>
        <vt:i4>512</vt:i4>
      </vt:variant>
      <vt:variant>
        <vt:i4>0</vt:i4>
      </vt:variant>
      <vt:variant>
        <vt:i4>5</vt:i4>
      </vt:variant>
      <vt:variant>
        <vt:lpwstr/>
      </vt:variant>
      <vt:variant>
        <vt:lpwstr>_Toc218864925</vt:lpwstr>
      </vt:variant>
      <vt:variant>
        <vt:i4>1572917</vt:i4>
      </vt:variant>
      <vt:variant>
        <vt:i4>506</vt:i4>
      </vt:variant>
      <vt:variant>
        <vt:i4>0</vt:i4>
      </vt:variant>
      <vt:variant>
        <vt:i4>5</vt:i4>
      </vt:variant>
      <vt:variant>
        <vt:lpwstr/>
      </vt:variant>
      <vt:variant>
        <vt:lpwstr>_Toc218864924</vt:lpwstr>
      </vt:variant>
      <vt:variant>
        <vt:i4>1572917</vt:i4>
      </vt:variant>
      <vt:variant>
        <vt:i4>500</vt:i4>
      </vt:variant>
      <vt:variant>
        <vt:i4>0</vt:i4>
      </vt:variant>
      <vt:variant>
        <vt:i4>5</vt:i4>
      </vt:variant>
      <vt:variant>
        <vt:lpwstr/>
      </vt:variant>
      <vt:variant>
        <vt:lpwstr>_Toc218864923</vt:lpwstr>
      </vt:variant>
      <vt:variant>
        <vt:i4>1572917</vt:i4>
      </vt:variant>
      <vt:variant>
        <vt:i4>494</vt:i4>
      </vt:variant>
      <vt:variant>
        <vt:i4>0</vt:i4>
      </vt:variant>
      <vt:variant>
        <vt:i4>5</vt:i4>
      </vt:variant>
      <vt:variant>
        <vt:lpwstr/>
      </vt:variant>
      <vt:variant>
        <vt:lpwstr>_Toc218864922</vt:lpwstr>
      </vt:variant>
      <vt:variant>
        <vt:i4>1572917</vt:i4>
      </vt:variant>
      <vt:variant>
        <vt:i4>488</vt:i4>
      </vt:variant>
      <vt:variant>
        <vt:i4>0</vt:i4>
      </vt:variant>
      <vt:variant>
        <vt:i4>5</vt:i4>
      </vt:variant>
      <vt:variant>
        <vt:lpwstr/>
      </vt:variant>
      <vt:variant>
        <vt:lpwstr>_Toc218864921</vt:lpwstr>
      </vt:variant>
      <vt:variant>
        <vt:i4>1572917</vt:i4>
      </vt:variant>
      <vt:variant>
        <vt:i4>482</vt:i4>
      </vt:variant>
      <vt:variant>
        <vt:i4>0</vt:i4>
      </vt:variant>
      <vt:variant>
        <vt:i4>5</vt:i4>
      </vt:variant>
      <vt:variant>
        <vt:lpwstr/>
      </vt:variant>
      <vt:variant>
        <vt:lpwstr>_Toc218864920</vt:lpwstr>
      </vt:variant>
      <vt:variant>
        <vt:i4>1769525</vt:i4>
      </vt:variant>
      <vt:variant>
        <vt:i4>476</vt:i4>
      </vt:variant>
      <vt:variant>
        <vt:i4>0</vt:i4>
      </vt:variant>
      <vt:variant>
        <vt:i4>5</vt:i4>
      </vt:variant>
      <vt:variant>
        <vt:lpwstr/>
      </vt:variant>
      <vt:variant>
        <vt:lpwstr>_Toc218864919</vt:lpwstr>
      </vt:variant>
      <vt:variant>
        <vt:i4>1769525</vt:i4>
      </vt:variant>
      <vt:variant>
        <vt:i4>470</vt:i4>
      </vt:variant>
      <vt:variant>
        <vt:i4>0</vt:i4>
      </vt:variant>
      <vt:variant>
        <vt:i4>5</vt:i4>
      </vt:variant>
      <vt:variant>
        <vt:lpwstr/>
      </vt:variant>
      <vt:variant>
        <vt:lpwstr>_Toc218864918</vt:lpwstr>
      </vt:variant>
      <vt:variant>
        <vt:i4>1769525</vt:i4>
      </vt:variant>
      <vt:variant>
        <vt:i4>464</vt:i4>
      </vt:variant>
      <vt:variant>
        <vt:i4>0</vt:i4>
      </vt:variant>
      <vt:variant>
        <vt:i4>5</vt:i4>
      </vt:variant>
      <vt:variant>
        <vt:lpwstr/>
      </vt:variant>
      <vt:variant>
        <vt:lpwstr>_Toc218864917</vt:lpwstr>
      </vt:variant>
      <vt:variant>
        <vt:i4>1769525</vt:i4>
      </vt:variant>
      <vt:variant>
        <vt:i4>458</vt:i4>
      </vt:variant>
      <vt:variant>
        <vt:i4>0</vt:i4>
      </vt:variant>
      <vt:variant>
        <vt:i4>5</vt:i4>
      </vt:variant>
      <vt:variant>
        <vt:lpwstr/>
      </vt:variant>
      <vt:variant>
        <vt:lpwstr>_Toc218864916</vt:lpwstr>
      </vt:variant>
      <vt:variant>
        <vt:i4>1769525</vt:i4>
      </vt:variant>
      <vt:variant>
        <vt:i4>452</vt:i4>
      </vt:variant>
      <vt:variant>
        <vt:i4>0</vt:i4>
      </vt:variant>
      <vt:variant>
        <vt:i4>5</vt:i4>
      </vt:variant>
      <vt:variant>
        <vt:lpwstr/>
      </vt:variant>
      <vt:variant>
        <vt:lpwstr>_Toc218864915</vt:lpwstr>
      </vt:variant>
      <vt:variant>
        <vt:i4>1769525</vt:i4>
      </vt:variant>
      <vt:variant>
        <vt:i4>446</vt:i4>
      </vt:variant>
      <vt:variant>
        <vt:i4>0</vt:i4>
      </vt:variant>
      <vt:variant>
        <vt:i4>5</vt:i4>
      </vt:variant>
      <vt:variant>
        <vt:lpwstr/>
      </vt:variant>
      <vt:variant>
        <vt:lpwstr>_Toc218864914</vt:lpwstr>
      </vt:variant>
      <vt:variant>
        <vt:i4>1769525</vt:i4>
      </vt:variant>
      <vt:variant>
        <vt:i4>440</vt:i4>
      </vt:variant>
      <vt:variant>
        <vt:i4>0</vt:i4>
      </vt:variant>
      <vt:variant>
        <vt:i4>5</vt:i4>
      </vt:variant>
      <vt:variant>
        <vt:lpwstr/>
      </vt:variant>
      <vt:variant>
        <vt:lpwstr>_Toc218864913</vt:lpwstr>
      </vt:variant>
      <vt:variant>
        <vt:i4>1769525</vt:i4>
      </vt:variant>
      <vt:variant>
        <vt:i4>434</vt:i4>
      </vt:variant>
      <vt:variant>
        <vt:i4>0</vt:i4>
      </vt:variant>
      <vt:variant>
        <vt:i4>5</vt:i4>
      </vt:variant>
      <vt:variant>
        <vt:lpwstr/>
      </vt:variant>
      <vt:variant>
        <vt:lpwstr>_Toc218864912</vt:lpwstr>
      </vt:variant>
      <vt:variant>
        <vt:i4>1769525</vt:i4>
      </vt:variant>
      <vt:variant>
        <vt:i4>428</vt:i4>
      </vt:variant>
      <vt:variant>
        <vt:i4>0</vt:i4>
      </vt:variant>
      <vt:variant>
        <vt:i4>5</vt:i4>
      </vt:variant>
      <vt:variant>
        <vt:lpwstr/>
      </vt:variant>
      <vt:variant>
        <vt:lpwstr>_Toc218864911</vt:lpwstr>
      </vt:variant>
      <vt:variant>
        <vt:i4>1769525</vt:i4>
      </vt:variant>
      <vt:variant>
        <vt:i4>422</vt:i4>
      </vt:variant>
      <vt:variant>
        <vt:i4>0</vt:i4>
      </vt:variant>
      <vt:variant>
        <vt:i4>5</vt:i4>
      </vt:variant>
      <vt:variant>
        <vt:lpwstr/>
      </vt:variant>
      <vt:variant>
        <vt:lpwstr>_Toc218864910</vt:lpwstr>
      </vt:variant>
      <vt:variant>
        <vt:i4>1703989</vt:i4>
      </vt:variant>
      <vt:variant>
        <vt:i4>416</vt:i4>
      </vt:variant>
      <vt:variant>
        <vt:i4>0</vt:i4>
      </vt:variant>
      <vt:variant>
        <vt:i4>5</vt:i4>
      </vt:variant>
      <vt:variant>
        <vt:lpwstr/>
      </vt:variant>
      <vt:variant>
        <vt:lpwstr>_Toc218864909</vt:lpwstr>
      </vt:variant>
      <vt:variant>
        <vt:i4>1703989</vt:i4>
      </vt:variant>
      <vt:variant>
        <vt:i4>410</vt:i4>
      </vt:variant>
      <vt:variant>
        <vt:i4>0</vt:i4>
      </vt:variant>
      <vt:variant>
        <vt:i4>5</vt:i4>
      </vt:variant>
      <vt:variant>
        <vt:lpwstr/>
      </vt:variant>
      <vt:variant>
        <vt:lpwstr>_Toc218864908</vt:lpwstr>
      </vt:variant>
      <vt:variant>
        <vt:i4>1703989</vt:i4>
      </vt:variant>
      <vt:variant>
        <vt:i4>404</vt:i4>
      </vt:variant>
      <vt:variant>
        <vt:i4>0</vt:i4>
      </vt:variant>
      <vt:variant>
        <vt:i4>5</vt:i4>
      </vt:variant>
      <vt:variant>
        <vt:lpwstr/>
      </vt:variant>
      <vt:variant>
        <vt:lpwstr>_Toc218864907</vt:lpwstr>
      </vt:variant>
      <vt:variant>
        <vt:i4>1703989</vt:i4>
      </vt:variant>
      <vt:variant>
        <vt:i4>398</vt:i4>
      </vt:variant>
      <vt:variant>
        <vt:i4>0</vt:i4>
      </vt:variant>
      <vt:variant>
        <vt:i4>5</vt:i4>
      </vt:variant>
      <vt:variant>
        <vt:lpwstr/>
      </vt:variant>
      <vt:variant>
        <vt:lpwstr>_Toc218864906</vt:lpwstr>
      </vt:variant>
      <vt:variant>
        <vt:i4>1703989</vt:i4>
      </vt:variant>
      <vt:variant>
        <vt:i4>392</vt:i4>
      </vt:variant>
      <vt:variant>
        <vt:i4>0</vt:i4>
      </vt:variant>
      <vt:variant>
        <vt:i4>5</vt:i4>
      </vt:variant>
      <vt:variant>
        <vt:lpwstr/>
      </vt:variant>
      <vt:variant>
        <vt:lpwstr>_Toc218864905</vt:lpwstr>
      </vt:variant>
      <vt:variant>
        <vt:i4>1703989</vt:i4>
      </vt:variant>
      <vt:variant>
        <vt:i4>386</vt:i4>
      </vt:variant>
      <vt:variant>
        <vt:i4>0</vt:i4>
      </vt:variant>
      <vt:variant>
        <vt:i4>5</vt:i4>
      </vt:variant>
      <vt:variant>
        <vt:lpwstr/>
      </vt:variant>
      <vt:variant>
        <vt:lpwstr>_Toc218864904</vt:lpwstr>
      </vt:variant>
      <vt:variant>
        <vt:i4>1703989</vt:i4>
      </vt:variant>
      <vt:variant>
        <vt:i4>380</vt:i4>
      </vt:variant>
      <vt:variant>
        <vt:i4>0</vt:i4>
      </vt:variant>
      <vt:variant>
        <vt:i4>5</vt:i4>
      </vt:variant>
      <vt:variant>
        <vt:lpwstr/>
      </vt:variant>
      <vt:variant>
        <vt:lpwstr>_Toc218864903</vt:lpwstr>
      </vt:variant>
      <vt:variant>
        <vt:i4>1703989</vt:i4>
      </vt:variant>
      <vt:variant>
        <vt:i4>374</vt:i4>
      </vt:variant>
      <vt:variant>
        <vt:i4>0</vt:i4>
      </vt:variant>
      <vt:variant>
        <vt:i4>5</vt:i4>
      </vt:variant>
      <vt:variant>
        <vt:lpwstr/>
      </vt:variant>
      <vt:variant>
        <vt:lpwstr>_Toc218864902</vt:lpwstr>
      </vt:variant>
      <vt:variant>
        <vt:i4>1703989</vt:i4>
      </vt:variant>
      <vt:variant>
        <vt:i4>368</vt:i4>
      </vt:variant>
      <vt:variant>
        <vt:i4>0</vt:i4>
      </vt:variant>
      <vt:variant>
        <vt:i4>5</vt:i4>
      </vt:variant>
      <vt:variant>
        <vt:lpwstr/>
      </vt:variant>
      <vt:variant>
        <vt:lpwstr>_Toc218864901</vt:lpwstr>
      </vt:variant>
      <vt:variant>
        <vt:i4>1703989</vt:i4>
      </vt:variant>
      <vt:variant>
        <vt:i4>362</vt:i4>
      </vt:variant>
      <vt:variant>
        <vt:i4>0</vt:i4>
      </vt:variant>
      <vt:variant>
        <vt:i4>5</vt:i4>
      </vt:variant>
      <vt:variant>
        <vt:lpwstr/>
      </vt:variant>
      <vt:variant>
        <vt:lpwstr>_Toc218864900</vt:lpwstr>
      </vt:variant>
      <vt:variant>
        <vt:i4>1245236</vt:i4>
      </vt:variant>
      <vt:variant>
        <vt:i4>356</vt:i4>
      </vt:variant>
      <vt:variant>
        <vt:i4>0</vt:i4>
      </vt:variant>
      <vt:variant>
        <vt:i4>5</vt:i4>
      </vt:variant>
      <vt:variant>
        <vt:lpwstr/>
      </vt:variant>
      <vt:variant>
        <vt:lpwstr>_Toc218864899</vt:lpwstr>
      </vt:variant>
      <vt:variant>
        <vt:i4>1245236</vt:i4>
      </vt:variant>
      <vt:variant>
        <vt:i4>350</vt:i4>
      </vt:variant>
      <vt:variant>
        <vt:i4>0</vt:i4>
      </vt:variant>
      <vt:variant>
        <vt:i4>5</vt:i4>
      </vt:variant>
      <vt:variant>
        <vt:lpwstr/>
      </vt:variant>
      <vt:variant>
        <vt:lpwstr>_Toc218864898</vt:lpwstr>
      </vt:variant>
      <vt:variant>
        <vt:i4>1245236</vt:i4>
      </vt:variant>
      <vt:variant>
        <vt:i4>344</vt:i4>
      </vt:variant>
      <vt:variant>
        <vt:i4>0</vt:i4>
      </vt:variant>
      <vt:variant>
        <vt:i4>5</vt:i4>
      </vt:variant>
      <vt:variant>
        <vt:lpwstr/>
      </vt:variant>
      <vt:variant>
        <vt:lpwstr>_Toc218864897</vt:lpwstr>
      </vt:variant>
      <vt:variant>
        <vt:i4>1245236</vt:i4>
      </vt:variant>
      <vt:variant>
        <vt:i4>338</vt:i4>
      </vt:variant>
      <vt:variant>
        <vt:i4>0</vt:i4>
      </vt:variant>
      <vt:variant>
        <vt:i4>5</vt:i4>
      </vt:variant>
      <vt:variant>
        <vt:lpwstr/>
      </vt:variant>
      <vt:variant>
        <vt:lpwstr>_Toc218864896</vt:lpwstr>
      </vt:variant>
      <vt:variant>
        <vt:i4>1245236</vt:i4>
      </vt:variant>
      <vt:variant>
        <vt:i4>332</vt:i4>
      </vt:variant>
      <vt:variant>
        <vt:i4>0</vt:i4>
      </vt:variant>
      <vt:variant>
        <vt:i4>5</vt:i4>
      </vt:variant>
      <vt:variant>
        <vt:lpwstr/>
      </vt:variant>
      <vt:variant>
        <vt:lpwstr>_Toc218864895</vt:lpwstr>
      </vt:variant>
      <vt:variant>
        <vt:i4>1245236</vt:i4>
      </vt:variant>
      <vt:variant>
        <vt:i4>326</vt:i4>
      </vt:variant>
      <vt:variant>
        <vt:i4>0</vt:i4>
      </vt:variant>
      <vt:variant>
        <vt:i4>5</vt:i4>
      </vt:variant>
      <vt:variant>
        <vt:lpwstr/>
      </vt:variant>
      <vt:variant>
        <vt:lpwstr>_Toc218864894</vt:lpwstr>
      </vt:variant>
      <vt:variant>
        <vt:i4>1245236</vt:i4>
      </vt:variant>
      <vt:variant>
        <vt:i4>320</vt:i4>
      </vt:variant>
      <vt:variant>
        <vt:i4>0</vt:i4>
      </vt:variant>
      <vt:variant>
        <vt:i4>5</vt:i4>
      </vt:variant>
      <vt:variant>
        <vt:lpwstr/>
      </vt:variant>
      <vt:variant>
        <vt:lpwstr>_Toc218864893</vt:lpwstr>
      </vt:variant>
      <vt:variant>
        <vt:i4>1245236</vt:i4>
      </vt:variant>
      <vt:variant>
        <vt:i4>314</vt:i4>
      </vt:variant>
      <vt:variant>
        <vt:i4>0</vt:i4>
      </vt:variant>
      <vt:variant>
        <vt:i4>5</vt:i4>
      </vt:variant>
      <vt:variant>
        <vt:lpwstr/>
      </vt:variant>
      <vt:variant>
        <vt:lpwstr>_Toc218864892</vt:lpwstr>
      </vt:variant>
      <vt:variant>
        <vt:i4>1245236</vt:i4>
      </vt:variant>
      <vt:variant>
        <vt:i4>308</vt:i4>
      </vt:variant>
      <vt:variant>
        <vt:i4>0</vt:i4>
      </vt:variant>
      <vt:variant>
        <vt:i4>5</vt:i4>
      </vt:variant>
      <vt:variant>
        <vt:lpwstr/>
      </vt:variant>
      <vt:variant>
        <vt:lpwstr>_Toc218864891</vt:lpwstr>
      </vt:variant>
      <vt:variant>
        <vt:i4>1245236</vt:i4>
      </vt:variant>
      <vt:variant>
        <vt:i4>302</vt:i4>
      </vt:variant>
      <vt:variant>
        <vt:i4>0</vt:i4>
      </vt:variant>
      <vt:variant>
        <vt:i4>5</vt:i4>
      </vt:variant>
      <vt:variant>
        <vt:lpwstr/>
      </vt:variant>
      <vt:variant>
        <vt:lpwstr>_Toc218864890</vt:lpwstr>
      </vt:variant>
      <vt:variant>
        <vt:i4>1179700</vt:i4>
      </vt:variant>
      <vt:variant>
        <vt:i4>296</vt:i4>
      </vt:variant>
      <vt:variant>
        <vt:i4>0</vt:i4>
      </vt:variant>
      <vt:variant>
        <vt:i4>5</vt:i4>
      </vt:variant>
      <vt:variant>
        <vt:lpwstr/>
      </vt:variant>
      <vt:variant>
        <vt:lpwstr>_Toc218864889</vt:lpwstr>
      </vt:variant>
      <vt:variant>
        <vt:i4>1179700</vt:i4>
      </vt:variant>
      <vt:variant>
        <vt:i4>290</vt:i4>
      </vt:variant>
      <vt:variant>
        <vt:i4>0</vt:i4>
      </vt:variant>
      <vt:variant>
        <vt:i4>5</vt:i4>
      </vt:variant>
      <vt:variant>
        <vt:lpwstr/>
      </vt:variant>
      <vt:variant>
        <vt:lpwstr>_Toc218864888</vt:lpwstr>
      </vt:variant>
      <vt:variant>
        <vt:i4>1179700</vt:i4>
      </vt:variant>
      <vt:variant>
        <vt:i4>284</vt:i4>
      </vt:variant>
      <vt:variant>
        <vt:i4>0</vt:i4>
      </vt:variant>
      <vt:variant>
        <vt:i4>5</vt:i4>
      </vt:variant>
      <vt:variant>
        <vt:lpwstr/>
      </vt:variant>
      <vt:variant>
        <vt:lpwstr>_Toc218864887</vt:lpwstr>
      </vt:variant>
      <vt:variant>
        <vt:i4>1179700</vt:i4>
      </vt:variant>
      <vt:variant>
        <vt:i4>278</vt:i4>
      </vt:variant>
      <vt:variant>
        <vt:i4>0</vt:i4>
      </vt:variant>
      <vt:variant>
        <vt:i4>5</vt:i4>
      </vt:variant>
      <vt:variant>
        <vt:lpwstr/>
      </vt:variant>
      <vt:variant>
        <vt:lpwstr>_Toc218864886</vt:lpwstr>
      </vt:variant>
      <vt:variant>
        <vt:i4>1179700</vt:i4>
      </vt:variant>
      <vt:variant>
        <vt:i4>272</vt:i4>
      </vt:variant>
      <vt:variant>
        <vt:i4>0</vt:i4>
      </vt:variant>
      <vt:variant>
        <vt:i4>5</vt:i4>
      </vt:variant>
      <vt:variant>
        <vt:lpwstr/>
      </vt:variant>
      <vt:variant>
        <vt:lpwstr>_Toc218864885</vt:lpwstr>
      </vt:variant>
      <vt:variant>
        <vt:i4>1179700</vt:i4>
      </vt:variant>
      <vt:variant>
        <vt:i4>266</vt:i4>
      </vt:variant>
      <vt:variant>
        <vt:i4>0</vt:i4>
      </vt:variant>
      <vt:variant>
        <vt:i4>5</vt:i4>
      </vt:variant>
      <vt:variant>
        <vt:lpwstr/>
      </vt:variant>
      <vt:variant>
        <vt:lpwstr>_Toc218864883</vt:lpwstr>
      </vt:variant>
      <vt:variant>
        <vt:i4>1179700</vt:i4>
      </vt:variant>
      <vt:variant>
        <vt:i4>260</vt:i4>
      </vt:variant>
      <vt:variant>
        <vt:i4>0</vt:i4>
      </vt:variant>
      <vt:variant>
        <vt:i4>5</vt:i4>
      </vt:variant>
      <vt:variant>
        <vt:lpwstr/>
      </vt:variant>
      <vt:variant>
        <vt:lpwstr>_Toc218864882</vt:lpwstr>
      </vt:variant>
      <vt:variant>
        <vt:i4>1179700</vt:i4>
      </vt:variant>
      <vt:variant>
        <vt:i4>254</vt:i4>
      </vt:variant>
      <vt:variant>
        <vt:i4>0</vt:i4>
      </vt:variant>
      <vt:variant>
        <vt:i4>5</vt:i4>
      </vt:variant>
      <vt:variant>
        <vt:lpwstr/>
      </vt:variant>
      <vt:variant>
        <vt:lpwstr>_Toc218864881</vt:lpwstr>
      </vt:variant>
      <vt:variant>
        <vt:i4>1179700</vt:i4>
      </vt:variant>
      <vt:variant>
        <vt:i4>248</vt:i4>
      </vt:variant>
      <vt:variant>
        <vt:i4>0</vt:i4>
      </vt:variant>
      <vt:variant>
        <vt:i4>5</vt:i4>
      </vt:variant>
      <vt:variant>
        <vt:lpwstr/>
      </vt:variant>
      <vt:variant>
        <vt:lpwstr>_Toc218864880</vt:lpwstr>
      </vt:variant>
      <vt:variant>
        <vt:i4>1900596</vt:i4>
      </vt:variant>
      <vt:variant>
        <vt:i4>242</vt:i4>
      </vt:variant>
      <vt:variant>
        <vt:i4>0</vt:i4>
      </vt:variant>
      <vt:variant>
        <vt:i4>5</vt:i4>
      </vt:variant>
      <vt:variant>
        <vt:lpwstr/>
      </vt:variant>
      <vt:variant>
        <vt:lpwstr>_Toc218864879</vt:lpwstr>
      </vt:variant>
      <vt:variant>
        <vt:i4>1900596</vt:i4>
      </vt:variant>
      <vt:variant>
        <vt:i4>236</vt:i4>
      </vt:variant>
      <vt:variant>
        <vt:i4>0</vt:i4>
      </vt:variant>
      <vt:variant>
        <vt:i4>5</vt:i4>
      </vt:variant>
      <vt:variant>
        <vt:lpwstr/>
      </vt:variant>
      <vt:variant>
        <vt:lpwstr>_Toc218864878</vt:lpwstr>
      </vt:variant>
      <vt:variant>
        <vt:i4>1900596</vt:i4>
      </vt:variant>
      <vt:variant>
        <vt:i4>230</vt:i4>
      </vt:variant>
      <vt:variant>
        <vt:i4>0</vt:i4>
      </vt:variant>
      <vt:variant>
        <vt:i4>5</vt:i4>
      </vt:variant>
      <vt:variant>
        <vt:lpwstr/>
      </vt:variant>
      <vt:variant>
        <vt:lpwstr>_Toc218864877</vt:lpwstr>
      </vt:variant>
      <vt:variant>
        <vt:i4>1900596</vt:i4>
      </vt:variant>
      <vt:variant>
        <vt:i4>224</vt:i4>
      </vt:variant>
      <vt:variant>
        <vt:i4>0</vt:i4>
      </vt:variant>
      <vt:variant>
        <vt:i4>5</vt:i4>
      </vt:variant>
      <vt:variant>
        <vt:lpwstr/>
      </vt:variant>
      <vt:variant>
        <vt:lpwstr>_Toc218864876</vt:lpwstr>
      </vt:variant>
      <vt:variant>
        <vt:i4>1900596</vt:i4>
      </vt:variant>
      <vt:variant>
        <vt:i4>218</vt:i4>
      </vt:variant>
      <vt:variant>
        <vt:i4>0</vt:i4>
      </vt:variant>
      <vt:variant>
        <vt:i4>5</vt:i4>
      </vt:variant>
      <vt:variant>
        <vt:lpwstr/>
      </vt:variant>
      <vt:variant>
        <vt:lpwstr>_Toc218864875</vt:lpwstr>
      </vt:variant>
      <vt:variant>
        <vt:i4>1900596</vt:i4>
      </vt:variant>
      <vt:variant>
        <vt:i4>212</vt:i4>
      </vt:variant>
      <vt:variant>
        <vt:i4>0</vt:i4>
      </vt:variant>
      <vt:variant>
        <vt:i4>5</vt:i4>
      </vt:variant>
      <vt:variant>
        <vt:lpwstr/>
      </vt:variant>
      <vt:variant>
        <vt:lpwstr>_Toc218864874</vt:lpwstr>
      </vt:variant>
      <vt:variant>
        <vt:i4>1900596</vt:i4>
      </vt:variant>
      <vt:variant>
        <vt:i4>206</vt:i4>
      </vt:variant>
      <vt:variant>
        <vt:i4>0</vt:i4>
      </vt:variant>
      <vt:variant>
        <vt:i4>5</vt:i4>
      </vt:variant>
      <vt:variant>
        <vt:lpwstr/>
      </vt:variant>
      <vt:variant>
        <vt:lpwstr>_Toc218864873</vt:lpwstr>
      </vt:variant>
      <vt:variant>
        <vt:i4>1900596</vt:i4>
      </vt:variant>
      <vt:variant>
        <vt:i4>200</vt:i4>
      </vt:variant>
      <vt:variant>
        <vt:i4>0</vt:i4>
      </vt:variant>
      <vt:variant>
        <vt:i4>5</vt:i4>
      </vt:variant>
      <vt:variant>
        <vt:lpwstr/>
      </vt:variant>
      <vt:variant>
        <vt:lpwstr>_Toc218864872</vt:lpwstr>
      </vt:variant>
      <vt:variant>
        <vt:i4>1900596</vt:i4>
      </vt:variant>
      <vt:variant>
        <vt:i4>194</vt:i4>
      </vt:variant>
      <vt:variant>
        <vt:i4>0</vt:i4>
      </vt:variant>
      <vt:variant>
        <vt:i4>5</vt:i4>
      </vt:variant>
      <vt:variant>
        <vt:lpwstr/>
      </vt:variant>
      <vt:variant>
        <vt:lpwstr>_Toc218864871</vt:lpwstr>
      </vt:variant>
      <vt:variant>
        <vt:i4>1900596</vt:i4>
      </vt:variant>
      <vt:variant>
        <vt:i4>188</vt:i4>
      </vt:variant>
      <vt:variant>
        <vt:i4>0</vt:i4>
      </vt:variant>
      <vt:variant>
        <vt:i4>5</vt:i4>
      </vt:variant>
      <vt:variant>
        <vt:lpwstr/>
      </vt:variant>
      <vt:variant>
        <vt:lpwstr>_Toc218864870</vt:lpwstr>
      </vt:variant>
      <vt:variant>
        <vt:i4>1835060</vt:i4>
      </vt:variant>
      <vt:variant>
        <vt:i4>182</vt:i4>
      </vt:variant>
      <vt:variant>
        <vt:i4>0</vt:i4>
      </vt:variant>
      <vt:variant>
        <vt:i4>5</vt:i4>
      </vt:variant>
      <vt:variant>
        <vt:lpwstr/>
      </vt:variant>
      <vt:variant>
        <vt:lpwstr>_Toc218864869</vt:lpwstr>
      </vt:variant>
      <vt:variant>
        <vt:i4>1835060</vt:i4>
      </vt:variant>
      <vt:variant>
        <vt:i4>176</vt:i4>
      </vt:variant>
      <vt:variant>
        <vt:i4>0</vt:i4>
      </vt:variant>
      <vt:variant>
        <vt:i4>5</vt:i4>
      </vt:variant>
      <vt:variant>
        <vt:lpwstr/>
      </vt:variant>
      <vt:variant>
        <vt:lpwstr>_Toc218864868</vt:lpwstr>
      </vt:variant>
      <vt:variant>
        <vt:i4>1835060</vt:i4>
      </vt:variant>
      <vt:variant>
        <vt:i4>170</vt:i4>
      </vt:variant>
      <vt:variant>
        <vt:i4>0</vt:i4>
      </vt:variant>
      <vt:variant>
        <vt:i4>5</vt:i4>
      </vt:variant>
      <vt:variant>
        <vt:lpwstr/>
      </vt:variant>
      <vt:variant>
        <vt:lpwstr>_Toc218864867</vt:lpwstr>
      </vt:variant>
      <vt:variant>
        <vt:i4>1835060</vt:i4>
      </vt:variant>
      <vt:variant>
        <vt:i4>164</vt:i4>
      </vt:variant>
      <vt:variant>
        <vt:i4>0</vt:i4>
      </vt:variant>
      <vt:variant>
        <vt:i4>5</vt:i4>
      </vt:variant>
      <vt:variant>
        <vt:lpwstr/>
      </vt:variant>
      <vt:variant>
        <vt:lpwstr>_Toc218864866</vt:lpwstr>
      </vt:variant>
      <vt:variant>
        <vt:i4>1835060</vt:i4>
      </vt:variant>
      <vt:variant>
        <vt:i4>158</vt:i4>
      </vt:variant>
      <vt:variant>
        <vt:i4>0</vt:i4>
      </vt:variant>
      <vt:variant>
        <vt:i4>5</vt:i4>
      </vt:variant>
      <vt:variant>
        <vt:lpwstr/>
      </vt:variant>
      <vt:variant>
        <vt:lpwstr>_Toc218864865</vt:lpwstr>
      </vt:variant>
      <vt:variant>
        <vt:i4>1835060</vt:i4>
      </vt:variant>
      <vt:variant>
        <vt:i4>152</vt:i4>
      </vt:variant>
      <vt:variant>
        <vt:i4>0</vt:i4>
      </vt:variant>
      <vt:variant>
        <vt:i4>5</vt:i4>
      </vt:variant>
      <vt:variant>
        <vt:lpwstr/>
      </vt:variant>
      <vt:variant>
        <vt:lpwstr>_Toc218864864</vt:lpwstr>
      </vt:variant>
      <vt:variant>
        <vt:i4>1835060</vt:i4>
      </vt:variant>
      <vt:variant>
        <vt:i4>146</vt:i4>
      </vt:variant>
      <vt:variant>
        <vt:i4>0</vt:i4>
      </vt:variant>
      <vt:variant>
        <vt:i4>5</vt:i4>
      </vt:variant>
      <vt:variant>
        <vt:lpwstr/>
      </vt:variant>
      <vt:variant>
        <vt:lpwstr>_Toc218864863</vt:lpwstr>
      </vt:variant>
      <vt:variant>
        <vt:i4>1835060</vt:i4>
      </vt:variant>
      <vt:variant>
        <vt:i4>140</vt:i4>
      </vt:variant>
      <vt:variant>
        <vt:i4>0</vt:i4>
      </vt:variant>
      <vt:variant>
        <vt:i4>5</vt:i4>
      </vt:variant>
      <vt:variant>
        <vt:lpwstr/>
      </vt:variant>
      <vt:variant>
        <vt:lpwstr>_Toc218864862</vt:lpwstr>
      </vt:variant>
      <vt:variant>
        <vt:i4>1835060</vt:i4>
      </vt:variant>
      <vt:variant>
        <vt:i4>134</vt:i4>
      </vt:variant>
      <vt:variant>
        <vt:i4>0</vt:i4>
      </vt:variant>
      <vt:variant>
        <vt:i4>5</vt:i4>
      </vt:variant>
      <vt:variant>
        <vt:lpwstr/>
      </vt:variant>
      <vt:variant>
        <vt:lpwstr>_Toc218864861</vt:lpwstr>
      </vt:variant>
      <vt:variant>
        <vt:i4>1835060</vt:i4>
      </vt:variant>
      <vt:variant>
        <vt:i4>128</vt:i4>
      </vt:variant>
      <vt:variant>
        <vt:i4>0</vt:i4>
      </vt:variant>
      <vt:variant>
        <vt:i4>5</vt:i4>
      </vt:variant>
      <vt:variant>
        <vt:lpwstr/>
      </vt:variant>
      <vt:variant>
        <vt:lpwstr>_Toc218864860</vt:lpwstr>
      </vt:variant>
      <vt:variant>
        <vt:i4>2031668</vt:i4>
      </vt:variant>
      <vt:variant>
        <vt:i4>122</vt:i4>
      </vt:variant>
      <vt:variant>
        <vt:i4>0</vt:i4>
      </vt:variant>
      <vt:variant>
        <vt:i4>5</vt:i4>
      </vt:variant>
      <vt:variant>
        <vt:lpwstr/>
      </vt:variant>
      <vt:variant>
        <vt:lpwstr>_Toc218864859</vt:lpwstr>
      </vt:variant>
      <vt:variant>
        <vt:i4>2031668</vt:i4>
      </vt:variant>
      <vt:variant>
        <vt:i4>116</vt:i4>
      </vt:variant>
      <vt:variant>
        <vt:i4>0</vt:i4>
      </vt:variant>
      <vt:variant>
        <vt:i4>5</vt:i4>
      </vt:variant>
      <vt:variant>
        <vt:lpwstr/>
      </vt:variant>
      <vt:variant>
        <vt:lpwstr>_Toc218864858</vt:lpwstr>
      </vt:variant>
      <vt:variant>
        <vt:i4>2031668</vt:i4>
      </vt:variant>
      <vt:variant>
        <vt:i4>110</vt:i4>
      </vt:variant>
      <vt:variant>
        <vt:i4>0</vt:i4>
      </vt:variant>
      <vt:variant>
        <vt:i4>5</vt:i4>
      </vt:variant>
      <vt:variant>
        <vt:lpwstr/>
      </vt:variant>
      <vt:variant>
        <vt:lpwstr>_Toc218864857</vt:lpwstr>
      </vt:variant>
      <vt:variant>
        <vt:i4>2031668</vt:i4>
      </vt:variant>
      <vt:variant>
        <vt:i4>104</vt:i4>
      </vt:variant>
      <vt:variant>
        <vt:i4>0</vt:i4>
      </vt:variant>
      <vt:variant>
        <vt:i4>5</vt:i4>
      </vt:variant>
      <vt:variant>
        <vt:lpwstr/>
      </vt:variant>
      <vt:variant>
        <vt:lpwstr>_Toc218864856</vt:lpwstr>
      </vt:variant>
      <vt:variant>
        <vt:i4>2031668</vt:i4>
      </vt:variant>
      <vt:variant>
        <vt:i4>98</vt:i4>
      </vt:variant>
      <vt:variant>
        <vt:i4>0</vt:i4>
      </vt:variant>
      <vt:variant>
        <vt:i4>5</vt:i4>
      </vt:variant>
      <vt:variant>
        <vt:lpwstr/>
      </vt:variant>
      <vt:variant>
        <vt:lpwstr>_Toc218864855</vt:lpwstr>
      </vt:variant>
      <vt:variant>
        <vt:i4>2031668</vt:i4>
      </vt:variant>
      <vt:variant>
        <vt:i4>92</vt:i4>
      </vt:variant>
      <vt:variant>
        <vt:i4>0</vt:i4>
      </vt:variant>
      <vt:variant>
        <vt:i4>5</vt:i4>
      </vt:variant>
      <vt:variant>
        <vt:lpwstr/>
      </vt:variant>
      <vt:variant>
        <vt:lpwstr>_Toc218864854</vt:lpwstr>
      </vt:variant>
      <vt:variant>
        <vt:i4>2031668</vt:i4>
      </vt:variant>
      <vt:variant>
        <vt:i4>86</vt:i4>
      </vt:variant>
      <vt:variant>
        <vt:i4>0</vt:i4>
      </vt:variant>
      <vt:variant>
        <vt:i4>5</vt:i4>
      </vt:variant>
      <vt:variant>
        <vt:lpwstr/>
      </vt:variant>
      <vt:variant>
        <vt:lpwstr>_Toc218864853</vt:lpwstr>
      </vt:variant>
      <vt:variant>
        <vt:i4>2031668</vt:i4>
      </vt:variant>
      <vt:variant>
        <vt:i4>80</vt:i4>
      </vt:variant>
      <vt:variant>
        <vt:i4>0</vt:i4>
      </vt:variant>
      <vt:variant>
        <vt:i4>5</vt:i4>
      </vt:variant>
      <vt:variant>
        <vt:lpwstr/>
      </vt:variant>
      <vt:variant>
        <vt:lpwstr>_Toc218864852</vt:lpwstr>
      </vt:variant>
      <vt:variant>
        <vt:i4>2031668</vt:i4>
      </vt:variant>
      <vt:variant>
        <vt:i4>74</vt:i4>
      </vt:variant>
      <vt:variant>
        <vt:i4>0</vt:i4>
      </vt:variant>
      <vt:variant>
        <vt:i4>5</vt:i4>
      </vt:variant>
      <vt:variant>
        <vt:lpwstr/>
      </vt:variant>
      <vt:variant>
        <vt:lpwstr>_Toc218864851</vt:lpwstr>
      </vt:variant>
      <vt:variant>
        <vt:i4>2031668</vt:i4>
      </vt:variant>
      <vt:variant>
        <vt:i4>68</vt:i4>
      </vt:variant>
      <vt:variant>
        <vt:i4>0</vt:i4>
      </vt:variant>
      <vt:variant>
        <vt:i4>5</vt:i4>
      </vt:variant>
      <vt:variant>
        <vt:lpwstr/>
      </vt:variant>
      <vt:variant>
        <vt:lpwstr>_Toc218864850</vt:lpwstr>
      </vt:variant>
      <vt:variant>
        <vt:i4>1966132</vt:i4>
      </vt:variant>
      <vt:variant>
        <vt:i4>62</vt:i4>
      </vt:variant>
      <vt:variant>
        <vt:i4>0</vt:i4>
      </vt:variant>
      <vt:variant>
        <vt:i4>5</vt:i4>
      </vt:variant>
      <vt:variant>
        <vt:lpwstr/>
      </vt:variant>
      <vt:variant>
        <vt:lpwstr>_Toc218864849</vt:lpwstr>
      </vt:variant>
      <vt:variant>
        <vt:i4>1966132</vt:i4>
      </vt:variant>
      <vt:variant>
        <vt:i4>56</vt:i4>
      </vt:variant>
      <vt:variant>
        <vt:i4>0</vt:i4>
      </vt:variant>
      <vt:variant>
        <vt:i4>5</vt:i4>
      </vt:variant>
      <vt:variant>
        <vt:lpwstr/>
      </vt:variant>
      <vt:variant>
        <vt:lpwstr>_Toc218864848</vt:lpwstr>
      </vt:variant>
      <vt:variant>
        <vt:i4>1966132</vt:i4>
      </vt:variant>
      <vt:variant>
        <vt:i4>50</vt:i4>
      </vt:variant>
      <vt:variant>
        <vt:i4>0</vt:i4>
      </vt:variant>
      <vt:variant>
        <vt:i4>5</vt:i4>
      </vt:variant>
      <vt:variant>
        <vt:lpwstr/>
      </vt:variant>
      <vt:variant>
        <vt:lpwstr>_Toc218864847</vt:lpwstr>
      </vt:variant>
      <vt:variant>
        <vt:i4>1966132</vt:i4>
      </vt:variant>
      <vt:variant>
        <vt:i4>44</vt:i4>
      </vt:variant>
      <vt:variant>
        <vt:i4>0</vt:i4>
      </vt:variant>
      <vt:variant>
        <vt:i4>5</vt:i4>
      </vt:variant>
      <vt:variant>
        <vt:lpwstr/>
      </vt:variant>
      <vt:variant>
        <vt:lpwstr>_Toc218864846</vt:lpwstr>
      </vt:variant>
      <vt:variant>
        <vt:i4>1966132</vt:i4>
      </vt:variant>
      <vt:variant>
        <vt:i4>38</vt:i4>
      </vt:variant>
      <vt:variant>
        <vt:i4>0</vt:i4>
      </vt:variant>
      <vt:variant>
        <vt:i4>5</vt:i4>
      </vt:variant>
      <vt:variant>
        <vt:lpwstr/>
      </vt:variant>
      <vt:variant>
        <vt:lpwstr>_Toc218864845</vt:lpwstr>
      </vt:variant>
      <vt:variant>
        <vt:i4>1966132</vt:i4>
      </vt:variant>
      <vt:variant>
        <vt:i4>32</vt:i4>
      </vt:variant>
      <vt:variant>
        <vt:i4>0</vt:i4>
      </vt:variant>
      <vt:variant>
        <vt:i4>5</vt:i4>
      </vt:variant>
      <vt:variant>
        <vt:lpwstr/>
      </vt:variant>
      <vt:variant>
        <vt:lpwstr>_Toc218864844</vt:lpwstr>
      </vt:variant>
      <vt:variant>
        <vt:i4>1966132</vt:i4>
      </vt:variant>
      <vt:variant>
        <vt:i4>26</vt:i4>
      </vt:variant>
      <vt:variant>
        <vt:i4>0</vt:i4>
      </vt:variant>
      <vt:variant>
        <vt:i4>5</vt:i4>
      </vt:variant>
      <vt:variant>
        <vt:lpwstr/>
      </vt:variant>
      <vt:variant>
        <vt:lpwstr>_Toc218864843</vt:lpwstr>
      </vt:variant>
      <vt:variant>
        <vt:i4>1966132</vt:i4>
      </vt:variant>
      <vt:variant>
        <vt:i4>20</vt:i4>
      </vt:variant>
      <vt:variant>
        <vt:i4>0</vt:i4>
      </vt:variant>
      <vt:variant>
        <vt:i4>5</vt:i4>
      </vt:variant>
      <vt:variant>
        <vt:lpwstr/>
      </vt:variant>
      <vt:variant>
        <vt:lpwstr>_Toc218864842</vt:lpwstr>
      </vt:variant>
      <vt:variant>
        <vt:i4>1966132</vt:i4>
      </vt:variant>
      <vt:variant>
        <vt:i4>14</vt:i4>
      </vt:variant>
      <vt:variant>
        <vt:i4>0</vt:i4>
      </vt:variant>
      <vt:variant>
        <vt:i4>5</vt:i4>
      </vt:variant>
      <vt:variant>
        <vt:lpwstr/>
      </vt:variant>
      <vt:variant>
        <vt:lpwstr>_Toc218864841</vt:lpwstr>
      </vt:variant>
      <vt:variant>
        <vt:i4>1966132</vt:i4>
      </vt:variant>
      <vt:variant>
        <vt:i4>8</vt:i4>
      </vt:variant>
      <vt:variant>
        <vt:i4>0</vt:i4>
      </vt:variant>
      <vt:variant>
        <vt:i4>5</vt:i4>
      </vt:variant>
      <vt:variant>
        <vt:lpwstr/>
      </vt:variant>
      <vt:variant>
        <vt:lpwstr>_Toc218864840</vt:lpwstr>
      </vt:variant>
      <vt:variant>
        <vt:i4>1638452</vt:i4>
      </vt:variant>
      <vt:variant>
        <vt:i4>2</vt:i4>
      </vt:variant>
      <vt:variant>
        <vt:i4>0</vt:i4>
      </vt:variant>
      <vt:variant>
        <vt:i4>5</vt:i4>
      </vt:variant>
      <vt:variant>
        <vt:lpwstr/>
      </vt:variant>
      <vt:variant>
        <vt:lpwstr>_Toc218864839</vt:lpwstr>
      </vt:variant>
      <vt:variant>
        <vt:i4>5505050</vt:i4>
      </vt:variant>
      <vt:variant>
        <vt:i4>492</vt:i4>
      </vt:variant>
      <vt:variant>
        <vt:i4>0</vt:i4>
      </vt:variant>
      <vt:variant>
        <vt:i4>5</vt:i4>
      </vt:variant>
      <vt:variant>
        <vt:lpwstr>https://docs.fcc.gov/public/attachments/FCC-24-136A1.pdf</vt:lpwstr>
      </vt:variant>
      <vt:variant>
        <vt:lpwstr/>
      </vt:variant>
      <vt:variant>
        <vt:i4>262144</vt:i4>
      </vt:variant>
      <vt:variant>
        <vt:i4>489</vt:i4>
      </vt:variant>
      <vt:variant>
        <vt:i4>0</vt:i4>
      </vt:variant>
      <vt:variant>
        <vt:i4>5</vt:i4>
      </vt:variant>
      <vt:variant>
        <vt:lpwstr>https://www.ntia.gov/other-publication/2022/memorandum-understanding-between-fcc-and-ntia</vt:lpwstr>
      </vt:variant>
      <vt:variant>
        <vt:lpwstr/>
      </vt:variant>
      <vt:variant>
        <vt:i4>393289</vt:i4>
      </vt:variant>
      <vt:variant>
        <vt:i4>486</vt:i4>
      </vt:variant>
      <vt:variant>
        <vt:i4>0</vt:i4>
      </vt:variant>
      <vt:variant>
        <vt:i4>5</vt:i4>
      </vt:variant>
      <vt:variant>
        <vt:lpwstr>https://www.ntia.gov/sites/default/files/publications/national-spectrum-strategy-implementation-plan.pdf</vt:lpwstr>
      </vt:variant>
      <vt:variant>
        <vt:lpwstr/>
      </vt:variant>
      <vt:variant>
        <vt:i4>6160388</vt:i4>
      </vt:variant>
      <vt:variant>
        <vt:i4>483</vt:i4>
      </vt:variant>
      <vt:variant>
        <vt:i4>0</vt:i4>
      </vt:variant>
      <vt:variant>
        <vt:i4>5</vt:i4>
      </vt:variant>
      <vt:variant>
        <vt:lpwstr>https://docs.fcc.gov/public/attachments/DOC-392418A1.pdf</vt:lpwstr>
      </vt:variant>
      <vt:variant>
        <vt:lpwstr/>
      </vt:variant>
      <vt:variant>
        <vt:i4>5636166</vt:i4>
      </vt:variant>
      <vt:variant>
        <vt:i4>480</vt:i4>
      </vt:variant>
      <vt:variant>
        <vt:i4>0</vt:i4>
      </vt:variant>
      <vt:variant>
        <vt:i4>5</vt:i4>
      </vt:variant>
      <vt:variant>
        <vt:lpwstr>https://www.fcc.gov/space</vt:lpwstr>
      </vt:variant>
      <vt:variant>
        <vt:lpwstr/>
      </vt:variant>
      <vt:variant>
        <vt:i4>917571</vt:i4>
      </vt:variant>
      <vt:variant>
        <vt:i4>477</vt:i4>
      </vt:variant>
      <vt:variant>
        <vt:i4>0</vt:i4>
      </vt:variant>
      <vt:variant>
        <vt:i4>5</vt:i4>
      </vt:variant>
      <vt:variant>
        <vt:lpwstr>https://cept.org/ecc</vt:lpwstr>
      </vt:variant>
      <vt:variant>
        <vt:lpwstr/>
      </vt:variant>
      <vt:variant>
        <vt:i4>1179736</vt:i4>
      </vt:variant>
      <vt:variant>
        <vt:i4>474</vt:i4>
      </vt:variant>
      <vt:variant>
        <vt:i4>0</vt:i4>
      </vt:variant>
      <vt:variant>
        <vt:i4>5</vt:i4>
      </vt:variant>
      <vt:variant>
        <vt:lpwstr>https://digital-strategy.ec.europa.eu/en/policies/6g</vt:lpwstr>
      </vt:variant>
      <vt:variant>
        <vt:lpwstr/>
      </vt:variant>
      <vt:variant>
        <vt:i4>5832721</vt:i4>
      </vt:variant>
      <vt:variant>
        <vt:i4>471</vt:i4>
      </vt:variant>
      <vt:variant>
        <vt:i4>0</vt:i4>
      </vt:variant>
      <vt:variant>
        <vt:i4>5</vt:i4>
      </vt:variant>
      <vt:variant>
        <vt:lpwstr>https://op.europa.eu/en/publication-detail/-/publication/036d50f1-a1e2-11ed-b508-01aa75ed71a1</vt:lpwstr>
      </vt:variant>
      <vt:variant>
        <vt:lpwstr/>
      </vt:variant>
      <vt:variant>
        <vt:i4>4784134</vt:i4>
      </vt:variant>
      <vt:variant>
        <vt:i4>468</vt:i4>
      </vt:variant>
      <vt:variant>
        <vt:i4>0</vt:i4>
      </vt:variant>
      <vt:variant>
        <vt:i4>5</vt:i4>
      </vt:variant>
      <vt:variant>
        <vt:lpwstr>https://rspg-spectrum.eu/</vt:lpwstr>
      </vt:variant>
      <vt:variant>
        <vt:lpwstr/>
      </vt:variant>
      <vt:variant>
        <vt:i4>196629</vt:i4>
      </vt:variant>
      <vt:variant>
        <vt:i4>465</vt:i4>
      </vt:variant>
      <vt:variant>
        <vt:i4>0</vt:i4>
      </vt:variant>
      <vt:variant>
        <vt:i4>5</vt:i4>
      </vt:variant>
      <vt:variant>
        <vt:lpwstr>https://www.gsma.com/5ghub/smartagri/</vt:lpwstr>
      </vt:variant>
      <vt:variant>
        <vt:lpwstr/>
      </vt:variant>
      <vt:variant>
        <vt:i4>5177439</vt:i4>
      </vt:variant>
      <vt:variant>
        <vt:i4>462</vt:i4>
      </vt:variant>
      <vt:variant>
        <vt:i4>0</vt:i4>
      </vt:variant>
      <vt:variant>
        <vt:i4>5</vt:i4>
      </vt:variant>
      <vt:variant>
        <vt:lpwstr>https://www.ericsson.com/4ac680/assets/local/reports-papers/industrylab/doc/bringing-5g-to-power---industrylab-report.pdf</vt:lpwstr>
      </vt:variant>
      <vt:variant>
        <vt:lpwstr/>
      </vt:variant>
      <vt:variant>
        <vt:i4>2555941</vt:i4>
      </vt:variant>
      <vt:variant>
        <vt:i4>459</vt:i4>
      </vt:variant>
      <vt:variant>
        <vt:i4>0</vt:i4>
      </vt:variant>
      <vt:variant>
        <vt:i4>5</vt:i4>
      </vt:variant>
      <vt:variant>
        <vt:lpwstr>https://www.pwc.com/gx/en/tmt/5g/global-economic-impact-5g.pdf</vt:lpwstr>
      </vt:variant>
      <vt:variant>
        <vt:lpwstr/>
      </vt:variant>
      <vt:variant>
        <vt:i4>4325387</vt:i4>
      </vt:variant>
      <vt:variant>
        <vt:i4>456</vt:i4>
      </vt:variant>
      <vt:variant>
        <vt:i4>0</vt:i4>
      </vt:variant>
      <vt:variant>
        <vt:i4>5</vt:i4>
      </vt:variant>
      <vt:variant>
        <vt:lpwstr>https://www.mckinsey.com/industries/semiconductors/our-insights/the-future-of-automotive-computing-cloud-and-edge</vt:lpwstr>
      </vt:variant>
      <vt:variant>
        <vt:lpwstr/>
      </vt:variant>
      <vt:variant>
        <vt:i4>2555941</vt:i4>
      </vt:variant>
      <vt:variant>
        <vt:i4>453</vt:i4>
      </vt:variant>
      <vt:variant>
        <vt:i4>0</vt:i4>
      </vt:variant>
      <vt:variant>
        <vt:i4>5</vt:i4>
      </vt:variant>
      <vt:variant>
        <vt:lpwstr>https://www.pwc.com/gx/en/tmt/5g/global-economic-impact-5g.pdf</vt:lpwstr>
      </vt:variant>
      <vt:variant>
        <vt:lpwstr/>
      </vt:variant>
      <vt:variant>
        <vt:i4>6226009</vt:i4>
      </vt:variant>
      <vt:variant>
        <vt:i4>450</vt:i4>
      </vt:variant>
      <vt:variant>
        <vt:i4>0</vt:i4>
      </vt:variant>
      <vt:variant>
        <vt:i4>5</vt:i4>
      </vt:variant>
      <vt:variant>
        <vt:lpwstr>https://www.mckinsey.com/capabilities/mckinsey-digital/our-insights/digital-blog/smarter-factories-how-5g-can-jump-start-industry-40</vt:lpwstr>
      </vt:variant>
      <vt:variant>
        <vt:lpwstr/>
      </vt:variant>
      <vt:variant>
        <vt:i4>1900568</vt:i4>
      </vt:variant>
      <vt:variant>
        <vt:i4>447</vt:i4>
      </vt:variant>
      <vt:variant>
        <vt:i4>0</vt:i4>
      </vt:variant>
      <vt:variant>
        <vt:i4>5</vt:i4>
      </vt:variant>
      <vt:variant>
        <vt:lpwstr>https://doi.org/10.3390/s23010073</vt:lpwstr>
      </vt:variant>
      <vt:variant>
        <vt:lpwstr/>
      </vt:variant>
      <vt:variant>
        <vt:i4>2555941</vt:i4>
      </vt:variant>
      <vt:variant>
        <vt:i4>444</vt:i4>
      </vt:variant>
      <vt:variant>
        <vt:i4>0</vt:i4>
      </vt:variant>
      <vt:variant>
        <vt:i4>5</vt:i4>
      </vt:variant>
      <vt:variant>
        <vt:lpwstr>https://www.pwc.com/gx/en/tmt/5g/global-economic-impact-5g.pdf</vt:lpwstr>
      </vt:variant>
      <vt:variant>
        <vt:lpwstr/>
      </vt:variant>
      <vt:variant>
        <vt:i4>1638425</vt:i4>
      </vt:variant>
      <vt:variant>
        <vt:i4>441</vt:i4>
      </vt:variant>
      <vt:variant>
        <vt:i4>0</vt:i4>
      </vt:variant>
      <vt:variant>
        <vt:i4>5</vt:i4>
      </vt:variant>
      <vt:variant>
        <vt:lpwstr>https://doi.org/10.3390/s23052519</vt:lpwstr>
      </vt:variant>
      <vt:variant>
        <vt:lpwstr/>
      </vt:variant>
      <vt:variant>
        <vt:i4>3211326</vt:i4>
      </vt:variant>
      <vt:variant>
        <vt:i4>438</vt:i4>
      </vt:variant>
      <vt:variant>
        <vt:i4>0</vt:i4>
      </vt:variant>
      <vt:variant>
        <vt:i4>5</vt:i4>
      </vt:variant>
      <vt:variant>
        <vt:lpwstr>https://bmds.bund.de/fileadmin/BMDS/Dokumente/Studie_Modellanalyse_KGM.pdf</vt:lpwstr>
      </vt:variant>
      <vt:variant>
        <vt:lpwstr/>
      </vt:variant>
      <vt:variant>
        <vt:i4>262221</vt:i4>
      </vt:variant>
      <vt:variant>
        <vt:i4>435</vt:i4>
      </vt:variant>
      <vt:variant>
        <vt:i4>0</vt:i4>
      </vt:variant>
      <vt:variant>
        <vt:i4>5</vt:i4>
      </vt:variant>
      <vt:variant>
        <vt:lpwstr>https://op.europa.eu/en/publication-detail/-/publication/ef401042-9a90-11e6-9bca-01aa75ed71a1</vt:lpwstr>
      </vt:variant>
      <vt:variant>
        <vt:lpwstr/>
      </vt:variant>
      <vt:variant>
        <vt:i4>6684795</vt:i4>
      </vt:variant>
      <vt:variant>
        <vt:i4>432</vt:i4>
      </vt:variant>
      <vt:variant>
        <vt:i4>0</vt:i4>
      </vt:variant>
      <vt:variant>
        <vt:i4>5</vt:i4>
      </vt:variant>
      <vt:variant>
        <vt:lpwstr>https://www.wik.org/fileadmin/user_upload/Unternehmen/Veroeffentlichungen/Studien/2024/WIK_evaluation_report_pilot_copper_switch-off_Gigabit_Forum.pdf</vt:lpwstr>
      </vt:variant>
      <vt:variant>
        <vt:lpwstr/>
      </vt:variant>
      <vt:variant>
        <vt:i4>6553717</vt:i4>
      </vt:variant>
      <vt:variant>
        <vt:i4>429</vt:i4>
      </vt:variant>
      <vt:variant>
        <vt:i4>0</vt:i4>
      </vt:variant>
      <vt:variant>
        <vt:i4>5</vt:i4>
      </vt:variant>
      <vt:variant>
        <vt:lpwstr>https://www.telcotitans.com/telefonicawatch/vivo-targets-700m-bonus-from-fixed-line-shutdown/9244.article%23:~:text=Brazil's Telef%C3%B3nica%7CVivo hopes to,of acquisitions over recent years</vt:lpwstr>
      </vt:variant>
      <vt:variant>
        <vt:lpwstr/>
      </vt:variant>
      <vt:variant>
        <vt:i4>4325386</vt:i4>
      </vt:variant>
      <vt:variant>
        <vt:i4>426</vt:i4>
      </vt:variant>
      <vt:variant>
        <vt:i4>0</vt:i4>
      </vt:variant>
      <vt:variant>
        <vt:i4>5</vt:i4>
      </vt:variant>
      <vt:variant>
        <vt:lpwstr>https://www.datacenterdynamics.com/en/news/bt-calls-for-uks-critical-national-infrastructure-to-shift-away-from-copper-networks/</vt:lpwstr>
      </vt:variant>
      <vt:variant>
        <vt:lpwstr/>
      </vt:variant>
      <vt:variant>
        <vt:i4>8192125</vt:i4>
      </vt:variant>
      <vt:variant>
        <vt:i4>423</vt:i4>
      </vt:variant>
      <vt:variant>
        <vt:i4>0</vt:i4>
      </vt:variant>
      <vt:variant>
        <vt:i4>5</vt:i4>
      </vt:variant>
      <vt:variant>
        <vt:lpwstr>https://www.ft.com/content/2e1cbcf8-67c3-48b1-94bf-66c344b155b8</vt:lpwstr>
      </vt:variant>
      <vt:variant>
        <vt:lpwstr/>
      </vt:variant>
      <vt:variant>
        <vt:i4>917532</vt:i4>
      </vt:variant>
      <vt:variant>
        <vt:i4>420</vt:i4>
      </vt:variant>
      <vt:variant>
        <vt:i4>0</vt:i4>
      </vt:variant>
      <vt:variant>
        <vt:i4>5</vt:i4>
      </vt:variant>
      <vt:variant>
        <vt:lpwstr>https://www.kearney.com/service/digital-analytics/article/a-blueprint-for-copper-decommissioning</vt:lpwstr>
      </vt:variant>
      <vt:variant>
        <vt:lpwstr/>
      </vt:variant>
      <vt:variant>
        <vt:i4>6357015</vt:i4>
      </vt:variant>
      <vt:variant>
        <vt:i4>417</vt:i4>
      </vt:variant>
      <vt:variant>
        <vt:i4>0</vt:i4>
      </vt:variant>
      <vt:variant>
        <vt:i4>5</vt:i4>
      </vt:variant>
      <vt:variant>
        <vt:lpwstr>https://www.gigabitforum.de/SharedDocs/Downloads/DE/Sachgebiete/Telekommunikation/Breitband/Gigabitforum/WIK-Studie_Uebergang_Kupfer_Glasfaser.pdf?__blob=publicationFile&amp;v=1</vt:lpwstr>
      </vt:variant>
      <vt:variant>
        <vt:lpwstr/>
      </vt:variant>
      <vt:variant>
        <vt:i4>8126577</vt:i4>
      </vt:variant>
      <vt:variant>
        <vt:i4>414</vt:i4>
      </vt:variant>
      <vt:variant>
        <vt:i4>0</vt:i4>
      </vt:variant>
      <vt:variant>
        <vt:i4>5</vt:i4>
      </vt:variant>
      <vt:variant>
        <vt:lpwstr>https://www.wik.org/fileadmin/user_upload/Unternehmen/Veroeffentlichungen/Diskus/2024/WIK_Diskussionsbeitrag_Nr_526.pdf</vt:lpwstr>
      </vt:variant>
      <vt:variant>
        <vt:lpwstr/>
      </vt:variant>
      <vt:variant>
        <vt:i4>7798904</vt:i4>
      </vt:variant>
      <vt:variant>
        <vt:i4>411</vt:i4>
      </vt:variant>
      <vt:variant>
        <vt:i4>0</vt:i4>
      </vt:variant>
      <vt:variant>
        <vt:i4>5</vt:i4>
      </vt:variant>
      <vt:variant>
        <vt:lpwstr>https://www.wik.org/fileadmin/user_upload/Unternehmen/Veroeffentlichungen/Diskus/2023/WIK_Diskussionsbeitrag_Nr_499.pdf</vt:lpwstr>
      </vt:variant>
      <vt:variant>
        <vt:lpwstr/>
      </vt:variant>
      <vt:variant>
        <vt:i4>1703993</vt:i4>
      </vt:variant>
      <vt:variant>
        <vt:i4>408</vt:i4>
      </vt:variant>
      <vt:variant>
        <vt:i4>0</vt:i4>
      </vt:variant>
      <vt:variant>
        <vt:i4>5</vt:i4>
      </vt:variant>
      <vt:variant>
        <vt:lpwstr>https://www.wik.org/fileadmin/user_upload/Unternehmen/Veroeffentlichungen/Kurzstudien/2024/WIK_Kurzstudie_Kosten-und-Preise-Glasfaserinfrastruktur.pdf</vt:lpwstr>
      </vt:variant>
      <vt:variant>
        <vt:lpwstr/>
      </vt:variant>
      <vt:variant>
        <vt:i4>8061047</vt:i4>
      </vt:variant>
      <vt:variant>
        <vt:i4>405</vt:i4>
      </vt:variant>
      <vt:variant>
        <vt:i4>0</vt:i4>
      </vt:variant>
      <vt:variant>
        <vt:i4>5</vt:i4>
      </vt:variant>
      <vt:variant>
        <vt:lpwstr>https://www.wik.org/fileadmin/user_upload/Unternehmen/Veroeffentlichungen/Diskus/2022/WIK_Diskussionsbeitrag_Nr_457.pdf</vt:lpwstr>
      </vt:variant>
      <vt:variant>
        <vt:lpwstr/>
      </vt:variant>
      <vt:variant>
        <vt:i4>8126577</vt:i4>
      </vt:variant>
      <vt:variant>
        <vt:i4>402</vt:i4>
      </vt:variant>
      <vt:variant>
        <vt:i4>0</vt:i4>
      </vt:variant>
      <vt:variant>
        <vt:i4>5</vt:i4>
      </vt:variant>
      <vt:variant>
        <vt:lpwstr>https://www.wik.org/fileadmin/user_upload/Unternehmen/Veroeffentlichungen/Diskus/2024/WIK_Diskussionsbeitrag_Nr_526.pdf</vt:lpwstr>
      </vt:variant>
      <vt:variant>
        <vt:lpwstr/>
      </vt:variant>
      <vt:variant>
        <vt:i4>6357015</vt:i4>
      </vt:variant>
      <vt:variant>
        <vt:i4>399</vt:i4>
      </vt:variant>
      <vt:variant>
        <vt:i4>0</vt:i4>
      </vt:variant>
      <vt:variant>
        <vt:i4>5</vt:i4>
      </vt:variant>
      <vt:variant>
        <vt:lpwstr>https://www.gigabitforum.de/SharedDocs/Downloads/DE/Sachgebiete/Telekommunikation/Breitband/Gigabitforum/WIK-Studie_Uebergang_Kupfer_Glasfaser.pdf?__blob=publicationFile&amp;v=1</vt:lpwstr>
      </vt:variant>
      <vt:variant>
        <vt:lpwstr/>
      </vt:variant>
      <vt:variant>
        <vt:i4>6684795</vt:i4>
      </vt:variant>
      <vt:variant>
        <vt:i4>396</vt:i4>
      </vt:variant>
      <vt:variant>
        <vt:i4>0</vt:i4>
      </vt:variant>
      <vt:variant>
        <vt:i4>5</vt:i4>
      </vt:variant>
      <vt:variant>
        <vt:lpwstr>https://www.wik.org/fileadmin/user_upload/Unternehmen/Veroeffentlichungen/Studien/2024/WIK_evaluation_report_pilot_copper_switch-off_Gigabit_Forum.pdf</vt:lpwstr>
      </vt:variant>
      <vt:variant>
        <vt:lpwstr/>
      </vt:variant>
      <vt:variant>
        <vt:i4>327694</vt:i4>
      </vt:variant>
      <vt:variant>
        <vt:i4>393</vt:i4>
      </vt:variant>
      <vt:variant>
        <vt:i4>0</vt:i4>
      </vt:variant>
      <vt:variant>
        <vt:i4>5</vt:i4>
      </vt:variant>
      <vt:variant>
        <vt:lpwstr>https://digital-strategy.ec.europa.eu/en/library/recommendation-regulatory-promotion-gigabit-connectivity</vt:lpwstr>
      </vt:variant>
      <vt:variant>
        <vt:lpwstr/>
      </vt:variant>
      <vt:variant>
        <vt:i4>3211364</vt:i4>
      </vt:variant>
      <vt:variant>
        <vt:i4>390</vt:i4>
      </vt:variant>
      <vt:variant>
        <vt:i4>0</vt:i4>
      </vt:variant>
      <vt:variant>
        <vt:i4>5</vt:i4>
      </vt:variant>
      <vt:variant>
        <vt:lpwstr>https://onlinelibrary.wiley.com/doi/full/10.1111/jeea.12127</vt:lpwstr>
      </vt:variant>
      <vt:variant>
        <vt:lpwstr/>
      </vt:variant>
      <vt:variant>
        <vt:i4>3997744</vt:i4>
      </vt:variant>
      <vt:variant>
        <vt:i4>387</vt:i4>
      </vt:variant>
      <vt:variant>
        <vt:i4>0</vt:i4>
      </vt:variant>
      <vt:variant>
        <vt:i4>5</vt:i4>
      </vt:variant>
      <vt:variant>
        <vt:lpwstr>https://www.bt.com/bt-plc/assets/documents/about-bt/all-ip/migrating-from-analogue-to-digital-landlines.pdf</vt:lpwstr>
      </vt:variant>
      <vt:variant>
        <vt:lpwstr/>
      </vt:variant>
      <vt:variant>
        <vt:i4>6357015</vt:i4>
      </vt:variant>
      <vt:variant>
        <vt:i4>384</vt:i4>
      </vt:variant>
      <vt:variant>
        <vt:i4>0</vt:i4>
      </vt:variant>
      <vt:variant>
        <vt:i4>5</vt:i4>
      </vt:variant>
      <vt:variant>
        <vt:lpwstr>https://www.gigabitforum.de/SharedDocs/Downloads/DE/Sachgebiete/Telekommunikation/Breitband/Gigabitforum/WIK-Studie_Uebergang_Kupfer_Glasfaser.pdf?__blob=publicationFile&amp;v=1</vt:lpwstr>
      </vt:variant>
      <vt:variant>
        <vt:lpwstr/>
      </vt:variant>
      <vt:variant>
        <vt:i4>3997744</vt:i4>
      </vt:variant>
      <vt:variant>
        <vt:i4>381</vt:i4>
      </vt:variant>
      <vt:variant>
        <vt:i4>0</vt:i4>
      </vt:variant>
      <vt:variant>
        <vt:i4>5</vt:i4>
      </vt:variant>
      <vt:variant>
        <vt:lpwstr>https://www.bt.com/bt-plc/assets/documents/about-bt/all-ip/migrating-from-analogue-to-digital-landlines.pdf</vt:lpwstr>
      </vt:variant>
      <vt:variant>
        <vt:lpwstr/>
      </vt:variant>
      <vt:variant>
        <vt:i4>2687094</vt:i4>
      </vt:variant>
      <vt:variant>
        <vt:i4>378</vt:i4>
      </vt:variant>
      <vt:variant>
        <vt:i4>0</vt:i4>
      </vt:variant>
      <vt:variant>
        <vt:i4>5</vt:i4>
      </vt:variant>
      <vt:variant>
        <vt:lpwstr>https://www.speedtest.net/global-index</vt:lpwstr>
      </vt:variant>
      <vt:variant>
        <vt:lpwstr/>
      </vt:variant>
      <vt:variant>
        <vt:i4>6553643</vt:i4>
      </vt:variant>
      <vt:variant>
        <vt:i4>375</vt:i4>
      </vt:variant>
      <vt:variant>
        <vt:i4>0</vt:i4>
      </vt:variant>
      <vt:variant>
        <vt:i4>5</vt:i4>
      </vt:variant>
      <vt:variant>
        <vt:lpwstr>https://www.ftthcouncil.eu/resources/all-publications-and-assets/2358/european-ftth-b-market-panorama-2025</vt:lpwstr>
      </vt:variant>
      <vt:variant>
        <vt:lpwstr/>
      </vt:variant>
      <vt:variant>
        <vt:i4>5767253</vt:i4>
      </vt:variant>
      <vt:variant>
        <vt:i4>372</vt:i4>
      </vt:variant>
      <vt:variant>
        <vt:i4>0</vt:i4>
      </vt:variant>
      <vt:variant>
        <vt:i4>5</vt:i4>
      </vt:variant>
      <vt:variant>
        <vt:lpwstr>https://www.berec.europa.eu/system/files/2023-09/BoR %2823%29 114 BEREC input to the European Commission on the functioning of BEREC and the BEREC Office.pdf</vt:lpwstr>
      </vt:variant>
      <vt:variant>
        <vt:lpwstr/>
      </vt:variant>
      <vt:variant>
        <vt:i4>7995427</vt:i4>
      </vt:variant>
      <vt:variant>
        <vt:i4>369</vt:i4>
      </vt:variant>
      <vt:variant>
        <vt:i4>0</vt:i4>
      </vt:variant>
      <vt:variant>
        <vt:i4>5</vt:i4>
      </vt:variant>
      <vt:variant>
        <vt:lpwstr>https://radio-spectrum-policy-group.ec.europa.eu/system/files/2023-01/RSPG21-022final_RSPG_Opinion_Spectrum_Sharing.pdf</vt:lpwstr>
      </vt:variant>
      <vt:variant>
        <vt:lpwstr/>
      </vt:variant>
      <vt:variant>
        <vt:i4>4653120</vt:i4>
      </vt:variant>
      <vt:variant>
        <vt:i4>366</vt:i4>
      </vt:variant>
      <vt:variant>
        <vt:i4>0</vt:i4>
      </vt:variant>
      <vt:variant>
        <vt:i4>5</vt:i4>
      </vt:variant>
      <vt:variant>
        <vt:lpwstr>https://www.wik.org/en/publications/publication/competition-and-investment-in-the-danish-broadband-market</vt:lpwstr>
      </vt:variant>
      <vt:variant>
        <vt:lpwstr/>
      </vt:variant>
      <vt:variant>
        <vt:i4>1900572</vt:i4>
      </vt:variant>
      <vt:variant>
        <vt:i4>363</vt:i4>
      </vt:variant>
      <vt:variant>
        <vt:i4>0</vt:i4>
      </vt:variant>
      <vt:variant>
        <vt:i4>5</vt:i4>
      </vt:variant>
      <vt:variant>
        <vt:lpwstr>https://spacenews.com/spacex-planning-first-tests-of-new-direct-to-device-spectrum-next-year/</vt:lpwstr>
      </vt:variant>
      <vt:variant>
        <vt:lpwstr/>
      </vt:variant>
      <vt:variant>
        <vt:i4>6160410</vt:i4>
      </vt:variant>
      <vt:variant>
        <vt:i4>360</vt:i4>
      </vt:variant>
      <vt:variant>
        <vt:i4>0</vt:i4>
      </vt:variant>
      <vt:variant>
        <vt:i4>5</vt:i4>
      </vt:variant>
      <vt:variant>
        <vt:lpwstr>https://www.vodafone.com/news/corporate-and-financial/vodafone-and-ast-space-mobile-sign-agreement-to-create-european-direct-to-device-satellite-service-provider</vt:lpwstr>
      </vt:variant>
      <vt:variant>
        <vt:lpwstr/>
      </vt:variant>
      <vt:variant>
        <vt:i4>1704019</vt:i4>
      </vt:variant>
      <vt:variant>
        <vt:i4>357</vt:i4>
      </vt:variant>
      <vt:variant>
        <vt:i4>0</vt:i4>
      </vt:variant>
      <vt:variant>
        <vt:i4>5</vt:i4>
      </vt:variant>
      <vt:variant>
        <vt:lpwstr>https://www.gsmaintelligence.com/research/research-file-download?id=69042417&amp;file=220322-Satellite-2.0-going-direct-to-device.pdf</vt:lpwstr>
      </vt:variant>
      <vt:variant>
        <vt:lpwstr/>
      </vt:variant>
      <vt:variant>
        <vt:i4>983062</vt:i4>
      </vt:variant>
      <vt:variant>
        <vt:i4>354</vt:i4>
      </vt:variant>
      <vt:variant>
        <vt:i4>0</vt:i4>
      </vt:variant>
      <vt:variant>
        <vt:i4>5</vt:i4>
      </vt:variant>
      <vt:variant>
        <vt:lpwstr>https://op.europa.eu/sl/publication-detail/-/publication/0ccf1b70-dbd6-4530-8f09-f44262856dab/language-en</vt:lpwstr>
      </vt:variant>
      <vt:variant>
        <vt:lpwstr/>
      </vt:variant>
      <vt:variant>
        <vt:i4>1638466</vt:i4>
      </vt:variant>
      <vt:variant>
        <vt:i4>351</vt:i4>
      </vt:variant>
      <vt:variant>
        <vt:i4>0</vt:i4>
      </vt:variant>
      <vt:variant>
        <vt:i4>5</vt:i4>
      </vt:variant>
      <vt:variant>
        <vt:lpwstr>https://op.europa.eu/en/publication-detail/-/publication/7997aa72-d865-11e9-9c4e-01aa75ed71a1/language-en</vt:lpwstr>
      </vt:variant>
      <vt:variant>
        <vt:lpwstr/>
      </vt:variant>
      <vt:variant>
        <vt:i4>1507344</vt:i4>
      </vt:variant>
      <vt:variant>
        <vt:i4>348</vt:i4>
      </vt:variant>
      <vt:variant>
        <vt:i4>0</vt:i4>
      </vt:variant>
      <vt:variant>
        <vt:i4>5</vt:i4>
      </vt:variant>
      <vt:variant>
        <vt:lpwstr>https://op.europa.eu/en/publication-detail/-/publication/5c28e25b-41b3-11f0-b9f2-01aa75ed71a1/language-en</vt:lpwstr>
      </vt:variant>
      <vt:variant>
        <vt:lpwstr/>
      </vt:variant>
      <vt:variant>
        <vt:i4>1638466</vt:i4>
      </vt:variant>
      <vt:variant>
        <vt:i4>345</vt:i4>
      </vt:variant>
      <vt:variant>
        <vt:i4>0</vt:i4>
      </vt:variant>
      <vt:variant>
        <vt:i4>5</vt:i4>
      </vt:variant>
      <vt:variant>
        <vt:lpwstr>https://op.europa.eu/en/publication-detail/-/publication/7997aa72-d865-11e9-9c4e-01aa75ed71a1/language-en</vt:lpwstr>
      </vt:variant>
      <vt:variant>
        <vt:lpwstr/>
      </vt:variant>
      <vt:variant>
        <vt:i4>983062</vt:i4>
      </vt:variant>
      <vt:variant>
        <vt:i4>342</vt:i4>
      </vt:variant>
      <vt:variant>
        <vt:i4>0</vt:i4>
      </vt:variant>
      <vt:variant>
        <vt:i4>5</vt:i4>
      </vt:variant>
      <vt:variant>
        <vt:lpwstr>https://op.europa.eu/sl/publication-detail/-/publication/0ccf1b70-dbd6-4530-8f09-f44262856dab/language-en</vt:lpwstr>
      </vt:variant>
      <vt:variant>
        <vt:lpwstr/>
      </vt:variant>
      <vt:variant>
        <vt:i4>786452</vt:i4>
      </vt:variant>
      <vt:variant>
        <vt:i4>339</vt:i4>
      </vt:variant>
      <vt:variant>
        <vt:i4>0</vt:i4>
      </vt:variant>
      <vt:variant>
        <vt:i4>5</vt:i4>
      </vt:variant>
      <vt:variant>
        <vt:lpwstr>https://data.europa.eu/doi/10.2759/974409</vt:lpwstr>
      </vt:variant>
      <vt:variant>
        <vt:lpwstr/>
      </vt:variant>
      <vt:variant>
        <vt:i4>4522058</vt:i4>
      </vt:variant>
      <vt:variant>
        <vt:i4>336</vt:i4>
      </vt:variant>
      <vt:variant>
        <vt:i4>0</vt:i4>
      </vt:variant>
      <vt:variant>
        <vt:i4>5</vt:i4>
      </vt:variant>
      <vt:variant>
        <vt:lpwstr>https://op.europa.eu/en/publication-detail/-/publication/4c769094-41b5-11f0-b9f2-01aa75ed71a1/language-en</vt:lpwstr>
      </vt:variant>
      <vt:variant>
        <vt:lpwstr/>
      </vt:variant>
      <vt:variant>
        <vt:i4>655408</vt:i4>
      </vt:variant>
      <vt:variant>
        <vt:i4>333</vt:i4>
      </vt:variant>
      <vt:variant>
        <vt:i4>0</vt:i4>
      </vt:variant>
      <vt:variant>
        <vt:i4>5</vt:i4>
      </vt:variant>
      <vt:variant>
        <vt:lpwstr>https://cps.iau.org/documents/42/Draft_IAU_CPS_position_statement_9Z8xEO1.pdf</vt:lpwstr>
      </vt:variant>
      <vt:variant>
        <vt:lpwstr/>
      </vt:variant>
      <vt:variant>
        <vt:i4>3211296</vt:i4>
      </vt:variant>
      <vt:variant>
        <vt:i4>330</vt:i4>
      </vt:variant>
      <vt:variant>
        <vt:i4>0</vt:i4>
      </vt:variant>
      <vt:variant>
        <vt:i4>5</vt:i4>
      </vt:variant>
      <vt:variant>
        <vt:lpwstr>https://www.aanda.org/component/article?access=doi&amp;doi=10.1051/0004-6361/202346374</vt:lpwstr>
      </vt:variant>
      <vt:variant>
        <vt:lpwstr/>
      </vt:variant>
      <vt:variant>
        <vt:i4>4522058</vt:i4>
      </vt:variant>
      <vt:variant>
        <vt:i4>327</vt:i4>
      </vt:variant>
      <vt:variant>
        <vt:i4>0</vt:i4>
      </vt:variant>
      <vt:variant>
        <vt:i4>5</vt:i4>
      </vt:variant>
      <vt:variant>
        <vt:lpwstr>https://op.europa.eu/en/publication-detail/-/publication/4c769094-41b5-11f0-b9f2-01aa75ed71a1/language-en</vt:lpwstr>
      </vt:variant>
      <vt:variant>
        <vt:lpwstr/>
      </vt:variant>
      <vt:variant>
        <vt:i4>3801127</vt:i4>
      </vt:variant>
      <vt:variant>
        <vt:i4>324</vt:i4>
      </vt:variant>
      <vt:variant>
        <vt:i4>0</vt:i4>
      </vt:variant>
      <vt:variant>
        <vt:i4>5</vt:i4>
      </vt:variant>
      <vt:variant>
        <vt:lpwstr>https://eur-lex.europa.eu/legal-content/EN/TXT/?uri=CELEX:52025SC0335.</vt:lpwstr>
      </vt:variant>
      <vt:variant>
        <vt:lpwstr/>
      </vt:variant>
      <vt:variant>
        <vt:i4>1507344</vt:i4>
      </vt:variant>
      <vt:variant>
        <vt:i4>321</vt:i4>
      </vt:variant>
      <vt:variant>
        <vt:i4>0</vt:i4>
      </vt:variant>
      <vt:variant>
        <vt:i4>5</vt:i4>
      </vt:variant>
      <vt:variant>
        <vt:lpwstr>https://op.europa.eu/en/publication-detail/-/publication/5c28e25b-41b3-11f0-b9f2-01aa75ed71a1/language-en</vt:lpwstr>
      </vt:variant>
      <vt:variant>
        <vt:lpwstr/>
      </vt:variant>
      <vt:variant>
        <vt:i4>1507344</vt:i4>
      </vt:variant>
      <vt:variant>
        <vt:i4>318</vt:i4>
      </vt:variant>
      <vt:variant>
        <vt:i4>0</vt:i4>
      </vt:variant>
      <vt:variant>
        <vt:i4>5</vt:i4>
      </vt:variant>
      <vt:variant>
        <vt:lpwstr>https://op.europa.eu/en/publication-detail/-/publication/5c28e25b-41b3-11f0-b9f2-01aa75ed71a1/language-en</vt:lpwstr>
      </vt:variant>
      <vt:variant>
        <vt:lpwstr/>
      </vt:variant>
      <vt:variant>
        <vt:i4>1376319</vt:i4>
      </vt:variant>
      <vt:variant>
        <vt:i4>315</vt:i4>
      </vt:variant>
      <vt:variant>
        <vt:i4>0</vt:i4>
      </vt:variant>
      <vt:variant>
        <vt:i4>5</vt:i4>
      </vt:variant>
      <vt:variant>
        <vt:lpwstr>https://publications.jrc.ec.europa.eu/repository/bitstream/JRC141966/JRC141966_01.pdf</vt:lpwstr>
      </vt:variant>
      <vt:variant>
        <vt:lpwstr/>
      </vt:variant>
      <vt:variant>
        <vt:i4>4521996</vt:i4>
      </vt:variant>
      <vt:variant>
        <vt:i4>312</vt:i4>
      </vt:variant>
      <vt:variant>
        <vt:i4>0</vt:i4>
      </vt:variant>
      <vt:variant>
        <vt:i4>5</vt:i4>
      </vt:variant>
      <vt:variant>
        <vt:lpwstr>https://digital-strategy.ec.europa.eu/en/library/investment-and-funding-needs-digital-decade-connectivity-targets</vt:lpwstr>
      </vt:variant>
      <vt:variant>
        <vt:lpwstr/>
      </vt:variant>
      <vt:variant>
        <vt:i4>1179691</vt:i4>
      </vt:variant>
      <vt:variant>
        <vt:i4>309</vt:i4>
      </vt:variant>
      <vt:variant>
        <vt:i4>0</vt:i4>
      </vt:variant>
      <vt:variant>
        <vt:i4>5</vt:i4>
      </vt:variant>
      <vt:variant>
        <vt:lpwstr>https://www.berec.europa.eu/system/files/2025-03/BoR %2825%29 33 BEREC Report on the Evolution of Private 5G Networks and interrelation with public networks in Europe_0.pdf</vt:lpwstr>
      </vt:variant>
      <vt:variant>
        <vt:lpwstr/>
      </vt:variant>
      <vt:variant>
        <vt:i4>6422587</vt:i4>
      </vt:variant>
      <vt:variant>
        <vt:i4>306</vt:i4>
      </vt:variant>
      <vt:variant>
        <vt:i4>0</vt:i4>
      </vt:variant>
      <vt:variant>
        <vt:i4>5</vt:i4>
      </vt:variant>
      <vt:variant>
        <vt:lpwstr>https://digital-strategy.ec.europa.eu/enc/library/investment-and-funding-needs-digital-decade-connectivity-targets</vt:lpwstr>
      </vt:variant>
      <vt:variant>
        <vt:lpwstr/>
      </vt:variant>
      <vt:variant>
        <vt:i4>7864431</vt:i4>
      </vt:variant>
      <vt:variant>
        <vt:i4>303</vt:i4>
      </vt:variant>
      <vt:variant>
        <vt:i4>0</vt:i4>
      </vt:variant>
      <vt:variant>
        <vt:i4>5</vt:i4>
      </vt:variant>
      <vt:variant>
        <vt:lpwstr>https://www.smallcellforum.org/docs/scf-market-forecast-report/</vt:lpwstr>
      </vt:variant>
      <vt:variant>
        <vt:lpwstr/>
      </vt:variant>
      <vt:variant>
        <vt:i4>7733282</vt:i4>
      </vt:variant>
      <vt:variant>
        <vt:i4>300</vt:i4>
      </vt:variant>
      <vt:variant>
        <vt:i4>0</vt:i4>
      </vt:variant>
      <vt:variant>
        <vt:i4>5</vt:i4>
      </vt:variant>
      <vt:variant>
        <vt:lpwstr>https://www.berec.europa.eu/en/document-categories/berec/reports/study-on-wholesale-mobile-connectivity-trends-and-issues-for-emerging-mobile-technologies-and-deployments</vt:lpwstr>
      </vt:variant>
      <vt:variant>
        <vt:lpwstr/>
      </vt:variant>
      <vt:variant>
        <vt:i4>3539062</vt:i4>
      </vt:variant>
      <vt:variant>
        <vt:i4>297</vt:i4>
      </vt:variant>
      <vt:variant>
        <vt:i4>0</vt:i4>
      </vt:variant>
      <vt:variant>
        <vt:i4>5</vt:i4>
      </vt:variant>
      <vt:variant>
        <vt:lpwstr>https://www.ookla.com/s/media/2025/02/ookla_omdia-5GSA_0225b.pdf</vt:lpwstr>
      </vt:variant>
      <vt:variant>
        <vt:lpwstr/>
      </vt:variant>
      <vt:variant>
        <vt:i4>6422634</vt:i4>
      </vt:variant>
      <vt:variant>
        <vt:i4>294</vt:i4>
      </vt:variant>
      <vt:variant>
        <vt:i4>0</vt:i4>
      </vt:variant>
      <vt:variant>
        <vt:i4>5</vt:i4>
      </vt:variant>
      <vt:variant>
        <vt:lpwstr>https://digital-strategy.ec.europa.eu/en/library/mobile-and-fixed-broadband-prices-europe-2022</vt:lpwstr>
      </vt:variant>
      <vt:variant>
        <vt:lpwstr/>
      </vt:variant>
      <vt:variant>
        <vt:i4>5963863</vt:i4>
      </vt:variant>
      <vt:variant>
        <vt:i4>291</vt:i4>
      </vt:variant>
      <vt:variant>
        <vt:i4>0</vt:i4>
      </vt:variant>
      <vt:variant>
        <vt:i4>5</vt:i4>
      </vt:variant>
      <vt:variant>
        <vt:lpwstr>https://ec.europa.eu/docsroom/documents/63274</vt:lpwstr>
      </vt:variant>
      <vt:variant>
        <vt:lpwstr/>
      </vt:variant>
      <vt:variant>
        <vt:i4>5832721</vt:i4>
      </vt:variant>
      <vt:variant>
        <vt:i4>288</vt:i4>
      </vt:variant>
      <vt:variant>
        <vt:i4>0</vt:i4>
      </vt:variant>
      <vt:variant>
        <vt:i4>5</vt:i4>
      </vt:variant>
      <vt:variant>
        <vt:lpwstr>https://op.europa.eu/en/publication-detail/-/publication/036d50f1-a1e2-11ed-b508-01aa75ed71a1</vt:lpwstr>
      </vt:variant>
      <vt:variant>
        <vt:lpwstr/>
      </vt:variant>
      <vt:variant>
        <vt:i4>4784134</vt:i4>
      </vt:variant>
      <vt:variant>
        <vt:i4>285</vt:i4>
      </vt:variant>
      <vt:variant>
        <vt:i4>0</vt:i4>
      </vt:variant>
      <vt:variant>
        <vt:i4>5</vt:i4>
      </vt:variant>
      <vt:variant>
        <vt:lpwstr>https://rspg-spectrum.eu/</vt:lpwstr>
      </vt:variant>
      <vt:variant>
        <vt:lpwstr/>
      </vt:variant>
      <vt:variant>
        <vt:i4>5832721</vt:i4>
      </vt:variant>
      <vt:variant>
        <vt:i4>282</vt:i4>
      </vt:variant>
      <vt:variant>
        <vt:i4>0</vt:i4>
      </vt:variant>
      <vt:variant>
        <vt:i4>5</vt:i4>
      </vt:variant>
      <vt:variant>
        <vt:lpwstr>https://op.europa.eu/en/publication-detail/-/publication/036d50f1-a1e2-11ed-b508-01aa75ed71a1</vt:lpwstr>
      </vt:variant>
      <vt:variant>
        <vt:lpwstr/>
      </vt:variant>
      <vt:variant>
        <vt:i4>6881320</vt:i4>
      </vt:variant>
      <vt:variant>
        <vt:i4>279</vt:i4>
      </vt:variant>
      <vt:variant>
        <vt:i4>0</vt:i4>
      </vt:variant>
      <vt:variant>
        <vt:i4>5</vt:i4>
      </vt:variant>
      <vt:variant>
        <vt:lpwstr>https://eceuropaeu.sharepoint.com/teams/GRP-ConnectivitypackageII-DNA/Shared Documents/DNA/POST ISC DOCUMENTS/IMPACT ASSESSMENT/IA revision/Shared with ISCG members/Available online at: https:/op.europa.eu/publication-detail/-/publication/036d50f1-a1e2-11ed-b508-01aa75ed71a1).</vt:lpwstr>
      </vt:variant>
      <vt:variant>
        <vt:lpwstr/>
      </vt:variant>
      <vt:variant>
        <vt:i4>2687060</vt:i4>
      </vt:variant>
      <vt:variant>
        <vt:i4>276</vt:i4>
      </vt:variant>
      <vt:variant>
        <vt:i4>0</vt:i4>
      </vt:variant>
      <vt:variant>
        <vt:i4>5</vt:i4>
      </vt:variant>
      <vt:variant>
        <vt:lpwstr>https://www.bundesnetzagentur.de/SharedDocs/Downloads/EN/Areas/Telecommunications/Companies/TelecomRegulation/FrequencyManagement/ElectronicCommunicationsServices/FrequencyAward2018/20181214_Decision_III_IV.pdf?__blob=publicationFile&amp;v=1</vt:lpwstr>
      </vt:variant>
      <vt:variant>
        <vt:lpwstr/>
      </vt:variant>
      <vt:variant>
        <vt:i4>589837</vt:i4>
      </vt:variant>
      <vt:variant>
        <vt:i4>273</vt:i4>
      </vt:variant>
      <vt:variant>
        <vt:i4>0</vt:i4>
      </vt:variant>
      <vt:variant>
        <vt:i4>5</vt:i4>
      </vt:variant>
      <vt:variant>
        <vt:lpwstr>https://www.ofcom.org.uk/siteassets/resources/documents/consultations/category-1-10-weeks/129955-award-of-the-700-mhz-and-3.6-3.8-ghz-spectrum/responses/response-to-2020-further-consultation-bt</vt:lpwstr>
      </vt:variant>
      <vt:variant>
        <vt:lpwstr/>
      </vt:variant>
      <vt:variant>
        <vt:i4>3145785</vt:i4>
      </vt:variant>
      <vt:variant>
        <vt:i4>270</vt:i4>
      </vt:variant>
      <vt:variant>
        <vt:i4>0</vt:i4>
      </vt:variant>
      <vt:variant>
        <vt:i4>5</vt:i4>
      </vt:variant>
      <vt:variant>
        <vt:lpwstr>https://www.ofcom.org.uk/siteassets/resources/documents/consultations/uncategorised/93522-award-of-the-spectrum-bands/responses/qualcomm.pdf p8</vt:lpwstr>
      </vt:variant>
      <vt:variant>
        <vt:lpwstr/>
      </vt:variant>
      <vt:variant>
        <vt:i4>6094930</vt:i4>
      </vt:variant>
      <vt:variant>
        <vt:i4>267</vt:i4>
      </vt:variant>
      <vt:variant>
        <vt:i4>0</vt:i4>
      </vt:variant>
      <vt:variant>
        <vt:i4>5</vt:i4>
      </vt:variant>
      <vt:variant>
        <vt:lpwstr>https://digital-strategy.ec.europa.eu/en/library/mobile-and-fixed-broadband-price-europe-2023-insights-european-broadband-market</vt:lpwstr>
      </vt:variant>
      <vt:variant>
        <vt:lpwstr/>
      </vt:variant>
      <vt:variant>
        <vt:i4>8192059</vt:i4>
      </vt:variant>
      <vt:variant>
        <vt:i4>264</vt:i4>
      </vt:variant>
      <vt:variant>
        <vt:i4>0</vt:i4>
      </vt:variant>
      <vt:variant>
        <vt:i4>5</vt:i4>
      </vt:variant>
      <vt:variant>
        <vt:lpwstr>https://medux.com/blog/europes-5g-progress-meeting-expectations</vt:lpwstr>
      </vt:variant>
      <vt:variant>
        <vt:lpwstr/>
      </vt:variant>
      <vt:variant>
        <vt:i4>1900620</vt:i4>
      </vt:variant>
      <vt:variant>
        <vt:i4>261</vt:i4>
      </vt:variant>
      <vt:variant>
        <vt:i4>0</vt:i4>
      </vt:variant>
      <vt:variant>
        <vt:i4>5</vt:i4>
      </vt:variant>
      <vt:variant>
        <vt:lpwstr>https://www.umweltbundesamt.de/daten/umwelt-wirtschaft/gesellschaftliche-kosten-von-umweltbelastungen</vt:lpwstr>
      </vt:variant>
      <vt:variant>
        <vt:lpwstr>gesamtwirtschaftliche-bedeutung-der-umweltkosten</vt:lpwstr>
      </vt:variant>
      <vt:variant>
        <vt:i4>6946916</vt:i4>
      </vt:variant>
      <vt:variant>
        <vt:i4>258</vt:i4>
      </vt:variant>
      <vt:variant>
        <vt:i4>0</vt:i4>
      </vt:variant>
      <vt:variant>
        <vt:i4>5</vt:i4>
      </vt:variant>
      <vt:variant>
        <vt:lpwstr>https://www.berec.europa.eu/en/document-categories/berec/reports/external-sustainability-study-on-environmental-impact-of-electronic-communications</vt:lpwstr>
      </vt:variant>
      <vt:variant>
        <vt:lpwstr/>
      </vt:variant>
      <vt:variant>
        <vt:i4>655361</vt:i4>
      </vt:variant>
      <vt:variant>
        <vt:i4>255</vt:i4>
      </vt:variant>
      <vt:variant>
        <vt:i4>0</vt:i4>
      </vt:variant>
      <vt:variant>
        <vt:i4>5</vt:i4>
      </vt:variant>
      <vt:variant>
        <vt:lpwstr>https://eneroutlook.enerdata.net/forecast-world-co2-intensity-of-electricity-generation.html</vt:lpwstr>
      </vt:variant>
      <vt:variant>
        <vt:lpwstr/>
      </vt:variant>
      <vt:variant>
        <vt:i4>3801183</vt:i4>
      </vt:variant>
      <vt:variant>
        <vt:i4>252</vt:i4>
      </vt:variant>
      <vt:variant>
        <vt:i4>0</vt:i4>
      </vt:variant>
      <vt:variant>
        <vt:i4>5</vt:i4>
      </vt:variant>
      <vt:variant>
        <vt:lpwstr>https://www.oxfordeconomics.com/wp-content/uploads/2023/03/GlobalEconomicPotential5G_290323.pdf</vt:lpwstr>
      </vt:variant>
      <vt:variant>
        <vt:lpwstr/>
      </vt:variant>
      <vt:variant>
        <vt:i4>1310792</vt:i4>
      </vt:variant>
      <vt:variant>
        <vt:i4>249</vt:i4>
      </vt:variant>
      <vt:variant>
        <vt:i4>0</vt:i4>
      </vt:variant>
      <vt:variant>
        <vt:i4>5</vt:i4>
      </vt:variant>
      <vt:variant>
        <vt:lpwstr>https://www.econstor.eu/bitstream/10419/238018/1/Edquist.pdf</vt:lpwstr>
      </vt:variant>
      <vt:variant>
        <vt:lpwstr/>
      </vt:variant>
      <vt:variant>
        <vt:i4>3801183</vt:i4>
      </vt:variant>
      <vt:variant>
        <vt:i4>246</vt:i4>
      </vt:variant>
      <vt:variant>
        <vt:i4>0</vt:i4>
      </vt:variant>
      <vt:variant>
        <vt:i4>5</vt:i4>
      </vt:variant>
      <vt:variant>
        <vt:lpwstr>https://www.oxfordeconomics.com/wp-content/uploads/2023/03/GlobalEconomicPotential5G_290323.pdf</vt:lpwstr>
      </vt:variant>
      <vt:variant>
        <vt:lpwstr/>
      </vt:variant>
      <vt:variant>
        <vt:i4>6094914</vt:i4>
      </vt:variant>
      <vt:variant>
        <vt:i4>243</vt:i4>
      </vt:variant>
      <vt:variant>
        <vt:i4>0</vt:i4>
      </vt:variant>
      <vt:variant>
        <vt:i4>5</vt:i4>
      </vt:variant>
      <vt:variant>
        <vt:lpwstr>https://www.gsma.com/solutions-and-impact/connectivity-for-good/mobile-economy/wp-content/uploads/2023/03/270223-The-Mobile-Economy-2023.pdf</vt:lpwstr>
      </vt:variant>
      <vt:variant>
        <vt:lpwstr/>
      </vt:variant>
      <vt:variant>
        <vt:i4>3211379</vt:i4>
      </vt:variant>
      <vt:variant>
        <vt:i4>240</vt:i4>
      </vt:variant>
      <vt:variant>
        <vt:i4>0</vt:i4>
      </vt:variant>
      <vt:variant>
        <vt:i4>5</vt:i4>
      </vt:variant>
      <vt:variant>
        <vt:lpwstr>https://www.ericsson.com/en/reports-and-papers/mobility-report/key-figures</vt:lpwstr>
      </vt:variant>
      <vt:variant>
        <vt:lpwstr/>
      </vt:variant>
      <vt:variant>
        <vt:i4>4849740</vt:i4>
      </vt:variant>
      <vt:variant>
        <vt:i4>237</vt:i4>
      </vt:variant>
      <vt:variant>
        <vt:i4>0</vt:i4>
      </vt:variant>
      <vt:variant>
        <vt:i4>5</vt:i4>
      </vt:variant>
      <vt:variant>
        <vt:lpwstr>https://www.ericsson.com/49e9b6/assets/local/reports-papers/mobility-report/documents/2025/ericsson-mobility-report-june-2025.pdf</vt:lpwstr>
      </vt:variant>
      <vt:variant>
        <vt:lpwstr/>
      </vt:variant>
      <vt:variant>
        <vt:i4>4325391</vt:i4>
      </vt:variant>
      <vt:variant>
        <vt:i4>234</vt:i4>
      </vt:variant>
      <vt:variant>
        <vt:i4>0</vt:i4>
      </vt:variant>
      <vt:variant>
        <vt:i4>5</vt:i4>
      </vt:variant>
      <vt:variant>
        <vt:lpwstr>https://www.opensignal.com/2020/10/21/5g-users-on-average-consume-up-to-27x-more-mobile-data-compared-to-4g-users</vt:lpwstr>
      </vt:variant>
      <vt:variant>
        <vt:lpwstr/>
      </vt:variant>
      <vt:variant>
        <vt:i4>7143475</vt:i4>
      </vt:variant>
      <vt:variant>
        <vt:i4>231</vt:i4>
      </vt:variant>
      <vt:variant>
        <vt:i4>0</vt:i4>
      </vt:variant>
      <vt:variant>
        <vt:i4>5</vt:i4>
      </vt:variant>
      <vt:variant>
        <vt:lpwstr>https://www.ookla.com/articles/europe-5gsa-2025</vt:lpwstr>
      </vt:variant>
      <vt:variant>
        <vt:lpwstr/>
      </vt:variant>
      <vt:variant>
        <vt:i4>983131</vt:i4>
      </vt:variant>
      <vt:variant>
        <vt:i4>228</vt:i4>
      </vt:variant>
      <vt:variant>
        <vt:i4>0</vt:i4>
      </vt:variant>
      <vt:variant>
        <vt:i4>5</vt:i4>
      </vt:variant>
      <vt:variant>
        <vt:lpwstr>https://www.opensignal.com/2023/06/29/5g-is-more-consistent-than-4g-across-all-hours-of-the-day-in-the-uk</vt:lpwstr>
      </vt:variant>
      <vt:variant>
        <vt:lpwstr/>
      </vt:variant>
      <vt:variant>
        <vt:i4>196685</vt:i4>
      </vt:variant>
      <vt:variant>
        <vt:i4>225</vt:i4>
      </vt:variant>
      <vt:variant>
        <vt:i4>0</vt:i4>
      </vt:variant>
      <vt:variant>
        <vt:i4>5</vt:i4>
      </vt:variant>
      <vt:variant>
        <vt:lpwstr>https://www.opensignal.com/2024/05/07/frances-urban-rural-mobile-experience-gap-has-narrowed-with-5g</vt:lpwstr>
      </vt:variant>
      <vt:variant>
        <vt:lpwstr/>
      </vt:variant>
      <vt:variant>
        <vt:i4>7798897</vt:i4>
      </vt:variant>
      <vt:variant>
        <vt:i4>222</vt:i4>
      </vt:variant>
      <vt:variant>
        <vt:i4>0</vt:i4>
      </vt:variant>
      <vt:variant>
        <vt:i4>5</vt:i4>
      </vt:variant>
      <vt:variant>
        <vt:lpwstr>https://www.statista.com/statistics/689876/average-mobile-speeds-download-and-upload-in-western-europe/</vt:lpwstr>
      </vt:variant>
      <vt:variant>
        <vt:lpwstr/>
      </vt:variant>
      <vt:variant>
        <vt:i4>6094943</vt:i4>
      </vt:variant>
      <vt:variant>
        <vt:i4>219</vt:i4>
      </vt:variant>
      <vt:variant>
        <vt:i4>0</vt:i4>
      </vt:variant>
      <vt:variant>
        <vt:i4>5</vt:i4>
      </vt:variant>
      <vt:variant>
        <vt:lpwstr>https://medux.com/blog/all-5g-networks-are-not-created-equal-unveiling-true-qoe-5g-europe-lll</vt:lpwstr>
      </vt:variant>
      <vt:variant>
        <vt:lpwstr/>
      </vt:variant>
      <vt:variant>
        <vt:i4>917532</vt:i4>
      </vt:variant>
      <vt:variant>
        <vt:i4>216</vt:i4>
      </vt:variant>
      <vt:variant>
        <vt:i4>0</vt:i4>
      </vt:variant>
      <vt:variant>
        <vt:i4>5</vt:i4>
      </vt:variant>
      <vt:variant>
        <vt:lpwstr>https://www.opensignal.com/2025/07/02/more-frequencies-higher-impact-how-spectrum-band-usage-for-5g-is-expanding-across-europe/dt</vt:lpwstr>
      </vt:variant>
      <vt:variant>
        <vt:lpwstr/>
      </vt:variant>
      <vt:variant>
        <vt:i4>917532</vt:i4>
      </vt:variant>
      <vt:variant>
        <vt:i4>213</vt:i4>
      </vt:variant>
      <vt:variant>
        <vt:i4>0</vt:i4>
      </vt:variant>
      <vt:variant>
        <vt:i4>5</vt:i4>
      </vt:variant>
      <vt:variant>
        <vt:lpwstr>https://www.opensignal.com/2025/07/02/more-frequencies-higher-impact-how-spectrum-band-usage-for-5g-is-expanding-across-europe/dt</vt:lpwstr>
      </vt:variant>
      <vt:variant>
        <vt:lpwstr/>
      </vt:variant>
      <vt:variant>
        <vt:i4>917532</vt:i4>
      </vt:variant>
      <vt:variant>
        <vt:i4>210</vt:i4>
      </vt:variant>
      <vt:variant>
        <vt:i4>0</vt:i4>
      </vt:variant>
      <vt:variant>
        <vt:i4>5</vt:i4>
      </vt:variant>
      <vt:variant>
        <vt:lpwstr>https://www.opensignal.com/2025/07/02/more-frequencies-higher-impact-how-spectrum-band-usage-for-5g-is-expanding-across-europe/dt</vt:lpwstr>
      </vt:variant>
      <vt:variant>
        <vt:lpwstr/>
      </vt:variant>
      <vt:variant>
        <vt:i4>7864358</vt:i4>
      </vt:variant>
      <vt:variant>
        <vt:i4>207</vt:i4>
      </vt:variant>
      <vt:variant>
        <vt:i4>0</vt:i4>
      </vt:variant>
      <vt:variant>
        <vt:i4>5</vt:i4>
      </vt:variant>
      <vt:variant>
        <vt:lpwstr>https://www.opensignal.com/market-insights</vt:lpwstr>
      </vt:variant>
      <vt:variant>
        <vt:lpwstr/>
      </vt:variant>
      <vt:variant>
        <vt:i4>917532</vt:i4>
      </vt:variant>
      <vt:variant>
        <vt:i4>204</vt:i4>
      </vt:variant>
      <vt:variant>
        <vt:i4>0</vt:i4>
      </vt:variant>
      <vt:variant>
        <vt:i4>5</vt:i4>
      </vt:variant>
      <vt:variant>
        <vt:lpwstr>https://www.opensignal.com/2025/07/02/more-frequencies-higher-impact-how-spectrum-band-usage-for-5g-is-expanding-across-europe/dt</vt:lpwstr>
      </vt:variant>
      <vt:variant>
        <vt:lpwstr/>
      </vt:variant>
      <vt:variant>
        <vt:i4>1507336</vt:i4>
      </vt:variant>
      <vt:variant>
        <vt:i4>201</vt:i4>
      </vt:variant>
      <vt:variant>
        <vt:i4>0</vt:i4>
      </vt:variant>
      <vt:variant>
        <vt:i4>5</vt:i4>
      </vt:variant>
      <vt:variant>
        <vt:lpwstr>https://www.opensignal.com/2024/02/01/mobile-network-speeds-leaped-ahead-in-2023-but-some-markets-lag-behind</vt:lpwstr>
      </vt:variant>
      <vt:variant>
        <vt:lpwstr/>
      </vt:variant>
      <vt:variant>
        <vt:i4>917532</vt:i4>
      </vt:variant>
      <vt:variant>
        <vt:i4>195</vt:i4>
      </vt:variant>
      <vt:variant>
        <vt:i4>0</vt:i4>
      </vt:variant>
      <vt:variant>
        <vt:i4>5</vt:i4>
      </vt:variant>
      <vt:variant>
        <vt:lpwstr>https://www.opensignal.com/2025/07/02/more-frequencies-higher-impact-how-spectrum-band-usage-for-5g-is-expanding-across-europe/dt</vt:lpwstr>
      </vt:variant>
      <vt:variant>
        <vt:lpwstr/>
      </vt:variant>
      <vt:variant>
        <vt:i4>4325455</vt:i4>
      </vt:variant>
      <vt:variant>
        <vt:i4>192</vt:i4>
      </vt:variant>
      <vt:variant>
        <vt:i4>0</vt:i4>
      </vt:variant>
      <vt:variant>
        <vt:i4>5</vt:i4>
      </vt:variant>
      <vt:variant>
        <vt:lpwstr>https://digital-decade-desi.digital-strategy.ec.europa.eu/datasets/desi/charts/desi-indicators?indicator=desi_5gcov&amp;indicatorGroup=desi2023-2&amp;breakdown=total_pophh&amp;period=desi_2025&amp;unit=pc_hh&amp;country=AT,BE,BG,HR,CY,CZ,DK,EE,EU,FI,FR,DE,EL,HU,IE,IT,LV,LT,LU,MT,NL,PL,PT,RO,SK,SI,ES,SE</vt:lpwstr>
      </vt:variant>
      <vt:variant>
        <vt:lpwstr/>
      </vt:variant>
      <vt:variant>
        <vt:i4>2883705</vt:i4>
      </vt:variant>
      <vt:variant>
        <vt:i4>189</vt:i4>
      </vt:variant>
      <vt:variant>
        <vt:i4>0</vt:i4>
      </vt:variant>
      <vt:variant>
        <vt:i4>5</vt:i4>
      </vt:variant>
      <vt:variant>
        <vt:lpwstr>https://data.worldbank.org/indicator/SP.URB.TOTL.IN.ZS</vt:lpwstr>
      </vt:variant>
      <vt:variant>
        <vt:lpwstr/>
      </vt:variant>
      <vt:variant>
        <vt:i4>3801169</vt:i4>
      </vt:variant>
      <vt:variant>
        <vt:i4>186</vt:i4>
      </vt:variant>
      <vt:variant>
        <vt:i4>0</vt:i4>
      </vt:variant>
      <vt:variant>
        <vt:i4>5</vt:i4>
      </vt:variant>
      <vt:variant>
        <vt:lpwstr>https://ec.europa.eu/eurostat/databrowser/view/DEMO_R_D3DENS__custom_10822572/bookmark/table?lang=en&amp;bookmarkId=9daaf3b7-86a3-40fc-9171-fcd05d859892&amp;c=1712824409289</vt:lpwstr>
      </vt:variant>
      <vt:variant>
        <vt:lpwstr/>
      </vt:variant>
      <vt:variant>
        <vt:i4>2883705</vt:i4>
      </vt:variant>
      <vt:variant>
        <vt:i4>183</vt:i4>
      </vt:variant>
      <vt:variant>
        <vt:i4>0</vt:i4>
      </vt:variant>
      <vt:variant>
        <vt:i4>5</vt:i4>
      </vt:variant>
      <vt:variant>
        <vt:lpwstr>https://data.worldbank.org/indicator/SP.URB.TOTL.IN.ZS</vt:lpwstr>
      </vt:variant>
      <vt:variant>
        <vt:lpwstr/>
      </vt:variant>
      <vt:variant>
        <vt:i4>3801169</vt:i4>
      </vt:variant>
      <vt:variant>
        <vt:i4>180</vt:i4>
      </vt:variant>
      <vt:variant>
        <vt:i4>0</vt:i4>
      </vt:variant>
      <vt:variant>
        <vt:i4>5</vt:i4>
      </vt:variant>
      <vt:variant>
        <vt:lpwstr>https://ec.europa.eu/eurostat/databrowser/view/DEMO_R_D3DENS__custom_10822572/bookmark/table?lang=en&amp;bookmarkId=9daaf3b7-86a3-40fc-9171-fcd05d859892&amp;c=1712824409289</vt:lpwstr>
      </vt:variant>
      <vt:variant>
        <vt:lpwstr/>
      </vt:variant>
      <vt:variant>
        <vt:i4>1245266</vt:i4>
      </vt:variant>
      <vt:variant>
        <vt:i4>177</vt:i4>
      </vt:variant>
      <vt:variant>
        <vt:i4>0</vt:i4>
      </vt:variant>
      <vt:variant>
        <vt:i4>5</vt:i4>
      </vt:variant>
      <vt:variant>
        <vt:lpwstr>https://www.eea.europa.eu/soer/2015/europe/urban-systems</vt:lpwstr>
      </vt:variant>
      <vt:variant>
        <vt:lpwstr/>
      </vt:variant>
      <vt:variant>
        <vt:i4>1048650</vt:i4>
      </vt:variant>
      <vt:variant>
        <vt:i4>174</vt:i4>
      </vt:variant>
      <vt:variant>
        <vt:i4>0</vt:i4>
      </vt:variant>
      <vt:variant>
        <vt:i4>5</vt:i4>
      </vt:variant>
      <vt:variant>
        <vt:lpwstr>https://digital-decade-desi.digital-strategy.ec.europa.eu/datasets/desi/charts/desi-indicators?indicator=desi_5gcov_3400_3800&amp;indicatorGroup=desi2023-2&amp;breakdown=hh_deg3&amp;period=desi_2024&amp;unit=pc_hh&amp;country=AT,BE,BG,HR,CY,CZ,DK,EE,EU,FI,FR,DE,EL,HU,IE,IT,LV,LT,LU,MT,NL,PL,PT,RO,SK,SI,ES,SE</vt:lpwstr>
      </vt:variant>
      <vt:variant>
        <vt:lpwstr/>
      </vt:variant>
      <vt:variant>
        <vt:i4>8060964</vt:i4>
      </vt:variant>
      <vt:variant>
        <vt:i4>171</vt:i4>
      </vt:variant>
      <vt:variant>
        <vt:i4>0</vt:i4>
      </vt:variant>
      <vt:variant>
        <vt:i4>5</vt:i4>
      </vt:variant>
      <vt:variant>
        <vt:lpwstr>https://www.intereconomics.eu/pdf-download/year/2008/number/3/article/economic-impacts-of-alternative-uses-of-the-digital-dividend.html</vt:lpwstr>
      </vt:variant>
      <vt:variant>
        <vt:lpwstr/>
      </vt:variant>
      <vt:variant>
        <vt:i4>786435</vt:i4>
      </vt:variant>
      <vt:variant>
        <vt:i4>168</vt:i4>
      </vt:variant>
      <vt:variant>
        <vt:i4>0</vt:i4>
      </vt:variant>
      <vt:variant>
        <vt:i4>5</vt:i4>
      </vt:variant>
      <vt:variant>
        <vt:lpwstr>https://www.ericsson.com/en/reports-and-papers/mobility-report/reports/june-2025</vt:lpwstr>
      </vt:variant>
      <vt:variant>
        <vt:lpwstr/>
      </vt:variant>
      <vt:variant>
        <vt:i4>4849668</vt:i4>
      </vt:variant>
      <vt:variant>
        <vt:i4>165</vt:i4>
      </vt:variant>
      <vt:variant>
        <vt:i4>0</vt:i4>
      </vt:variant>
      <vt:variant>
        <vt:i4>5</vt:i4>
      </vt:variant>
      <vt:variant>
        <vt:lpwstr>https://digital-strategy.ec.europa.eu/en/library/digital-decade-2024-desi-methodological-note</vt:lpwstr>
      </vt:variant>
      <vt:variant>
        <vt:lpwstr/>
      </vt:variant>
      <vt:variant>
        <vt:i4>6619262</vt:i4>
      </vt:variant>
      <vt:variant>
        <vt:i4>162</vt:i4>
      </vt:variant>
      <vt:variant>
        <vt:i4>0</vt:i4>
      </vt:variant>
      <vt:variant>
        <vt:i4>5</vt:i4>
      </vt:variant>
      <vt:variant>
        <vt:lpwstr>https://www.ericsson.com/en/reports-and-papers/mobility-report/articles/securing-the-right-5g-spectrum</vt:lpwstr>
      </vt:variant>
      <vt:variant>
        <vt:lpwstr/>
      </vt:variant>
      <vt:variant>
        <vt:i4>5898324</vt:i4>
      </vt:variant>
      <vt:variant>
        <vt:i4>159</vt:i4>
      </vt:variant>
      <vt:variant>
        <vt:i4>0</vt:i4>
      </vt:variant>
      <vt:variant>
        <vt:i4>5</vt:i4>
      </vt:variant>
      <vt:variant>
        <vt:lpwstr>https://www.ericsson.com/en/reports-and-papers/mobility-report/dataforecasts/network-coverage</vt:lpwstr>
      </vt:variant>
      <vt:variant>
        <vt:lpwstr/>
      </vt:variant>
      <vt:variant>
        <vt:i4>3801205</vt:i4>
      </vt:variant>
      <vt:variant>
        <vt:i4>156</vt:i4>
      </vt:variant>
      <vt:variant>
        <vt:i4>0</vt:i4>
      </vt:variant>
      <vt:variant>
        <vt:i4>5</vt:i4>
      </vt:variant>
      <vt:variant>
        <vt:lpwstr>https://www.ericsson.com/49e9b6/a/ssets/local/reports-papers/mobility-report/documents/2025/ericsson-mobility-report-june-2025.pdf</vt:lpwstr>
      </vt:variant>
      <vt:variant>
        <vt:lpwstr/>
      </vt:variant>
      <vt:variant>
        <vt:i4>5046284</vt:i4>
      </vt:variant>
      <vt:variant>
        <vt:i4>153</vt:i4>
      </vt:variant>
      <vt:variant>
        <vt:i4>0</vt:i4>
      </vt:variant>
      <vt:variant>
        <vt:i4>5</vt:i4>
      </vt:variant>
      <vt:variant>
        <vt:lpwstr>https://ec.europa.eu/newsroom/dae/redirection/document/116970</vt:lpwstr>
      </vt:variant>
      <vt:variant>
        <vt:lpwstr/>
      </vt:variant>
      <vt:variant>
        <vt:i4>2359396</vt:i4>
      </vt:variant>
      <vt:variant>
        <vt:i4>150</vt:i4>
      </vt:variant>
      <vt:variant>
        <vt:i4>0</vt:i4>
      </vt:variant>
      <vt:variant>
        <vt:i4>5</vt:i4>
      </vt:variant>
      <vt:variant>
        <vt:lpwstr>https://www.datacenterdynamics.com/en/opinions/the-world-is-running-short-of-copper-telecoms-networks-could-be-the-answer/</vt:lpwstr>
      </vt:variant>
      <vt:variant>
        <vt:lpwstr/>
      </vt:variant>
      <vt:variant>
        <vt:i4>7995491</vt:i4>
      </vt:variant>
      <vt:variant>
        <vt:i4>147</vt:i4>
      </vt:variant>
      <vt:variant>
        <vt:i4>0</vt:i4>
      </vt:variant>
      <vt:variant>
        <vt:i4>5</vt:i4>
      </vt:variant>
      <vt:variant>
        <vt:lpwstr>https://www.ispreview.co.uk/index.php/2024/09/bt-get-105m-for-first-sale-of-old-uk-copper-telecoms-cables.html</vt:lpwstr>
      </vt:variant>
      <vt:variant>
        <vt:lpwstr/>
      </vt:variant>
      <vt:variant>
        <vt:i4>4456514</vt:i4>
      </vt:variant>
      <vt:variant>
        <vt:i4>144</vt:i4>
      </vt:variant>
      <vt:variant>
        <vt:i4>0</vt:i4>
      </vt:variant>
      <vt:variant>
        <vt:i4>5</vt:i4>
      </vt:variant>
      <vt:variant>
        <vt:lpwstr>https://www.bt.com/bt-plc/assets/documents/investors/financial-reporting-and-news/annual-reports/2024/2024-bt-group-plc-annual-report.pdf</vt:lpwstr>
      </vt:variant>
      <vt:variant>
        <vt:lpwstr/>
      </vt:variant>
      <vt:variant>
        <vt:i4>6619255</vt:i4>
      </vt:variant>
      <vt:variant>
        <vt:i4>141</vt:i4>
      </vt:variant>
      <vt:variant>
        <vt:i4>0</vt:i4>
      </vt:variant>
      <vt:variant>
        <vt:i4>5</vt:i4>
      </vt:variant>
      <vt:variant>
        <vt:lpwstr>https://www.eea.europa.eu/en/datahub/datahubitem-view/3b7fe76c-524a-439a-bfd2-a6e4046302a2?activeAccordion=1091606</vt:lpwstr>
      </vt:variant>
      <vt:variant>
        <vt:lpwstr/>
      </vt:variant>
      <vt:variant>
        <vt:i4>6160418</vt:i4>
      </vt:variant>
      <vt:variant>
        <vt:i4>138</vt:i4>
      </vt:variant>
      <vt:variant>
        <vt:i4>0</vt:i4>
      </vt:variant>
      <vt:variant>
        <vt:i4>5</vt:i4>
      </vt:variant>
      <vt:variant>
        <vt:lpwstr>https://stokab.se/download/18.15d457b6178eff38ee02a4/1619693498369/Neutral fibre and the European Green Deal_2021.pdf</vt:lpwstr>
      </vt:variant>
      <vt:variant>
        <vt:lpwstr/>
      </vt:variant>
      <vt:variant>
        <vt:i4>1900595</vt:i4>
      </vt:variant>
      <vt:variant>
        <vt:i4>135</vt:i4>
      </vt:variant>
      <vt:variant>
        <vt:i4>0</vt:i4>
      </vt:variant>
      <vt:variant>
        <vt:i4>5</vt:i4>
      </vt:variant>
      <vt:variant>
        <vt:lpwstr>https://www.brekoverband.de/wp-content/uploads/2025/03/gutachten_nachhaltigkeit_2_v09_final_2024-1-22.pdf</vt:lpwstr>
      </vt:variant>
      <vt:variant>
        <vt:lpwstr/>
      </vt:variant>
      <vt:variant>
        <vt:i4>2162769</vt:i4>
      </vt:variant>
      <vt:variant>
        <vt:i4>132</vt:i4>
      </vt:variant>
      <vt:variant>
        <vt:i4>0</vt:i4>
      </vt:variant>
      <vt:variant>
        <vt:i4>5</vt:i4>
      </vt:variant>
      <vt:variant>
        <vt:lpwstr>https://www.analysysmason.com/contentassets/1d7e13ed1dba4cc6917daa023f27834b/analysys_mason_fibre_in_europe_may2023.pdf</vt:lpwstr>
      </vt:variant>
      <vt:variant>
        <vt:lpwstr/>
      </vt:variant>
      <vt:variant>
        <vt:i4>2162769</vt:i4>
      </vt:variant>
      <vt:variant>
        <vt:i4>129</vt:i4>
      </vt:variant>
      <vt:variant>
        <vt:i4>0</vt:i4>
      </vt:variant>
      <vt:variant>
        <vt:i4>5</vt:i4>
      </vt:variant>
      <vt:variant>
        <vt:lpwstr>https://www.analysysmason.com/contentassets/1d7e13ed1dba4cc6917daa023f27834b/analysys_mason_fibre_in_europe_may2023.pdf</vt:lpwstr>
      </vt:variant>
      <vt:variant>
        <vt:lpwstr/>
      </vt:variant>
      <vt:variant>
        <vt:i4>5373962</vt:i4>
      </vt:variant>
      <vt:variant>
        <vt:i4>126</vt:i4>
      </vt:variant>
      <vt:variant>
        <vt:i4>0</vt:i4>
      </vt:variant>
      <vt:variant>
        <vt:i4>5</vt:i4>
      </vt:variant>
      <vt:variant>
        <vt:lpwstr>C:\Users\gr\Downloads\Oeko-Effekte_20241206_Bericht (1).pdf</vt:lpwstr>
      </vt:variant>
      <vt:variant>
        <vt:lpwstr/>
      </vt:variant>
      <vt:variant>
        <vt:i4>4784165</vt:i4>
      </vt:variant>
      <vt:variant>
        <vt:i4>123</vt:i4>
      </vt:variant>
      <vt:variant>
        <vt:i4>0</vt:i4>
      </vt:variant>
      <vt:variant>
        <vt:i4>5</vt:i4>
      </vt:variant>
      <vt:variant>
        <vt:lpwstr>https://www.wik.org/fileadmin/user_upload/Unternehmen/Veroeffentlichungen/Working_Papers/2024/WIK_Working_Paper_No10.pdf</vt:lpwstr>
      </vt:variant>
      <vt:variant>
        <vt:lpwstr/>
      </vt:variant>
      <vt:variant>
        <vt:i4>1900595</vt:i4>
      </vt:variant>
      <vt:variant>
        <vt:i4>120</vt:i4>
      </vt:variant>
      <vt:variant>
        <vt:i4>0</vt:i4>
      </vt:variant>
      <vt:variant>
        <vt:i4>5</vt:i4>
      </vt:variant>
      <vt:variant>
        <vt:lpwstr>https://www.brekoverband.de/wp-content/uploads/2025/03/gutachten_nachhaltigkeit_2_v09_final_2024-1-22.pdf</vt:lpwstr>
      </vt:variant>
      <vt:variant>
        <vt:lpwstr/>
      </vt:variant>
      <vt:variant>
        <vt:i4>4784165</vt:i4>
      </vt:variant>
      <vt:variant>
        <vt:i4>117</vt:i4>
      </vt:variant>
      <vt:variant>
        <vt:i4>0</vt:i4>
      </vt:variant>
      <vt:variant>
        <vt:i4>5</vt:i4>
      </vt:variant>
      <vt:variant>
        <vt:lpwstr>https://www.wik.org/fileadmin/user_upload/Unternehmen/Veroeffentlichungen/Working_Papers/2024/WIK_Working_Paper_No10.pdf</vt:lpwstr>
      </vt:variant>
      <vt:variant>
        <vt:lpwstr/>
      </vt:variant>
      <vt:variant>
        <vt:i4>4784165</vt:i4>
      </vt:variant>
      <vt:variant>
        <vt:i4>114</vt:i4>
      </vt:variant>
      <vt:variant>
        <vt:i4>0</vt:i4>
      </vt:variant>
      <vt:variant>
        <vt:i4>5</vt:i4>
      </vt:variant>
      <vt:variant>
        <vt:lpwstr>https://www.wik.org/fileadmin/user_upload/Unternehmen/Veroeffentlichungen/Working_Papers/2024/WIK_Working_Paper_No10.pdf</vt:lpwstr>
      </vt:variant>
      <vt:variant>
        <vt:lpwstr/>
      </vt:variant>
      <vt:variant>
        <vt:i4>4784165</vt:i4>
      </vt:variant>
      <vt:variant>
        <vt:i4>111</vt:i4>
      </vt:variant>
      <vt:variant>
        <vt:i4>0</vt:i4>
      </vt:variant>
      <vt:variant>
        <vt:i4>5</vt:i4>
      </vt:variant>
      <vt:variant>
        <vt:lpwstr>https://www.wik.org/fileadmin/user_upload/Unternehmen/Veroeffentlichungen/Working_Papers/2024/WIK_Working_Paper_No10.pdf</vt:lpwstr>
      </vt:variant>
      <vt:variant>
        <vt:lpwstr/>
      </vt:variant>
      <vt:variant>
        <vt:i4>4653129</vt:i4>
      </vt:variant>
      <vt:variant>
        <vt:i4>108</vt:i4>
      </vt:variant>
      <vt:variant>
        <vt:i4>0</vt:i4>
      </vt:variant>
      <vt:variant>
        <vt:i4>5</vt:i4>
      </vt:variant>
      <vt:variant>
        <vt:lpwstr>https://ec.europa.eu/eurostat/web/products-eurostat-news/w/ddn-20250313-1</vt:lpwstr>
      </vt:variant>
      <vt:variant>
        <vt:lpwstr/>
      </vt:variant>
      <vt:variant>
        <vt:i4>5636168</vt:i4>
      </vt:variant>
      <vt:variant>
        <vt:i4>105</vt:i4>
      </vt:variant>
      <vt:variant>
        <vt:i4>0</vt:i4>
      </vt:variant>
      <vt:variant>
        <vt:i4>5</vt:i4>
      </vt:variant>
      <vt:variant>
        <vt:lpwstr>https://ec.europa.eu/eurostat/de/web/products-eurostat-news/w/edn-20230801-1</vt:lpwstr>
      </vt:variant>
      <vt:variant>
        <vt:lpwstr/>
      </vt:variant>
      <vt:variant>
        <vt:i4>7929889</vt:i4>
      </vt:variant>
      <vt:variant>
        <vt:i4>102</vt:i4>
      </vt:variant>
      <vt:variant>
        <vt:i4>0</vt:i4>
      </vt:variant>
      <vt:variant>
        <vt:i4>5</vt:i4>
      </vt:variant>
      <vt:variant>
        <vt:lpwstr>https://ec.europa.eu/eurostat/tistics-explained/index.php?title=Digital_economy_and_society_statistics_-_households_and_individuals</vt:lpwstr>
      </vt:variant>
      <vt:variant>
        <vt:lpwstr/>
      </vt:variant>
      <vt:variant>
        <vt:i4>7798897</vt:i4>
      </vt:variant>
      <vt:variant>
        <vt:i4>99</vt:i4>
      </vt:variant>
      <vt:variant>
        <vt:i4>0</vt:i4>
      </vt:variant>
      <vt:variant>
        <vt:i4>5</vt:i4>
      </vt:variant>
      <vt:variant>
        <vt:lpwstr>https://www.gov.uk/government/publications/superfast-broadband-programme-evaluation-benefits-and-impacts/superfast-broadband-programme-evaluation-key-benefits-and-impacts</vt:lpwstr>
      </vt:variant>
      <vt:variant>
        <vt:lpwstr/>
      </vt:variant>
      <vt:variant>
        <vt:i4>6553698</vt:i4>
      </vt:variant>
      <vt:variant>
        <vt:i4>96</vt:i4>
      </vt:variant>
      <vt:variant>
        <vt:i4>0</vt:i4>
      </vt:variant>
      <vt:variant>
        <vt:i4>5</vt:i4>
      </vt:variant>
      <vt:variant>
        <vt:lpwstr>https://www.econstor.eu/handle/10419/101415</vt:lpwstr>
      </vt:variant>
      <vt:variant>
        <vt:lpwstr/>
      </vt:variant>
      <vt:variant>
        <vt:i4>2556007</vt:i4>
      </vt:variant>
      <vt:variant>
        <vt:i4>93</vt:i4>
      </vt:variant>
      <vt:variant>
        <vt:i4>0</vt:i4>
      </vt:variant>
      <vt:variant>
        <vt:i4>5</vt:i4>
      </vt:variant>
      <vt:variant>
        <vt:lpwstr>https://hdl.handle.net/10419/279416</vt:lpwstr>
      </vt:variant>
      <vt:variant>
        <vt:lpwstr/>
      </vt:variant>
      <vt:variant>
        <vt:i4>983115</vt:i4>
      </vt:variant>
      <vt:variant>
        <vt:i4>90</vt:i4>
      </vt:variant>
      <vt:variant>
        <vt:i4>0</vt:i4>
      </vt:variant>
      <vt:variant>
        <vt:i4>5</vt:i4>
      </vt:variant>
      <vt:variant>
        <vt:lpwstr>https://fiberbroadband.org/wp-content/uploads/2024/08/GigabitFiber_WhitePaper_FIN-2.pdf</vt:lpwstr>
      </vt:variant>
      <vt:variant>
        <vt:lpwstr/>
      </vt:variant>
      <vt:variant>
        <vt:i4>8061025</vt:i4>
      </vt:variant>
      <vt:variant>
        <vt:i4>87</vt:i4>
      </vt:variant>
      <vt:variant>
        <vt:i4>0</vt:i4>
      </vt:variant>
      <vt:variant>
        <vt:i4>5</vt:i4>
      </vt:variant>
      <vt:variant>
        <vt:lpwstr>https://fiberbroadband.org/wp-content/uploads/2025/07/FBA-103_AI_Datacenter_WhitePaper_lv6.pdf</vt:lpwstr>
      </vt:variant>
      <vt:variant>
        <vt:lpwstr/>
      </vt:variant>
      <vt:variant>
        <vt:i4>4849682</vt:i4>
      </vt:variant>
      <vt:variant>
        <vt:i4>84</vt:i4>
      </vt:variant>
      <vt:variant>
        <vt:i4>0</vt:i4>
      </vt:variant>
      <vt:variant>
        <vt:i4>5</vt:i4>
      </vt:variant>
      <vt:variant>
        <vt:lpwstr>https://www.analysisgroup.com/globalassets/content/insights/publishing/gigabit_broadband_sosa.pdf</vt:lpwstr>
      </vt:variant>
      <vt:variant>
        <vt:lpwstr/>
      </vt:variant>
      <vt:variant>
        <vt:i4>6553700</vt:i4>
      </vt:variant>
      <vt:variant>
        <vt:i4>81</vt:i4>
      </vt:variant>
      <vt:variant>
        <vt:i4>0</vt:i4>
      </vt:variant>
      <vt:variant>
        <vt:i4>5</vt:i4>
      </vt:variant>
      <vt:variant>
        <vt:lpwstr>https://www.econstor.eu/handle/10419/168484</vt:lpwstr>
      </vt:variant>
      <vt:variant>
        <vt:lpwstr/>
      </vt:variant>
      <vt:variant>
        <vt:i4>7143519</vt:i4>
      </vt:variant>
      <vt:variant>
        <vt:i4>78</vt:i4>
      </vt:variant>
      <vt:variant>
        <vt:i4>0</vt:i4>
      </vt:variant>
      <vt:variant>
        <vt:i4>5</vt:i4>
      </vt:variant>
      <vt:variant>
        <vt:lpwstr>https://www.ofcom.org.uk/__data/assets/pdf_file/0025/113299/economic-broadband-oecd-countries.pdf</vt:lpwstr>
      </vt:variant>
      <vt:variant>
        <vt:lpwstr/>
      </vt:variant>
      <vt:variant>
        <vt:i4>4980754</vt:i4>
      </vt:variant>
      <vt:variant>
        <vt:i4>75</vt:i4>
      </vt:variant>
      <vt:variant>
        <vt:i4>0</vt:i4>
      </vt:variant>
      <vt:variant>
        <vt:i4>5</vt:i4>
      </vt:variant>
      <vt:variant>
        <vt:lpwstr>https://www.scopus.com/record/display.uri?eid=2-s2.0-85048129273&amp;origin=inward&amp;txGid=d54ecdbd045c2987e0384a0d2fa1e01b</vt:lpwstr>
      </vt:variant>
      <vt:variant>
        <vt:lpwstr/>
      </vt:variant>
      <vt:variant>
        <vt:i4>5242959</vt:i4>
      </vt:variant>
      <vt:variant>
        <vt:i4>72</vt:i4>
      </vt:variant>
      <vt:variant>
        <vt:i4>0</vt:i4>
      </vt:variant>
      <vt:variant>
        <vt:i4>5</vt:i4>
      </vt:variant>
      <vt:variant>
        <vt:lpwstr>https://www.teleadvs.com/wp-content/uploads/Assessing-the-Economic-Potential-of-10G-Networks.pdf</vt:lpwstr>
      </vt:variant>
      <vt:variant>
        <vt:lpwstr/>
      </vt:variant>
      <vt:variant>
        <vt:i4>5242999</vt:i4>
      </vt:variant>
      <vt:variant>
        <vt:i4>69</vt:i4>
      </vt:variant>
      <vt:variant>
        <vt:i4>0</vt:i4>
      </vt:variant>
      <vt:variant>
        <vt:i4>5</vt:i4>
      </vt:variant>
      <vt:variant>
        <vt:lpwstr>https://www.teleadvs.com/wp-content/uploads/ContributionofFixedBroadbandtoEconomicGrowth_RaulKatz.pdf</vt:lpwstr>
      </vt:variant>
      <vt:variant>
        <vt:lpwstr/>
      </vt:variant>
      <vt:variant>
        <vt:i4>2556007</vt:i4>
      </vt:variant>
      <vt:variant>
        <vt:i4>66</vt:i4>
      </vt:variant>
      <vt:variant>
        <vt:i4>0</vt:i4>
      </vt:variant>
      <vt:variant>
        <vt:i4>5</vt:i4>
      </vt:variant>
      <vt:variant>
        <vt:lpwstr>https://hdl.handle.net/10419/279416</vt:lpwstr>
      </vt:variant>
      <vt:variant>
        <vt:lpwstr/>
      </vt:variant>
      <vt:variant>
        <vt:i4>3735670</vt:i4>
      </vt:variant>
      <vt:variant>
        <vt:i4>63</vt:i4>
      </vt:variant>
      <vt:variant>
        <vt:i4>0</vt:i4>
      </vt:variant>
      <vt:variant>
        <vt:i4>5</vt:i4>
      </vt:variant>
      <vt:variant>
        <vt:lpwstr>https://doi.org/10.1111/jcms.12872</vt:lpwstr>
      </vt:variant>
      <vt:variant>
        <vt:lpwstr/>
      </vt:variant>
      <vt:variant>
        <vt:i4>4784199</vt:i4>
      </vt:variant>
      <vt:variant>
        <vt:i4>60</vt:i4>
      </vt:variant>
      <vt:variant>
        <vt:i4>0</vt:i4>
      </vt:variant>
      <vt:variant>
        <vt:i4>5</vt:i4>
      </vt:variant>
      <vt:variant>
        <vt:lpwstr>http://dx.doi.org/10.1111/jcms.12872</vt:lpwstr>
      </vt:variant>
      <vt:variant>
        <vt:lpwstr/>
      </vt:variant>
      <vt:variant>
        <vt:i4>2883685</vt:i4>
      </vt:variant>
      <vt:variant>
        <vt:i4>57</vt:i4>
      </vt:variant>
      <vt:variant>
        <vt:i4>0</vt:i4>
      </vt:variant>
      <vt:variant>
        <vt:i4>5</vt:i4>
      </vt:variant>
      <vt:variant>
        <vt:lpwstr>https://www.zew.de/team/kpg</vt:lpwstr>
      </vt:variant>
      <vt:variant>
        <vt:lpwstr/>
      </vt:variant>
      <vt:variant>
        <vt:i4>4063353</vt:i4>
      </vt:variant>
      <vt:variant>
        <vt:i4>54</vt:i4>
      </vt:variant>
      <vt:variant>
        <vt:i4>0</vt:i4>
      </vt:variant>
      <vt:variant>
        <vt:i4>5</vt:i4>
      </vt:variant>
      <vt:variant>
        <vt:lpwstr>https://www.zew.de/team/wbg</vt:lpwstr>
      </vt:variant>
      <vt:variant>
        <vt:lpwstr/>
      </vt:variant>
      <vt:variant>
        <vt:i4>7536742</vt:i4>
      </vt:variant>
      <vt:variant>
        <vt:i4>51</vt:i4>
      </vt:variant>
      <vt:variant>
        <vt:i4>0</vt:i4>
      </vt:variant>
      <vt:variant>
        <vt:i4>5</vt:i4>
      </vt:variant>
      <vt:variant>
        <vt:lpwstr>https://doi.org/10.1093/icc/dtae043</vt:lpwstr>
      </vt:variant>
      <vt:variant>
        <vt:lpwstr/>
      </vt:variant>
      <vt:variant>
        <vt:i4>2752599</vt:i4>
      </vt:variant>
      <vt:variant>
        <vt:i4>48</vt:i4>
      </vt:variant>
      <vt:variant>
        <vt:i4>0</vt:i4>
      </vt:variant>
      <vt:variant>
        <vt:i4>5</vt:i4>
      </vt:variant>
      <vt:variant>
        <vt:lpwstr>https://www.dss.uniroma1.it/RePec/sas/wpaper/20161_CFM.pdf</vt:lpwstr>
      </vt:variant>
      <vt:variant>
        <vt:lpwstr/>
      </vt:variant>
      <vt:variant>
        <vt:i4>2097274</vt:i4>
      </vt:variant>
      <vt:variant>
        <vt:i4>45</vt:i4>
      </vt:variant>
      <vt:variant>
        <vt:i4>0</vt:i4>
      </vt:variant>
      <vt:variant>
        <vt:i4>5</vt:i4>
      </vt:variant>
      <vt:variant>
        <vt:lpwstr>https://www.ofcom.org.uk/siteassets/resources/documents/consultations/category-1-10-weeks/consultation-telecoms-access-review-2026-31/main-documents/volume-2-market-definition-and-smp-assessment.pdf?v=392945</vt:lpwstr>
      </vt:variant>
      <vt:variant>
        <vt:lpwstr/>
      </vt:variant>
      <vt:variant>
        <vt:i4>7274599</vt:i4>
      </vt:variant>
      <vt:variant>
        <vt:i4>42</vt:i4>
      </vt:variant>
      <vt:variant>
        <vt:i4>0</vt:i4>
      </vt:variant>
      <vt:variant>
        <vt:i4>5</vt:i4>
      </vt:variant>
      <vt:variant>
        <vt:lpwstr>https://www.ofcom.org.uk/siteassets/resources/documents/research-and-data/multi-sector/infrastructure-research/connected-nations-2024/connected-nations-uk-report-2024.pdf?v=386497</vt:lpwstr>
      </vt:variant>
      <vt:variant>
        <vt:lpwstr/>
      </vt:variant>
      <vt:variant>
        <vt:i4>7274599</vt:i4>
      </vt:variant>
      <vt:variant>
        <vt:i4>39</vt:i4>
      </vt:variant>
      <vt:variant>
        <vt:i4>0</vt:i4>
      </vt:variant>
      <vt:variant>
        <vt:i4>5</vt:i4>
      </vt:variant>
      <vt:variant>
        <vt:lpwstr>https://www.ofcom.org.uk/siteassets/resources/documents/research-and-data/multi-sector/infrastructure-research/connected-nations-2024/connected-nations-uk-report-2024.pdf?v=386497</vt:lpwstr>
      </vt:variant>
      <vt:variant>
        <vt:lpwstr/>
      </vt:variant>
      <vt:variant>
        <vt:i4>5308482</vt:i4>
      </vt:variant>
      <vt:variant>
        <vt:i4>36</vt:i4>
      </vt:variant>
      <vt:variant>
        <vt:i4>0</vt:i4>
      </vt:variant>
      <vt:variant>
        <vt:i4>5</vt:i4>
      </vt:variant>
      <vt:variant>
        <vt:lpwstr>https://www.adlittle.com/en/insights/report/evolution-data-growth-europe</vt:lpwstr>
      </vt:variant>
      <vt:variant>
        <vt:lpwstr/>
      </vt:variant>
      <vt:variant>
        <vt:i4>786552</vt:i4>
      </vt:variant>
      <vt:variant>
        <vt:i4>33</vt:i4>
      </vt:variant>
      <vt:variant>
        <vt:i4>0</vt:i4>
      </vt:variant>
      <vt:variant>
        <vt:i4>5</vt:i4>
      </vt:variant>
      <vt:variant>
        <vt:lpwstr>https://openvault.com/wp-content/uploads/2024/02/OVBI_4Q23_Report_v3.pdf</vt:lpwstr>
      </vt:variant>
      <vt:variant>
        <vt:lpwstr/>
      </vt:variant>
      <vt:variant>
        <vt:i4>196685</vt:i4>
      </vt:variant>
      <vt:variant>
        <vt:i4>30</vt:i4>
      </vt:variant>
      <vt:variant>
        <vt:i4>0</vt:i4>
      </vt:variant>
      <vt:variant>
        <vt:i4>5</vt:i4>
      </vt:variant>
      <vt:variant>
        <vt:lpwstr>https://www.opensignal.com/2024/05/07/frances-urban-rural-mobile-experience-gap-has-narrowed-with-5g</vt:lpwstr>
      </vt:variant>
      <vt:variant>
        <vt:lpwstr/>
      </vt:variant>
      <vt:variant>
        <vt:i4>2687094</vt:i4>
      </vt:variant>
      <vt:variant>
        <vt:i4>27</vt:i4>
      </vt:variant>
      <vt:variant>
        <vt:i4>0</vt:i4>
      </vt:variant>
      <vt:variant>
        <vt:i4>5</vt:i4>
      </vt:variant>
      <vt:variant>
        <vt:lpwstr>https://www.speedtest.net/global-index</vt:lpwstr>
      </vt:variant>
      <vt:variant>
        <vt:lpwstr/>
      </vt:variant>
      <vt:variant>
        <vt:i4>327729</vt:i4>
      </vt:variant>
      <vt:variant>
        <vt:i4>24</vt:i4>
      </vt:variant>
      <vt:variant>
        <vt:i4>0</vt:i4>
      </vt:variant>
      <vt:variant>
        <vt:i4>5</vt:i4>
      </vt:variant>
      <vt:variant>
        <vt:lpwstr>https://ctu.gov.cz/sites/default/files/obsah/stranky/472017/soubory/zovt_2023.pdf</vt:lpwstr>
      </vt:variant>
      <vt:variant>
        <vt:lpwstr/>
      </vt:variant>
      <vt:variant>
        <vt:i4>7471215</vt:i4>
      </vt:variant>
      <vt:variant>
        <vt:i4>21</vt:i4>
      </vt:variant>
      <vt:variant>
        <vt:i4>0</vt:i4>
      </vt:variant>
      <vt:variant>
        <vt:i4>5</vt:i4>
      </vt:variant>
      <vt:variant>
        <vt:lpwstr>https://www.ookla.com/articles/fixed-wireless-access-us-q3-2023</vt:lpwstr>
      </vt:variant>
      <vt:variant>
        <vt:lpwstr/>
      </vt:variant>
      <vt:variant>
        <vt:i4>327729</vt:i4>
      </vt:variant>
      <vt:variant>
        <vt:i4>18</vt:i4>
      </vt:variant>
      <vt:variant>
        <vt:i4>0</vt:i4>
      </vt:variant>
      <vt:variant>
        <vt:i4>5</vt:i4>
      </vt:variant>
      <vt:variant>
        <vt:lpwstr>https://ctu.gov.cz/sites/default/files/obsah/stranky/472017/soubory/zovt_2023.pdf</vt:lpwstr>
      </vt:variant>
      <vt:variant>
        <vt:lpwstr/>
      </vt:variant>
      <vt:variant>
        <vt:i4>7209021</vt:i4>
      </vt:variant>
      <vt:variant>
        <vt:i4>15</vt:i4>
      </vt:variant>
      <vt:variant>
        <vt:i4>0</vt:i4>
      </vt:variant>
      <vt:variant>
        <vt:i4>5</vt:i4>
      </vt:variant>
      <vt:variant>
        <vt:lpwstr>https://digital-decade-desi.digital-strategy.ec.europa.eu/datasets/desi/indicators</vt:lpwstr>
      </vt:variant>
      <vt:variant>
        <vt:lpwstr/>
      </vt:variant>
      <vt:variant>
        <vt:i4>1245249</vt:i4>
      </vt:variant>
      <vt:variant>
        <vt:i4>12</vt:i4>
      </vt:variant>
      <vt:variant>
        <vt:i4>0</vt:i4>
      </vt:variant>
      <vt:variant>
        <vt:i4>5</vt:i4>
      </vt:variant>
      <vt:variant>
        <vt:lpwstr>https://www.balcanicaucaso.org/eng/Areas/Europe/EU-Internet-connections-are-getting-faster-and-faster-235091</vt:lpwstr>
      </vt:variant>
      <vt:variant>
        <vt:lpwstr/>
      </vt:variant>
      <vt:variant>
        <vt:i4>5767180</vt:i4>
      </vt:variant>
      <vt:variant>
        <vt:i4>6</vt:i4>
      </vt:variant>
      <vt:variant>
        <vt:i4>0</vt:i4>
      </vt:variant>
      <vt:variant>
        <vt:i4>5</vt:i4>
      </vt:variant>
      <vt:variant>
        <vt:lpwstr>https://www.wik.org/fileadmin/Studien/2020/Copper_switch-off_whitepaper.pdf</vt:lpwstr>
      </vt:variant>
      <vt:variant>
        <vt:lpwstr/>
      </vt:variant>
      <vt:variant>
        <vt:i4>5177350</vt:i4>
      </vt:variant>
      <vt:variant>
        <vt:i4>3</vt:i4>
      </vt:variant>
      <vt:variant>
        <vt:i4>0</vt:i4>
      </vt:variant>
      <vt:variant>
        <vt:i4>5</vt:i4>
      </vt:variant>
      <vt:variant>
        <vt:lpwstr>https://www.ftthcouncil.eu/resources/all-publications-and-assets/2362/ftth-market-forecasts-2024-2030</vt:lpwstr>
      </vt:variant>
      <vt:variant>
        <vt:lpwstr/>
      </vt:variant>
      <vt:variant>
        <vt:i4>3866655</vt:i4>
      </vt:variant>
      <vt:variant>
        <vt:i4>0</vt:i4>
      </vt:variant>
      <vt:variant>
        <vt:i4>0</vt:i4>
      </vt:variant>
      <vt:variant>
        <vt:i4>5</vt:i4>
      </vt:variant>
      <vt:variant>
        <vt:lpwstr>https://ec.europa.eu/info/law/better-regulation/have-your-say/initiatives/14709-Digital-Networks-Act_en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333</cp:revision>
  <cp:lastPrinted>2026-01-14T21:54:00Z</cp:lastPrinted>
  <dcterms:created xsi:type="dcterms:W3CDTF">2026-01-14T21:53:00Z</dcterms:created>
  <dcterms:modified xsi:type="dcterms:W3CDTF">2026-01-21T09:28:00Z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2</vt:lpwstr>
  </property>
  <property fmtid="{D5CDD505-2E9C-101B-9397-08002B2CF9AE}" pid="4" name="Total parts">
    <vt:lpwstr>3</vt:lpwstr>
  </property>
  <property fmtid="{D5CDD505-2E9C-101B-9397-08002B2CF9AE}" pid="5" name="CPTemplateID">
    <vt:lpwstr>CP-026</vt:lpwstr>
  </property>
  <property fmtid="{D5CDD505-2E9C-101B-9397-08002B2CF9AE}" pid="6" name="Created using">
    <vt:lpwstr>LW 7.0.1, Build 20190916</vt:lpwstr>
  </property>
  <property fmtid="{D5CDD505-2E9C-101B-9397-08002B2CF9AE}" pid="7" name="MSIP_Label_6bd9ddd1-4d20-43f6-abfa-fc3c07406f94_Enabled">
    <vt:lpwstr>true</vt:lpwstr>
  </property>
  <property fmtid="{D5CDD505-2E9C-101B-9397-08002B2CF9AE}" pid="8" name="MSIP_Label_6bd9ddd1-4d20-43f6-abfa-fc3c07406f94_SetDate">
    <vt:lpwstr>2023-01-13T16:09:08Z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7e673b8e-6dd8-49f6-a98b-2979beb59a23</vt:lpwstr>
  </property>
  <property fmtid="{D5CDD505-2E9C-101B-9397-08002B2CF9AE}" pid="13" name="MSIP_Label_6bd9ddd1-4d20-43f6-abfa-fc3c07406f94_ContentBits">
    <vt:lpwstr>0</vt:lpwstr>
  </property>
  <property fmtid="{D5CDD505-2E9C-101B-9397-08002B2CF9AE}" pid="14" name="ContentTypeId">
    <vt:lpwstr>0x010100FAEF338F37A4A9419D40C896D14C7EF5</vt:lpwstr>
  </property>
  <property fmtid="{D5CDD505-2E9C-101B-9397-08002B2CF9AE}" pid="15" name="TaxKeyword">
    <vt:lpwstr/>
  </property>
  <property fmtid="{D5CDD505-2E9C-101B-9397-08002B2CF9AE}" pid="16" name="MediaServiceImageTags">
    <vt:lpwstr/>
  </property>
  <property fmtid="{D5CDD505-2E9C-101B-9397-08002B2CF9AE}" pid="17" name="Responsible_x0020_unit_x0020_">
    <vt:lpwstr/>
  </property>
  <property fmtid="{D5CDD505-2E9C-101B-9397-08002B2CF9AE}" pid="18" name="Responsible unit ">
    <vt:lpwstr/>
  </property>
  <property fmtid="{D5CDD505-2E9C-101B-9397-08002B2CF9AE}" pid="19" name="Responsible unit">
    <vt:lpwstr/>
  </property>
  <property fmtid="{D5CDD505-2E9C-101B-9397-08002B2CF9AE}" pid="20" name="DocStatus">
    <vt:lpwstr>Green</vt:lpwstr>
  </property>
  <property fmtid="{D5CDD505-2E9C-101B-9397-08002B2CF9AE}" pid="21" name="Last edited using">
    <vt:lpwstr>LW 9.2, Build 20250828</vt:lpwstr>
  </property>
  <property fmtid="{D5CDD505-2E9C-101B-9397-08002B2CF9AE}" pid="22" name="Order">
    <vt:r8>4400</vt:r8>
  </property>
  <property fmtid="{D5CDD505-2E9C-101B-9397-08002B2CF9AE}" pid="23" name="xd_Signature">
    <vt:bool>false</vt:bool>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TriggerFlowInfo">
    <vt:lpwstr/>
  </property>
  <property fmtid="{D5CDD505-2E9C-101B-9397-08002B2CF9AE}" pid="29" name="MSIP_Label_6bd9ddd1-4d20-43f6-abfa-fc3c07406f94_Tag">
    <vt:lpwstr>10, 3, 0, 1</vt:lpwstr>
  </property>
</Properties>
</file>