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17086B" w14:textId="1BF1329D" w:rsidR="00C17748" w:rsidRDefault="009174DA" w:rsidP="009174DA">
      <w:pPr>
        <w:pStyle w:val="Pagedecouverture"/>
        <w:rPr>
          <w:noProof/>
        </w:rPr>
      </w:pPr>
      <w:bookmarkStart w:id="0" w:name="LW_BM_COVERPAGE"/>
      <w:r>
        <w:rPr>
          <w:noProof/>
        </w:rPr>
        <w:pict w14:anchorId="76A359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C3F90AC-843C-46F0-A1D0-E5D53DB9919D" style="width:455.25pt;height:402.75pt">
            <v:imagedata r:id="rId7" o:title=""/>
          </v:shape>
        </w:pict>
      </w:r>
    </w:p>
    <w:bookmarkEnd w:id="0"/>
    <w:p w14:paraId="6B74204A" w14:textId="77777777" w:rsidR="00C17748" w:rsidRDefault="00C17748" w:rsidP="00C17748">
      <w:pPr>
        <w:rPr>
          <w:noProof/>
        </w:rPr>
        <w:sectPr w:rsidR="00C17748" w:rsidSect="009174DA">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5AB4E888" w14:textId="77777777" w:rsidR="00275512" w:rsidRDefault="00275512" w:rsidP="00275512">
      <w:pPr>
        <w:spacing w:after="240" w:line="240" w:lineRule="auto"/>
        <w:jc w:val="both"/>
        <w:rPr>
          <w:rFonts w:ascii="Times New Roman" w:hAnsi="Times New Roman" w:cs="Times New Roman"/>
          <w:noProof/>
          <w:sz w:val="24"/>
          <w:szCs w:val="24"/>
          <w:lang w:val="en-IE"/>
        </w:rPr>
      </w:pPr>
      <w:bookmarkStart w:id="1" w:name="_GoBack"/>
      <w:bookmarkEnd w:id="1"/>
      <w:r w:rsidRPr="64C48ACF">
        <w:rPr>
          <w:rFonts w:ascii="Times New Roman" w:hAnsi="Times New Roman" w:cs="Times New Roman"/>
          <w:noProof/>
          <w:sz w:val="24"/>
          <w:szCs w:val="24"/>
        </w:rPr>
        <w:lastRenderedPageBreak/>
        <w:t>The Letta and Draghi reports analysed in 2024 the current state of the electronic communications sector in the EU. Both underlined that the single electronic communications market remains fragmented</w:t>
      </w:r>
      <w:r>
        <w:rPr>
          <w:rFonts w:ascii="Times New Roman" w:hAnsi="Times New Roman" w:cs="Times New Roman"/>
          <w:noProof/>
          <w:sz w:val="24"/>
          <w:szCs w:val="24"/>
        </w:rPr>
        <w:t>,</w:t>
      </w:r>
      <w:r w:rsidRPr="64C48ACF">
        <w:rPr>
          <w:rFonts w:ascii="Times New Roman" w:hAnsi="Times New Roman" w:cs="Times New Roman"/>
          <w:noProof/>
          <w:sz w:val="24"/>
          <w:szCs w:val="24"/>
        </w:rPr>
        <w:t xml:space="preserve"> </w:t>
      </w:r>
      <w:r w:rsidRPr="64C48ACF">
        <w:rPr>
          <w:rFonts w:ascii="Times New Roman" w:hAnsi="Times New Roman" w:cs="Times New Roman"/>
          <w:noProof/>
          <w:sz w:val="24"/>
          <w:szCs w:val="24"/>
          <w:lang w:val="en-IE"/>
        </w:rPr>
        <w:t>and European operators continue to face barriers to operating cross-border and scaling-up</w:t>
      </w:r>
      <w:r w:rsidRPr="64C48ACF">
        <w:rPr>
          <w:rFonts w:ascii="Times New Roman" w:hAnsi="Times New Roman" w:cs="Times New Roman"/>
          <w:noProof/>
          <w:sz w:val="24"/>
          <w:szCs w:val="24"/>
        </w:rPr>
        <w:t xml:space="preserve">, limiting their ability to invest, innovate, and compete with their global counterparts. Both reports emphasised the importance of investments in future networks for strengthening </w:t>
      </w:r>
      <w:r w:rsidRPr="64C48ACF">
        <w:rPr>
          <w:rFonts w:ascii="Times New Roman" w:hAnsi="Times New Roman" w:cs="Times New Roman"/>
          <w:noProof/>
          <w:sz w:val="24"/>
          <w:szCs w:val="24"/>
          <w:lang w:val="en-IE"/>
        </w:rPr>
        <w:t>the competitiveness of the EU economy and the cohesion of the EU society</w:t>
      </w:r>
      <w:r w:rsidRPr="64C48ACF">
        <w:rPr>
          <w:rFonts w:ascii="Times New Roman" w:hAnsi="Times New Roman" w:cs="Times New Roman"/>
          <w:noProof/>
          <w:sz w:val="24"/>
          <w:szCs w:val="24"/>
        </w:rPr>
        <w:t xml:space="preserve">. Furthermore, the </w:t>
      </w:r>
      <w:r w:rsidRPr="64C48ACF">
        <w:rPr>
          <w:rFonts w:ascii="Times New Roman" w:hAnsi="Times New Roman" w:cs="Times New Roman"/>
          <w:noProof/>
          <w:sz w:val="24"/>
          <w:szCs w:val="24"/>
          <w:lang w:val="en-IE"/>
        </w:rPr>
        <w:t>Niinistö report released the same year, stressed the importance of electronic communications, including satellite-based services, critical communication and digital services in the context of security, resilience and preparedness.</w:t>
      </w:r>
    </w:p>
    <w:p w14:paraId="69499DD8" w14:textId="77777777" w:rsidR="00275512" w:rsidRPr="007F059F" w:rsidRDefault="00275512" w:rsidP="00275512">
      <w:pPr>
        <w:spacing w:after="240" w:line="240" w:lineRule="auto"/>
        <w:jc w:val="both"/>
        <w:rPr>
          <w:rFonts w:ascii="Times New Roman" w:hAnsi="Times New Roman" w:cs="Times New Roman"/>
          <w:noProof/>
          <w:sz w:val="24"/>
          <w:szCs w:val="24"/>
          <w:lang w:val="en-IE"/>
        </w:rPr>
      </w:pPr>
      <w:r w:rsidRPr="64C48ACF">
        <w:rPr>
          <w:rFonts w:ascii="Times New Roman" w:hAnsi="Times New Roman" w:cs="Times New Roman"/>
          <w:noProof/>
          <w:sz w:val="24"/>
          <w:szCs w:val="24"/>
          <w:lang w:val="en-IE"/>
        </w:rPr>
        <w:t xml:space="preserve">The </w:t>
      </w:r>
      <w:r w:rsidRPr="64C48ACF">
        <w:rPr>
          <w:rFonts w:ascii="Times New Roman" w:hAnsi="Times New Roman" w:cs="Times New Roman"/>
          <w:noProof/>
          <w:sz w:val="24"/>
          <w:szCs w:val="24"/>
          <w:u w:val="single"/>
          <w:lang w:val="en-IE"/>
        </w:rPr>
        <w:t>evaluation report</w:t>
      </w:r>
      <w:r w:rsidRPr="64C48ACF">
        <w:rPr>
          <w:rFonts w:ascii="Times New Roman" w:hAnsi="Times New Roman" w:cs="Times New Roman"/>
          <w:noProof/>
          <w:sz w:val="24"/>
          <w:szCs w:val="24"/>
          <w:lang w:val="en-IE"/>
        </w:rPr>
        <w:t xml:space="preserve"> of the current legal framework underpins these findings and identifies a series of specific shortcomings.</w:t>
      </w:r>
    </w:p>
    <w:p w14:paraId="48394BA6" w14:textId="77777777" w:rsidR="00275512" w:rsidRPr="007F059F" w:rsidRDefault="00275512" w:rsidP="00275512">
      <w:pPr>
        <w:spacing w:after="240" w:line="240" w:lineRule="auto"/>
        <w:jc w:val="both"/>
        <w:rPr>
          <w:rFonts w:ascii="Times New Roman" w:hAnsi="Times New Roman" w:cs="Times New Roman"/>
          <w:noProof/>
          <w:sz w:val="24"/>
          <w:szCs w:val="24"/>
          <w:lang w:val="en-IE"/>
        </w:rPr>
      </w:pPr>
      <w:r w:rsidRPr="7DF28B79">
        <w:rPr>
          <w:rFonts w:ascii="Times New Roman" w:hAnsi="Times New Roman" w:cs="Times New Roman"/>
          <w:noProof/>
          <w:sz w:val="24"/>
          <w:szCs w:val="24"/>
          <w:lang w:val="en-IE"/>
        </w:rPr>
        <w:t xml:space="preserve">As regards </w:t>
      </w:r>
      <w:r>
        <w:rPr>
          <w:rFonts w:ascii="Times New Roman" w:hAnsi="Times New Roman" w:cs="Times New Roman"/>
          <w:b/>
          <w:bCs/>
          <w:noProof/>
          <w:sz w:val="24"/>
          <w:szCs w:val="24"/>
          <w:lang w:val="en-IE"/>
        </w:rPr>
        <w:t>transition to fibre</w:t>
      </w:r>
      <w:r w:rsidRPr="7DF28B79">
        <w:rPr>
          <w:rFonts w:ascii="Times New Roman" w:hAnsi="Times New Roman" w:cs="Times New Roman"/>
          <w:noProof/>
          <w:sz w:val="24"/>
          <w:szCs w:val="24"/>
          <w:lang w:val="en-IE"/>
        </w:rPr>
        <w:t xml:space="preserve">, problems requiring more significant changes are the persistence of urban-rural divide, in terms of infrastructure competition and copper switch-off. The </w:t>
      </w:r>
      <w:r w:rsidRPr="00405AF2">
        <w:rPr>
          <w:rFonts w:ascii="Times New Roman" w:hAnsi="Times New Roman" w:cs="Times New Roman"/>
          <w:b/>
          <w:bCs/>
          <w:noProof/>
          <w:sz w:val="24"/>
          <w:szCs w:val="24"/>
          <w:lang w:val="en-IE"/>
        </w:rPr>
        <w:t>existence of legacy copper networks</w:t>
      </w:r>
      <w:r>
        <w:rPr>
          <w:rFonts w:ascii="Times New Roman" w:hAnsi="Times New Roman" w:cs="Times New Roman"/>
          <w:noProof/>
          <w:sz w:val="24"/>
          <w:szCs w:val="24"/>
          <w:lang w:val="en-IE"/>
        </w:rPr>
        <w:t xml:space="preserve"> </w:t>
      </w:r>
      <w:r w:rsidRPr="404EB336">
        <w:rPr>
          <w:rFonts w:ascii="Times New Roman" w:hAnsi="Times New Roman" w:cs="Times New Roman"/>
          <w:noProof/>
          <w:sz w:val="24"/>
          <w:szCs w:val="24"/>
          <w:lang w:val="en-IE"/>
        </w:rPr>
        <w:t xml:space="preserve">in all Member </w:t>
      </w:r>
      <w:r w:rsidRPr="59480038">
        <w:rPr>
          <w:rFonts w:ascii="Times New Roman" w:hAnsi="Times New Roman" w:cs="Times New Roman"/>
          <w:noProof/>
          <w:sz w:val="24"/>
          <w:szCs w:val="24"/>
          <w:lang w:val="en-IE"/>
        </w:rPr>
        <w:t>States</w:t>
      </w:r>
      <w:r w:rsidRPr="187979C5">
        <w:rPr>
          <w:rFonts w:ascii="Times New Roman" w:hAnsi="Times New Roman" w:cs="Times New Roman"/>
          <w:noProof/>
          <w:sz w:val="24"/>
          <w:szCs w:val="24"/>
          <w:lang w:val="en-IE"/>
        </w:rPr>
        <w:t xml:space="preserve">, which is also a consequence of </w:t>
      </w:r>
      <w:r>
        <w:rPr>
          <w:rFonts w:ascii="Times New Roman" w:hAnsi="Times New Roman" w:cs="Times New Roman"/>
          <w:noProof/>
          <w:sz w:val="24"/>
          <w:szCs w:val="24"/>
          <w:lang w:val="en-IE"/>
        </w:rPr>
        <w:t xml:space="preserve">the different regulatory approaches and business choices </w:t>
      </w:r>
      <w:r w:rsidRPr="6A3E2AD5">
        <w:rPr>
          <w:rFonts w:ascii="Times New Roman" w:hAnsi="Times New Roman" w:cs="Times New Roman"/>
          <w:noProof/>
          <w:sz w:val="24"/>
          <w:szCs w:val="24"/>
          <w:lang w:val="en-IE"/>
        </w:rPr>
        <w:t>across Member States</w:t>
      </w:r>
      <w:r w:rsidRPr="6D3145CE">
        <w:rPr>
          <w:rFonts w:ascii="Times New Roman" w:hAnsi="Times New Roman" w:cs="Times New Roman"/>
          <w:noProof/>
          <w:sz w:val="24"/>
          <w:szCs w:val="24"/>
          <w:lang w:val="en-IE"/>
        </w:rPr>
        <w:t>,</w:t>
      </w:r>
      <w:r w:rsidRPr="18AA79F4">
        <w:rPr>
          <w:rFonts w:ascii="Times New Roman" w:hAnsi="Times New Roman" w:cs="Times New Roman"/>
          <w:noProof/>
          <w:sz w:val="24"/>
          <w:szCs w:val="24"/>
          <w:lang w:val="en-IE"/>
        </w:rPr>
        <w:t xml:space="preserve"> </w:t>
      </w:r>
      <w:r w:rsidRPr="7DF28B79">
        <w:rPr>
          <w:rFonts w:ascii="Times New Roman" w:hAnsi="Times New Roman" w:cs="Times New Roman"/>
          <w:noProof/>
          <w:sz w:val="24"/>
          <w:szCs w:val="24"/>
          <w:lang w:val="en-IE"/>
        </w:rPr>
        <w:t xml:space="preserve">disincentivise and delay the deployment and adoption of </w:t>
      </w:r>
      <w:r>
        <w:rPr>
          <w:rFonts w:ascii="Times New Roman" w:hAnsi="Times New Roman" w:cs="Times New Roman"/>
          <w:noProof/>
          <w:sz w:val="24"/>
          <w:szCs w:val="24"/>
          <w:lang w:val="en-IE"/>
        </w:rPr>
        <w:t>more performant</w:t>
      </w:r>
      <w:r w:rsidRPr="7DF28B79">
        <w:rPr>
          <w:rFonts w:ascii="Times New Roman" w:hAnsi="Times New Roman" w:cs="Times New Roman"/>
          <w:noProof/>
          <w:sz w:val="24"/>
          <w:szCs w:val="24"/>
          <w:lang w:val="en-IE"/>
        </w:rPr>
        <w:t xml:space="preserve"> fibr</w:t>
      </w:r>
      <w:r>
        <w:rPr>
          <w:rFonts w:ascii="Times New Roman" w:hAnsi="Times New Roman" w:cs="Times New Roman"/>
          <w:noProof/>
          <w:sz w:val="24"/>
          <w:szCs w:val="24"/>
          <w:lang w:val="en-IE"/>
        </w:rPr>
        <w:t>e</w:t>
      </w:r>
      <w:r w:rsidRPr="7DF28B79">
        <w:rPr>
          <w:rFonts w:ascii="Times New Roman" w:hAnsi="Times New Roman" w:cs="Times New Roman"/>
          <w:noProof/>
          <w:sz w:val="24"/>
          <w:szCs w:val="24"/>
          <w:lang w:val="en-IE"/>
        </w:rPr>
        <w:t xml:space="preserve"> networks</w:t>
      </w:r>
      <w:r w:rsidRPr="59480038">
        <w:rPr>
          <w:rFonts w:ascii="Times New Roman" w:hAnsi="Times New Roman" w:cs="Times New Roman"/>
          <w:noProof/>
          <w:sz w:val="24"/>
          <w:szCs w:val="24"/>
          <w:lang w:val="en-IE"/>
        </w:rPr>
        <w:t xml:space="preserve"> to a substantially different extent in different Member States.</w:t>
      </w:r>
      <w:r w:rsidRPr="7DF28B79">
        <w:rPr>
          <w:rFonts w:ascii="Times New Roman" w:hAnsi="Times New Roman" w:cs="Times New Roman"/>
          <w:noProof/>
          <w:sz w:val="24"/>
          <w:szCs w:val="24"/>
          <w:lang w:val="en-IE"/>
        </w:rPr>
        <w:t xml:space="preserve"> This has negative effects</w:t>
      </w:r>
      <w:r w:rsidRPr="4E32CD21">
        <w:rPr>
          <w:rFonts w:ascii="Times New Roman" w:hAnsi="Times New Roman" w:cs="Times New Roman"/>
          <w:noProof/>
          <w:sz w:val="24"/>
          <w:szCs w:val="24"/>
          <w:lang w:val="en-IE"/>
        </w:rPr>
        <w:t xml:space="preserve"> </w:t>
      </w:r>
      <w:r w:rsidRPr="61D5442E">
        <w:rPr>
          <w:rFonts w:ascii="Times New Roman" w:hAnsi="Times New Roman" w:cs="Times New Roman"/>
          <w:noProof/>
          <w:sz w:val="24"/>
          <w:szCs w:val="24"/>
          <w:lang w:val="en-IE"/>
        </w:rPr>
        <w:t xml:space="preserve">on </w:t>
      </w:r>
      <w:r w:rsidRPr="409BCADB">
        <w:rPr>
          <w:rFonts w:ascii="Times New Roman" w:hAnsi="Times New Roman" w:cs="Times New Roman"/>
          <w:noProof/>
          <w:sz w:val="24"/>
          <w:szCs w:val="24"/>
          <w:lang w:val="en-IE"/>
        </w:rPr>
        <w:t xml:space="preserve">roll-out </w:t>
      </w:r>
      <w:r w:rsidRPr="152BA10F">
        <w:rPr>
          <w:rFonts w:ascii="Times New Roman" w:hAnsi="Times New Roman" w:cs="Times New Roman"/>
          <w:noProof/>
          <w:sz w:val="24"/>
          <w:szCs w:val="24"/>
          <w:lang w:val="en-IE"/>
        </w:rPr>
        <w:t xml:space="preserve">conditions </w:t>
      </w:r>
      <w:r w:rsidRPr="4602AC76">
        <w:rPr>
          <w:rFonts w:ascii="Times New Roman" w:hAnsi="Times New Roman" w:cs="Times New Roman"/>
          <w:noProof/>
          <w:sz w:val="24"/>
          <w:szCs w:val="24"/>
          <w:lang w:val="en-IE"/>
        </w:rPr>
        <w:t xml:space="preserve">for </w:t>
      </w:r>
      <w:r w:rsidRPr="73D7F8F4">
        <w:rPr>
          <w:rFonts w:ascii="Times New Roman" w:hAnsi="Times New Roman" w:cs="Times New Roman"/>
          <w:noProof/>
          <w:sz w:val="24"/>
          <w:szCs w:val="24"/>
          <w:lang w:val="en-IE"/>
        </w:rPr>
        <w:t>homogeneous innovative</w:t>
      </w:r>
      <w:r w:rsidRPr="5FADE95A">
        <w:rPr>
          <w:rFonts w:ascii="Times New Roman" w:hAnsi="Times New Roman" w:cs="Times New Roman"/>
          <w:noProof/>
          <w:sz w:val="24"/>
          <w:szCs w:val="24"/>
          <w:lang w:val="en-IE"/>
        </w:rPr>
        <w:t xml:space="preserve"> </w:t>
      </w:r>
      <w:r w:rsidRPr="58B99122">
        <w:rPr>
          <w:rFonts w:ascii="Times New Roman" w:hAnsi="Times New Roman" w:cs="Times New Roman"/>
          <w:noProof/>
          <w:sz w:val="24"/>
          <w:szCs w:val="24"/>
          <w:lang w:val="en-IE"/>
        </w:rPr>
        <w:t>fixed services</w:t>
      </w:r>
      <w:r w:rsidRPr="7DF28B79">
        <w:rPr>
          <w:rFonts w:ascii="Times New Roman" w:hAnsi="Times New Roman" w:cs="Times New Roman"/>
          <w:noProof/>
          <w:sz w:val="24"/>
          <w:szCs w:val="24"/>
          <w:lang w:val="en-IE"/>
        </w:rPr>
        <w:t xml:space="preserve"> </w:t>
      </w:r>
      <w:r w:rsidRPr="01197677">
        <w:rPr>
          <w:rFonts w:ascii="Times New Roman" w:hAnsi="Times New Roman" w:cs="Times New Roman"/>
          <w:noProof/>
          <w:sz w:val="24"/>
          <w:szCs w:val="24"/>
          <w:lang w:val="en-IE"/>
        </w:rPr>
        <w:t xml:space="preserve">across </w:t>
      </w:r>
      <w:r w:rsidRPr="7341BF85">
        <w:rPr>
          <w:rFonts w:ascii="Times New Roman" w:hAnsi="Times New Roman" w:cs="Times New Roman"/>
          <w:noProof/>
          <w:sz w:val="24"/>
          <w:szCs w:val="24"/>
          <w:lang w:val="en-IE"/>
        </w:rPr>
        <w:t xml:space="preserve">the single </w:t>
      </w:r>
      <w:r w:rsidRPr="30B5A857">
        <w:rPr>
          <w:rFonts w:ascii="Times New Roman" w:hAnsi="Times New Roman" w:cs="Times New Roman"/>
          <w:noProof/>
          <w:sz w:val="24"/>
          <w:szCs w:val="24"/>
          <w:lang w:val="en-IE"/>
        </w:rPr>
        <w:t>market</w:t>
      </w:r>
      <w:r w:rsidRPr="7DF28B79">
        <w:rPr>
          <w:rFonts w:ascii="Times New Roman" w:hAnsi="Times New Roman" w:cs="Times New Roman"/>
          <w:noProof/>
          <w:sz w:val="24"/>
          <w:szCs w:val="24"/>
          <w:lang w:val="en-IE"/>
        </w:rPr>
        <w:t xml:space="preserve">. The EEEC provisions related to copper migration had limited practical relevance primarily </w:t>
      </w:r>
      <w:r w:rsidRPr="05A25AD5">
        <w:rPr>
          <w:rFonts w:ascii="Times New Roman" w:hAnsi="Times New Roman" w:cs="Times New Roman"/>
          <w:noProof/>
          <w:sz w:val="24"/>
          <w:szCs w:val="24"/>
          <w:lang w:val="en-IE"/>
        </w:rPr>
        <w:t>since</w:t>
      </w:r>
      <w:r w:rsidRPr="7DF28B79">
        <w:rPr>
          <w:rFonts w:ascii="Times New Roman" w:hAnsi="Times New Roman" w:cs="Times New Roman"/>
          <w:noProof/>
          <w:sz w:val="24"/>
          <w:szCs w:val="24"/>
          <w:lang w:val="en-IE"/>
        </w:rPr>
        <w:t xml:space="preserve"> they were not designed to accelerate migration and did not provide regulators with the tools to do so. </w:t>
      </w:r>
      <w:r w:rsidRPr="00405AF2">
        <w:rPr>
          <w:rFonts w:ascii="Times New Roman" w:hAnsi="Times New Roman" w:cs="Times New Roman"/>
          <w:b/>
          <w:bCs/>
          <w:noProof/>
          <w:sz w:val="24"/>
          <w:szCs w:val="24"/>
          <w:lang w:val="en-IE"/>
        </w:rPr>
        <w:t>Access regulation</w:t>
      </w:r>
      <w:r w:rsidRPr="7DF28B79">
        <w:rPr>
          <w:rFonts w:ascii="Times New Roman" w:hAnsi="Times New Roman" w:cs="Times New Roman"/>
          <w:noProof/>
          <w:sz w:val="24"/>
          <w:szCs w:val="24"/>
          <w:lang w:val="en-IE"/>
        </w:rPr>
        <w:t xml:space="preserve"> still</w:t>
      </w:r>
      <w:r>
        <w:rPr>
          <w:rFonts w:ascii="Times New Roman" w:hAnsi="Times New Roman" w:cs="Times New Roman"/>
          <w:noProof/>
          <w:sz w:val="24"/>
          <w:szCs w:val="24"/>
          <w:lang w:val="en-IE"/>
        </w:rPr>
        <w:t xml:space="preserve"> </w:t>
      </w:r>
      <w:r w:rsidRPr="7DF28B79">
        <w:rPr>
          <w:rFonts w:ascii="Times New Roman" w:hAnsi="Times New Roman" w:cs="Times New Roman"/>
          <w:noProof/>
          <w:sz w:val="24"/>
          <w:szCs w:val="24"/>
          <w:lang w:val="en-IE"/>
        </w:rPr>
        <w:t xml:space="preserve">remains relevant, however there is room </w:t>
      </w:r>
      <w:r w:rsidRPr="010CDBE7">
        <w:rPr>
          <w:rFonts w:ascii="Times New Roman" w:hAnsi="Times New Roman" w:cs="Times New Roman"/>
          <w:noProof/>
          <w:sz w:val="24"/>
          <w:szCs w:val="24"/>
          <w:lang w:val="en-IE"/>
        </w:rPr>
        <w:t xml:space="preserve">for </w:t>
      </w:r>
      <w:r w:rsidRPr="147C5D2E">
        <w:rPr>
          <w:rFonts w:ascii="Times New Roman" w:hAnsi="Times New Roman" w:cs="Times New Roman"/>
          <w:noProof/>
          <w:sz w:val="24"/>
          <w:szCs w:val="24"/>
          <w:lang w:val="en-IE"/>
        </w:rPr>
        <w:t xml:space="preserve">updating it by empowering </w:t>
      </w:r>
      <w:r w:rsidRPr="5180759A">
        <w:rPr>
          <w:rFonts w:ascii="Times New Roman" w:hAnsi="Times New Roman" w:cs="Times New Roman"/>
          <w:noProof/>
          <w:sz w:val="24"/>
          <w:szCs w:val="24"/>
          <w:lang w:val="en-IE"/>
        </w:rPr>
        <w:t xml:space="preserve">NRAs </w:t>
      </w:r>
      <w:r w:rsidRPr="2712B3C7">
        <w:rPr>
          <w:rFonts w:ascii="Times New Roman" w:hAnsi="Times New Roman" w:cs="Times New Roman"/>
          <w:noProof/>
          <w:sz w:val="24"/>
          <w:szCs w:val="24"/>
          <w:lang w:val="en-IE"/>
        </w:rPr>
        <w:t xml:space="preserve">with more </w:t>
      </w:r>
      <w:r w:rsidRPr="0ECC69EF">
        <w:rPr>
          <w:rFonts w:ascii="Times New Roman" w:hAnsi="Times New Roman" w:cs="Times New Roman"/>
          <w:noProof/>
          <w:sz w:val="24"/>
          <w:szCs w:val="24"/>
          <w:lang w:val="en-IE"/>
        </w:rPr>
        <w:t xml:space="preserve">tools, </w:t>
      </w:r>
      <w:r w:rsidRPr="6B1618DD">
        <w:rPr>
          <w:rFonts w:ascii="Times New Roman" w:hAnsi="Times New Roman" w:cs="Times New Roman"/>
          <w:noProof/>
          <w:sz w:val="24"/>
          <w:szCs w:val="24"/>
          <w:lang w:val="en-IE"/>
        </w:rPr>
        <w:t xml:space="preserve">including </w:t>
      </w:r>
      <w:r w:rsidRPr="69D599AA">
        <w:rPr>
          <w:rFonts w:ascii="Times New Roman" w:hAnsi="Times New Roman" w:cs="Times New Roman"/>
          <w:noProof/>
          <w:sz w:val="24"/>
          <w:szCs w:val="24"/>
          <w:lang w:val="en-IE"/>
        </w:rPr>
        <w:t xml:space="preserve">in </w:t>
      </w:r>
      <w:r w:rsidRPr="12079FB3">
        <w:rPr>
          <w:rFonts w:ascii="Times New Roman" w:hAnsi="Times New Roman" w:cs="Times New Roman"/>
          <w:noProof/>
          <w:sz w:val="24"/>
          <w:szCs w:val="24"/>
          <w:lang w:val="en-IE"/>
        </w:rPr>
        <w:t xml:space="preserve">particular </w:t>
      </w:r>
      <w:r w:rsidRPr="26A6FBE5">
        <w:rPr>
          <w:rFonts w:ascii="Times New Roman" w:hAnsi="Times New Roman" w:cs="Times New Roman"/>
          <w:noProof/>
          <w:sz w:val="24"/>
          <w:szCs w:val="24"/>
          <w:lang w:val="en-IE"/>
        </w:rPr>
        <w:t xml:space="preserve">the </w:t>
      </w:r>
      <w:r w:rsidRPr="46E15C9D">
        <w:rPr>
          <w:rFonts w:ascii="Times New Roman" w:hAnsi="Times New Roman" w:cs="Times New Roman"/>
          <w:noProof/>
          <w:sz w:val="24"/>
          <w:szCs w:val="24"/>
          <w:lang w:val="en-IE"/>
        </w:rPr>
        <w:t>complementary use of SMP-</w:t>
      </w:r>
      <w:r w:rsidRPr="34FF5334">
        <w:rPr>
          <w:rFonts w:ascii="Times New Roman" w:hAnsi="Times New Roman" w:cs="Times New Roman"/>
          <w:noProof/>
          <w:sz w:val="24"/>
          <w:szCs w:val="24"/>
          <w:lang w:val="en-IE"/>
        </w:rPr>
        <w:t xml:space="preserve">based and </w:t>
      </w:r>
      <w:r w:rsidRPr="55A65BF3">
        <w:rPr>
          <w:rFonts w:ascii="Times New Roman" w:hAnsi="Times New Roman" w:cs="Times New Roman"/>
          <w:noProof/>
          <w:sz w:val="24"/>
          <w:szCs w:val="24"/>
          <w:lang w:val="en-IE"/>
        </w:rPr>
        <w:t xml:space="preserve">symmetric </w:t>
      </w:r>
      <w:r w:rsidRPr="19F39C53">
        <w:rPr>
          <w:rFonts w:ascii="Times New Roman" w:hAnsi="Times New Roman" w:cs="Times New Roman"/>
          <w:noProof/>
          <w:sz w:val="24"/>
          <w:szCs w:val="24"/>
          <w:lang w:val="en-IE"/>
        </w:rPr>
        <w:t>regulation,</w:t>
      </w:r>
      <w:r w:rsidRPr="5843BD0E">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in particular access to ducts, </w:t>
      </w:r>
      <w:r w:rsidRPr="5843BD0E">
        <w:rPr>
          <w:rFonts w:ascii="Times New Roman" w:hAnsi="Times New Roman" w:cs="Times New Roman"/>
          <w:noProof/>
          <w:sz w:val="24"/>
          <w:szCs w:val="24"/>
          <w:lang w:val="en-IE"/>
        </w:rPr>
        <w:t xml:space="preserve">to </w:t>
      </w:r>
      <w:r w:rsidRPr="6DA1BCFF">
        <w:rPr>
          <w:rFonts w:ascii="Times New Roman" w:hAnsi="Times New Roman" w:cs="Times New Roman"/>
          <w:noProof/>
          <w:sz w:val="24"/>
          <w:szCs w:val="24"/>
          <w:lang w:val="en-IE"/>
        </w:rPr>
        <w:t xml:space="preserve">tackle competition issues </w:t>
      </w:r>
      <w:r>
        <w:rPr>
          <w:rFonts w:ascii="Times New Roman" w:hAnsi="Times New Roman" w:cs="Times New Roman"/>
          <w:noProof/>
          <w:sz w:val="24"/>
          <w:szCs w:val="24"/>
          <w:lang w:val="en-IE"/>
        </w:rPr>
        <w:t xml:space="preserve">that could </w:t>
      </w:r>
      <w:r w:rsidRPr="6DA1BCFF">
        <w:rPr>
          <w:rFonts w:ascii="Times New Roman" w:hAnsi="Times New Roman" w:cs="Times New Roman"/>
          <w:noProof/>
          <w:sz w:val="24"/>
          <w:szCs w:val="24"/>
          <w:lang w:val="en-IE"/>
        </w:rPr>
        <w:t>emerg</w:t>
      </w:r>
      <w:r>
        <w:rPr>
          <w:rFonts w:ascii="Times New Roman" w:hAnsi="Times New Roman" w:cs="Times New Roman"/>
          <w:noProof/>
          <w:sz w:val="24"/>
          <w:szCs w:val="24"/>
          <w:lang w:val="en-IE"/>
        </w:rPr>
        <w:t>e</w:t>
      </w:r>
      <w:r w:rsidRPr="6DA1BCFF">
        <w:rPr>
          <w:rFonts w:ascii="Times New Roman" w:hAnsi="Times New Roman" w:cs="Times New Roman"/>
          <w:noProof/>
          <w:sz w:val="24"/>
          <w:szCs w:val="24"/>
          <w:lang w:val="en-IE"/>
        </w:rPr>
        <w:t xml:space="preserve"> during </w:t>
      </w:r>
      <w:r w:rsidRPr="08427D5D">
        <w:rPr>
          <w:rFonts w:ascii="Times New Roman" w:hAnsi="Times New Roman" w:cs="Times New Roman"/>
          <w:noProof/>
          <w:sz w:val="24"/>
          <w:szCs w:val="24"/>
          <w:lang w:val="en-IE"/>
        </w:rPr>
        <w:t xml:space="preserve">the transition to fibre and after </w:t>
      </w:r>
      <w:r w:rsidRPr="07892682">
        <w:rPr>
          <w:rFonts w:ascii="Times New Roman" w:hAnsi="Times New Roman" w:cs="Times New Roman"/>
          <w:noProof/>
          <w:sz w:val="24"/>
          <w:szCs w:val="24"/>
          <w:lang w:val="en-IE"/>
        </w:rPr>
        <w:t>the switch off of copper</w:t>
      </w:r>
      <w:r>
        <w:rPr>
          <w:rFonts w:ascii="Times New Roman" w:hAnsi="Times New Roman" w:cs="Times New Roman"/>
          <w:noProof/>
          <w:sz w:val="24"/>
          <w:szCs w:val="24"/>
          <w:lang w:val="en-IE"/>
        </w:rPr>
        <w:t xml:space="preserve"> in full fibre environment</w:t>
      </w:r>
      <w:r w:rsidRPr="07892682">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w:t>
      </w:r>
      <w:r w:rsidRPr="7DF28B79">
        <w:rPr>
          <w:rFonts w:ascii="Times New Roman" w:hAnsi="Times New Roman" w:cs="Times New Roman"/>
          <w:noProof/>
          <w:sz w:val="24"/>
          <w:szCs w:val="24"/>
          <w:lang w:val="en-IE"/>
        </w:rPr>
        <w:t xml:space="preserve">The </w:t>
      </w:r>
      <w:r>
        <w:rPr>
          <w:rFonts w:ascii="Times New Roman" w:hAnsi="Times New Roman" w:cs="Times New Roman"/>
          <w:noProof/>
          <w:sz w:val="24"/>
          <w:szCs w:val="24"/>
          <w:lang w:val="en-IE"/>
        </w:rPr>
        <w:t>r</w:t>
      </w:r>
      <w:r w:rsidRPr="7DF28B79">
        <w:rPr>
          <w:rFonts w:ascii="Times New Roman" w:hAnsi="Times New Roman" w:cs="Times New Roman"/>
          <w:noProof/>
          <w:sz w:val="24"/>
          <w:szCs w:val="24"/>
          <w:lang w:val="en-IE"/>
        </w:rPr>
        <w:t xml:space="preserve">eport also observes that geographic surveys </w:t>
      </w:r>
      <w:r>
        <w:rPr>
          <w:rFonts w:ascii="Times New Roman" w:hAnsi="Times New Roman" w:cs="Times New Roman"/>
          <w:noProof/>
          <w:sz w:val="24"/>
          <w:szCs w:val="24"/>
          <w:lang w:val="en-IE"/>
        </w:rPr>
        <w:t>(that were not used to their full potential under current framework)</w:t>
      </w:r>
      <w:r w:rsidRPr="7DF28B79">
        <w:rPr>
          <w:rFonts w:ascii="Times New Roman" w:hAnsi="Times New Roman" w:cs="Times New Roman"/>
          <w:noProof/>
          <w:sz w:val="24"/>
          <w:szCs w:val="24"/>
          <w:lang w:val="en-IE"/>
        </w:rPr>
        <w:t xml:space="preserve"> should help national administrations and NRAs to gather the evidence to shape regulatory interventions and policy initiatives that address the problems concerning fibre network coverage.</w:t>
      </w:r>
    </w:p>
    <w:p w14:paraId="5917F386" w14:textId="77777777" w:rsidR="00275512" w:rsidRDefault="00275512" w:rsidP="00275512">
      <w:pPr>
        <w:spacing w:after="240" w:line="240" w:lineRule="auto"/>
        <w:jc w:val="both"/>
        <w:rPr>
          <w:rFonts w:ascii="Times New Roman" w:hAnsi="Times New Roman" w:cs="Times New Roman"/>
          <w:noProof/>
          <w:sz w:val="24"/>
          <w:szCs w:val="24"/>
          <w:lang w:val="en-IE"/>
        </w:rPr>
      </w:pPr>
      <w:r w:rsidRPr="40B585F1">
        <w:rPr>
          <w:rFonts w:ascii="Times New Roman" w:hAnsi="Times New Roman" w:cs="Times New Roman"/>
          <w:noProof/>
          <w:sz w:val="24"/>
          <w:szCs w:val="24"/>
          <w:lang w:val="en-IE"/>
        </w:rPr>
        <w:t xml:space="preserve">As regards </w:t>
      </w:r>
      <w:r w:rsidRPr="40B585F1">
        <w:rPr>
          <w:rFonts w:ascii="Times New Roman" w:hAnsi="Times New Roman" w:cs="Times New Roman"/>
          <w:b/>
          <w:bCs/>
          <w:noProof/>
          <w:sz w:val="24"/>
          <w:szCs w:val="24"/>
          <w:lang w:val="en-IE"/>
        </w:rPr>
        <w:t>spectrum policy</w:t>
      </w:r>
      <w:r w:rsidRPr="40B585F1">
        <w:rPr>
          <w:rFonts w:ascii="Times New Roman" w:hAnsi="Times New Roman" w:cs="Times New Roman"/>
          <w:noProof/>
          <w:sz w:val="24"/>
          <w:szCs w:val="24"/>
          <w:lang w:val="en-IE"/>
        </w:rPr>
        <w:t xml:space="preserve">, the EECC has been unsuccessful in establishing a pro-investment spectrum assignment framework. Assignment conditions remain fragmented across Member States, continue to enable revenue-oriented auction designs, provide </w:t>
      </w:r>
      <w:r>
        <w:rPr>
          <w:rFonts w:ascii="Times New Roman" w:hAnsi="Times New Roman" w:cs="Times New Roman"/>
          <w:noProof/>
          <w:sz w:val="24"/>
          <w:szCs w:val="24"/>
          <w:lang w:val="en-IE"/>
        </w:rPr>
        <w:t xml:space="preserve">for </w:t>
      </w:r>
      <w:r w:rsidRPr="40B585F1">
        <w:rPr>
          <w:rFonts w:ascii="Times New Roman" w:hAnsi="Times New Roman" w:cs="Times New Roman"/>
          <w:noProof/>
          <w:sz w:val="24"/>
          <w:szCs w:val="24"/>
          <w:lang w:val="en-IE"/>
        </w:rPr>
        <w:t xml:space="preserve">insufficient licence duration and lack incentives to share spectrum. </w:t>
      </w:r>
      <w:r>
        <w:rPr>
          <w:rFonts w:ascii="Times New Roman" w:hAnsi="Times New Roman" w:cs="Times New Roman"/>
          <w:noProof/>
          <w:sz w:val="24"/>
          <w:szCs w:val="24"/>
          <w:lang w:val="en-IE"/>
        </w:rPr>
        <w:t>Limited regulatory predictability and lack of demand affect financial attractiveness</w:t>
      </w:r>
      <w:r w:rsidDel="00A9076C">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of high quality 5G deployment projects to investors. </w:t>
      </w:r>
      <w:r w:rsidRPr="40B585F1">
        <w:rPr>
          <w:rFonts w:ascii="Times New Roman" w:hAnsi="Times New Roman" w:cs="Times New Roman"/>
          <w:noProof/>
          <w:sz w:val="24"/>
          <w:szCs w:val="24"/>
          <w:lang w:val="en-IE"/>
        </w:rPr>
        <w:t xml:space="preserve">As a result, </w:t>
      </w:r>
      <w:r>
        <w:rPr>
          <w:rFonts w:ascii="Times New Roman" w:hAnsi="Times New Roman" w:cs="Times New Roman"/>
          <w:noProof/>
          <w:sz w:val="24"/>
          <w:szCs w:val="24"/>
          <w:lang w:val="en-IE"/>
        </w:rPr>
        <w:t xml:space="preserve">compared to other regions </w:t>
      </w:r>
      <w:r w:rsidRPr="40B585F1">
        <w:rPr>
          <w:rFonts w:ascii="Times New Roman" w:hAnsi="Times New Roman" w:cs="Times New Roman"/>
          <w:noProof/>
          <w:sz w:val="24"/>
          <w:szCs w:val="24"/>
          <w:lang w:val="en-IE"/>
        </w:rPr>
        <w:t>the EU is lagging in high quality/stand-alone 5G deployments</w:t>
      </w:r>
      <w:r>
        <w:rPr>
          <w:rFonts w:ascii="Times New Roman" w:hAnsi="Times New Roman" w:cs="Times New Roman"/>
          <w:noProof/>
          <w:sz w:val="24"/>
          <w:szCs w:val="24"/>
          <w:lang w:val="en-IE"/>
        </w:rPr>
        <w:t xml:space="preserve"> and consumers and businesses risk missing out on advanced innovative services</w:t>
      </w:r>
      <w:r w:rsidRPr="40B585F1">
        <w:rPr>
          <w:rFonts w:ascii="Times New Roman" w:hAnsi="Times New Roman" w:cs="Times New Roman"/>
          <w:noProof/>
          <w:sz w:val="24"/>
          <w:szCs w:val="24"/>
          <w:lang w:val="en-IE"/>
        </w:rPr>
        <w:t xml:space="preserve">. </w:t>
      </w:r>
    </w:p>
    <w:p w14:paraId="06E63BD1" w14:textId="77777777" w:rsidR="00275512" w:rsidRDefault="00275512" w:rsidP="00275512">
      <w:pPr>
        <w:spacing w:after="240" w:line="240" w:lineRule="auto"/>
        <w:jc w:val="both"/>
        <w:rPr>
          <w:rFonts w:ascii="Times New Roman" w:hAnsi="Times New Roman" w:cs="Times New Roman"/>
          <w:noProof/>
          <w:sz w:val="24"/>
          <w:szCs w:val="24"/>
          <w:lang w:val="en-IE"/>
        </w:rPr>
      </w:pPr>
      <w:r w:rsidRPr="40B585F1">
        <w:rPr>
          <w:rFonts w:ascii="Times New Roman" w:hAnsi="Times New Roman" w:cs="Times New Roman"/>
          <w:noProof/>
          <w:sz w:val="24"/>
          <w:szCs w:val="24"/>
          <w:lang w:val="en-IE"/>
        </w:rPr>
        <w:t xml:space="preserve">Barriers to operating cross-border and scaling-up persist, including under the </w:t>
      </w:r>
      <w:r w:rsidRPr="000772FD">
        <w:rPr>
          <w:rFonts w:ascii="Times New Roman" w:hAnsi="Times New Roman" w:cs="Times New Roman"/>
          <w:b/>
          <w:bCs/>
          <w:noProof/>
          <w:sz w:val="24"/>
          <w:szCs w:val="24"/>
          <w:lang w:val="en-IE"/>
        </w:rPr>
        <w:t>general authorisation regime</w:t>
      </w:r>
      <w:r w:rsidRPr="40B585F1">
        <w:rPr>
          <w:rFonts w:ascii="Times New Roman" w:hAnsi="Times New Roman" w:cs="Times New Roman"/>
          <w:noProof/>
          <w:sz w:val="24"/>
          <w:szCs w:val="24"/>
          <w:lang w:val="en-IE"/>
        </w:rPr>
        <w:t>, which has resulted in a lack of a uniform and coherent approach to the applicable conditions for electronic communications in general, including for wireless communications. The same applies to satellite services, where authorisation remains national and fragmented, despite the inherently cross-border nature of this market and the potential of Direct-to-Device (D2D) to provide ubiquitous and seamless coverage across the EU.</w:t>
      </w:r>
    </w:p>
    <w:p w14:paraId="49917620" w14:textId="77777777" w:rsidR="00275512" w:rsidRPr="001B102F" w:rsidRDefault="00275512" w:rsidP="00275512">
      <w:pPr>
        <w:spacing w:after="240" w:line="240" w:lineRule="auto"/>
        <w:jc w:val="both"/>
        <w:rPr>
          <w:rFonts w:ascii="Times New Roman" w:eastAsia="Times New Roman" w:hAnsi="Times New Roman" w:cs="Times New Roman"/>
          <w:noProof/>
          <w:sz w:val="24"/>
          <w:szCs w:val="24"/>
        </w:rPr>
      </w:pPr>
      <w:r w:rsidRPr="001B102F">
        <w:rPr>
          <w:rFonts w:ascii="Times New Roman" w:eastAsia="Times New Roman" w:hAnsi="Times New Roman" w:cs="Times New Roman"/>
          <w:noProof/>
          <w:sz w:val="24"/>
          <w:szCs w:val="24"/>
        </w:rPr>
        <w:t xml:space="preserve">The </w:t>
      </w:r>
      <w:r w:rsidRPr="0046257A">
        <w:rPr>
          <w:rFonts w:ascii="Times New Roman" w:eastAsia="Times New Roman" w:hAnsi="Times New Roman" w:cs="Times New Roman"/>
          <w:b/>
          <w:bCs/>
          <w:noProof/>
          <w:sz w:val="24"/>
          <w:szCs w:val="24"/>
        </w:rPr>
        <w:t>end-user rights provisions</w:t>
      </w:r>
      <w:r w:rsidRPr="001B102F">
        <w:rPr>
          <w:rFonts w:ascii="Times New Roman" w:eastAsia="Times New Roman" w:hAnsi="Times New Roman" w:cs="Times New Roman"/>
          <w:noProof/>
          <w:sz w:val="24"/>
          <w:szCs w:val="24"/>
        </w:rPr>
        <w:t xml:space="preserve"> are mostly still fit for purpose and Europeans enjoy a high-level of end-user experience and protection in the electronic communication sector for choice, price and quality of services. Member States have also used the possibilities in the framework for introducing national rules</w:t>
      </w:r>
      <w:r>
        <w:rPr>
          <w:rFonts w:ascii="Times New Roman" w:eastAsia="Times New Roman" w:hAnsi="Times New Roman" w:cs="Times New Roman"/>
          <w:noProof/>
          <w:sz w:val="24"/>
          <w:szCs w:val="24"/>
        </w:rPr>
        <w:t xml:space="preserve">, often leading to </w:t>
      </w:r>
      <w:r w:rsidRPr="3E68EB82">
        <w:rPr>
          <w:rFonts w:ascii="Times New Roman" w:eastAsia="Times New Roman" w:hAnsi="Times New Roman" w:cs="Times New Roman"/>
          <w:noProof/>
          <w:sz w:val="24"/>
          <w:szCs w:val="24"/>
        </w:rPr>
        <w:t xml:space="preserve">divergent application of the rules and even </w:t>
      </w:r>
      <w:r w:rsidRPr="318EC956">
        <w:rPr>
          <w:rFonts w:ascii="Times New Roman" w:eastAsia="Times New Roman" w:hAnsi="Times New Roman" w:cs="Times New Roman"/>
          <w:noProof/>
          <w:sz w:val="24"/>
          <w:szCs w:val="24"/>
        </w:rPr>
        <w:lastRenderedPageBreak/>
        <w:t xml:space="preserve">sometimes </w:t>
      </w:r>
      <w:r w:rsidRPr="3E68EB82">
        <w:rPr>
          <w:rFonts w:ascii="Times New Roman" w:eastAsia="Times New Roman" w:hAnsi="Times New Roman" w:cs="Times New Roman"/>
          <w:noProof/>
          <w:sz w:val="24"/>
          <w:szCs w:val="24"/>
        </w:rPr>
        <w:t>excessive regulation</w:t>
      </w:r>
      <w:r w:rsidRPr="318EC956">
        <w:rPr>
          <w:rFonts w:ascii="Times New Roman" w:eastAsia="Times New Roman" w:hAnsi="Times New Roman" w:cs="Times New Roman"/>
          <w:noProof/>
          <w:sz w:val="24"/>
          <w:szCs w:val="24"/>
        </w:rPr>
        <w:t>.</w:t>
      </w:r>
      <w:r w:rsidRPr="3E68EB8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Further harmonisation c</w:t>
      </w:r>
      <w:r w:rsidRPr="00E974F2">
        <w:rPr>
          <w:rFonts w:ascii="Times New Roman" w:eastAsia="Times New Roman" w:hAnsi="Times New Roman" w:cs="Times New Roman"/>
          <w:noProof/>
          <w:sz w:val="24"/>
          <w:szCs w:val="24"/>
        </w:rPr>
        <w:t xml:space="preserve">ould reduce administrative burden, lower compliance costs and enhance the delivery of cross-border services. </w:t>
      </w:r>
      <w:r>
        <w:rPr>
          <w:rFonts w:ascii="Times New Roman" w:eastAsia="Times New Roman" w:hAnsi="Times New Roman" w:cs="Times New Roman"/>
          <w:noProof/>
          <w:sz w:val="24"/>
          <w:szCs w:val="24"/>
        </w:rPr>
        <w:t>In addition, s</w:t>
      </w:r>
      <w:r w:rsidRPr="001B102F">
        <w:rPr>
          <w:rFonts w:ascii="Times New Roman" w:eastAsia="Times New Roman" w:hAnsi="Times New Roman" w:cs="Times New Roman"/>
          <w:noProof/>
          <w:sz w:val="24"/>
          <w:szCs w:val="24"/>
        </w:rPr>
        <w:t xml:space="preserve">ome updates and simplification could be beneficial for both end-users and service providers, for example, streamlining of </w:t>
      </w:r>
      <w:r>
        <w:rPr>
          <w:rFonts w:ascii="Times New Roman" w:eastAsia="Times New Roman" w:hAnsi="Times New Roman" w:cs="Times New Roman"/>
          <w:noProof/>
          <w:sz w:val="24"/>
          <w:szCs w:val="24"/>
        </w:rPr>
        <w:t xml:space="preserve">requirements for </w:t>
      </w:r>
      <w:r w:rsidRPr="001B102F">
        <w:rPr>
          <w:rFonts w:ascii="Times New Roman" w:eastAsia="Times New Roman" w:hAnsi="Times New Roman" w:cs="Times New Roman"/>
          <w:noProof/>
          <w:sz w:val="24"/>
          <w:szCs w:val="24"/>
        </w:rPr>
        <w:t>information</w:t>
      </w:r>
      <w:r>
        <w:rPr>
          <w:rFonts w:ascii="Times New Roman" w:eastAsia="Times New Roman" w:hAnsi="Times New Roman" w:cs="Times New Roman"/>
          <w:noProof/>
          <w:sz w:val="24"/>
          <w:szCs w:val="24"/>
        </w:rPr>
        <w:t xml:space="preserve"> provision</w:t>
      </w:r>
      <w:r w:rsidRPr="001B102F">
        <w:rPr>
          <w:rFonts w:ascii="Times New Roman" w:eastAsia="Times New Roman" w:hAnsi="Times New Roman" w:cs="Times New Roman"/>
          <w:noProof/>
          <w:sz w:val="24"/>
          <w:szCs w:val="24"/>
        </w:rPr>
        <w:t>.</w:t>
      </w:r>
    </w:p>
    <w:p w14:paraId="6C6D821D" w14:textId="77777777" w:rsidR="00275512" w:rsidRPr="0046257A" w:rsidRDefault="00275512" w:rsidP="00275512">
      <w:pPr>
        <w:spacing w:after="240" w:line="240" w:lineRule="auto"/>
        <w:jc w:val="both"/>
        <w:rPr>
          <w:rFonts w:ascii="Times New Roman" w:hAnsi="Times New Roman" w:cs="Times New Roman"/>
          <w:noProof/>
          <w:sz w:val="24"/>
          <w:szCs w:val="24"/>
        </w:rPr>
      </w:pPr>
      <w:r w:rsidRPr="40B585F1">
        <w:rPr>
          <w:rFonts w:ascii="Times New Roman" w:eastAsia="Times New Roman" w:hAnsi="Times New Roman" w:cs="Times New Roman"/>
          <w:noProof/>
          <w:sz w:val="24"/>
          <w:szCs w:val="24"/>
        </w:rPr>
        <w:t xml:space="preserve">The </w:t>
      </w:r>
      <w:r w:rsidRPr="40B585F1">
        <w:rPr>
          <w:rFonts w:ascii="Times New Roman" w:eastAsia="Times New Roman" w:hAnsi="Times New Roman" w:cs="Times New Roman"/>
          <w:b/>
          <w:bCs/>
          <w:noProof/>
          <w:sz w:val="24"/>
          <w:szCs w:val="24"/>
        </w:rPr>
        <w:t>universal service obligations</w:t>
      </w:r>
      <w:r w:rsidRPr="40B585F1">
        <w:rPr>
          <w:rFonts w:ascii="Times New Roman" w:eastAsia="Times New Roman" w:hAnsi="Times New Roman" w:cs="Times New Roman"/>
          <w:noProof/>
          <w:sz w:val="24"/>
          <w:szCs w:val="24"/>
        </w:rPr>
        <w:t xml:space="preserve"> in the EECC are not widely used in all Member States and can be administratively burdensome. However, in view of the </w:t>
      </w:r>
      <w:r w:rsidRPr="40B585F1" w:rsidDel="00086859">
        <w:rPr>
          <w:rFonts w:ascii="Times New Roman" w:eastAsia="Times New Roman" w:hAnsi="Times New Roman" w:cs="Times New Roman"/>
          <w:noProof/>
          <w:sz w:val="24"/>
          <w:szCs w:val="24"/>
        </w:rPr>
        <w:t xml:space="preserve">persisting </w:t>
      </w:r>
      <w:r w:rsidRPr="40B585F1">
        <w:rPr>
          <w:rFonts w:ascii="Times New Roman" w:eastAsia="Times New Roman" w:hAnsi="Times New Roman" w:cs="Times New Roman"/>
          <w:noProof/>
          <w:sz w:val="24"/>
          <w:szCs w:val="24"/>
        </w:rPr>
        <w:t>urban</w:t>
      </w:r>
      <w:r>
        <w:rPr>
          <w:rFonts w:ascii="Times New Roman" w:eastAsia="Times New Roman" w:hAnsi="Times New Roman" w:cs="Times New Roman"/>
          <w:noProof/>
          <w:sz w:val="24"/>
          <w:szCs w:val="24"/>
        </w:rPr>
        <w:t>-rural</w:t>
      </w:r>
      <w:r w:rsidRPr="40B585F1">
        <w:rPr>
          <w:rFonts w:ascii="Times New Roman" w:eastAsia="Times New Roman" w:hAnsi="Times New Roman" w:cs="Times New Roman"/>
          <w:noProof/>
          <w:sz w:val="24"/>
          <w:szCs w:val="24"/>
        </w:rPr>
        <w:t xml:space="preserve"> divide and level of risk of poverty for people in the EU the universal service rules </w:t>
      </w:r>
      <w:r>
        <w:rPr>
          <w:rFonts w:ascii="Times New Roman" w:eastAsia="Times New Roman" w:hAnsi="Times New Roman" w:cs="Times New Roman"/>
          <w:noProof/>
          <w:sz w:val="24"/>
          <w:szCs w:val="24"/>
        </w:rPr>
        <w:t xml:space="preserve">are </w:t>
      </w:r>
      <w:r w:rsidRPr="40B585F1">
        <w:rPr>
          <w:rFonts w:ascii="Times New Roman" w:eastAsia="Times New Roman" w:hAnsi="Times New Roman" w:cs="Times New Roman"/>
          <w:noProof/>
          <w:sz w:val="24"/>
          <w:szCs w:val="24"/>
        </w:rPr>
        <w:t>a safety net to ensure all consumers in the Union have at least an adequate internet and voice communications services and at an affordable price.</w:t>
      </w:r>
      <w:r>
        <w:rPr>
          <w:rFonts w:ascii="Times New Roman" w:hAnsi="Times New Roman" w:cs="Times New Roman"/>
          <w:noProof/>
          <w:sz w:val="24"/>
          <w:szCs w:val="24"/>
        </w:rPr>
        <w:t xml:space="preserve"> The role of the universal service safety net continues to be important also in the context of technological evolution (including during and after the transition to a full fibre environment).</w:t>
      </w:r>
    </w:p>
    <w:p w14:paraId="4025803B" w14:textId="77777777" w:rsidR="00275512" w:rsidRDefault="00275512" w:rsidP="00275512">
      <w:pPr>
        <w:spacing w:after="240" w:line="240" w:lineRule="auto"/>
        <w:jc w:val="both"/>
        <w:rPr>
          <w:rFonts w:ascii="Times New Roman" w:hAnsi="Times New Roman" w:cs="Times New Roman"/>
          <w:noProof/>
          <w:sz w:val="24"/>
          <w:szCs w:val="24"/>
          <w:lang w:val="en-IE"/>
        </w:rPr>
      </w:pPr>
      <w:r w:rsidRPr="007F059F">
        <w:rPr>
          <w:rFonts w:ascii="Times New Roman" w:hAnsi="Times New Roman" w:cs="Times New Roman"/>
          <w:noProof/>
          <w:sz w:val="24"/>
          <w:szCs w:val="24"/>
          <w:lang w:val="en-IE"/>
        </w:rPr>
        <w:t xml:space="preserve">As regards </w:t>
      </w:r>
      <w:r w:rsidRPr="00405AF2">
        <w:rPr>
          <w:rFonts w:ascii="Times New Roman" w:hAnsi="Times New Roman" w:cs="Times New Roman"/>
          <w:b/>
          <w:bCs/>
          <w:noProof/>
          <w:sz w:val="24"/>
          <w:szCs w:val="24"/>
          <w:lang w:val="en-IE"/>
        </w:rPr>
        <w:t>governance</w:t>
      </w:r>
      <w:r w:rsidRPr="007F059F">
        <w:rPr>
          <w:rFonts w:ascii="Times New Roman" w:hAnsi="Times New Roman" w:cs="Times New Roman"/>
          <w:noProof/>
          <w:sz w:val="24"/>
          <w:szCs w:val="24"/>
          <w:lang w:val="en-IE"/>
        </w:rPr>
        <w:t>, the EECC ha</w:t>
      </w:r>
      <w:r>
        <w:rPr>
          <w:rFonts w:ascii="Times New Roman" w:hAnsi="Times New Roman" w:cs="Times New Roman"/>
          <w:noProof/>
          <w:sz w:val="24"/>
          <w:szCs w:val="24"/>
          <w:lang w:val="en-IE"/>
        </w:rPr>
        <w:t>s</w:t>
      </w:r>
      <w:r w:rsidRPr="007F059F">
        <w:rPr>
          <w:rFonts w:ascii="Times New Roman" w:hAnsi="Times New Roman" w:cs="Times New Roman"/>
          <w:noProof/>
          <w:sz w:val="24"/>
          <w:szCs w:val="24"/>
          <w:lang w:val="en-IE"/>
        </w:rPr>
        <w:t xml:space="preserve"> not</w:t>
      </w:r>
      <w:r w:rsidRPr="00D05A58">
        <w:rPr>
          <w:rFonts w:ascii="Times New Roman" w:hAnsi="Times New Roman" w:cs="Times New Roman"/>
          <w:noProof/>
          <w:sz w:val="24"/>
          <w:szCs w:val="24"/>
          <w:lang w:val="en-IE"/>
        </w:rPr>
        <w:t xml:space="preserve"> been successful in achieving harmonisation, </w:t>
      </w:r>
      <w:r>
        <w:rPr>
          <w:rFonts w:ascii="Times New Roman" w:hAnsi="Times New Roman" w:cs="Times New Roman"/>
          <w:noProof/>
          <w:sz w:val="24"/>
          <w:szCs w:val="24"/>
          <w:lang w:val="en-IE"/>
        </w:rPr>
        <w:t>also</w:t>
      </w:r>
      <w:r w:rsidRPr="00D05A58">
        <w:rPr>
          <w:rFonts w:ascii="Times New Roman" w:hAnsi="Times New Roman" w:cs="Times New Roman"/>
          <w:noProof/>
          <w:sz w:val="24"/>
          <w:szCs w:val="24"/>
          <w:lang w:val="en-IE"/>
        </w:rPr>
        <w:t xml:space="preserve"> due to </w:t>
      </w:r>
      <w:r>
        <w:rPr>
          <w:rFonts w:ascii="Times New Roman" w:hAnsi="Times New Roman" w:cs="Times New Roman"/>
          <w:noProof/>
          <w:sz w:val="24"/>
          <w:szCs w:val="24"/>
          <w:lang w:val="en-IE"/>
        </w:rPr>
        <w:t xml:space="preserve">the </w:t>
      </w:r>
      <w:r w:rsidRPr="00D05A58">
        <w:rPr>
          <w:rFonts w:ascii="Times New Roman" w:hAnsi="Times New Roman" w:cs="Times New Roman"/>
          <w:noProof/>
          <w:sz w:val="24"/>
          <w:szCs w:val="24"/>
          <w:lang w:val="en-IE"/>
        </w:rPr>
        <w:t xml:space="preserve">governance structure not fully suited to </w:t>
      </w:r>
      <w:r>
        <w:rPr>
          <w:rFonts w:ascii="Times New Roman" w:hAnsi="Times New Roman" w:cs="Times New Roman"/>
          <w:noProof/>
          <w:sz w:val="24"/>
          <w:szCs w:val="24"/>
          <w:lang w:val="en-IE"/>
        </w:rPr>
        <w:t xml:space="preserve">deliver on </w:t>
      </w:r>
      <w:r w:rsidRPr="00D05A58">
        <w:rPr>
          <w:rFonts w:ascii="Times New Roman" w:hAnsi="Times New Roman" w:cs="Times New Roman"/>
          <w:noProof/>
          <w:sz w:val="24"/>
          <w:szCs w:val="24"/>
          <w:lang w:val="en-IE"/>
        </w:rPr>
        <w:t>single market</w:t>
      </w:r>
      <w:r>
        <w:rPr>
          <w:rFonts w:ascii="Times New Roman" w:hAnsi="Times New Roman" w:cs="Times New Roman"/>
          <w:noProof/>
          <w:sz w:val="24"/>
          <w:szCs w:val="24"/>
          <w:lang w:val="en-IE"/>
        </w:rPr>
        <w:t xml:space="preserve"> objectives</w:t>
      </w:r>
      <w:r w:rsidRPr="00D05A58">
        <w:rPr>
          <w:rFonts w:ascii="Times New Roman" w:hAnsi="Times New Roman" w:cs="Times New Roman"/>
          <w:noProof/>
          <w:sz w:val="24"/>
          <w:szCs w:val="24"/>
          <w:lang w:val="en-IE"/>
        </w:rPr>
        <w:t>. The contribution</w:t>
      </w:r>
      <w:r>
        <w:rPr>
          <w:rFonts w:ascii="Times New Roman" w:hAnsi="Times New Roman" w:cs="Times New Roman"/>
          <w:noProof/>
          <w:sz w:val="24"/>
          <w:szCs w:val="24"/>
          <w:lang w:val="en-IE"/>
        </w:rPr>
        <w:t>s</w:t>
      </w:r>
      <w:r w:rsidRPr="00D05A58">
        <w:rPr>
          <w:rFonts w:ascii="Times New Roman" w:hAnsi="Times New Roman" w:cs="Times New Roman"/>
          <w:noProof/>
          <w:sz w:val="24"/>
          <w:szCs w:val="24"/>
          <w:lang w:val="en-IE"/>
        </w:rPr>
        <w:t xml:space="preserve"> of BEREC to harmonised implementation of the EECC</w:t>
      </w:r>
      <w:r>
        <w:rPr>
          <w:rFonts w:ascii="Times New Roman" w:hAnsi="Times New Roman" w:cs="Times New Roman"/>
          <w:noProof/>
          <w:sz w:val="24"/>
          <w:szCs w:val="24"/>
          <w:lang w:val="en-IE"/>
        </w:rPr>
        <w:t xml:space="preserve">, are </w:t>
      </w:r>
      <w:r w:rsidRPr="00D05A58">
        <w:rPr>
          <w:rFonts w:ascii="Times New Roman" w:hAnsi="Times New Roman" w:cs="Times New Roman"/>
          <w:noProof/>
          <w:sz w:val="24"/>
          <w:szCs w:val="24"/>
          <w:lang w:val="en-IE"/>
        </w:rPr>
        <w:t>usually of high quality, and supporting NRAs in reaching common approaches</w:t>
      </w:r>
      <w:r>
        <w:rPr>
          <w:rFonts w:ascii="Times New Roman" w:hAnsi="Times New Roman" w:cs="Times New Roman"/>
          <w:noProof/>
          <w:sz w:val="24"/>
          <w:szCs w:val="24"/>
          <w:lang w:val="en-IE"/>
        </w:rPr>
        <w:t xml:space="preserve">; however, they </w:t>
      </w:r>
      <w:r w:rsidRPr="00D05A58">
        <w:rPr>
          <w:rFonts w:ascii="Times New Roman" w:hAnsi="Times New Roman" w:cs="Times New Roman"/>
          <w:noProof/>
          <w:sz w:val="24"/>
          <w:szCs w:val="24"/>
          <w:lang w:val="en-IE"/>
        </w:rPr>
        <w:t xml:space="preserve">were not sufficient to bring about the single market in the </w:t>
      </w:r>
      <w:r>
        <w:rPr>
          <w:rFonts w:ascii="Times New Roman" w:hAnsi="Times New Roman" w:cs="Times New Roman"/>
          <w:noProof/>
          <w:sz w:val="24"/>
          <w:szCs w:val="24"/>
          <w:lang w:val="en-IE"/>
        </w:rPr>
        <w:t xml:space="preserve">electronic </w:t>
      </w:r>
      <w:r w:rsidRPr="00D05A58">
        <w:rPr>
          <w:rFonts w:ascii="Times New Roman" w:hAnsi="Times New Roman" w:cs="Times New Roman"/>
          <w:noProof/>
          <w:sz w:val="24"/>
          <w:szCs w:val="24"/>
          <w:lang w:val="en-IE"/>
        </w:rPr>
        <w:t xml:space="preserve">communication sector. The evaluation identified also a potential need for covering new tasks in spectrum and data to ensure </w:t>
      </w:r>
      <w:r>
        <w:rPr>
          <w:rFonts w:ascii="Times New Roman" w:hAnsi="Times New Roman" w:cs="Times New Roman"/>
          <w:noProof/>
          <w:sz w:val="24"/>
          <w:szCs w:val="24"/>
          <w:lang w:val="en-IE"/>
        </w:rPr>
        <w:t xml:space="preserve">a consistent </w:t>
      </w:r>
      <w:r w:rsidRPr="00D05A58">
        <w:rPr>
          <w:rFonts w:ascii="Times New Roman" w:hAnsi="Times New Roman" w:cs="Times New Roman"/>
          <w:noProof/>
          <w:sz w:val="24"/>
          <w:szCs w:val="24"/>
          <w:lang w:val="en-IE"/>
        </w:rPr>
        <w:t>approach</w:t>
      </w:r>
      <w:r>
        <w:rPr>
          <w:rFonts w:ascii="Times New Roman" w:hAnsi="Times New Roman" w:cs="Times New Roman"/>
          <w:noProof/>
          <w:sz w:val="24"/>
          <w:szCs w:val="24"/>
          <w:lang w:val="en-IE"/>
        </w:rPr>
        <w:t xml:space="preserve"> in these fields</w:t>
      </w:r>
      <w:r w:rsidRPr="00D05A58">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w:t>
      </w:r>
      <w:r w:rsidRPr="00D05A58">
        <w:rPr>
          <w:rFonts w:ascii="Times New Roman" w:hAnsi="Times New Roman" w:cs="Times New Roman"/>
          <w:noProof/>
          <w:sz w:val="24"/>
          <w:szCs w:val="24"/>
          <w:lang w:val="en-IE"/>
        </w:rPr>
        <w:t>RSPG</w:t>
      </w:r>
      <w:r>
        <w:rPr>
          <w:rFonts w:ascii="Times New Roman" w:hAnsi="Times New Roman" w:cs="Times New Roman"/>
          <w:noProof/>
          <w:sz w:val="24"/>
          <w:szCs w:val="24"/>
          <w:lang w:val="en-IE"/>
        </w:rPr>
        <w:t xml:space="preserve">, </w:t>
      </w:r>
      <w:r w:rsidRPr="006F011F">
        <w:rPr>
          <w:rFonts w:ascii="Times New Roman" w:hAnsi="Times New Roman" w:cs="Times New Roman"/>
          <w:noProof/>
          <w:sz w:val="24"/>
          <w:szCs w:val="24"/>
        </w:rPr>
        <w:t xml:space="preserve">a Commission </w:t>
      </w:r>
      <w:r w:rsidRPr="5C8D64E3">
        <w:rPr>
          <w:rFonts w:ascii="Times New Roman" w:hAnsi="Times New Roman" w:cs="Times New Roman"/>
          <w:noProof/>
          <w:sz w:val="24"/>
          <w:szCs w:val="24"/>
        </w:rPr>
        <w:t>hig</w:t>
      </w:r>
      <w:r>
        <w:rPr>
          <w:rFonts w:ascii="Times New Roman" w:hAnsi="Times New Roman" w:cs="Times New Roman"/>
          <w:noProof/>
          <w:sz w:val="24"/>
          <w:szCs w:val="24"/>
        </w:rPr>
        <w:t>h</w:t>
      </w:r>
      <w:r w:rsidRPr="5C8D64E3">
        <w:rPr>
          <w:rFonts w:ascii="Times New Roman" w:hAnsi="Times New Roman" w:cs="Times New Roman"/>
          <w:noProof/>
          <w:sz w:val="24"/>
          <w:szCs w:val="24"/>
        </w:rPr>
        <w:t>-level expert</w:t>
      </w:r>
      <w:r w:rsidRPr="006F011F">
        <w:rPr>
          <w:rFonts w:ascii="Times New Roman" w:hAnsi="Times New Roman" w:cs="Times New Roman"/>
          <w:noProof/>
          <w:sz w:val="24"/>
          <w:szCs w:val="24"/>
        </w:rPr>
        <w:t xml:space="preserve"> group</w:t>
      </w:r>
      <w:r>
        <w:rPr>
          <w:rFonts w:ascii="Times New Roman" w:hAnsi="Times New Roman" w:cs="Times New Roman"/>
          <w:noProof/>
          <w:sz w:val="24"/>
          <w:szCs w:val="24"/>
          <w:lang w:val="en-IE"/>
        </w:rPr>
        <w:t>,</w:t>
      </w:r>
      <w:r w:rsidRPr="00D05A58">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contributed to the </w:t>
      </w:r>
      <w:r w:rsidRPr="5C8D64E3">
        <w:rPr>
          <w:rFonts w:ascii="Times New Roman" w:hAnsi="Times New Roman" w:cs="Times New Roman"/>
          <w:noProof/>
          <w:sz w:val="24"/>
          <w:szCs w:val="24"/>
          <w:lang w:val="en-IE"/>
        </w:rPr>
        <w:t xml:space="preserve">development of </w:t>
      </w:r>
      <w:r w:rsidRPr="00D05A58">
        <w:rPr>
          <w:rFonts w:ascii="Times New Roman" w:hAnsi="Times New Roman" w:cs="Times New Roman"/>
          <w:noProof/>
          <w:sz w:val="24"/>
          <w:szCs w:val="24"/>
          <w:lang w:val="en-IE"/>
        </w:rPr>
        <w:t>spectrum policy</w:t>
      </w:r>
      <w:r w:rsidRPr="18C24854">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but</w:t>
      </w:r>
      <w:r w:rsidRPr="00D05A58">
        <w:rPr>
          <w:rFonts w:ascii="Times New Roman" w:hAnsi="Times New Roman" w:cs="Times New Roman"/>
          <w:noProof/>
          <w:sz w:val="24"/>
          <w:szCs w:val="24"/>
          <w:lang w:val="en-IE"/>
        </w:rPr>
        <w:t xml:space="preserve"> </w:t>
      </w:r>
      <w:r w:rsidRPr="5E773CBF">
        <w:rPr>
          <w:rFonts w:ascii="Times New Roman" w:hAnsi="Times New Roman" w:cs="Times New Roman"/>
          <w:noProof/>
          <w:sz w:val="24"/>
          <w:szCs w:val="24"/>
          <w:lang w:val="en-IE"/>
        </w:rPr>
        <w:t>mostly</w:t>
      </w:r>
      <w:r>
        <w:rPr>
          <w:rFonts w:ascii="Times New Roman" w:hAnsi="Times New Roman" w:cs="Times New Roman"/>
          <w:noProof/>
          <w:sz w:val="24"/>
          <w:szCs w:val="24"/>
          <w:lang w:val="en-IE"/>
        </w:rPr>
        <w:t xml:space="preserve"> </w:t>
      </w:r>
      <w:r w:rsidRPr="18C24854">
        <w:rPr>
          <w:rFonts w:ascii="Times New Roman" w:hAnsi="Times New Roman" w:cs="Times New Roman"/>
          <w:noProof/>
          <w:sz w:val="24"/>
          <w:szCs w:val="24"/>
          <w:lang w:val="en-IE"/>
        </w:rPr>
        <w:t xml:space="preserve">focusing </w:t>
      </w:r>
      <w:r w:rsidRPr="00D05A58">
        <w:rPr>
          <w:rFonts w:ascii="Times New Roman" w:hAnsi="Times New Roman" w:cs="Times New Roman"/>
          <w:noProof/>
          <w:sz w:val="24"/>
          <w:szCs w:val="24"/>
          <w:lang w:val="en-IE"/>
        </w:rPr>
        <w:t xml:space="preserve">on technical issues </w:t>
      </w:r>
      <w:r w:rsidRPr="1112C133">
        <w:rPr>
          <w:rFonts w:ascii="Times New Roman" w:hAnsi="Times New Roman" w:cs="Times New Roman"/>
          <w:noProof/>
          <w:sz w:val="24"/>
          <w:szCs w:val="24"/>
          <w:lang w:val="en-IE"/>
        </w:rPr>
        <w:t>rather than</w:t>
      </w:r>
      <w:r w:rsidRPr="00D05A58">
        <w:rPr>
          <w:rFonts w:ascii="Times New Roman" w:hAnsi="Times New Roman" w:cs="Times New Roman"/>
          <w:noProof/>
          <w:sz w:val="24"/>
          <w:szCs w:val="24"/>
          <w:lang w:val="en-IE"/>
        </w:rPr>
        <w:t xml:space="preserve"> on broader aspects of radio spectrum policy in general </w:t>
      </w:r>
      <w:r>
        <w:rPr>
          <w:rFonts w:ascii="Times New Roman" w:hAnsi="Times New Roman" w:cs="Times New Roman"/>
          <w:noProof/>
          <w:sz w:val="24"/>
          <w:szCs w:val="24"/>
          <w:lang w:val="en-IE"/>
        </w:rPr>
        <w:t xml:space="preserve">such as </w:t>
      </w:r>
      <w:r w:rsidRPr="00D05A58">
        <w:rPr>
          <w:rFonts w:ascii="Times New Roman" w:hAnsi="Times New Roman" w:cs="Times New Roman"/>
          <w:noProof/>
          <w:sz w:val="24"/>
          <w:szCs w:val="24"/>
          <w:lang w:val="en-IE"/>
        </w:rPr>
        <w:t>economic, political, cultural, strategic, security, health and social issues</w:t>
      </w:r>
      <w:r>
        <w:rPr>
          <w:rFonts w:ascii="Times New Roman" w:hAnsi="Times New Roman" w:cs="Times New Roman"/>
          <w:noProof/>
          <w:sz w:val="24"/>
          <w:szCs w:val="24"/>
          <w:lang w:val="en-IE"/>
        </w:rPr>
        <w:t>.</w:t>
      </w:r>
    </w:p>
    <w:p w14:paraId="79B52E46" w14:textId="77777777" w:rsidR="00275512" w:rsidRDefault="00275512" w:rsidP="00275512">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Pr="00BE10A1">
        <w:rPr>
          <w:rFonts w:ascii="Times New Roman" w:hAnsi="Times New Roman" w:cs="Times New Roman"/>
          <w:noProof/>
          <w:sz w:val="24"/>
          <w:szCs w:val="24"/>
        </w:rPr>
        <w:t xml:space="preserve">IA </w:t>
      </w:r>
      <w:r>
        <w:rPr>
          <w:rFonts w:ascii="Times New Roman" w:hAnsi="Times New Roman" w:cs="Times New Roman"/>
          <w:noProof/>
          <w:sz w:val="24"/>
          <w:szCs w:val="24"/>
        </w:rPr>
        <w:t>is therefore based on these shortcomings as well as on new upcoming challenges identified.</w:t>
      </w:r>
    </w:p>
    <w:p w14:paraId="36BD2147" w14:textId="77777777" w:rsidR="00275512" w:rsidRPr="00C73A1E" w:rsidRDefault="00275512" w:rsidP="00275512">
      <w:pPr>
        <w:spacing w:after="240" w:line="240" w:lineRule="auto"/>
        <w:jc w:val="both"/>
        <w:rPr>
          <w:rFonts w:ascii="Times New Roman" w:hAnsi="Times New Roman" w:cs="Times New Roman"/>
          <w:noProof/>
          <w:sz w:val="24"/>
          <w:szCs w:val="24"/>
        </w:rPr>
      </w:pPr>
      <w:r w:rsidRPr="40B585F1">
        <w:rPr>
          <w:rFonts w:ascii="Times New Roman" w:hAnsi="Times New Roman" w:cs="Times New Roman"/>
          <w:b/>
          <w:bCs/>
          <w:noProof/>
          <w:sz w:val="24"/>
          <w:szCs w:val="24"/>
        </w:rPr>
        <w:t xml:space="preserve">On transition to fibre, </w:t>
      </w:r>
      <w:r w:rsidRPr="008D7AFE">
        <w:rPr>
          <w:rFonts w:ascii="Times New Roman" w:hAnsi="Times New Roman" w:cs="Times New Roman"/>
          <w:noProof/>
          <w:sz w:val="24"/>
          <w:szCs w:val="24"/>
        </w:rPr>
        <w:t>t</w:t>
      </w:r>
      <w:r w:rsidRPr="40B585F1">
        <w:rPr>
          <w:rFonts w:ascii="Times New Roman" w:hAnsi="Times New Roman" w:cs="Times New Roman"/>
          <w:noProof/>
          <w:sz w:val="24"/>
          <w:szCs w:val="24"/>
        </w:rPr>
        <w:t xml:space="preserve">he Commission’s 2025 Digital Decade Policy Programme report showed that the gigabit connectivity target measured by Fiber-to-the -Premises (FTTP) was in 2024 at 69% and </w:t>
      </w:r>
      <w:r>
        <w:rPr>
          <w:rFonts w:ascii="Times New Roman" w:hAnsi="Times New Roman" w:cs="Times New Roman"/>
          <w:noProof/>
          <w:sz w:val="24"/>
          <w:szCs w:val="24"/>
        </w:rPr>
        <w:t xml:space="preserve">it was </w:t>
      </w:r>
      <w:r w:rsidRPr="40B585F1">
        <w:rPr>
          <w:rFonts w:ascii="Times New Roman" w:hAnsi="Times New Roman" w:cs="Times New Roman"/>
          <w:noProof/>
          <w:sz w:val="24"/>
          <w:szCs w:val="24"/>
        </w:rPr>
        <w:t xml:space="preserve">expected </w:t>
      </w:r>
      <w:r>
        <w:rPr>
          <w:rFonts w:ascii="Times New Roman" w:hAnsi="Times New Roman" w:cs="Times New Roman"/>
          <w:noProof/>
          <w:sz w:val="24"/>
          <w:szCs w:val="24"/>
        </w:rPr>
        <w:t xml:space="preserve">that </w:t>
      </w:r>
      <w:r w:rsidRPr="40B585F1">
        <w:rPr>
          <w:rFonts w:ascii="Times New Roman" w:hAnsi="Times New Roman" w:cs="Times New Roman"/>
          <w:noProof/>
          <w:sz w:val="24"/>
          <w:szCs w:val="24"/>
        </w:rPr>
        <w:t xml:space="preserve">by 2030 around 90% of premises will be reached by fibre. However, predictions for the full FTTP coverage at the EU level show that the 100% coverage will be only achieved by 2051 if no further action is taken. The copper networks cannot meet the future requirements for fixed internet access, regarding upload and download speeds, latency and reliability. The analysis also showed that the presence of a copper network slows down the adoption of fibre-based services. The regulatory framework and its application by NRAs, in particular the type of remedies adopted, may also influence the deployment and adoption of fibre. For example, </w:t>
      </w:r>
      <w:r>
        <w:rPr>
          <w:rFonts w:ascii="Times New Roman" w:hAnsi="Times New Roman" w:cs="Times New Roman"/>
          <w:noProof/>
          <w:sz w:val="24"/>
          <w:szCs w:val="24"/>
        </w:rPr>
        <w:t xml:space="preserve">the </w:t>
      </w:r>
      <w:r w:rsidRPr="00C73A1E">
        <w:rPr>
          <w:rFonts w:ascii="Times New Roman" w:hAnsi="Times New Roman" w:cs="Times New Roman"/>
          <w:noProof/>
          <w:sz w:val="24"/>
          <w:szCs w:val="24"/>
        </w:rPr>
        <w:t xml:space="preserve">countries where regulators followed the incumbent’s choice of FTTC </w:t>
      </w:r>
      <w:r>
        <w:rPr>
          <w:rFonts w:ascii="Times New Roman" w:hAnsi="Times New Roman" w:cs="Times New Roman"/>
          <w:noProof/>
          <w:sz w:val="24"/>
          <w:szCs w:val="24"/>
        </w:rPr>
        <w:t>(including part of copper network)</w:t>
      </w:r>
      <w:r w:rsidRPr="00C73A1E">
        <w:rPr>
          <w:rFonts w:ascii="Times New Roman" w:hAnsi="Times New Roman" w:cs="Times New Roman"/>
          <w:noProof/>
          <w:sz w:val="24"/>
          <w:szCs w:val="24"/>
        </w:rPr>
        <w:t xml:space="preserve"> are characterized by persistence of copper networks and slow deployment of fibre. Conversely, countries in which NRAs decided to facilitate access to civil infrastructures </w:t>
      </w:r>
      <w:r>
        <w:rPr>
          <w:rFonts w:ascii="Times New Roman" w:hAnsi="Times New Roman" w:cs="Times New Roman"/>
          <w:noProof/>
          <w:sz w:val="24"/>
          <w:szCs w:val="24"/>
        </w:rPr>
        <w:t>(e.g. promoting access to ducts and poles where operators could deploy own networks)</w:t>
      </w:r>
      <w:r w:rsidRPr="00C73A1E">
        <w:rPr>
          <w:rFonts w:ascii="Times New Roman" w:hAnsi="Times New Roman" w:cs="Times New Roman"/>
          <w:noProof/>
          <w:sz w:val="24"/>
          <w:szCs w:val="24"/>
        </w:rPr>
        <w:t>, have been more successful in fibre deployment.</w:t>
      </w:r>
    </w:p>
    <w:p w14:paraId="10B25F5C" w14:textId="77777777" w:rsidR="00275512" w:rsidRDefault="00275512" w:rsidP="00275512">
      <w:pPr>
        <w:spacing w:after="240" w:line="240" w:lineRule="auto"/>
        <w:jc w:val="both"/>
        <w:rPr>
          <w:rFonts w:ascii="Times New Roman" w:hAnsi="Times New Roman" w:cs="Times New Roman"/>
          <w:noProof/>
          <w:sz w:val="24"/>
          <w:szCs w:val="24"/>
        </w:rPr>
      </w:pPr>
      <w:r w:rsidRPr="00B53E06">
        <w:rPr>
          <w:rFonts w:ascii="Times New Roman" w:hAnsi="Times New Roman" w:cs="Times New Roman"/>
          <w:b/>
          <w:bCs/>
          <w:noProof/>
          <w:sz w:val="24"/>
          <w:szCs w:val="24"/>
        </w:rPr>
        <w:t>On spectrum</w:t>
      </w:r>
      <w:r>
        <w:rPr>
          <w:rFonts w:ascii="Times New Roman" w:hAnsi="Times New Roman" w:cs="Times New Roman"/>
          <w:b/>
          <w:bCs/>
          <w:noProof/>
          <w:sz w:val="24"/>
          <w:szCs w:val="24"/>
        </w:rPr>
        <w:t>,</w:t>
      </w:r>
      <w:r>
        <w:rPr>
          <w:rFonts w:ascii="Times New Roman" w:hAnsi="Times New Roman" w:cs="Times New Roman"/>
          <w:noProof/>
          <w:sz w:val="24"/>
          <w:szCs w:val="24"/>
        </w:rPr>
        <w:t xml:space="preserve"> the IA analysis showed that s</w:t>
      </w:r>
      <w:r w:rsidRPr="008648F3">
        <w:rPr>
          <w:rFonts w:ascii="Times New Roman" w:hAnsi="Times New Roman" w:cs="Times New Roman"/>
          <w:noProof/>
          <w:sz w:val="24"/>
          <w:szCs w:val="24"/>
        </w:rPr>
        <w:t>pectrum regulation and market factors slow</w:t>
      </w:r>
      <w:r>
        <w:rPr>
          <w:rFonts w:ascii="Times New Roman" w:hAnsi="Times New Roman" w:cs="Times New Roman"/>
          <w:noProof/>
          <w:sz w:val="24"/>
          <w:szCs w:val="24"/>
        </w:rPr>
        <w:t>ed</w:t>
      </w:r>
      <w:r w:rsidRPr="008648F3">
        <w:rPr>
          <w:rFonts w:ascii="Times New Roman" w:hAnsi="Times New Roman" w:cs="Times New Roman"/>
          <w:noProof/>
          <w:sz w:val="24"/>
          <w:szCs w:val="24"/>
        </w:rPr>
        <w:t xml:space="preserve"> down investment in high quality mobile connectivit</w:t>
      </w:r>
      <w:r>
        <w:rPr>
          <w:rFonts w:ascii="Times New Roman" w:hAnsi="Times New Roman" w:cs="Times New Roman"/>
          <w:noProof/>
          <w:sz w:val="24"/>
          <w:szCs w:val="24"/>
        </w:rPr>
        <w:t xml:space="preserve">y. </w:t>
      </w:r>
      <w:r w:rsidRPr="00027419">
        <w:rPr>
          <w:rFonts w:ascii="Times New Roman" w:hAnsi="Times New Roman" w:cs="Times New Roman"/>
          <w:noProof/>
          <w:sz w:val="24"/>
          <w:szCs w:val="24"/>
        </w:rPr>
        <w:t xml:space="preserve">Furthermore, investments </w:t>
      </w:r>
      <w:r>
        <w:rPr>
          <w:rFonts w:ascii="Times New Roman" w:hAnsi="Times New Roman" w:cs="Times New Roman"/>
          <w:noProof/>
          <w:sz w:val="24"/>
          <w:szCs w:val="24"/>
        </w:rPr>
        <w:t xml:space="preserve">in upgrading 5G </w:t>
      </w:r>
      <w:r w:rsidRPr="00027419">
        <w:rPr>
          <w:rFonts w:ascii="Times New Roman" w:hAnsi="Times New Roman" w:cs="Times New Roman"/>
          <w:noProof/>
          <w:sz w:val="24"/>
          <w:szCs w:val="24"/>
        </w:rPr>
        <w:t>are negatively affected by limited demand</w:t>
      </w:r>
      <w:r>
        <w:rPr>
          <w:rFonts w:ascii="Times New Roman" w:hAnsi="Times New Roman" w:cs="Times New Roman"/>
          <w:noProof/>
          <w:sz w:val="24"/>
          <w:szCs w:val="24"/>
        </w:rPr>
        <w:t>.</w:t>
      </w:r>
      <w:r w:rsidRPr="34923A44">
        <w:rPr>
          <w:rFonts w:ascii="Times New Roman" w:hAnsi="Times New Roman" w:cs="Times New Roman"/>
          <w:noProof/>
          <w:sz w:val="24"/>
          <w:szCs w:val="24"/>
        </w:rPr>
        <w:t xml:space="preserve"> As a consequence, while there is good basic 5G coverage (based on 4G) in Europe (94.3</w:t>
      </w:r>
      <w:r w:rsidRPr="28C15DF5">
        <w:rPr>
          <w:rFonts w:ascii="Times New Roman" w:hAnsi="Times New Roman" w:cs="Times New Roman"/>
          <w:noProof/>
          <w:sz w:val="24"/>
          <w:szCs w:val="24"/>
        </w:rPr>
        <w:t>%)</w:t>
      </w:r>
      <w:r w:rsidRPr="00405AF2">
        <w:rPr>
          <w:rFonts w:ascii="Times New Roman" w:hAnsi="Times New Roman" w:cs="Times New Roman"/>
          <w:noProof/>
          <w:sz w:val="24"/>
          <w:szCs w:val="24"/>
          <w:vertAlign w:val="superscript"/>
        </w:rPr>
        <w:footnoteReference w:id="1"/>
      </w:r>
      <w:r w:rsidRPr="28C15DF5">
        <w:rPr>
          <w:rFonts w:ascii="Times New Roman" w:hAnsi="Times New Roman" w:cs="Times New Roman"/>
          <w:noProof/>
          <w:sz w:val="24"/>
          <w:szCs w:val="24"/>
        </w:rPr>
        <w:t>,</w:t>
      </w:r>
      <w:r w:rsidRPr="34923A44">
        <w:rPr>
          <w:rFonts w:ascii="Times New Roman" w:hAnsi="Times New Roman" w:cs="Times New Roman"/>
          <w:noProof/>
          <w:sz w:val="24"/>
          <w:szCs w:val="24"/>
        </w:rPr>
        <w:t xml:space="preserve"> comparable to competing economies, the EU is significantly lagging in advanced high capacity 5G networks using mid-band spectrum (5G S</w:t>
      </w:r>
      <w:r>
        <w:rPr>
          <w:rFonts w:ascii="Times New Roman" w:hAnsi="Times New Roman" w:cs="Times New Roman"/>
          <w:noProof/>
          <w:sz w:val="24"/>
          <w:szCs w:val="24"/>
        </w:rPr>
        <w:t xml:space="preserve">tand </w:t>
      </w:r>
      <w:r w:rsidRPr="34923A44">
        <w:rPr>
          <w:rFonts w:ascii="Times New Roman" w:hAnsi="Times New Roman" w:cs="Times New Roman"/>
          <w:noProof/>
          <w:sz w:val="24"/>
          <w:szCs w:val="24"/>
        </w:rPr>
        <w:t>A</w:t>
      </w:r>
      <w:r>
        <w:rPr>
          <w:rFonts w:ascii="Times New Roman" w:hAnsi="Times New Roman" w:cs="Times New Roman"/>
          <w:noProof/>
          <w:sz w:val="24"/>
          <w:szCs w:val="24"/>
        </w:rPr>
        <w:t xml:space="preserve">lone (5G </w:t>
      </w:r>
      <w:r w:rsidRPr="34923A44">
        <w:rPr>
          <w:rFonts w:ascii="Times New Roman" w:hAnsi="Times New Roman" w:cs="Times New Roman"/>
          <w:noProof/>
          <w:sz w:val="24"/>
          <w:szCs w:val="24"/>
        </w:rPr>
        <w:t>SA</w:t>
      </w:r>
      <w:r>
        <w:rPr>
          <w:rFonts w:ascii="Times New Roman" w:hAnsi="Times New Roman" w:cs="Times New Roman"/>
          <w:noProof/>
          <w:sz w:val="24"/>
          <w:szCs w:val="24"/>
        </w:rPr>
        <w:t>)</w:t>
      </w:r>
      <w:r w:rsidRPr="34923A44">
        <w:rPr>
          <w:rFonts w:ascii="Times New Roman" w:hAnsi="Times New Roman" w:cs="Times New Roman"/>
          <w:noProof/>
          <w:sz w:val="24"/>
          <w:szCs w:val="24"/>
        </w:rPr>
        <w:t xml:space="preserve"> is at around 40% compared to 90% in North America and 45% in Asia Pacific</w:t>
      </w:r>
      <w:r w:rsidRPr="00405AF2">
        <w:rPr>
          <w:rFonts w:ascii="Times New Roman" w:hAnsi="Times New Roman" w:cs="Times New Roman"/>
          <w:noProof/>
          <w:sz w:val="24"/>
          <w:szCs w:val="24"/>
          <w:vertAlign w:val="superscript"/>
        </w:rPr>
        <w:footnoteReference w:id="2"/>
      </w:r>
      <w:r w:rsidRPr="34923A44">
        <w:rPr>
          <w:rFonts w:ascii="Times New Roman" w:hAnsi="Times New Roman" w:cs="Times New Roman"/>
          <w:noProof/>
          <w:sz w:val="24"/>
          <w:szCs w:val="24"/>
        </w:rPr>
        <w:t xml:space="preserve">). </w:t>
      </w:r>
      <w:r w:rsidRPr="00657E9D">
        <w:rPr>
          <w:rFonts w:ascii="Times New Roman" w:hAnsi="Times New Roman" w:cs="Times New Roman"/>
          <w:noProof/>
          <w:sz w:val="24"/>
          <w:szCs w:val="24"/>
          <w:lang w:val="en-IE"/>
        </w:rPr>
        <w:t>Europe is also significantly behind</w:t>
      </w:r>
      <w:r>
        <w:rPr>
          <w:rFonts w:ascii="Times New Roman" w:hAnsi="Times New Roman" w:cs="Times New Roman"/>
          <w:noProof/>
          <w:sz w:val="24"/>
          <w:szCs w:val="24"/>
          <w:lang w:val="en-IE"/>
        </w:rPr>
        <w:t>/lagging</w:t>
      </w:r>
      <w:r w:rsidRPr="00657E9D">
        <w:rPr>
          <w:rFonts w:ascii="Times New Roman" w:hAnsi="Times New Roman" w:cs="Times New Roman"/>
          <w:noProof/>
          <w:sz w:val="24"/>
          <w:szCs w:val="24"/>
          <w:lang w:val="en-IE"/>
        </w:rPr>
        <w:t xml:space="preserve"> in the 5G SA take-up, with only 2% of 5G users connected via SA networks</w:t>
      </w:r>
      <w:r w:rsidRPr="00657E9D">
        <w:rPr>
          <w:rFonts w:ascii="Times New Roman" w:hAnsi="Times New Roman" w:cs="Times New Roman"/>
          <w:noProof/>
          <w:sz w:val="24"/>
          <w:szCs w:val="24"/>
          <w:vertAlign w:val="superscript"/>
        </w:rPr>
        <w:footnoteReference w:id="3"/>
      </w:r>
      <w:r w:rsidRPr="00657E9D">
        <w:rPr>
          <w:rFonts w:ascii="Times New Roman" w:hAnsi="Times New Roman" w:cs="Times New Roman"/>
          <w:noProof/>
          <w:sz w:val="24"/>
          <w:szCs w:val="24"/>
          <w:lang w:val="en-IE"/>
        </w:rPr>
        <w:t>, compared to the US (24%), India (25%) and China (77.1</w:t>
      </w:r>
      <w:r>
        <w:rPr>
          <w:rFonts w:ascii="Times New Roman" w:hAnsi="Times New Roman" w:cs="Times New Roman"/>
          <w:noProof/>
          <w:sz w:val="24"/>
          <w:szCs w:val="24"/>
          <w:lang w:val="en-IE"/>
        </w:rPr>
        <w:t>%</w:t>
      </w:r>
      <w:r w:rsidRPr="00657E9D">
        <w:rPr>
          <w:rFonts w:ascii="Times New Roman" w:hAnsi="Times New Roman" w:cs="Times New Roman"/>
          <w:noProof/>
          <w:sz w:val="24"/>
          <w:szCs w:val="24"/>
          <w:lang w:val="en-IE"/>
        </w:rPr>
        <w:t>)</w:t>
      </w:r>
      <w:r w:rsidRPr="00657E9D">
        <w:rPr>
          <w:rFonts w:ascii="Times New Roman" w:hAnsi="Times New Roman" w:cs="Times New Roman"/>
          <w:noProof/>
          <w:sz w:val="24"/>
          <w:szCs w:val="24"/>
          <w:vertAlign w:val="superscript"/>
          <w:lang w:val="en-IE"/>
        </w:rPr>
        <w:footnoteReference w:id="4"/>
      </w:r>
      <w:r w:rsidRPr="00657E9D">
        <w:rPr>
          <w:rFonts w:ascii="Times New Roman" w:hAnsi="Times New Roman" w:cs="Times New Roman"/>
          <w:noProof/>
          <w:sz w:val="24"/>
          <w:szCs w:val="24"/>
          <w:lang w:val="en-IE"/>
        </w:rPr>
        <w:t>.</w:t>
      </w:r>
    </w:p>
    <w:p w14:paraId="2601199A" w14:textId="77777777" w:rsidR="00275512" w:rsidRDefault="00275512" w:rsidP="00275512">
      <w:pPr>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b/>
          <w:bCs/>
          <w:noProof/>
          <w:sz w:val="24"/>
          <w:szCs w:val="24"/>
        </w:rPr>
        <w:t>Regarding the l</w:t>
      </w:r>
      <w:r w:rsidRPr="0078117D">
        <w:rPr>
          <w:rFonts w:ascii="Times New Roman" w:hAnsi="Times New Roman" w:cs="Times New Roman"/>
          <w:b/>
          <w:bCs/>
          <w:noProof/>
          <w:sz w:val="24"/>
          <w:szCs w:val="24"/>
        </w:rPr>
        <w:t>ack of pan-European networks and services</w:t>
      </w:r>
      <w:r w:rsidRPr="0046105C">
        <w:rPr>
          <w:rFonts w:ascii="Times New Roman" w:hAnsi="Times New Roman" w:cs="Times New Roman"/>
          <w:noProof/>
          <w:sz w:val="24"/>
          <w:szCs w:val="24"/>
        </w:rPr>
        <w:t>,</w:t>
      </w:r>
      <w:r w:rsidRPr="4F3C033E">
        <w:rPr>
          <w:rFonts w:ascii="Times New Roman" w:hAnsi="Times New Roman" w:cs="Times New Roman"/>
          <w:noProof/>
          <w:sz w:val="24"/>
          <w:szCs w:val="24"/>
        </w:rPr>
        <w:t xml:space="preserve"> the IA showed that operators face divergent general authorisation conditions </w:t>
      </w:r>
      <w:r>
        <w:rPr>
          <w:rFonts w:ascii="Times New Roman" w:hAnsi="Times New Roman" w:cs="Times New Roman"/>
          <w:noProof/>
          <w:sz w:val="24"/>
          <w:szCs w:val="24"/>
        </w:rPr>
        <w:t xml:space="preserve">across Member States </w:t>
      </w:r>
      <w:r w:rsidRPr="4F3C033E">
        <w:rPr>
          <w:rFonts w:ascii="Times New Roman" w:hAnsi="Times New Roman" w:cs="Times New Roman"/>
          <w:noProof/>
          <w:sz w:val="24"/>
          <w:szCs w:val="24"/>
        </w:rPr>
        <w:t xml:space="preserve">and a patchwork of national requirements that </w:t>
      </w:r>
      <w:r>
        <w:rPr>
          <w:rFonts w:ascii="Times New Roman" w:hAnsi="Times New Roman" w:cs="Times New Roman"/>
          <w:noProof/>
          <w:sz w:val="24"/>
          <w:szCs w:val="24"/>
        </w:rPr>
        <w:t>disincentivise</w:t>
      </w:r>
      <w:r w:rsidRPr="4F3C033E">
        <w:rPr>
          <w:rFonts w:ascii="Times New Roman" w:hAnsi="Times New Roman" w:cs="Times New Roman"/>
          <w:noProof/>
          <w:sz w:val="24"/>
          <w:szCs w:val="24"/>
        </w:rPr>
        <w:t xml:space="preserve"> cross-border operations, increase compliance costs and delay the introduction of new technologies. At the same time, and as has been described in detail in the C</w:t>
      </w:r>
      <w:r>
        <w:rPr>
          <w:rFonts w:ascii="Times New Roman" w:hAnsi="Times New Roman" w:cs="Times New Roman"/>
          <w:noProof/>
          <w:sz w:val="24"/>
          <w:szCs w:val="24"/>
        </w:rPr>
        <w:t>ommission’s</w:t>
      </w:r>
      <w:r w:rsidRPr="4F3C033E">
        <w:rPr>
          <w:rFonts w:ascii="Times New Roman" w:hAnsi="Times New Roman" w:cs="Times New Roman"/>
          <w:noProof/>
          <w:sz w:val="24"/>
          <w:szCs w:val="24"/>
        </w:rPr>
        <w:t xml:space="preserve"> White Paper</w:t>
      </w:r>
      <w:r w:rsidRPr="00405AF2">
        <w:rPr>
          <w:rFonts w:ascii="Times New Roman" w:hAnsi="Times New Roman" w:cs="Times New Roman"/>
          <w:noProof/>
          <w:sz w:val="24"/>
          <w:szCs w:val="24"/>
          <w:vertAlign w:val="superscript"/>
        </w:rPr>
        <w:footnoteReference w:id="5"/>
      </w:r>
      <w:r w:rsidRPr="4F3C033E">
        <w:rPr>
          <w:rFonts w:ascii="Times New Roman" w:hAnsi="Times New Roman" w:cs="Times New Roman"/>
          <w:noProof/>
          <w:sz w:val="24"/>
          <w:szCs w:val="24"/>
        </w:rPr>
        <w:t>, a</w:t>
      </w:r>
      <w:r w:rsidRPr="4F3C033E">
        <w:rPr>
          <w:rFonts w:ascii="Times New Roman" w:eastAsia="Times New Roman" w:hAnsi="Times New Roman" w:cs="Times New Roman"/>
          <w:noProof/>
          <w:sz w:val="24"/>
          <w:szCs w:val="24"/>
        </w:rPr>
        <w:t xml:space="preserve">dvances in IoT, AI, data analytics, and content delivery are turning connectivity into a converged ecosystem with new business models. As networks virtualise and integrate with cloud, edge, and AI, opportunities arise for innovative services such as cloudified 5G, enabling providers to benefit from economies of scale. </w:t>
      </w:r>
      <w:r w:rsidRPr="233A0755">
        <w:rPr>
          <w:rFonts w:ascii="Times New Roman" w:eastAsia="Times New Roman" w:hAnsi="Times New Roman" w:cs="Times New Roman"/>
          <w:noProof/>
          <w:sz w:val="24"/>
          <w:szCs w:val="24"/>
        </w:rPr>
        <w:t>Cross</w:t>
      </w:r>
      <w:r w:rsidRPr="4F3C033E">
        <w:rPr>
          <w:rFonts w:ascii="Times New Roman" w:eastAsia="Times New Roman" w:hAnsi="Times New Roman" w:cs="Times New Roman"/>
          <w:noProof/>
          <w:sz w:val="24"/>
          <w:szCs w:val="24"/>
        </w:rPr>
        <w:t xml:space="preserve">-border </w:t>
      </w:r>
      <w:r w:rsidRPr="73472333">
        <w:rPr>
          <w:rFonts w:ascii="Times New Roman" w:eastAsia="Times New Roman" w:hAnsi="Times New Roman" w:cs="Times New Roman"/>
          <w:noProof/>
          <w:sz w:val="24"/>
          <w:szCs w:val="24"/>
        </w:rPr>
        <w:t>services</w:t>
      </w:r>
      <w:r w:rsidRPr="4F3C033E">
        <w:rPr>
          <w:rFonts w:ascii="Times New Roman" w:eastAsia="Times New Roman" w:hAnsi="Times New Roman" w:cs="Times New Roman"/>
          <w:noProof/>
          <w:sz w:val="24"/>
          <w:szCs w:val="24"/>
        </w:rPr>
        <w:t xml:space="preserve"> could follow, but fragmented rules still hinder telcos from unlocking these benefits across the Single Market. Stronger cross-industry cooperation will also be needed to fully realise the opportunities of this new ecosystem.</w:t>
      </w:r>
    </w:p>
    <w:p w14:paraId="133FDFDF" w14:textId="77777777" w:rsidR="00275512" w:rsidRDefault="00275512" w:rsidP="00275512">
      <w:pPr>
        <w:spacing w:after="240" w:line="240" w:lineRule="auto"/>
        <w:jc w:val="both"/>
        <w:rPr>
          <w:rFonts w:ascii="Times New Roman" w:hAnsi="Times New Roman" w:cs="Times New Roman"/>
          <w:noProof/>
          <w:sz w:val="24"/>
          <w:szCs w:val="24"/>
        </w:rPr>
      </w:pPr>
      <w:r w:rsidRPr="68B3A1D4">
        <w:rPr>
          <w:rFonts w:ascii="Times New Roman" w:hAnsi="Times New Roman" w:cs="Times New Roman"/>
          <w:noProof/>
          <w:sz w:val="24"/>
          <w:szCs w:val="24"/>
        </w:rPr>
        <w:t xml:space="preserve">Additionally on </w:t>
      </w:r>
      <w:r w:rsidRPr="0046105C">
        <w:rPr>
          <w:rFonts w:ascii="Times New Roman" w:hAnsi="Times New Roman" w:cs="Times New Roman"/>
          <w:b/>
          <w:noProof/>
          <w:sz w:val="24"/>
          <w:szCs w:val="24"/>
        </w:rPr>
        <w:t>satellite communications</w:t>
      </w:r>
      <w:r w:rsidRPr="68B3A1D4">
        <w:rPr>
          <w:rFonts w:ascii="Times New Roman" w:hAnsi="Times New Roman" w:cs="Times New Roman"/>
          <w:noProof/>
          <w:sz w:val="24"/>
          <w:szCs w:val="24"/>
        </w:rPr>
        <w:t>, the authorisation of satellite spectrum us</w:t>
      </w:r>
      <w:r>
        <w:rPr>
          <w:rFonts w:ascii="Times New Roman" w:hAnsi="Times New Roman" w:cs="Times New Roman"/>
          <w:noProof/>
          <w:sz w:val="24"/>
          <w:szCs w:val="24"/>
        </w:rPr>
        <w:t>ag</w:t>
      </w:r>
      <w:r w:rsidRPr="68B3A1D4">
        <w:rPr>
          <w:rFonts w:ascii="Times New Roman" w:hAnsi="Times New Roman" w:cs="Times New Roman"/>
          <w:noProof/>
          <w:sz w:val="24"/>
          <w:szCs w:val="24"/>
        </w:rPr>
        <w:t xml:space="preserve">e and the enforcement of the authorisation conditions are currently implemented by each national administration. In a context of exponential growth of </w:t>
      </w:r>
      <w:r>
        <w:rPr>
          <w:rFonts w:ascii="Times New Roman" w:hAnsi="Times New Roman" w:cs="Times New Roman"/>
          <w:noProof/>
          <w:sz w:val="24"/>
          <w:szCs w:val="24"/>
        </w:rPr>
        <w:t>the number</w:t>
      </w:r>
      <w:r w:rsidRPr="68B3A1D4">
        <w:rPr>
          <w:rFonts w:ascii="Times New Roman" w:hAnsi="Times New Roman" w:cs="Times New Roman"/>
          <w:noProof/>
          <w:sz w:val="24"/>
          <w:szCs w:val="24"/>
        </w:rPr>
        <w:t xml:space="preserve"> of satellite constellations, the lack of a European approach in satellite spectrum authorisation poses risks to the capacity of Europe to tap into the potential of satellite networks for the provision of ubiquitous and seamless pan-European networks</w:t>
      </w:r>
      <w:r>
        <w:rPr>
          <w:rFonts w:ascii="Times New Roman" w:hAnsi="Times New Roman" w:cs="Times New Roman"/>
          <w:noProof/>
          <w:sz w:val="24"/>
          <w:szCs w:val="24"/>
        </w:rPr>
        <w:t>. Moreover, it jeopardises</w:t>
      </w:r>
      <w:r w:rsidRPr="68B3A1D4">
        <w:rPr>
          <w:rFonts w:ascii="Times New Roman" w:hAnsi="Times New Roman" w:cs="Times New Roman"/>
          <w:noProof/>
          <w:sz w:val="24"/>
          <w:szCs w:val="24"/>
        </w:rPr>
        <w:t xml:space="preserve"> the access of EU operators to key resources and </w:t>
      </w:r>
      <w:r>
        <w:rPr>
          <w:rFonts w:ascii="Times New Roman" w:hAnsi="Times New Roman" w:cs="Times New Roman"/>
          <w:noProof/>
          <w:sz w:val="24"/>
          <w:szCs w:val="24"/>
        </w:rPr>
        <w:t>fails to</w:t>
      </w:r>
      <w:r w:rsidRPr="68B3A1D4">
        <w:rPr>
          <w:rFonts w:ascii="Times New Roman" w:hAnsi="Times New Roman" w:cs="Times New Roman"/>
          <w:noProof/>
          <w:sz w:val="24"/>
          <w:szCs w:val="24"/>
        </w:rPr>
        <w:t xml:space="preserve"> guarantee that all players respect at least international obligations related to avoidance of harmful interference. </w:t>
      </w:r>
    </w:p>
    <w:p w14:paraId="147C26F6" w14:textId="77777777" w:rsidR="00275512" w:rsidRDefault="00275512" w:rsidP="00275512">
      <w:pPr>
        <w:spacing w:after="240" w:line="240" w:lineRule="auto"/>
        <w:jc w:val="both"/>
        <w:rPr>
          <w:rFonts w:ascii="Times New Roman" w:eastAsia="Times New Roman" w:hAnsi="Times New Roman" w:cs="Times New Roman"/>
          <w:noProof/>
          <w:sz w:val="24"/>
          <w:szCs w:val="24"/>
        </w:rPr>
      </w:pPr>
      <w:r w:rsidRPr="68B3A1D4">
        <w:rPr>
          <w:rFonts w:ascii="Times New Roman" w:eastAsia="Times New Roman" w:hAnsi="Times New Roman" w:cs="Times New Roman"/>
          <w:noProof/>
          <w:sz w:val="24"/>
          <w:szCs w:val="24"/>
        </w:rPr>
        <w:t xml:space="preserve">Barriers also extend to </w:t>
      </w:r>
      <w:r w:rsidRPr="0046105C">
        <w:rPr>
          <w:rFonts w:ascii="Times New Roman" w:eastAsia="Times New Roman" w:hAnsi="Times New Roman" w:cs="Times New Roman"/>
          <w:b/>
          <w:noProof/>
          <w:sz w:val="24"/>
          <w:szCs w:val="24"/>
        </w:rPr>
        <w:t>resilience</w:t>
      </w:r>
      <w:r w:rsidRPr="68B3A1D4">
        <w:rPr>
          <w:rFonts w:ascii="Times New Roman" w:eastAsia="Times New Roman" w:hAnsi="Times New Roman" w:cs="Times New Roman"/>
          <w:noProof/>
          <w:sz w:val="24"/>
          <w:szCs w:val="24"/>
        </w:rPr>
        <w:t xml:space="preserve">, as connectivity networks face growing threats from cyberattacks, physical disruptions, and natural disasters with cross-border impacts. Outages already cause significant economic costs each year and public safety is at risk when emergency services are disrupted. Despite existing legislative tools setting minimum standards on actors in the connectivity sector, stronger EU-level coordination is needed to address cross-border interdependencies and safeguard resilience and preparedness of the sector. </w:t>
      </w:r>
    </w:p>
    <w:p w14:paraId="79EF60A3" w14:textId="77777777" w:rsidR="00275512" w:rsidRDefault="00275512" w:rsidP="00275512">
      <w:pPr>
        <w:spacing w:after="240" w:line="240" w:lineRule="auto"/>
        <w:jc w:val="both"/>
        <w:rPr>
          <w:rFonts w:ascii="Times New Roman" w:hAnsi="Times New Roman" w:cs="Times New Roman"/>
          <w:noProof/>
          <w:sz w:val="24"/>
          <w:szCs w:val="24"/>
        </w:rPr>
      </w:pPr>
      <w:r w:rsidRPr="00405AF2">
        <w:rPr>
          <w:rFonts w:ascii="Times New Roman" w:hAnsi="Times New Roman" w:cs="Times New Roman"/>
          <w:noProof/>
          <w:sz w:val="24"/>
          <w:szCs w:val="24"/>
        </w:rPr>
        <w:t>As regards</w:t>
      </w:r>
      <w:r>
        <w:rPr>
          <w:rFonts w:ascii="Times New Roman" w:hAnsi="Times New Roman" w:cs="Times New Roman"/>
          <w:b/>
          <w:bCs/>
          <w:noProof/>
          <w:sz w:val="24"/>
          <w:szCs w:val="24"/>
        </w:rPr>
        <w:t xml:space="preserve"> g</w:t>
      </w:r>
      <w:r w:rsidRPr="006E44F8">
        <w:rPr>
          <w:rFonts w:ascii="Times New Roman" w:hAnsi="Times New Roman" w:cs="Times New Roman"/>
          <w:b/>
          <w:bCs/>
          <w:noProof/>
          <w:sz w:val="24"/>
          <w:szCs w:val="24"/>
        </w:rPr>
        <w:t>overnance</w:t>
      </w:r>
      <w:r w:rsidRPr="00405AF2">
        <w:rPr>
          <w:rFonts w:ascii="Times New Roman" w:hAnsi="Times New Roman" w:cs="Times New Roman"/>
          <w:noProof/>
          <w:sz w:val="24"/>
          <w:szCs w:val="24"/>
        </w:rPr>
        <w:t>,</w:t>
      </w:r>
      <w:r>
        <w:rPr>
          <w:rFonts w:ascii="Times New Roman" w:hAnsi="Times New Roman" w:cs="Times New Roman"/>
          <w:noProof/>
          <w:sz w:val="24"/>
          <w:szCs w:val="24"/>
        </w:rPr>
        <w:t xml:space="preserve"> t</w:t>
      </w:r>
      <w:r w:rsidRPr="001B76E1">
        <w:rPr>
          <w:rFonts w:ascii="Times New Roman" w:hAnsi="Times New Roman" w:cs="Times New Roman"/>
          <w:noProof/>
          <w:sz w:val="24"/>
          <w:szCs w:val="24"/>
        </w:rPr>
        <w:t>he EU is still characterised by fragmented national markets</w:t>
      </w:r>
      <w:r>
        <w:rPr>
          <w:rFonts w:ascii="Times New Roman" w:hAnsi="Times New Roman" w:cs="Times New Roman"/>
          <w:noProof/>
          <w:sz w:val="24"/>
          <w:szCs w:val="24"/>
        </w:rPr>
        <w:t xml:space="preserve">. </w:t>
      </w:r>
      <w:r w:rsidRPr="001B76E1">
        <w:rPr>
          <w:rFonts w:ascii="Times New Roman" w:hAnsi="Times New Roman" w:cs="Times New Roman"/>
          <w:noProof/>
          <w:sz w:val="24"/>
          <w:szCs w:val="24"/>
        </w:rPr>
        <w:t xml:space="preserve">The articulation of competences and roles of the Commission, NRAs, and other competent authorities for spectrum and certain other specific </w:t>
      </w:r>
      <w:r>
        <w:rPr>
          <w:rFonts w:ascii="Times New Roman" w:hAnsi="Times New Roman" w:cs="Times New Roman"/>
          <w:noProof/>
          <w:sz w:val="24"/>
          <w:szCs w:val="24"/>
        </w:rPr>
        <w:t xml:space="preserve">cross-border </w:t>
      </w:r>
      <w:r w:rsidRPr="001B76E1">
        <w:rPr>
          <w:rFonts w:ascii="Times New Roman" w:hAnsi="Times New Roman" w:cs="Times New Roman"/>
          <w:noProof/>
          <w:sz w:val="24"/>
          <w:szCs w:val="24"/>
        </w:rPr>
        <w:t>areas, BEREC, and RSPG, is complex, burdensome and not sufficiently clear for stakeholders, and not fully suited to support the Single Market.</w:t>
      </w:r>
      <w:r>
        <w:rPr>
          <w:rFonts w:ascii="Times New Roman" w:hAnsi="Times New Roman" w:cs="Times New Roman"/>
          <w:noProof/>
          <w:sz w:val="24"/>
          <w:szCs w:val="24"/>
        </w:rPr>
        <w:t xml:space="preserve"> </w:t>
      </w:r>
    </w:p>
    <w:p w14:paraId="6F5B5309" w14:textId="77777777" w:rsidR="00275512" w:rsidRDefault="00275512" w:rsidP="00275512">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IA identified the </w:t>
      </w:r>
      <w:r w:rsidRPr="00405AF2">
        <w:rPr>
          <w:rFonts w:ascii="Times New Roman" w:hAnsi="Times New Roman" w:cs="Times New Roman"/>
          <w:noProof/>
          <w:sz w:val="24"/>
          <w:szCs w:val="24"/>
          <w:u w:val="single"/>
        </w:rPr>
        <w:t>following options</w:t>
      </w:r>
      <w:r>
        <w:rPr>
          <w:rFonts w:ascii="Times New Roman" w:hAnsi="Times New Roman" w:cs="Times New Roman"/>
          <w:noProof/>
          <w:sz w:val="24"/>
          <w:szCs w:val="24"/>
        </w:rPr>
        <w:t xml:space="preserve"> to best address the problems:</w:t>
      </w:r>
    </w:p>
    <w:p w14:paraId="55109D47" w14:textId="77777777" w:rsidR="00275512" w:rsidRDefault="00275512" w:rsidP="00275512">
      <w:pPr>
        <w:spacing w:after="240" w:line="240" w:lineRule="auto"/>
        <w:jc w:val="both"/>
        <w:rPr>
          <w:rFonts w:ascii="Times New Roman" w:hAnsi="Times New Roman" w:cs="Times New Roman"/>
          <w:b/>
          <w:bCs/>
          <w:noProof/>
          <w:sz w:val="24"/>
          <w:szCs w:val="24"/>
        </w:rPr>
      </w:pPr>
    </w:p>
    <w:p w14:paraId="2406DA4C" w14:textId="77777777" w:rsidR="00275512" w:rsidRDefault="00275512" w:rsidP="00275512">
      <w:pPr>
        <w:spacing w:after="240" w:line="240" w:lineRule="auto"/>
        <w:jc w:val="both"/>
        <w:rPr>
          <w:rFonts w:ascii="Times New Roman" w:hAnsi="Times New Roman" w:cs="Times New Roman"/>
          <w:b/>
          <w:bCs/>
          <w:noProof/>
          <w:sz w:val="24"/>
          <w:szCs w:val="24"/>
        </w:rPr>
      </w:pPr>
    </w:p>
    <w:p w14:paraId="1D8D69FF" w14:textId="796EA041" w:rsidR="00275512" w:rsidRPr="00B00137" w:rsidRDefault="00275512" w:rsidP="00275512">
      <w:pPr>
        <w:spacing w:after="240" w:line="240" w:lineRule="auto"/>
        <w:jc w:val="both"/>
        <w:rPr>
          <w:rFonts w:ascii="Times New Roman" w:hAnsi="Times New Roman" w:cs="Times New Roman"/>
          <w:b/>
          <w:bCs/>
          <w:noProof/>
          <w:sz w:val="24"/>
          <w:szCs w:val="24"/>
        </w:rPr>
      </w:pPr>
      <w:r w:rsidRPr="427291CF">
        <w:rPr>
          <w:rFonts w:ascii="Times New Roman" w:hAnsi="Times New Roman" w:cs="Times New Roman"/>
          <w:b/>
          <w:bCs/>
          <w:noProof/>
          <w:sz w:val="24"/>
          <w:szCs w:val="24"/>
        </w:rPr>
        <w:t xml:space="preserve">Transition to fibre </w:t>
      </w:r>
    </w:p>
    <w:p w14:paraId="55281A80" w14:textId="77777777" w:rsidR="00275512" w:rsidRPr="001E72B2" w:rsidRDefault="00275512" w:rsidP="00275512">
      <w:pPr>
        <w:spacing w:after="240" w:line="240" w:lineRule="auto"/>
        <w:jc w:val="both"/>
        <w:rPr>
          <w:rFonts w:ascii="Times New Roman" w:eastAsia="Times New Roman" w:hAnsi="Times New Roman" w:cs="Times New Roman"/>
          <w:noProof/>
          <w:sz w:val="24"/>
          <w:szCs w:val="24"/>
        </w:rPr>
      </w:pPr>
      <w:r w:rsidRPr="6FB62F09">
        <w:rPr>
          <w:rFonts w:ascii="Times New Roman" w:eastAsia="Times New Roman" w:hAnsi="Times New Roman" w:cs="Times New Roman"/>
          <w:noProof/>
          <w:sz w:val="24"/>
          <w:szCs w:val="24"/>
        </w:rPr>
        <w:t>The preferred option contains a combination of measures geared at fostering fibre deployment and take-up, including via a EU-wide copper switch off date by 2030, subject to certain conditions. It increases accountability of Member States, who, by 2029, will communicate to the Commission the Transition to Fiber Plans, setting out a coordinated strategy at national level and concrete measures to support fibre deployment and take up. These plans should also identify, based on the input of the NRAs, the areas in which the conditions are met and the switch off can start by 2030. The conditions to be applied cumulatively are: 1- fibre coverage at 95% and 2- availability of broadband retail offers with comparable prices and quality to copper based offers. In addition, Member States should put in place appropriate safeguards for vulnerable consumers prior to the start of the copper switch off. Where the switch off cannot start by 2030, Member States should set out the concrete measures to increase coverage to ensure transition to fibr</w:t>
      </w:r>
      <w:r>
        <w:rPr>
          <w:rFonts w:ascii="Times New Roman" w:eastAsia="Times New Roman" w:hAnsi="Times New Roman" w:cs="Times New Roman"/>
          <w:noProof/>
          <w:sz w:val="24"/>
          <w:szCs w:val="24"/>
        </w:rPr>
        <w:t>e</w:t>
      </w:r>
      <w:r w:rsidRPr="6FB62F09">
        <w:rPr>
          <w:rFonts w:ascii="Times New Roman" w:eastAsia="Times New Roman" w:hAnsi="Times New Roman" w:cs="Times New Roman"/>
          <w:noProof/>
          <w:sz w:val="24"/>
          <w:szCs w:val="24"/>
        </w:rPr>
        <w:t xml:space="preserve"> in 2035. The option includes a review in 2035. By 2035, Member States should ensure that in the areas where the copper switch off is started, it should be completed as soon as possible. For all remaining areas where fibre deployment is not viable (e.g. remote areas geographically difficult to reach), Member States should explain the reasons for </w:t>
      </w:r>
      <w:r>
        <w:rPr>
          <w:rFonts w:ascii="Times New Roman" w:eastAsia="Times New Roman" w:hAnsi="Times New Roman" w:cs="Times New Roman"/>
          <w:noProof/>
          <w:sz w:val="24"/>
          <w:szCs w:val="24"/>
        </w:rPr>
        <w:t>unviability</w:t>
      </w:r>
      <w:r w:rsidRPr="6FB62F09">
        <w:rPr>
          <w:rFonts w:ascii="Times New Roman" w:eastAsia="Times New Roman" w:hAnsi="Times New Roman" w:cs="Times New Roman"/>
          <w:noProof/>
          <w:sz w:val="24"/>
          <w:szCs w:val="24"/>
        </w:rPr>
        <w:t xml:space="preserve"> and provide alternative connectivity solutions for customers in these areas.</w:t>
      </w:r>
    </w:p>
    <w:p w14:paraId="7E8D898C" w14:textId="77777777" w:rsidR="00275512" w:rsidRPr="001E72B2" w:rsidRDefault="00275512" w:rsidP="00275512">
      <w:pPr>
        <w:spacing w:after="240" w:line="240" w:lineRule="auto"/>
        <w:jc w:val="both"/>
        <w:rPr>
          <w:rFonts w:ascii="Times New Roman" w:eastAsia="Times New Roman" w:hAnsi="Times New Roman" w:cs="Times New Roman"/>
          <w:noProof/>
          <w:sz w:val="24"/>
          <w:szCs w:val="24"/>
        </w:rPr>
      </w:pPr>
      <w:r w:rsidRPr="6FB62F09">
        <w:rPr>
          <w:rFonts w:ascii="Times New Roman" w:eastAsia="Times New Roman" w:hAnsi="Times New Roman" w:cs="Times New Roman"/>
          <w:noProof/>
          <w:sz w:val="24"/>
          <w:szCs w:val="24"/>
        </w:rPr>
        <w:t>The option includes very strong safeguards for end-users: (i) the conditions for the switch off; (ii) additional safeguards accompanying the copper switch off; (iii) appropriate remedies adopted by NRAs as needed; (iv) USO provisions and (v) alternative means of connectivity in the residual areas where fibre deployment is not considered viable, following the 2035 review.</w:t>
      </w:r>
    </w:p>
    <w:p w14:paraId="16E2B307" w14:textId="77777777" w:rsidR="00275512" w:rsidRPr="001E72B2" w:rsidRDefault="00275512" w:rsidP="00275512">
      <w:pPr>
        <w:spacing w:after="240" w:line="240" w:lineRule="auto"/>
        <w:jc w:val="both"/>
        <w:rPr>
          <w:rFonts w:ascii="Times New Roman" w:eastAsia="Times New Roman" w:hAnsi="Times New Roman" w:cs="Times New Roman"/>
          <w:noProof/>
          <w:sz w:val="24"/>
          <w:szCs w:val="24"/>
        </w:rPr>
      </w:pPr>
      <w:r w:rsidRPr="001E72B2">
        <w:rPr>
          <w:rFonts w:ascii="Times New Roman" w:eastAsia="Times New Roman" w:hAnsi="Times New Roman" w:cs="Times New Roman"/>
          <w:noProof/>
          <w:sz w:val="24"/>
          <w:szCs w:val="24"/>
        </w:rPr>
        <w:t>Consistency across the EU will be achieved via a Commission’s scrutiny over the Fiber Deployment and Copper Switch Off Plans and the</w:t>
      </w:r>
      <w:r>
        <w:rPr>
          <w:rFonts w:ascii="Times New Roman" w:eastAsia="Times New Roman" w:hAnsi="Times New Roman" w:cs="Times New Roman"/>
          <w:noProof/>
          <w:sz w:val="24"/>
          <w:szCs w:val="24"/>
        </w:rPr>
        <w:t xml:space="preserve"> </w:t>
      </w:r>
      <w:r w:rsidRPr="001E72B2">
        <w:rPr>
          <w:rFonts w:ascii="Times New Roman" w:eastAsia="Times New Roman" w:hAnsi="Times New Roman" w:cs="Times New Roman"/>
          <w:noProof/>
          <w:sz w:val="24"/>
          <w:szCs w:val="24"/>
        </w:rPr>
        <w:t>copper switch-off process. For access regulation, this option provides NRAs with more tools for ex ante regulation, allowing for a targeted use, depending on the market situation, of SMP based or symmetric regulation. The approach on geographic survey would be strengthened allowing for a focus on sub-national markets. Standardised wholesale products at EU level will be developed to ensure legal certainty and more harmonisation across the single market.</w:t>
      </w:r>
    </w:p>
    <w:p w14:paraId="11FACE11" w14:textId="77777777" w:rsidR="00275512" w:rsidRPr="006F011F" w:rsidRDefault="00275512" w:rsidP="00275512">
      <w:pPr>
        <w:spacing w:after="240" w:line="240" w:lineRule="auto"/>
        <w:jc w:val="both"/>
        <w:rPr>
          <w:rFonts w:ascii="Times New Roman" w:hAnsi="Times New Roman" w:cs="Times New Roman"/>
          <w:noProof/>
          <w:sz w:val="24"/>
          <w:szCs w:val="24"/>
        </w:rPr>
      </w:pPr>
      <w:r w:rsidRPr="001E72B2">
        <w:rPr>
          <w:rFonts w:ascii="Times New Roman" w:hAnsi="Times New Roman" w:cs="Times New Roman"/>
          <w:noProof/>
          <w:sz w:val="24"/>
          <w:szCs w:val="24"/>
        </w:rPr>
        <w:t>With respect to the economic and environmental impacts (as of 2035), this would have positive impacts in terms of (i) accumulated GDP increase of EUR 327</w:t>
      </w:r>
      <w:r w:rsidRPr="008733BE">
        <w:rPr>
          <w:rFonts w:ascii="Times New Roman" w:hAnsi="Times New Roman" w:cs="Times New Roman"/>
          <w:noProof/>
          <w:sz w:val="24"/>
          <w:szCs w:val="24"/>
        </w:rPr>
        <w:t xml:space="preserve"> </w:t>
      </w:r>
      <w:r w:rsidRPr="00F90A0C">
        <w:rPr>
          <w:rFonts w:ascii="Times New Roman" w:hAnsi="Times New Roman" w:cs="Times New Roman"/>
          <w:noProof/>
          <w:sz w:val="24"/>
          <w:szCs w:val="24"/>
        </w:rPr>
        <w:t>billion above the baseline scenario, (ii) total CO2 emission reduction below baseline scenario (0.6</w:t>
      </w:r>
      <w:r>
        <w:rPr>
          <w:rFonts w:ascii="Times New Roman" w:hAnsi="Times New Roman" w:cs="Times New Roman"/>
          <w:noProof/>
          <w:sz w:val="24"/>
          <w:szCs w:val="24"/>
        </w:rPr>
        <w:t xml:space="preserve"> </w:t>
      </w:r>
      <w:r w:rsidRPr="00F90A0C">
        <w:rPr>
          <w:rFonts w:ascii="Times New Roman" w:hAnsi="Times New Roman" w:cs="Times New Roman"/>
          <w:noProof/>
          <w:sz w:val="24"/>
          <w:szCs w:val="24"/>
        </w:rPr>
        <w:t>million tonnes or 4.5%) and (iii) average download speeds (7</w:t>
      </w:r>
      <w:r>
        <w:rPr>
          <w:rFonts w:ascii="Times New Roman" w:hAnsi="Times New Roman" w:cs="Times New Roman"/>
          <w:noProof/>
          <w:sz w:val="24"/>
          <w:szCs w:val="24"/>
        </w:rPr>
        <w:t> </w:t>
      </w:r>
      <w:r w:rsidRPr="00F90A0C">
        <w:rPr>
          <w:rFonts w:ascii="Times New Roman" w:hAnsi="Times New Roman" w:cs="Times New Roman"/>
          <w:noProof/>
          <w:sz w:val="24"/>
          <w:szCs w:val="24"/>
        </w:rPr>
        <w:t>435</w:t>
      </w:r>
      <w:r>
        <w:rPr>
          <w:rFonts w:ascii="Times New Roman" w:hAnsi="Times New Roman" w:cs="Times New Roman"/>
          <w:noProof/>
          <w:sz w:val="24"/>
          <w:szCs w:val="24"/>
        </w:rPr>
        <w:t xml:space="preserve"> </w:t>
      </w:r>
      <w:r w:rsidRPr="00F90A0C">
        <w:rPr>
          <w:rFonts w:ascii="Times New Roman" w:hAnsi="Times New Roman" w:cs="Times New Roman"/>
          <w:noProof/>
          <w:sz w:val="24"/>
          <w:szCs w:val="24"/>
        </w:rPr>
        <w:t xml:space="preserve">Mbps). The social impacts cannot be quantified but </w:t>
      </w:r>
      <w:r>
        <w:rPr>
          <w:rFonts w:ascii="Times New Roman" w:hAnsi="Times New Roman" w:cs="Times New Roman"/>
          <w:noProof/>
          <w:sz w:val="24"/>
          <w:szCs w:val="24"/>
        </w:rPr>
        <w:t xml:space="preserve">the </w:t>
      </w:r>
      <w:r w:rsidRPr="00F90A0C">
        <w:rPr>
          <w:rFonts w:ascii="Times New Roman" w:hAnsi="Times New Roman" w:cs="Times New Roman"/>
          <w:noProof/>
          <w:sz w:val="24"/>
          <w:szCs w:val="24"/>
        </w:rPr>
        <w:t>preferred option is very likely to result in the highest positive social impact as it is performing well in terms of fibre coverage and FTTH take-up rate. Regarding the impact on fundamental rights, the option ranks medium.</w:t>
      </w:r>
    </w:p>
    <w:p w14:paraId="5DC01055" w14:textId="35F152AD" w:rsidR="00275512" w:rsidRPr="00547125" w:rsidRDefault="00275512" w:rsidP="00275512">
      <w:pPr>
        <w:spacing w:after="240" w:line="240" w:lineRule="auto"/>
        <w:jc w:val="both"/>
        <w:rPr>
          <w:rFonts w:ascii="Times New Roman" w:hAnsi="Times New Roman" w:cs="Times New Roman"/>
          <w:b/>
          <w:bCs/>
          <w:noProof/>
          <w:sz w:val="24"/>
          <w:szCs w:val="24"/>
        </w:rPr>
      </w:pPr>
      <w:r w:rsidRPr="00547125">
        <w:rPr>
          <w:rFonts w:ascii="Times New Roman" w:hAnsi="Times New Roman" w:cs="Times New Roman"/>
          <w:b/>
          <w:bCs/>
          <w:noProof/>
          <w:sz w:val="24"/>
          <w:szCs w:val="24"/>
        </w:rPr>
        <w:t>Spectrum</w:t>
      </w:r>
    </w:p>
    <w:p w14:paraId="2C3F6286" w14:textId="77777777" w:rsidR="00275512" w:rsidRPr="006F011F" w:rsidRDefault="00275512" w:rsidP="00275512">
      <w:pPr>
        <w:spacing w:after="240" w:line="240" w:lineRule="auto"/>
        <w:jc w:val="both"/>
        <w:rPr>
          <w:rFonts w:ascii="Times New Roman" w:hAnsi="Times New Roman" w:cs="Times New Roman"/>
          <w:noProof/>
          <w:sz w:val="24"/>
          <w:szCs w:val="24"/>
        </w:rPr>
      </w:pPr>
      <w:r w:rsidRPr="006F011F">
        <w:rPr>
          <w:rFonts w:ascii="Times New Roman" w:hAnsi="Times New Roman" w:cs="Times New Roman"/>
          <w:noProof/>
          <w:sz w:val="24"/>
          <w:szCs w:val="24"/>
        </w:rPr>
        <w:t xml:space="preserve">The preferred option </w:t>
      </w:r>
      <w:r>
        <w:rPr>
          <w:rFonts w:ascii="Times New Roman" w:hAnsi="Times New Roman" w:cs="Times New Roman"/>
          <w:noProof/>
          <w:sz w:val="24"/>
          <w:szCs w:val="24"/>
        </w:rPr>
        <w:t>entails mainly u</w:t>
      </w:r>
      <w:r w:rsidRPr="0037212F">
        <w:rPr>
          <w:rFonts w:ascii="Times New Roman" w:hAnsi="Times New Roman" w:cs="Times New Roman"/>
          <w:noProof/>
          <w:sz w:val="24"/>
          <w:szCs w:val="24"/>
        </w:rPr>
        <w:t xml:space="preserve">nlimited licence duration by default, </w:t>
      </w:r>
      <w:r>
        <w:rPr>
          <w:rFonts w:ascii="Times New Roman" w:hAnsi="Times New Roman" w:cs="Times New Roman"/>
          <w:noProof/>
          <w:sz w:val="24"/>
          <w:szCs w:val="24"/>
        </w:rPr>
        <w:t>under strict conditions and safeguards and with exceptional limited duration</w:t>
      </w:r>
      <w:r w:rsidRPr="0037212F">
        <w:rPr>
          <w:rFonts w:ascii="Times New Roman" w:hAnsi="Times New Roman" w:cs="Times New Roman"/>
          <w:noProof/>
          <w:sz w:val="24"/>
          <w:szCs w:val="24"/>
        </w:rPr>
        <w:t xml:space="preserve"> </w:t>
      </w:r>
      <w:r>
        <w:rPr>
          <w:rFonts w:ascii="Times New Roman" w:hAnsi="Times New Roman" w:cs="Times New Roman"/>
          <w:noProof/>
          <w:sz w:val="24"/>
          <w:szCs w:val="24"/>
        </w:rPr>
        <w:t xml:space="preserve">combined with quasi automatic renewal, and the </w:t>
      </w:r>
      <w:r w:rsidRPr="0037212F">
        <w:rPr>
          <w:rFonts w:ascii="Times New Roman" w:hAnsi="Times New Roman" w:cs="Times New Roman"/>
          <w:noProof/>
          <w:sz w:val="24"/>
          <w:szCs w:val="24"/>
        </w:rPr>
        <w:t>application of pro-investment auction design</w:t>
      </w:r>
      <w:r>
        <w:rPr>
          <w:rFonts w:ascii="Times New Roman" w:hAnsi="Times New Roman" w:cs="Times New Roman"/>
          <w:noProof/>
          <w:sz w:val="24"/>
          <w:szCs w:val="24"/>
        </w:rPr>
        <w:t>. It provides for the possibility to harmonise spectrum authorisation conditions and includes a mandatory spectrum scrutiny of authorisation procedures</w:t>
      </w:r>
      <w:r w:rsidRPr="0004447E">
        <w:rPr>
          <w:rFonts w:ascii="Times New Roman" w:hAnsi="Times New Roman" w:cs="Times New Roman"/>
          <w:noProof/>
          <w:sz w:val="24"/>
          <w:szCs w:val="24"/>
        </w:rPr>
        <w:t xml:space="preserve"> </w:t>
      </w:r>
      <w:r>
        <w:rPr>
          <w:rFonts w:ascii="Times New Roman" w:hAnsi="Times New Roman" w:cs="Times New Roman"/>
          <w:noProof/>
          <w:sz w:val="24"/>
          <w:szCs w:val="24"/>
        </w:rPr>
        <w:t>at EU level. It ensures increased transparency and predictability of the timing of availability of spectrum through roadmaps</w:t>
      </w:r>
      <w:r w:rsidRPr="6A9B3CA6">
        <w:rPr>
          <w:rFonts w:ascii="Times New Roman" w:hAnsi="Times New Roman" w:cs="Times New Roman"/>
          <w:noProof/>
          <w:sz w:val="24"/>
          <w:szCs w:val="24"/>
        </w:rPr>
        <w:t xml:space="preserve"> and ensures that 6G spectrum will be </w:t>
      </w:r>
      <w:r w:rsidRPr="6C9EADF4">
        <w:rPr>
          <w:rFonts w:ascii="Times New Roman" w:hAnsi="Times New Roman" w:cs="Times New Roman"/>
          <w:noProof/>
          <w:sz w:val="24"/>
          <w:szCs w:val="24"/>
        </w:rPr>
        <w:t xml:space="preserve">authorised </w:t>
      </w:r>
      <w:r w:rsidRPr="14B3BC74">
        <w:rPr>
          <w:rFonts w:ascii="Times New Roman" w:hAnsi="Times New Roman" w:cs="Times New Roman"/>
          <w:noProof/>
          <w:sz w:val="24"/>
          <w:szCs w:val="24"/>
        </w:rPr>
        <w:t xml:space="preserve">in a shorter </w:t>
      </w:r>
      <w:r w:rsidRPr="7EB7D1F0">
        <w:rPr>
          <w:rFonts w:ascii="Times New Roman" w:hAnsi="Times New Roman" w:cs="Times New Roman"/>
          <w:noProof/>
          <w:sz w:val="24"/>
          <w:szCs w:val="24"/>
        </w:rPr>
        <w:t>period</w:t>
      </w:r>
      <w:r w:rsidRPr="14B3BC74">
        <w:rPr>
          <w:rFonts w:ascii="Times New Roman" w:hAnsi="Times New Roman" w:cs="Times New Roman"/>
          <w:noProof/>
          <w:sz w:val="24"/>
          <w:szCs w:val="24"/>
        </w:rPr>
        <w:t xml:space="preserve"> of</w:t>
      </w:r>
      <w:r w:rsidRPr="6C9EADF4">
        <w:rPr>
          <w:rFonts w:ascii="Times New Roman" w:hAnsi="Times New Roman" w:cs="Times New Roman"/>
          <w:noProof/>
          <w:sz w:val="24"/>
          <w:szCs w:val="24"/>
        </w:rPr>
        <w:t xml:space="preserve"> </w:t>
      </w:r>
      <w:r w:rsidRPr="7EB7D1F0">
        <w:rPr>
          <w:rFonts w:ascii="Times New Roman" w:hAnsi="Times New Roman" w:cs="Times New Roman"/>
          <w:noProof/>
          <w:sz w:val="24"/>
          <w:szCs w:val="24"/>
        </w:rPr>
        <w:t xml:space="preserve">time from </w:t>
      </w:r>
      <w:r w:rsidRPr="32D1019F">
        <w:rPr>
          <w:rFonts w:ascii="Times New Roman" w:hAnsi="Times New Roman" w:cs="Times New Roman"/>
          <w:noProof/>
          <w:sz w:val="24"/>
          <w:szCs w:val="24"/>
        </w:rPr>
        <w:t>harmonisation and in a more consistent manner</w:t>
      </w:r>
      <w:r w:rsidRPr="6A9B3CA6">
        <w:rPr>
          <w:rFonts w:ascii="Times New Roman" w:hAnsi="Times New Roman" w:cs="Times New Roman"/>
          <w:noProof/>
          <w:sz w:val="24"/>
          <w:szCs w:val="24"/>
        </w:rPr>
        <w:t>.</w:t>
      </w:r>
      <w:r>
        <w:rPr>
          <w:rFonts w:ascii="Times New Roman" w:hAnsi="Times New Roman" w:cs="Times New Roman"/>
          <w:noProof/>
          <w:sz w:val="24"/>
          <w:szCs w:val="24"/>
        </w:rPr>
        <w:t xml:space="preserve"> This option </w:t>
      </w:r>
      <w:r w:rsidRPr="006F011F">
        <w:rPr>
          <w:rFonts w:ascii="Times New Roman" w:hAnsi="Times New Roman" w:cs="Times New Roman"/>
          <w:noProof/>
          <w:sz w:val="24"/>
          <w:szCs w:val="24"/>
        </w:rPr>
        <w:t xml:space="preserve">is the most efficient given that overall benefits significantly outweigh its costs. It would ensure timely deployment of high quality 5G and future 6G networks. It would </w:t>
      </w:r>
      <w:r>
        <w:rPr>
          <w:rFonts w:ascii="Times New Roman" w:hAnsi="Times New Roman" w:cs="Times New Roman"/>
          <w:noProof/>
          <w:sz w:val="24"/>
          <w:szCs w:val="24"/>
        </w:rPr>
        <w:t xml:space="preserve">have a </w:t>
      </w:r>
      <w:r w:rsidRPr="006F011F">
        <w:rPr>
          <w:rFonts w:ascii="Times New Roman" w:hAnsi="Times New Roman" w:cs="Times New Roman"/>
          <w:noProof/>
          <w:sz w:val="24"/>
          <w:szCs w:val="24"/>
        </w:rPr>
        <w:t>positive impact on GDP</w:t>
      </w:r>
      <w:r>
        <w:rPr>
          <w:rFonts w:ascii="Times New Roman" w:hAnsi="Times New Roman" w:cs="Times New Roman"/>
          <w:noProof/>
          <w:sz w:val="24"/>
          <w:szCs w:val="24"/>
        </w:rPr>
        <w:t xml:space="preserve">, have spillover effects on vertical sectors and </w:t>
      </w:r>
      <w:r w:rsidRPr="006F011F">
        <w:rPr>
          <w:rFonts w:ascii="Times New Roman" w:hAnsi="Times New Roman" w:cs="Times New Roman"/>
          <w:noProof/>
          <w:sz w:val="24"/>
          <w:szCs w:val="24"/>
        </w:rPr>
        <w:t xml:space="preserve">be coherent </w:t>
      </w:r>
      <w:r>
        <w:rPr>
          <w:rFonts w:ascii="Times New Roman" w:hAnsi="Times New Roman" w:cs="Times New Roman"/>
          <w:noProof/>
          <w:sz w:val="24"/>
          <w:szCs w:val="24"/>
        </w:rPr>
        <w:t xml:space="preserve">with </w:t>
      </w:r>
      <w:r w:rsidRPr="006F011F">
        <w:rPr>
          <w:rFonts w:ascii="Times New Roman" w:hAnsi="Times New Roman" w:cs="Times New Roman"/>
          <w:noProof/>
          <w:sz w:val="24"/>
          <w:szCs w:val="24"/>
        </w:rPr>
        <w:t>the copper-switch off</w:t>
      </w:r>
      <w:r>
        <w:rPr>
          <w:rFonts w:ascii="Times New Roman" w:hAnsi="Times New Roman" w:cs="Times New Roman"/>
          <w:noProof/>
          <w:sz w:val="24"/>
          <w:szCs w:val="24"/>
        </w:rPr>
        <w:t xml:space="preserve"> process</w:t>
      </w:r>
      <w:r w:rsidRPr="006F011F">
        <w:rPr>
          <w:rFonts w:ascii="Times New Roman" w:hAnsi="Times New Roman" w:cs="Times New Roman"/>
          <w:noProof/>
          <w:sz w:val="24"/>
          <w:szCs w:val="24"/>
        </w:rPr>
        <w:t xml:space="preserve">. </w:t>
      </w:r>
      <w:r>
        <w:rPr>
          <w:rFonts w:ascii="Times New Roman" w:hAnsi="Times New Roman" w:cs="Times New Roman"/>
          <w:noProof/>
          <w:sz w:val="24"/>
          <w:szCs w:val="24"/>
        </w:rPr>
        <w:t xml:space="preserve">It would lead to a reduced </w:t>
      </w:r>
      <w:r w:rsidRPr="009A7592">
        <w:rPr>
          <w:rFonts w:ascii="Times New Roman" w:hAnsi="Times New Roman" w:cs="Times New Roman"/>
          <w:noProof/>
          <w:sz w:val="24"/>
          <w:szCs w:val="24"/>
        </w:rPr>
        <w:t>ecological footprint of 5G mobile networks</w:t>
      </w:r>
      <w:r>
        <w:rPr>
          <w:rFonts w:ascii="Times New Roman" w:hAnsi="Times New Roman" w:cs="Times New Roman"/>
          <w:noProof/>
          <w:sz w:val="24"/>
          <w:szCs w:val="24"/>
        </w:rPr>
        <w:t xml:space="preserve">, thanks to </w:t>
      </w:r>
      <w:r w:rsidRPr="00405AF2">
        <w:rPr>
          <w:rFonts w:ascii="Times New Roman" w:hAnsi="Times New Roman" w:cs="Times New Roman"/>
          <w:noProof/>
          <w:sz w:val="24"/>
          <w:szCs w:val="24"/>
        </w:rPr>
        <w:t xml:space="preserve">the decrease in </w:t>
      </w:r>
      <w:r>
        <w:rPr>
          <w:rFonts w:ascii="Times New Roman" w:hAnsi="Times New Roman" w:cs="Times New Roman"/>
          <w:noProof/>
          <w:sz w:val="24"/>
          <w:szCs w:val="24"/>
        </w:rPr>
        <w:t>energy</w:t>
      </w:r>
      <w:r w:rsidRPr="00405AF2">
        <w:rPr>
          <w:rFonts w:ascii="Times New Roman" w:hAnsi="Times New Roman" w:cs="Times New Roman"/>
          <w:noProof/>
          <w:sz w:val="24"/>
          <w:szCs w:val="24"/>
        </w:rPr>
        <w:t xml:space="preserve"> consumption per gigabyte linked to new mobile technologies</w:t>
      </w:r>
      <w:r>
        <w:rPr>
          <w:rFonts w:ascii="Times New Roman" w:hAnsi="Times New Roman" w:cs="Times New Roman"/>
          <w:noProof/>
          <w:sz w:val="24"/>
          <w:szCs w:val="24"/>
        </w:rPr>
        <w:t>.</w:t>
      </w:r>
    </w:p>
    <w:p w14:paraId="16B379C3" w14:textId="77777777" w:rsidR="00275512" w:rsidRPr="00547125" w:rsidRDefault="00275512" w:rsidP="00275512">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G</w:t>
      </w:r>
      <w:r w:rsidRPr="00D80C98">
        <w:rPr>
          <w:rFonts w:ascii="Times New Roman" w:hAnsi="Times New Roman" w:cs="Times New Roman"/>
          <w:b/>
          <w:bCs/>
          <w:noProof/>
          <w:sz w:val="24"/>
          <w:szCs w:val="24"/>
        </w:rPr>
        <w:t>eneral authorisation and authorisation for satellite services</w:t>
      </w:r>
    </w:p>
    <w:p w14:paraId="7E52E176" w14:textId="77777777" w:rsidR="00275512" w:rsidRPr="006F011F" w:rsidRDefault="00275512" w:rsidP="00275512">
      <w:pPr>
        <w:spacing w:after="240" w:line="240" w:lineRule="auto"/>
        <w:jc w:val="both"/>
        <w:rPr>
          <w:rFonts w:ascii="Times New Roman" w:hAnsi="Times New Roman" w:cs="Times New Roman"/>
          <w:noProof/>
          <w:sz w:val="24"/>
          <w:szCs w:val="24"/>
        </w:rPr>
      </w:pPr>
      <w:r w:rsidRPr="4F3C033E">
        <w:rPr>
          <w:rFonts w:ascii="Times New Roman" w:hAnsi="Times New Roman" w:cs="Times New Roman"/>
          <w:noProof/>
          <w:sz w:val="24"/>
          <w:szCs w:val="24"/>
        </w:rPr>
        <w:t xml:space="preserve">The preferred option includes </w:t>
      </w:r>
      <w:r>
        <w:rPr>
          <w:rFonts w:ascii="Times New Roman" w:hAnsi="Times New Roman" w:cs="Times New Roman"/>
          <w:noProof/>
          <w:sz w:val="24"/>
          <w:szCs w:val="24"/>
        </w:rPr>
        <w:t xml:space="preserve">a </w:t>
      </w:r>
      <w:r w:rsidRPr="4F3C033E">
        <w:rPr>
          <w:rFonts w:ascii="Times New Roman" w:hAnsi="Times New Roman" w:cs="Times New Roman"/>
          <w:noProof/>
          <w:sz w:val="24"/>
          <w:szCs w:val="24"/>
        </w:rPr>
        <w:t xml:space="preserve">single “passport” </w:t>
      </w:r>
      <w:r>
        <w:rPr>
          <w:rFonts w:ascii="Times New Roman" w:hAnsi="Times New Roman" w:cs="Times New Roman"/>
          <w:noProof/>
          <w:sz w:val="24"/>
          <w:szCs w:val="24"/>
        </w:rPr>
        <w:t xml:space="preserve">regime </w:t>
      </w:r>
      <w:r w:rsidRPr="4F3C033E">
        <w:rPr>
          <w:rFonts w:ascii="Times New Roman" w:hAnsi="Times New Roman" w:cs="Times New Roman"/>
          <w:noProof/>
          <w:sz w:val="24"/>
          <w:szCs w:val="24"/>
        </w:rPr>
        <w:t xml:space="preserve">for other networks and services than satellite and an EU authorisation for satellite spectrum, including selection of licensees in cases of scarcity and enforcement of authorisation conditions. This option would reduce the administrative and compliance costs as well as the reporting costs. Together with harmonised authorisation conditions and other relevant applicable rules as well as soft measures to facilitate ecosystem cooperation, the preferred option would allow providers active in several Member States to easier centralise network operations and provide </w:t>
      </w:r>
      <w:r>
        <w:rPr>
          <w:rFonts w:ascii="Times New Roman" w:hAnsi="Times New Roman" w:cs="Times New Roman"/>
          <w:noProof/>
          <w:sz w:val="24"/>
          <w:szCs w:val="24"/>
        </w:rPr>
        <w:t>innovative</w:t>
      </w:r>
      <w:r w:rsidRPr="50BD1270">
        <w:rPr>
          <w:rFonts w:ascii="Times New Roman" w:hAnsi="Times New Roman" w:cs="Times New Roman"/>
          <w:noProof/>
          <w:sz w:val="24"/>
          <w:szCs w:val="24"/>
        </w:rPr>
        <w:t xml:space="preserve">, more </w:t>
      </w:r>
      <w:r w:rsidRPr="1AD8BB85">
        <w:rPr>
          <w:rFonts w:ascii="Times New Roman" w:hAnsi="Times New Roman" w:cs="Times New Roman"/>
          <w:noProof/>
          <w:sz w:val="24"/>
          <w:szCs w:val="24"/>
        </w:rPr>
        <w:t xml:space="preserve">virtualised </w:t>
      </w:r>
      <w:r w:rsidRPr="1BE1DBFB">
        <w:rPr>
          <w:rFonts w:ascii="Times New Roman" w:hAnsi="Times New Roman" w:cs="Times New Roman"/>
          <w:noProof/>
          <w:sz w:val="24"/>
          <w:szCs w:val="24"/>
        </w:rPr>
        <w:t>and</w:t>
      </w:r>
      <w:r w:rsidRPr="1AD8BB85">
        <w:rPr>
          <w:rFonts w:ascii="Times New Roman" w:hAnsi="Times New Roman" w:cs="Times New Roman"/>
          <w:noProof/>
          <w:sz w:val="24"/>
          <w:szCs w:val="24"/>
        </w:rPr>
        <w:t xml:space="preserve"> </w:t>
      </w:r>
      <w:r w:rsidRPr="28577501">
        <w:rPr>
          <w:rFonts w:ascii="Times New Roman" w:hAnsi="Times New Roman" w:cs="Times New Roman"/>
          <w:noProof/>
          <w:sz w:val="24"/>
          <w:szCs w:val="24"/>
        </w:rPr>
        <w:t>software-based</w:t>
      </w:r>
      <w:r>
        <w:rPr>
          <w:rFonts w:ascii="Times New Roman" w:hAnsi="Times New Roman" w:cs="Times New Roman"/>
          <w:noProof/>
          <w:sz w:val="24"/>
          <w:szCs w:val="24"/>
        </w:rPr>
        <w:t xml:space="preserve"> </w:t>
      </w:r>
      <w:r w:rsidRPr="4F3C033E">
        <w:rPr>
          <w:rFonts w:ascii="Times New Roman" w:hAnsi="Times New Roman" w:cs="Times New Roman"/>
          <w:noProof/>
          <w:sz w:val="24"/>
          <w:szCs w:val="24"/>
        </w:rPr>
        <w:t>services cross</w:t>
      </w:r>
      <w:r w:rsidRPr="50BD1270">
        <w:rPr>
          <w:rFonts w:ascii="Times New Roman" w:hAnsi="Times New Roman" w:cs="Times New Roman"/>
          <w:noProof/>
          <w:sz w:val="24"/>
          <w:szCs w:val="24"/>
        </w:rPr>
        <w:t>-</w:t>
      </w:r>
      <w:r w:rsidRPr="4F3C033E">
        <w:rPr>
          <w:rFonts w:ascii="Times New Roman" w:hAnsi="Times New Roman" w:cs="Times New Roman"/>
          <w:noProof/>
          <w:sz w:val="24"/>
          <w:szCs w:val="24"/>
        </w:rPr>
        <w:t>border more consistently. EU satellite authorisation would allow operators guaranteed access to spectrum in all Member States under the same authorisation conditions, providing them with the means to scale up and provide pan-European services, while keeping in check sovereignty aspects.</w:t>
      </w:r>
    </w:p>
    <w:p w14:paraId="4CA071D7" w14:textId="77777777" w:rsidR="00275512" w:rsidRPr="00547125" w:rsidRDefault="00275512" w:rsidP="00275512">
      <w:pPr>
        <w:spacing w:after="240" w:line="240" w:lineRule="auto"/>
        <w:jc w:val="both"/>
        <w:rPr>
          <w:rFonts w:ascii="Times New Roman" w:hAnsi="Times New Roman" w:cs="Times New Roman"/>
          <w:b/>
          <w:bCs/>
          <w:noProof/>
          <w:sz w:val="24"/>
          <w:szCs w:val="24"/>
        </w:rPr>
      </w:pPr>
      <w:r w:rsidRPr="00547125">
        <w:rPr>
          <w:rFonts w:ascii="Times New Roman" w:hAnsi="Times New Roman" w:cs="Times New Roman"/>
          <w:b/>
          <w:bCs/>
          <w:noProof/>
          <w:sz w:val="24"/>
          <w:szCs w:val="24"/>
        </w:rPr>
        <w:t xml:space="preserve">Governance </w:t>
      </w:r>
    </w:p>
    <w:p w14:paraId="423C1641" w14:textId="77777777" w:rsidR="00275512" w:rsidRDefault="00275512" w:rsidP="00275512">
      <w:pPr>
        <w:spacing w:after="240" w:line="240" w:lineRule="auto"/>
        <w:jc w:val="both"/>
        <w:rPr>
          <w:rFonts w:ascii="Times New Roman" w:hAnsi="Times New Roman" w:cs="Times New Roman"/>
          <w:b/>
          <w:bCs/>
          <w:noProof/>
          <w:sz w:val="24"/>
          <w:szCs w:val="24"/>
        </w:rPr>
      </w:pPr>
      <w:r>
        <w:rPr>
          <w:rFonts w:ascii="Times New Roman" w:hAnsi="Times New Roman" w:cs="Times New Roman"/>
          <w:noProof/>
          <w:sz w:val="24"/>
          <w:szCs w:val="24"/>
        </w:rPr>
        <w:t>T</w:t>
      </w:r>
      <w:r w:rsidRPr="006F011F">
        <w:rPr>
          <w:rFonts w:ascii="Times New Roman" w:hAnsi="Times New Roman" w:cs="Times New Roman"/>
          <w:noProof/>
          <w:sz w:val="24"/>
          <w:szCs w:val="24"/>
        </w:rPr>
        <w:t xml:space="preserve">he preferred </w:t>
      </w:r>
      <w:r>
        <w:rPr>
          <w:rFonts w:ascii="Times New Roman" w:hAnsi="Times New Roman" w:cs="Times New Roman"/>
          <w:noProof/>
          <w:sz w:val="24"/>
          <w:szCs w:val="24"/>
        </w:rPr>
        <w:t>o</w:t>
      </w:r>
      <w:r w:rsidRPr="006F011F">
        <w:rPr>
          <w:rFonts w:ascii="Times New Roman" w:hAnsi="Times New Roman" w:cs="Times New Roman"/>
          <w:noProof/>
          <w:sz w:val="24"/>
          <w:szCs w:val="24"/>
        </w:rPr>
        <w:t xml:space="preserve">ption </w:t>
      </w:r>
      <w:r w:rsidRPr="00882D0D">
        <w:rPr>
          <w:rFonts w:ascii="Times New Roman" w:hAnsi="Times New Roman" w:cs="Times New Roman"/>
          <w:noProof/>
          <w:sz w:val="24"/>
          <w:szCs w:val="24"/>
        </w:rPr>
        <w:t>ensures continuity while deepening cooperation and strengthening EU-level coordination</w:t>
      </w:r>
      <w:r>
        <w:rPr>
          <w:rFonts w:ascii="Times New Roman" w:hAnsi="Times New Roman" w:cs="Times New Roman"/>
          <w:noProof/>
          <w:sz w:val="24"/>
          <w:szCs w:val="24"/>
        </w:rPr>
        <w:t xml:space="preserve"> to better correspond with the needs of the Single Market. It adjusts the governance structure to enable the actors at different governance level – from national, through cooperation bodies at EU level, up to the Commission – to address the challenges of the transforming market and complete the Single Market in electronic communications. It</w:t>
      </w:r>
      <w:r w:rsidRPr="006F011F">
        <w:rPr>
          <w:rFonts w:ascii="Times New Roman" w:hAnsi="Times New Roman" w:cs="Times New Roman"/>
          <w:noProof/>
          <w:sz w:val="24"/>
          <w:szCs w:val="24"/>
        </w:rPr>
        <w:t xml:space="preserve"> </w:t>
      </w:r>
      <w:r>
        <w:rPr>
          <w:rFonts w:ascii="Times New Roman" w:hAnsi="Times New Roman" w:cs="Times New Roman"/>
          <w:noProof/>
          <w:sz w:val="24"/>
          <w:szCs w:val="24"/>
        </w:rPr>
        <w:t xml:space="preserve">preserves the strengths of the current system, </w:t>
      </w:r>
      <w:r w:rsidRPr="006F011F">
        <w:rPr>
          <w:rFonts w:ascii="Times New Roman" w:hAnsi="Times New Roman" w:cs="Times New Roman"/>
          <w:noProof/>
          <w:sz w:val="24"/>
          <w:szCs w:val="24"/>
        </w:rPr>
        <w:t>builds on the existing set up of BEREC and BEREC Office</w:t>
      </w:r>
      <w:r>
        <w:rPr>
          <w:rFonts w:ascii="Times New Roman" w:hAnsi="Times New Roman" w:cs="Times New Roman"/>
          <w:noProof/>
          <w:sz w:val="24"/>
          <w:szCs w:val="24"/>
        </w:rPr>
        <w:t xml:space="preserve">, and upgrades </w:t>
      </w:r>
      <w:r w:rsidRPr="006F011F">
        <w:rPr>
          <w:rFonts w:ascii="Times New Roman" w:hAnsi="Times New Roman" w:cs="Times New Roman"/>
          <w:noProof/>
          <w:sz w:val="24"/>
          <w:szCs w:val="24"/>
        </w:rPr>
        <w:t>the RSPG from a Commission expert group to a body with a secretariat provided by the strengthened BEREC Office</w:t>
      </w:r>
      <w:r>
        <w:rPr>
          <w:rFonts w:ascii="Times New Roman" w:hAnsi="Times New Roman" w:cs="Times New Roman"/>
          <w:noProof/>
          <w:sz w:val="24"/>
          <w:szCs w:val="24"/>
        </w:rPr>
        <w:t xml:space="preserve"> to </w:t>
      </w:r>
      <w:r w:rsidRPr="006F011F">
        <w:rPr>
          <w:rFonts w:ascii="Times New Roman" w:hAnsi="Times New Roman" w:cs="Times New Roman"/>
          <w:noProof/>
          <w:sz w:val="24"/>
          <w:szCs w:val="24"/>
        </w:rPr>
        <w:t>enhance the effectiveness of spectrum management</w:t>
      </w:r>
      <w:r>
        <w:rPr>
          <w:rFonts w:ascii="Times New Roman" w:hAnsi="Times New Roman" w:cs="Times New Roman"/>
          <w:noProof/>
          <w:sz w:val="24"/>
          <w:szCs w:val="24"/>
        </w:rPr>
        <w:t xml:space="preserve">. This option </w:t>
      </w:r>
      <w:r w:rsidRPr="006F011F">
        <w:rPr>
          <w:rFonts w:ascii="Times New Roman" w:hAnsi="Times New Roman" w:cs="Times New Roman"/>
          <w:noProof/>
          <w:sz w:val="24"/>
          <w:szCs w:val="24"/>
        </w:rPr>
        <w:t xml:space="preserve">is </w:t>
      </w:r>
      <w:r>
        <w:rPr>
          <w:rFonts w:ascii="Times New Roman" w:hAnsi="Times New Roman" w:cs="Times New Roman"/>
          <w:noProof/>
          <w:sz w:val="24"/>
          <w:szCs w:val="24"/>
        </w:rPr>
        <w:t xml:space="preserve">also </w:t>
      </w:r>
      <w:r w:rsidRPr="006F011F">
        <w:rPr>
          <w:rFonts w:ascii="Times New Roman" w:hAnsi="Times New Roman" w:cs="Times New Roman"/>
          <w:noProof/>
          <w:sz w:val="24"/>
          <w:szCs w:val="24"/>
        </w:rPr>
        <w:t xml:space="preserve">favoured by stakeholder consultation feedback. </w:t>
      </w:r>
      <w:r>
        <w:rPr>
          <w:rFonts w:ascii="Times New Roman" w:hAnsi="Times New Roman" w:cs="Times New Roman"/>
          <w:noProof/>
          <w:sz w:val="24"/>
          <w:szCs w:val="24"/>
        </w:rPr>
        <w:t>B</w:t>
      </w:r>
      <w:r w:rsidRPr="006F011F">
        <w:rPr>
          <w:rFonts w:ascii="Times New Roman" w:hAnsi="Times New Roman" w:cs="Times New Roman"/>
          <w:noProof/>
          <w:sz w:val="24"/>
          <w:szCs w:val="24"/>
        </w:rPr>
        <w:t>y providing administrative and support services to both BEREC and RSPG</w:t>
      </w:r>
      <w:r>
        <w:rPr>
          <w:rFonts w:ascii="Times New Roman" w:hAnsi="Times New Roman" w:cs="Times New Roman"/>
          <w:noProof/>
          <w:sz w:val="24"/>
          <w:szCs w:val="24"/>
        </w:rPr>
        <w:t>,</w:t>
      </w:r>
      <w:r w:rsidRPr="006F011F">
        <w:rPr>
          <w:rFonts w:ascii="Times New Roman" w:hAnsi="Times New Roman" w:cs="Times New Roman"/>
          <w:noProof/>
          <w:sz w:val="24"/>
          <w:szCs w:val="24"/>
        </w:rPr>
        <w:t xml:space="preserve"> the BEREC Office</w:t>
      </w:r>
      <w:r>
        <w:rPr>
          <w:rFonts w:ascii="Times New Roman" w:hAnsi="Times New Roman" w:cs="Times New Roman"/>
          <w:noProof/>
          <w:sz w:val="24"/>
          <w:szCs w:val="24"/>
        </w:rPr>
        <w:t xml:space="preserve"> will </w:t>
      </w:r>
      <w:r w:rsidRPr="006F011F">
        <w:rPr>
          <w:rFonts w:ascii="Times New Roman" w:hAnsi="Times New Roman" w:cs="Times New Roman"/>
          <w:noProof/>
          <w:sz w:val="24"/>
          <w:szCs w:val="24"/>
        </w:rPr>
        <w:t>strengthen the existing link between the two bodies, enabling better coordination and more coherent outcomes</w:t>
      </w:r>
      <w:r>
        <w:rPr>
          <w:rFonts w:ascii="Times New Roman" w:hAnsi="Times New Roman" w:cs="Times New Roman"/>
          <w:noProof/>
          <w:sz w:val="24"/>
          <w:szCs w:val="24"/>
        </w:rPr>
        <w:t>.</w:t>
      </w:r>
    </w:p>
    <w:p w14:paraId="162E8A97" w14:textId="77777777" w:rsidR="00275512" w:rsidRPr="00116909" w:rsidRDefault="00275512" w:rsidP="00275512">
      <w:pPr>
        <w:spacing w:after="240" w:line="240" w:lineRule="auto"/>
        <w:jc w:val="both"/>
        <w:rPr>
          <w:rFonts w:ascii="Times New Roman" w:hAnsi="Times New Roman" w:cs="Times New Roman"/>
          <w:b/>
          <w:bCs/>
          <w:noProof/>
          <w:sz w:val="24"/>
          <w:szCs w:val="24"/>
        </w:rPr>
      </w:pPr>
      <w:r w:rsidRPr="00116909">
        <w:rPr>
          <w:rFonts w:ascii="Times New Roman" w:hAnsi="Times New Roman" w:cs="Times New Roman"/>
          <w:b/>
          <w:bCs/>
          <w:noProof/>
          <w:sz w:val="24"/>
          <w:szCs w:val="24"/>
        </w:rPr>
        <w:t>Administrative costs</w:t>
      </w:r>
    </w:p>
    <w:p w14:paraId="778B27C8" w14:textId="6BE18515" w:rsidR="00B653EE" w:rsidRPr="00CC0667" w:rsidRDefault="00B653EE" w:rsidP="00B653EE">
      <w:pPr>
        <w:spacing w:after="240" w:line="240" w:lineRule="auto"/>
        <w:jc w:val="both"/>
        <w:rPr>
          <w:rFonts w:ascii="Times New Roman" w:hAnsi="Times New Roman" w:cs="Times New Roman"/>
          <w:noProof/>
          <w:sz w:val="24"/>
          <w:szCs w:val="24"/>
        </w:rPr>
      </w:pPr>
      <w:r w:rsidRPr="00F03F5B">
        <w:rPr>
          <w:rFonts w:ascii="Times New Roman" w:hAnsi="Times New Roman" w:cs="Times New Roman"/>
          <w:noProof/>
          <w:sz w:val="24"/>
          <w:szCs w:val="24"/>
        </w:rPr>
        <w:t xml:space="preserve">The administrative costs for businesses relate to the </w:t>
      </w:r>
      <w:r>
        <w:rPr>
          <w:rFonts w:ascii="Times New Roman" w:hAnsi="Times New Roman" w:cs="Times New Roman"/>
          <w:noProof/>
          <w:sz w:val="24"/>
          <w:szCs w:val="24"/>
        </w:rPr>
        <w:t>conditional</w:t>
      </w:r>
      <w:r w:rsidRPr="00F03F5B">
        <w:rPr>
          <w:rFonts w:ascii="Times New Roman" w:hAnsi="Times New Roman" w:cs="Times New Roman"/>
          <w:noProof/>
          <w:sz w:val="24"/>
          <w:szCs w:val="24"/>
        </w:rPr>
        <w:t xml:space="preserve"> the copper switch-off, plus the reduction of compliance cost in the </w:t>
      </w:r>
      <w:r w:rsidRPr="00A649B1">
        <w:rPr>
          <w:rFonts w:ascii="Times New Roman" w:hAnsi="Times New Roman" w:cs="Times New Roman"/>
          <w:noProof/>
          <w:sz w:val="24"/>
          <w:szCs w:val="24"/>
        </w:rPr>
        <w:t xml:space="preserve">area of authorisation. </w:t>
      </w:r>
      <w:r>
        <w:rPr>
          <w:rFonts w:ascii="Times New Roman" w:hAnsi="Times New Roman" w:cs="Times New Roman"/>
          <w:noProof/>
          <w:sz w:val="24"/>
          <w:szCs w:val="24"/>
        </w:rPr>
        <w:t>The</w:t>
      </w:r>
      <w:r w:rsidRPr="00D45D24">
        <w:rPr>
          <w:rFonts w:ascii="Times New Roman" w:hAnsi="Times New Roman" w:cs="Times New Roman"/>
          <w:noProof/>
          <w:sz w:val="24"/>
          <w:szCs w:val="24"/>
        </w:rPr>
        <w:t xml:space="preserve"> new administrative requirements are estimated to result in approximately EUR 73 million in one-off administrative costs, and approximately EUR 38 million in recurring administrative costs per year</w:t>
      </w:r>
      <w:r w:rsidRPr="00A649B1">
        <w:rPr>
          <w:rFonts w:ascii="Times New Roman" w:hAnsi="Times New Roman" w:cs="Times New Roman"/>
          <w:noProof/>
          <w:sz w:val="24"/>
          <w:szCs w:val="24"/>
        </w:rPr>
        <w:t xml:space="preserve">, compared to the status quo. </w:t>
      </w:r>
      <w:r w:rsidRPr="00D45D24">
        <w:rPr>
          <w:rFonts w:ascii="Times New Roman" w:hAnsi="Times New Roman" w:cs="Times New Roman"/>
          <w:noProof/>
          <w:sz w:val="24"/>
          <w:szCs w:val="24"/>
        </w:rPr>
        <w:t>At the same time, the preferred policy option is expected to generate administrative cost savings through the harmonisation of authorisation conditions and the simplification of regulatory requirements</w:t>
      </w:r>
      <w:r w:rsidRPr="00F03F5B">
        <w:rPr>
          <w:rFonts w:ascii="Times New Roman" w:hAnsi="Times New Roman" w:cs="Times New Roman"/>
          <w:noProof/>
          <w:sz w:val="24"/>
          <w:szCs w:val="24"/>
        </w:rPr>
        <w:t>.</w:t>
      </w:r>
      <w:r>
        <w:rPr>
          <w:rFonts w:ascii="Times New Roman" w:hAnsi="Times New Roman" w:cs="Times New Roman"/>
          <w:noProof/>
          <w:sz w:val="24"/>
          <w:szCs w:val="24"/>
        </w:rPr>
        <w:t xml:space="preserve"> In case of managing the financing of the governance changes partially from charges, these would mean additional costs for undertakings providing Electronic Communications and/or having rights of use of spectrum.</w:t>
      </w:r>
    </w:p>
    <w:p w14:paraId="450EB440" w14:textId="07E6B0BD" w:rsidR="00024D65" w:rsidRDefault="00024D65">
      <w:pPr>
        <w:rPr>
          <w:noProof/>
        </w:rPr>
      </w:pPr>
    </w:p>
    <w:sectPr w:rsidR="00024D65" w:rsidSect="00C17748">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DF41C" w14:textId="77777777" w:rsidR="00C17748" w:rsidRDefault="00C17748" w:rsidP="00C17748">
      <w:pPr>
        <w:spacing w:after="0" w:line="240" w:lineRule="auto"/>
      </w:pPr>
      <w:r>
        <w:separator/>
      </w:r>
    </w:p>
  </w:endnote>
  <w:endnote w:type="continuationSeparator" w:id="0">
    <w:p w14:paraId="49DB4634" w14:textId="77777777" w:rsidR="00C17748" w:rsidRDefault="00C17748" w:rsidP="00C17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D69AE" w14:textId="514B4DD4" w:rsidR="009174DA" w:rsidRPr="009174DA" w:rsidRDefault="009174DA" w:rsidP="009174DA">
    <w:pPr>
      <w:pStyle w:val="FooterCoverPage"/>
      <w:rPr>
        <w:rFonts w:ascii="Arial" w:hAnsi="Arial" w:cs="Arial"/>
        <w:b/>
        <w:sz w:val="48"/>
      </w:rPr>
    </w:pPr>
    <w:r w:rsidRPr="009174DA">
      <w:rPr>
        <w:rFonts w:ascii="Arial" w:hAnsi="Arial" w:cs="Arial"/>
        <w:b/>
        <w:sz w:val="48"/>
      </w:rPr>
      <w:t>EN</w:t>
    </w:r>
    <w:r w:rsidRPr="009174DA">
      <w:rPr>
        <w:rFonts w:ascii="Arial" w:hAnsi="Arial" w:cs="Arial"/>
        <w:b/>
        <w:sz w:val="48"/>
      </w:rPr>
      <w:tab/>
    </w:r>
    <w:r w:rsidRPr="009174DA">
      <w:rPr>
        <w:rFonts w:ascii="Arial" w:hAnsi="Arial" w:cs="Arial"/>
        <w:b/>
        <w:sz w:val="48"/>
      </w:rPr>
      <w:tab/>
    </w:r>
    <w:r w:rsidRPr="009174DA">
      <w:tab/>
    </w:r>
    <w:r w:rsidRPr="009174D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DF022" w14:textId="14D1A621" w:rsidR="009174DA" w:rsidRPr="009174DA" w:rsidRDefault="009174DA" w:rsidP="009174DA">
    <w:pPr>
      <w:pStyle w:val="FooterCoverPage"/>
      <w:rPr>
        <w:rFonts w:ascii="Arial" w:hAnsi="Arial" w:cs="Arial"/>
        <w:b/>
        <w:sz w:val="48"/>
      </w:rPr>
    </w:pPr>
    <w:r w:rsidRPr="009174DA">
      <w:rPr>
        <w:rFonts w:ascii="Arial" w:hAnsi="Arial" w:cs="Arial"/>
        <w:b/>
        <w:sz w:val="48"/>
      </w:rPr>
      <w:t>EN</w:t>
    </w:r>
    <w:r w:rsidRPr="009174DA">
      <w:rPr>
        <w:rFonts w:ascii="Arial" w:hAnsi="Arial" w:cs="Arial"/>
        <w:b/>
        <w:sz w:val="48"/>
      </w:rPr>
      <w:tab/>
    </w:r>
    <w:r w:rsidRPr="009174DA">
      <w:rPr>
        <w:rFonts w:ascii="Arial" w:hAnsi="Arial" w:cs="Arial"/>
        <w:b/>
        <w:sz w:val="48"/>
      </w:rPr>
      <w:tab/>
    </w:r>
    <w:r w:rsidRPr="009174DA">
      <w:tab/>
    </w:r>
    <w:r w:rsidRPr="009174D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95F26" w14:textId="77777777" w:rsidR="009174DA" w:rsidRPr="009174DA" w:rsidRDefault="009174DA" w:rsidP="009174D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62791" w14:textId="77777777" w:rsidR="00C17748" w:rsidRDefault="00C177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144516"/>
      <w:docPartObj>
        <w:docPartGallery w:val="Page Numbers (Bottom of Page)"/>
        <w:docPartUnique/>
      </w:docPartObj>
    </w:sdtPr>
    <w:sdtEndPr>
      <w:rPr>
        <w:noProof/>
      </w:rPr>
    </w:sdtEndPr>
    <w:sdtContent>
      <w:p w14:paraId="672FD956" w14:textId="4A2DCEBF" w:rsidR="00275512" w:rsidRDefault="00275512">
        <w:pPr>
          <w:pStyle w:val="Footer"/>
          <w:jc w:val="center"/>
        </w:pPr>
        <w:r>
          <w:fldChar w:fldCharType="begin"/>
        </w:r>
        <w:r>
          <w:instrText xml:space="preserve"> PAGE   \* MERGEFORMAT </w:instrText>
        </w:r>
        <w:r>
          <w:fldChar w:fldCharType="separate"/>
        </w:r>
        <w:r w:rsidR="009174DA">
          <w:rPr>
            <w:noProof/>
          </w:rPr>
          <w:t>5</w:t>
        </w:r>
        <w:r>
          <w:rPr>
            <w:noProof/>
          </w:rPr>
          <w:fldChar w:fldCharType="end"/>
        </w:r>
      </w:p>
    </w:sdtContent>
  </w:sdt>
  <w:p w14:paraId="31A8F1B9" w14:textId="77777777" w:rsidR="00C17748" w:rsidRDefault="00C177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968C5" w14:textId="77777777" w:rsidR="00C17748" w:rsidRDefault="00C17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F7B77" w14:textId="77777777" w:rsidR="00C17748" w:rsidRDefault="00C17748" w:rsidP="00C17748">
      <w:pPr>
        <w:spacing w:after="0" w:line="240" w:lineRule="auto"/>
      </w:pPr>
      <w:r>
        <w:separator/>
      </w:r>
    </w:p>
  </w:footnote>
  <w:footnote w:type="continuationSeparator" w:id="0">
    <w:p w14:paraId="0E8DAEE5" w14:textId="77777777" w:rsidR="00C17748" w:rsidRDefault="00C17748" w:rsidP="00C17748">
      <w:pPr>
        <w:spacing w:after="0" w:line="240" w:lineRule="auto"/>
      </w:pPr>
      <w:r>
        <w:continuationSeparator/>
      </w:r>
    </w:p>
  </w:footnote>
  <w:footnote w:id="1">
    <w:p w14:paraId="74688ECE" w14:textId="77777777" w:rsidR="00275512" w:rsidRPr="00411279" w:rsidRDefault="00275512" w:rsidP="00275512">
      <w:pPr>
        <w:spacing w:after="0" w:line="240" w:lineRule="auto"/>
        <w:jc w:val="both"/>
        <w:rPr>
          <w:rFonts w:ascii="Times New Roman" w:hAnsi="Times New Roman" w:cs="Times New Roman"/>
          <w:sz w:val="20"/>
          <w:szCs w:val="20"/>
        </w:rPr>
      </w:pPr>
      <w:r w:rsidRPr="00275512">
        <w:rPr>
          <w:rStyle w:val="FootnoteReference"/>
          <w:rFonts w:eastAsiaTheme="minorEastAsia"/>
        </w:rPr>
        <w:footnoteRef/>
      </w:r>
      <w:r w:rsidRPr="008D7AFE">
        <w:rPr>
          <w:rFonts w:ascii="Times New Roman" w:hAnsi="Times New Roman" w:cs="Times New Roman"/>
          <w:sz w:val="20"/>
          <w:szCs w:val="20"/>
        </w:rPr>
        <w:t xml:space="preserve"> </w:t>
      </w:r>
      <w:r w:rsidRPr="00405AF2">
        <w:rPr>
          <w:rFonts w:ascii="Times New Roman" w:eastAsia="Times New Roman" w:hAnsi="Times New Roman" w:cs="Times New Roman"/>
          <w:sz w:val="20"/>
          <w:szCs w:val="20"/>
        </w:rPr>
        <w:t xml:space="preserve">Staff working document </w:t>
      </w:r>
      <w:r w:rsidRPr="00411279">
        <w:rPr>
          <w:rFonts w:ascii="Times New Roman" w:eastAsia="Times New Roman" w:hAnsi="Times New Roman" w:cs="Times New Roman"/>
          <w:sz w:val="20"/>
          <w:szCs w:val="20"/>
        </w:rPr>
        <w:t xml:space="preserve">Digital Decade in 2025 progress and outlook Accompanying the document State of the Digital Decade 2025, </w:t>
      </w:r>
      <w:hyperlink r:id="rId1" w:history="1">
        <w:r w:rsidRPr="00411279">
          <w:rPr>
            <w:rStyle w:val="Hyperlink"/>
            <w:rFonts w:ascii="Times New Roman" w:eastAsia="Times New Roman" w:hAnsi="Times New Roman" w:cs="Times New Roman"/>
            <w:color w:val="auto"/>
            <w:sz w:val="20"/>
            <w:szCs w:val="20"/>
          </w:rPr>
          <w:t>https://digital-strategy.ec.europa.eu/en/library/digital-decade-2025-progress-and-outlook</w:t>
        </w:r>
      </w:hyperlink>
      <w:r w:rsidRPr="00411279">
        <w:rPr>
          <w:rFonts w:ascii="Times New Roman" w:eastAsia="Times New Roman" w:hAnsi="Times New Roman" w:cs="Times New Roman"/>
          <w:sz w:val="20"/>
          <w:szCs w:val="20"/>
        </w:rPr>
        <w:t xml:space="preserve">  </w:t>
      </w:r>
    </w:p>
  </w:footnote>
  <w:footnote w:id="2">
    <w:p w14:paraId="6A3B5976" w14:textId="77777777" w:rsidR="00275512" w:rsidRPr="00411279" w:rsidRDefault="00275512" w:rsidP="00275512">
      <w:pPr>
        <w:spacing w:after="0" w:line="240" w:lineRule="auto"/>
        <w:jc w:val="both"/>
        <w:rPr>
          <w:rFonts w:ascii="Times New Roman" w:eastAsia="Times New Roman" w:hAnsi="Times New Roman" w:cs="Times New Roman"/>
          <w:sz w:val="20"/>
          <w:szCs w:val="20"/>
        </w:rPr>
      </w:pPr>
      <w:r w:rsidRPr="00275512">
        <w:rPr>
          <w:rStyle w:val="FootnoteReference"/>
          <w:rFonts w:eastAsiaTheme="minorEastAsia"/>
        </w:rPr>
        <w:footnoteRef/>
      </w:r>
      <w:r w:rsidRPr="00411279">
        <w:rPr>
          <w:rFonts w:ascii="Times New Roman" w:hAnsi="Times New Roman" w:cs="Times New Roman"/>
          <w:sz w:val="20"/>
          <w:szCs w:val="20"/>
        </w:rPr>
        <w:t xml:space="preserve"> </w:t>
      </w:r>
      <w:r w:rsidRPr="00411279">
        <w:rPr>
          <w:rFonts w:ascii="Times New Roman" w:eastAsia="Times New Roman" w:hAnsi="Times New Roman" w:cs="Times New Roman"/>
          <w:sz w:val="20"/>
          <w:szCs w:val="20"/>
        </w:rPr>
        <w:t>Analysys Mason, 2024, Annex 7.2 figure 5G SA coverage.</w:t>
      </w:r>
    </w:p>
  </w:footnote>
  <w:footnote w:id="3">
    <w:p w14:paraId="01E401FA" w14:textId="77777777" w:rsidR="00275512" w:rsidRPr="00411279" w:rsidRDefault="00275512" w:rsidP="00275512">
      <w:pPr>
        <w:pStyle w:val="FootnoteText"/>
      </w:pPr>
      <w:r w:rsidRPr="00411279">
        <w:rPr>
          <w:rStyle w:val="FootnoteReference"/>
        </w:rPr>
        <w:footnoteRef/>
      </w:r>
      <w:r w:rsidRPr="00411279">
        <w:t xml:space="preserve"> </w:t>
      </w:r>
      <w:r w:rsidRPr="00411279">
        <w:rPr>
          <w:rFonts w:eastAsia="Times New Roman"/>
        </w:rPr>
        <w:t xml:space="preserve">Annex 8.2 </w:t>
      </w:r>
      <w:r w:rsidRPr="00411279">
        <w:t xml:space="preserve">Medux data on Status of 5G Quality and experience in EU and Ookla. Omdia. </w:t>
      </w:r>
      <w:hyperlink r:id="rId2" w:history="1">
        <w:r w:rsidRPr="00411279">
          <w:rPr>
            <w:rStyle w:val="Hyperlink"/>
            <w:color w:val="auto"/>
          </w:rPr>
          <w:t>A Global Evaluation of Europe’s Digital Competitiveness in 5G Standalone</w:t>
        </w:r>
      </w:hyperlink>
      <w:r w:rsidRPr="00411279">
        <w:t xml:space="preserve">, 2025. </w:t>
      </w:r>
    </w:p>
  </w:footnote>
  <w:footnote w:id="4">
    <w:p w14:paraId="232C7BD6" w14:textId="77777777" w:rsidR="00275512" w:rsidRPr="00411279" w:rsidRDefault="00275512" w:rsidP="00275512">
      <w:pPr>
        <w:pStyle w:val="FootnoteText"/>
      </w:pPr>
      <w:r w:rsidRPr="00411279">
        <w:rPr>
          <w:rStyle w:val="FootnoteReference"/>
        </w:rPr>
        <w:footnoteRef/>
      </w:r>
      <w:r w:rsidRPr="00411279">
        <w:t xml:space="preserve"> Analysys Mason (2024). 5G Global Progress Report; OpenSignal (2024). 5G Experience Report Q4</w:t>
      </w:r>
      <w:r>
        <w:t>.</w:t>
      </w:r>
      <w:r w:rsidRPr="00411279">
        <w:t xml:space="preserve"> </w:t>
      </w:r>
    </w:p>
  </w:footnote>
  <w:footnote w:id="5">
    <w:p w14:paraId="7C977411" w14:textId="77777777" w:rsidR="00275512" w:rsidRPr="00411279" w:rsidRDefault="00275512" w:rsidP="00275512">
      <w:pPr>
        <w:spacing w:after="0" w:line="240" w:lineRule="auto"/>
        <w:jc w:val="both"/>
        <w:rPr>
          <w:rFonts w:ascii="Times New Roman" w:eastAsia="Calibri" w:hAnsi="Times New Roman" w:cs="Times New Roman"/>
          <w:sz w:val="20"/>
          <w:szCs w:val="20"/>
        </w:rPr>
      </w:pPr>
      <w:r w:rsidRPr="00275512">
        <w:rPr>
          <w:rStyle w:val="FootnoteReference"/>
          <w:rFonts w:eastAsiaTheme="minorEastAsia"/>
        </w:rPr>
        <w:footnoteRef/>
      </w:r>
      <w:r w:rsidRPr="00411279">
        <w:rPr>
          <w:rFonts w:ascii="Times New Roman" w:hAnsi="Times New Roman" w:cs="Times New Roman"/>
          <w:sz w:val="20"/>
          <w:szCs w:val="20"/>
        </w:rPr>
        <w:t xml:space="preserve"> </w:t>
      </w:r>
      <w:r w:rsidRPr="008D7AFE">
        <w:rPr>
          <w:rFonts w:ascii="Times New Roman" w:eastAsia="Times New Roman" w:hAnsi="Times New Roman" w:cs="Times New Roman"/>
          <w:sz w:val="20"/>
          <w:szCs w:val="20"/>
        </w:rPr>
        <w:t>The ongoing technological transformation of the connectivity ecosystem has been described in detail under the pillar I of the 2024 Commission White Paper ’How to Master Europe’s Digital Infrastructure Needs’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93E87" w14:textId="77777777" w:rsidR="009174DA" w:rsidRPr="009174DA" w:rsidRDefault="009174DA" w:rsidP="009174D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03A08" w14:textId="77777777" w:rsidR="009174DA" w:rsidRPr="009174DA" w:rsidRDefault="009174DA" w:rsidP="009174D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C0D4E" w14:textId="77777777" w:rsidR="009174DA" w:rsidRPr="009174DA" w:rsidRDefault="009174DA" w:rsidP="009174D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BEA5" w14:textId="77777777" w:rsidR="00C17748" w:rsidRDefault="00C177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099E6" w14:textId="77777777" w:rsidR="00C17748" w:rsidRDefault="00C177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FCB5E" w14:textId="77777777" w:rsidR="00C17748" w:rsidRDefault="00C177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CC3F90AC-843C-46F0-A1D0-E5D53DB9919D"/>
    <w:docVar w:name="LW_COVERPAGE_TYPE" w:val="1"/>
    <w:docVar w:name="LW_CROSSREFERENCE" w:val="{COM(2026) 16 final} - {SEC(2026) 14 final} - {SWD(2026) 13 final}"/>
    <w:docVar w:name="LW_DocType" w:val="NORMAL"/>
    <w:docVar w:name="LW_EMISSION" w:val="21.1.2026"/>
    <w:docVar w:name="LW_EMISSION_ISODATE" w:val="2026-01-21"/>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on digital networks, amending  Regulation (EU) 2015/2120, Directive 2002/58/EC and Decision No 676/2002/EC and repealing Regulation (EU) 2018/1971, Directive (EU) 2018/1972 and Decision No 243/2012/EU (Digital Networks Act)"/>
    <w:docVar w:name="LW_PART_NBR" w:val="1"/>
    <w:docVar w:name="LW_PART_NBR_TOTAL" w:val="1"/>
    <w:docVar w:name="LW_REF.INST.NEW" w:val="SWD"/>
    <w:docVar w:name="LW_REF.INST.NEW_ADOPTED" w:val="final"/>
    <w:docVar w:name="LW_REF.INST.NEW_TEXT" w:val="(2026) 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EXECUTIVE SUMMARY OF THE IMPACT ASSESSMENT REPORT_x000b_"/>
    <w:docVar w:name="LW_TYPEACTEPRINCIPAL.CP" w:val="Proposal for a_x000b_REGULATION OF THE EUROPEAN PARLIAMENT AND OF THE COUNCIL"/>
    <w:docVar w:name="LwApiVersions" w:val="LW4CoDe 1.24.5.0; LW 9.2, Build 20251112"/>
  </w:docVars>
  <w:rsids>
    <w:rsidRoot w:val="00C17748"/>
    <w:rsid w:val="00024D65"/>
    <w:rsid w:val="000770EC"/>
    <w:rsid w:val="000802AF"/>
    <w:rsid w:val="000863A9"/>
    <w:rsid w:val="000B2E55"/>
    <w:rsid w:val="0016635E"/>
    <w:rsid w:val="001A2A33"/>
    <w:rsid w:val="001C6A64"/>
    <w:rsid w:val="001F3C80"/>
    <w:rsid w:val="00264F31"/>
    <w:rsid w:val="00275512"/>
    <w:rsid w:val="002D2F42"/>
    <w:rsid w:val="00321794"/>
    <w:rsid w:val="00332309"/>
    <w:rsid w:val="00421121"/>
    <w:rsid w:val="00431AAD"/>
    <w:rsid w:val="00435726"/>
    <w:rsid w:val="00462638"/>
    <w:rsid w:val="004D288E"/>
    <w:rsid w:val="004D4FAB"/>
    <w:rsid w:val="004E3FBC"/>
    <w:rsid w:val="005028DC"/>
    <w:rsid w:val="00545A66"/>
    <w:rsid w:val="005511D5"/>
    <w:rsid w:val="005D6671"/>
    <w:rsid w:val="006537C4"/>
    <w:rsid w:val="006866C1"/>
    <w:rsid w:val="00687A7B"/>
    <w:rsid w:val="0073360B"/>
    <w:rsid w:val="00780F41"/>
    <w:rsid w:val="00796D5E"/>
    <w:rsid w:val="007A67F6"/>
    <w:rsid w:val="00801A30"/>
    <w:rsid w:val="00823448"/>
    <w:rsid w:val="00827A98"/>
    <w:rsid w:val="008437F6"/>
    <w:rsid w:val="00845A0F"/>
    <w:rsid w:val="008569B5"/>
    <w:rsid w:val="00857F47"/>
    <w:rsid w:val="008C07C3"/>
    <w:rsid w:val="008C3FD4"/>
    <w:rsid w:val="009174DA"/>
    <w:rsid w:val="00934AC1"/>
    <w:rsid w:val="00974691"/>
    <w:rsid w:val="009806AE"/>
    <w:rsid w:val="00A21D16"/>
    <w:rsid w:val="00B247F5"/>
    <w:rsid w:val="00B653EE"/>
    <w:rsid w:val="00B672CD"/>
    <w:rsid w:val="00B92C37"/>
    <w:rsid w:val="00BC6F43"/>
    <w:rsid w:val="00BE5CAF"/>
    <w:rsid w:val="00C17748"/>
    <w:rsid w:val="00C302DD"/>
    <w:rsid w:val="00D2386A"/>
    <w:rsid w:val="00D8623E"/>
    <w:rsid w:val="00DB1FC6"/>
    <w:rsid w:val="00DC2112"/>
    <w:rsid w:val="00DD69BD"/>
    <w:rsid w:val="00E967C5"/>
    <w:rsid w:val="00EB0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61893B0"/>
  <w15:chartTrackingRefBased/>
  <w15:docId w15:val="{B893C2D2-7748-4025-95DB-F2A036B5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774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1774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1774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1774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1774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177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7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7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7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74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1774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1774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1774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1774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177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7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7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748"/>
    <w:rPr>
      <w:rFonts w:eastAsiaTheme="majorEastAsia" w:cstheme="majorBidi"/>
      <w:color w:val="272727" w:themeColor="text1" w:themeTint="D8"/>
    </w:rPr>
  </w:style>
  <w:style w:type="paragraph" w:styleId="Title">
    <w:name w:val="Title"/>
    <w:basedOn w:val="Normal"/>
    <w:next w:val="Normal"/>
    <w:link w:val="TitleChar"/>
    <w:uiPriority w:val="10"/>
    <w:qFormat/>
    <w:rsid w:val="00C17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7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7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7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7748"/>
    <w:rPr>
      <w:i/>
      <w:iCs/>
      <w:color w:val="404040" w:themeColor="text1" w:themeTint="BF"/>
    </w:rPr>
  </w:style>
  <w:style w:type="paragraph" w:styleId="ListParagraph">
    <w:name w:val="List Paragraph"/>
    <w:basedOn w:val="Normal"/>
    <w:uiPriority w:val="34"/>
    <w:qFormat/>
    <w:rsid w:val="00C17748"/>
    <w:pPr>
      <w:ind w:left="720"/>
      <w:contextualSpacing/>
    </w:pPr>
  </w:style>
  <w:style w:type="character" w:styleId="IntenseEmphasis">
    <w:name w:val="Intense Emphasis"/>
    <w:basedOn w:val="DefaultParagraphFont"/>
    <w:uiPriority w:val="21"/>
    <w:qFormat/>
    <w:rsid w:val="00C17748"/>
    <w:rPr>
      <w:i/>
      <w:iCs/>
      <w:color w:val="365F91" w:themeColor="accent1" w:themeShade="BF"/>
    </w:rPr>
  </w:style>
  <w:style w:type="paragraph" w:styleId="IntenseQuote">
    <w:name w:val="Intense Quote"/>
    <w:basedOn w:val="Normal"/>
    <w:next w:val="Normal"/>
    <w:link w:val="IntenseQuoteChar"/>
    <w:uiPriority w:val="30"/>
    <w:qFormat/>
    <w:rsid w:val="00C1774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17748"/>
    <w:rPr>
      <w:i/>
      <w:iCs/>
      <w:color w:val="365F91" w:themeColor="accent1" w:themeShade="BF"/>
    </w:rPr>
  </w:style>
  <w:style w:type="character" w:styleId="IntenseReference">
    <w:name w:val="Intense Reference"/>
    <w:basedOn w:val="DefaultParagraphFont"/>
    <w:uiPriority w:val="32"/>
    <w:qFormat/>
    <w:rsid w:val="00C17748"/>
    <w:rPr>
      <w:b/>
      <w:bCs/>
      <w:smallCaps/>
      <w:color w:val="365F91" w:themeColor="accent1" w:themeShade="BF"/>
      <w:spacing w:val="5"/>
    </w:rPr>
  </w:style>
  <w:style w:type="character" w:customStyle="1" w:styleId="Marker">
    <w:name w:val="Marker"/>
    <w:basedOn w:val="DefaultParagraphFont"/>
    <w:rsid w:val="00C17748"/>
    <w:rPr>
      <w:color w:val="0000FF"/>
      <w:shd w:val="clear" w:color="auto" w:fill="auto"/>
    </w:rPr>
  </w:style>
  <w:style w:type="paragraph" w:styleId="Header">
    <w:name w:val="header"/>
    <w:basedOn w:val="Normal"/>
    <w:link w:val="HeaderChar"/>
    <w:uiPriority w:val="99"/>
    <w:unhideWhenUsed/>
    <w:rsid w:val="00C177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7748"/>
  </w:style>
  <w:style w:type="paragraph" w:styleId="Footer">
    <w:name w:val="footer"/>
    <w:basedOn w:val="Normal"/>
    <w:link w:val="FooterChar"/>
    <w:uiPriority w:val="99"/>
    <w:unhideWhenUsed/>
    <w:rsid w:val="00C177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7748"/>
  </w:style>
  <w:style w:type="paragraph" w:customStyle="1" w:styleId="Pagedecouverture">
    <w:name w:val="Page de couverture"/>
    <w:basedOn w:val="Normal"/>
    <w:next w:val="Normal"/>
    <w:rsid w:val="00C1774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177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17748"/>
    <w:rPr>
      <w:rFonts w:ascii="Times New Roman" w:hAnsi="Times New Roman" w:cs="Times New Roman"/>
      <w:sz w:val="24"/>
    </w:rPr>
  </w:style>
  <w:style w:type="paragraph" w:customStyle="1" w:styleId="FooterSensitivity">
    <w:name w:val="Footer Sensitivity"/>
    <w:basedOn w:val="Normal"/>
    <w:link w:val="FooterSensitivityChar"/>
    <w:rsid w:val="00C1774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17748"/>
    <w:rPr>
      <w:rFonts w:ascii="Times New Roman" w:hAnsi="Times New Roman" w:cs="Times New Roman"/>
      <w:b/>
      <w:sz w:val="32"/>
    </w:rPr>
  </w:style>
  <w:style w:type="paragraph" w:customStyle="1" w:styleId="HeaderCoverPage">
    <w:name w:val="Header Cover Page"/>
    <w:basedOn w:val="Normal"/>
    <w:link w:val="HeaderCoverPageChar"/>
    <w:rsid w:val="00C1774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17748"/>
    <w:rPr>
      <w:rFonts w:ascii="Times New Roman" w:hAnsi="Times New Roman" w:cs="Times New Roman"/>
      <w:sz w:val="24"/>
    </w:rPr>
  </w:style>
  <w:style w:type="paragraph" w:customStyle="1" w:styleId="HeaderSensitivity">
    <w:name w:val="Header Sensitivity"/>
    <w:basedOn w:val="Normal"/>
    <w:link w:val="HeaderSensitivityChar"/>
    <w:rsid w:val="00C1774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17748"/>
    <w:rPr>
      <w:rFonts w:ascii="Times New Roman" w:hAnsi="Times New Roman" w:cs="Times New Roman"/>
      <w:b/>
      <w:sz w:val="32"/>
    </w:rPr>
  </w:style>
  <w:style w:type="paragraph" w:customStyle="1" w:styleId="HeaderSensitivityRight">
    <w:name w:val="Header Sensitivity Right"/>
    <w:basedOn w:val="Normal"/>
    <w:link w:val="HeaderSensitivityRightChar"/>
    <w:rsid w:val="00C1774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17748"/>
    <w:rPr>
      <w:rFonts w:ascii="Times New Roman" w:hAnsi="Times New Roman" w:cs="Times New Roman"/>
      <w:sz w:val="28"/>
    </w:rPr>
  </w:style>
  <w:style w:type="character" w:styleId="Hyperlink">
    <w:name w:val="Hyperlink"/>
    <w:basedOn w:val="DefaultParagraphFont"/>
    <w:uiPriority w:val="99"/>
    <w:unhideWhenUsed/>
    <w:rsid w:val="00275512"/>
    <w:rPr>
      <w:color w:val="0000FF"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T,f,SD Footnote Tex"/>
    <w:basedOn w:val="Normal"/>
    <w:link w:val="FootnoteTextChar"/>
    <w:uiPriority w:val="99"/>
    <w:unhideWhenUsed/>
    <w:qFormat/>
    <w:rsid w:val="00275512"/>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275512"/>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fr,o,Footnot"/>
    <w:basedOn w:val="DefaultParagraphFont"/>
    <w:link w:val="CharCharChar1"/>
    <w:uiPriority w:val="99"/>
    <w:unhideWhenUsed/>
    <w:qFormat/>
    <w:rsid w:val="00275512"/>
    <w:rPr>
      <w:vertAlign w:val="superscript"/>
    </w:rPr>
  </w:style>
  <w:style w:type="paragraph" w:customStyle="1" w:styleId="CharCharChar1">
    <w:name w:val="Char Char Char1"/>
    <w:basedOn w:val="Normal"/>
    <w:link w:val="FootnoteReference"/>
    <w:uiPriority w:val="99"/>
    <w:rsid w:val="00275512"/>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ookla.com/articles/europe-5gsa-2025" TargetMode="External"/><Relationship Id="rId1" Type="http://schemas.openxmlformats.org/officeDocument/2006/relationships/hyperlink" Target="https://digital-strategy.ec.europa.eu/en/library/digital-decade-2025-progress-and-outl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C2224-FDA7-4CB3-B14A-8D8F1684A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2624</Words>
  <Characters>14959</Characters>
  <Application>Microsoft Office Word</Application>
  <DocSecurity>0</DocSecurity>
  <Lines>124</Lines>
  <Paragraphs>35</Paragraphs>
  <ScaleCrop>false</ScaleCrop>
  <Manager/>
  <Company/>
  <LinksUpToDate>false</LinksUpToDate>
  <CharactersWithSpaces>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2026-01-20T07:59:00Z</dcterms:created>
  <dcterms:modified xsi:type="dcterms:W3CDTF">2026-01-21T09:26:00Z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2025-12-22T08:41:46Z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3e635268-8112-43bd-8fdf-95924a4547b9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